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2020年安全生产重大隐患州级挂牌督办清单</w:t>
      </w:r>
    </w:p>
    <w:p>
      <w:pPr>
        <w:spacing w:line="2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jc w:val="center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03"/>
        <w:gridCol w:w="1772"/>
        <w:gridCol w:w="2997"/>
        <w:gridCol w:w="1984"/>
        <w:gridCol w:w="1985"/>
        <w:gridCol w:w="1701"/>
        <w:gridCol w:w="877"/>
      </w:tblGrid>
      <w:tr>
        <w:tc>
          <w:tcPr>
            <w:tcW w:w="708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70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单位名称</w:t>
            </w:r>
          </w:p>
        </w:tc>
        <w:tc>
          <w:tcPr>
            <w:tcW w:w="177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隐患地址</w:t>
            </w:r>
          </w:p>
        </w:tc>
        <w:tc>
          <w:tcPr>
            <w:tcW w:w="299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隐患内容</w:t>
            </w:r>
          </w:p>
        </w:tc>
        <w:tc>
          <w:tcPr>
            <w:tcW w:w="1984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整改时限</w:t>
            </w:r>
          </w:p>
        </w:tc>
        <w:tc>
          <w:tcPr>
            <w:tcW w:w="1985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州级督办部门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</w:t>
            </w:r>
          </w:p>
        </w:tc>
      </w:tr>
      <w:tr>
        <w:trPr>
          <w:trHeight w:val="3467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四川长化宏光盐化工有限公司</w:t>
            </w:r>
          </w:p>
        </w:tc>
        <w:tc>
          <w:tcPr>
            <w:tcW w:w="17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理县下孟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工业园区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1.氯酸钠电解添加盐水、稀酸、氮气还采用手动操作调节，自动化程度低，安全隐患较大，需</w:t>
            </w:r>
            <w:r>
              <w:t>釆</w:t>
            </w:r>
            <w:r>
              <w:rPr>
                <w:rFonts w:eastAsia="仿宋_GB2312"/>
              </w:rPr>
              <w:t>用PLC集中自动控制，减少员工操作波动，有效遏制生产安全事故发生；</w:t>
            </w:r>
          </w:p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2.氯酸钠电解与整流隔墙局部破损，需</w:t>
            </w:r>
            <w:r>
              <w:t>釆</w:t>
            </w:r>
            <w:r>
              <w:rPr>
                <w:rFonts w:eastAsia="仿宋_GB2312"/>
              </w:rPr>
              <w:t>用240mm实体墙重新隔断，避免电解室与整流室空气串流，保证整流室安全。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2020年12月31日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理县人民政府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州经信局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546"/>
        </w:trPr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03" w:type="dxa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汶川县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漩三路隐患</w:t>
            </w:r>
          </w:p>
        </w:tc>
        <w:tc>
          <w:tcPr>
            <w:tcW w:w="1772" w:type="dxa"/>
          </w:tcPr>
          <w:p>
            <w:pPr>
              <w:spacing w:line="400" w:lineRule="exact"/>
              <w:ind w:firstLineChars="50" w:firstLine="105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firstLineChars="50" w:firstLine="10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汶川县</w:t>
            </w:r>
          </w:p>
          <w:p>
            <w:pPr>
              <w:spacing w:line="400" w:lineRule="exact"/>
              <w:ind w:firstLineChars="50" w:firstLine="10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水磨镇</w:t>
            </w:r>
          </w:p>
        </w:tc>
        <w:tc>
          <w:tcPr>
            <w:tcW w:w="2997" w:type="dxa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因“8.20”水毁造成部分路段路基悬空，路面损毁，给过往车辆和行人生命财产安全造成威胁，需要增设挡墙，新建路面。</w:t>
            </w:r>
          </w:p>
        </w:tc>
        <w:tc>
          <w:tcPr>
            <w:tcW w:w="1984" w:type="dxa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2020年12月31日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汶川县人民政府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州交通运输局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1413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黑水县麻窝乡</w:t>
            </w:r>
          </w:p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沙卡村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黑水县麻窝乡</w:t>
            </w:r>
          </w:p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沙卡村K69+060</w:t>
            </w:r>
          </w:p>
        </w:tc>
        <w:tc>
          <w:tcPr>
            <w:tcW w:w="29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桥体被落石砸伤造成桥梁坍</w:t>
            </w:r>
          </w:p>
          <w:p>
            <w:pPr>
              <w:spacing w:line="320" w:lineRule="exact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塌，裸露的钢筋及主拱圈、引桥2根墩柱的破损，给过往车辆和行人生命财产造成威胁。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黑水县人民政府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州交通运输局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251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小金县同心宾馆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小金县美兴镇</w:t>
            </w:r>
          </w:p>
        </w:tc>
        <w:tc>
          <w:tcPr>
            <w:tcW w:w="299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火灾自动报警系统瘫痪，火灾事故发生时不能及时预警，存在严重安全隐患。需更换火灾报警系统中控设备、手动报警器、声光报警器、感应探头等设备，维修报警系统线路。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小金县人民政府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州消防救援支队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rPr>
          <w:trHeight w:val="1119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壤塘县</w:t>
            </w:r>
            <w:r>
              <w:rPr>
                <w:rFonts w:ascii="仿宋_GB2312" w:eastAsia="仿宋_GB2312" w:hint="eastAsia"/>
                <w:szCs w:val="21"/>
              </w:rPr>
              <w:t>宗科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乡依冬村热四普组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壤塘县宗科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乡依冬村热四普组</w:t>
            </w:r>
          </w:p>
        </w:tc>
        <w:tc>
          <w:tcPr>
            <w:tcW w:w="2997" w:type="dxa"/>
            <w:vAlign w:val="center"/>
          </w:tcPr>
          <w:p>
            <w:pPr>
              <w:spacing w:line="320" w:lineRule="exact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该村民小组所在地山体崩塌隐患点威胁6户33人生命财产安全，需要挂网、修建排水沟。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壤塘县人民政府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州自然资源局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rPr>
          <w:trHeight w:val="1121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茂县鑫新能源有限公司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茂县土门镇</w:t>
            </w:r>
          </w:p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土门园区</w:t>
            </w:r>
          </w:p>
        </w:tc>
        <w:tc>
          <w:tcPr>
            <w:tcW w:w="2997" w:type="dxa"/>
            <w:vAlign w:val="center"/>
          </w:tcPr>
          <w:p>
            <w:pPr>
              <w:spacing w:line="320" w:lineRule="exact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构成二级重大危险源的储罐区未配备独立的安全仪表系统。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2020年6月31日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茂县人民政府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州经信局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1705"/>
        </w:trPr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ind w:leftChars="100" w:left="210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马尔康市石广东山体滑坡</w:t>
            </w:r>
          </w:p>
        </w:tc>
        <w:tc>
          <w:tcPr>
            <w:tcW w:w="17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马尔康市白湾乡石广东村</w:t>
            </w:r>
          </w:p>
        </w:tc>
        <w:tc>
          <w:tcPr>
            <w:tcW w:w="2997" w:type="dxa"/>
            <w:vAlign w:val="center"/>
          </w:tcPr>
          <w:p>
            <w:pPr>
              <w:spacing w:line="320" w:lineRule="exact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hint="eastAsia"/>
              </w:rPr>
              <w:t>马尔康市白湾乡石广东村境内(G248线K987+700处)，山体飞石、垮塌、滑坡，存在严重安全隐患。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eastAsia="仿宋_GB2312" w:cs="仿宋" w:hint="eastAsia"/>
                <w:szCs w:val="21"/>
              </w:rPr>
              <w:t>2020年12月31日</w:t>
            </w:r>
          </w:p>
        </w:tc>
        <w:tc>
          <w:tcPr>
            <w:tcW w:w="1985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马尔康市人民政府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州交通运输局</w:t>
            </w: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tabs>
          <w:tab w:val="left" w:pos="2977"/>
        </w:tabs>
        <w:adjustRightInd w:val="0"/>
        <w:snapToGrid w:val="0"/>
        <w:spacing w:line="520" w:lineRule="exact"/>
        <w:jc w:val="center"/>
      </w:pPr>
    </w:p>
    <w:sectPr>
      <w:headerReference w:type="default" r:id="rId2"/>
      <w:footerReference w:type="default" r:id="rId3"/>
      <w:footerReference w:type="even" r:id="rId4"/>
      <w:footerReference w:type="first" r:id="rId5"/>
      <w:pgSz w:w="16838" w:h="11906" w:orient="landscape"/>
      <w:pgMar w:top="1588" w:right="2041" w:bottom="1474" w:left="1985" w:header="851" w:footer="1134" w:gutter="0"/>
      <w:pgNumType w:fmt="numberInDash"/>
      <w:titlePg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  <w:rPr>
        <w:rFonts w:ascii="宋体"/>
        <w:sz w:val="28"/>
        <w:szCs w:val="28"/>
      </w:rPr>
    </w:pP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2 -</w:t>
    </w:r>
    <w:r>
      <w:rPr>
        <w:rFonts w:ascii="宋体"/>
        <w:sz w:val="28"/>
        <w:szCs w:val="28"/>
      </w:rPr>
      <w:fldChar w:fldCharType="end"/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</Pages>
  <Words>726</Words>
  <Characters>792</Characters>
  <Lines>118</Lines>
  <Paragraphs>66</Paragraphs>
  <CharactersWithSpaces>792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acer</dc:creator>
  <cp:lastModifiedBy>hj</cp:lastModifiedBy>
  <cp:revision>2</cp:revision>
  <dcterms:created xsi:type="dcterms:W3CDTF">2020-04-24T01:14:00Z</dcterms:created>
</cp:coreProperties>
</file>