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63C31">
      <w:pPr>
        <w:pStyle w:val="2"/>
        <w:jc w:val="center"/>
        <w:rPr>
          <w:rFonts w:hint="eastAsia" w:ascii="方正小标宋简体" w:hAnsi="宋体" w:eastAsia="方正小标宋简体" w:cs="Times New Roman"/>
          <w:color w:val="auto"/>
          <w:kern w:val="2"/>
          <w:sz w:val="44"/>
          <w:szCs w:val="44"/>
          <w:highlight w:val="none"/>
          <w:lang w:val="en-US" w:eastAsia="zh-CN" w:bidi="ar-SA"/>
        </w:rPr>
      </w:pPr>
    </w:p>
    <w:p w14:paraId="55F56D6F">
      <w:pPr>
        <w:pStyle w:val="2"/>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2023年度四川省阿坝州公路管理局（本级）单位决算</w:t>
      </w:r>
    </w:p>
    <w:p w14:paraId="0A99BC11">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0C591E17">
      <w:pPr>
        <w:widowControl/>
        <w:jc w:val="center"/>
        <w:rPr>
          <w:rFonts w:ascii="黑体" w:hAnsi="黑体" w:eastAsia="黑体" w:cstheme="minorBidi"/>
          <w:color w:val="auto"/>
          <w:sz w:val="28"/>
          <w:szCs w:val="28"/>
          <w:highlight w:val="none"/>
        </w:rPr>
      </w:pPr>
    </w:p>
    <w:p w14:paraId="1DE88543">
      <w:pPr>
        <w:pStyle w:val="8"/>
        <w:rPr>
          <w:color w:val="auto"/>
          <w:highlight w:val="none"/>
        </w:rPr>
      </w:pPr>
      <w:r>
        <w:rPr>
          <w:rFonts w:hint="eastAsia"/>
          <w:color w:val="auto"/>
          <w:highlight w:val="none"/>
        </w:rPr>
        <w:t>公开时间：20</w:t>
      </w:r>
      <w:r>
        <w:rPr>
          <w:rFonts w:hint="eastAsia"/>
          <w:color w:val="auto"/>
          <w:highlight w:val="none"/>
          <w:lang w:val="en-US" w:eastAsia="zh-CN"/>
        </w:rPr>
        <w:t>24</w:t>
      </w:r>
      <w:r>
        <w:rPr>
          <w:rFonts w:hint="eastAsia"/>
          <w:color w:val="auto"/>
          <w:highlight w:val="none"/>
        </w:rPr>
        <w:t>年</w:t>
      </w:r>
      <w:r>
        <w:rPr>
          <w:rFonts w:hint="eastAsia"/>
          <w:color w:val="auto"/>
          <w:highlight w:val="none"/>
          <w:lang w:val="en-US" w:eastAsia="zh-CN"/>
        </w:rPr>
        <w:t>9</w:t>
      </w:r>
      <w:r>
        <w:rPr>
          <w:rFonts w:hint="eastAsia"/>
          <w:color w:val="auto"/>
          <w:highlight w:val="none"/>
        </w:rPr>
        <w:t>月</w:t>
      </w:r>
      <w:r>
        <w:rPr>
          <w:rFonts w:hint="eastAsia"/>
          <w:color w:val="auto"/>
          <w:highlight w:val="none"/>
          <w:lang w:val="en-US" w:eastAsia="zh-CN"/>
        </w:rPr>
        <w:t>18</w:t>
      </w:r>
      <w:r>
        <w:rPr>
          <w:rFonts w:hint="eastAsia"/>
          <w:color w:val="auto"/>
          <w:highlight w:val="none"/>
        </w:rPr>
        <w:t>日</w:t>
      </w:r>
    </w:p>
    <w:p w14:paraId="6DE36EDE">
      <w:pPr>
        <w:rPr>
          <w:color w:val="auto"/>
          <w:highlight w:val="none"/>
        </w:rPr>
      </w:pPr>
    </w:p>
    <w:sdt>
      <w:sdtPr>
        <w:rPr>
          <w:rFonts w:ascii="宋体" w:hAnsi="宋体" w:eastAsia="宋体" w:cs="Times New Roman"/>
          <w:kern w:val="2"/>
          <w:sz w:val="21"/>
          <w:szCs w:val="24"/>
          <w:lang w:val="en-US" w:eastAsia="zh-CN" w:bidi="ar-SA"/>
        </w:rPr>
        <w:id w:val="147462725"/>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14:paraId="39BFAC8F">
          <w:pPr>
            <w:spacing w:before="0" w:beforeLines="0" w:after="0" w:afterLines="0" w:line="240" w:lineRule="auto"/>
            <w:ind w:left="0" w:leftChars="0" w:right="0" w:rightChars="0" w:firstLine="0" w:firstLineChars="0"/>
            <w:jc w:val="center"/>
          </w:pPr>
        </w:p>
        <w:p w14:paraId="4B1D4FA1">
          <w:pPr>
            <w:pStyle w:val="18"/>
            <w:tabs>
              <w:tab w:val="right" w:leader="dot" w:pos="8306"/>
            </w:tabs>
            <w:rPr>
              <w:rFonts w:hint="eastAsia" w:ascii="仿宋" w:hAnsi="仿宋" w:eastAsia="仿宋" w:cs="仿宋"/>
              <w:b/>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TOC \o "1-2" \h \u </w:instrText>
          </w:r>
          <w:r>
            <w:rPr>
              <w:rFonts w:hint="eastAsia" w:ascii="仿宋" w:hAnsi="仿宋" w:eastAsia="仿宋" w:cs="仿宋"/>
              <w:sz w:val="28"/>
              <w:szCs w:val="28"/>
            </w:rPr>
            <w:fldChar w:fldCharType="separate"/>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_Toc6733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 xml:space="preserve">第一部分 </w:t>
          </w:r>
          <w:r>
            <w:rPr>
              <w:rFonts w:hint="eastAsia" w:ascii="仿宋" w:hAnsi="仿宋" w:eastAsia="仿宋" w:cs="仿宋"/>
              <w:b/>
              <w:sz w:val="28"/>
              <w:szCs w:val="28"/>
              <w:highlight w:val="none"/>
              <w:lang w:eastAsia="zh-CN"/>
            </w:rPr>
            <w:t>单位</w:t>
          </w:r>
          <w:r>
            <w:rPr>
              <w:rFonts w:hint="eastAsia" w:ascii="仿宋" w:hAnsi="仿宋" w:eastAsia="仿宋" w:cs="仿宋"/>
              <w:b/>
              <w:bCs w:val="0"/>
              <w:sz w:val="28"/>
              <w:szCs w:val="28"/>
              <w:highlight w:val="none"/>
            </w:rPr>
            <w:t>概况</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_Toc6733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4004702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_Toc13179 </w:instrText>
          </w:r>
          <w:r>
            <w:rPr>
              <w:rFonts w:hint="eastAsia" w:ascii="仿宋" w:hAnsi="仿宋" w:eastAsia="仿宋" w:cs="仿宋"/>
              <w:sz w:val="28"/>
              <w:szCs w:val="28"/>
            </w:rPr>
            <w:fldChar w:fldCharType="separate"/>
          </w:r>
          <w:r>
            <w:rPr>
              <w:rFonts w:hint="eastAsia" w:ascii="仿宋" w:hAnsi="仿宋" w:eastAsia="仿宋" w:cs="仿宋"/>
              <w:bCs w:val="0"/>
              <w:sz w:val="28"/>
              <w:szCs w:val="28"/>
              <w:lang w:eastAsia="zh-CN"/>
            </w:rPr>
            <w:t>一、</w:t>
          </w:r>
          <w:r>
            <w:rPr>
              <w:rFonts w:hint="eastAsia" w:ascii="仿宋" w:hAnsi="仿宋" w:eastAsia="仿宋" w:cs="仿宋"/>
              <w:bCs w:val="0"/>
              <w:sz w:val="28"/>
              <w:szCs w:val="28"/>
              <w:highlight w:val="none"/>
              <w:lang w:eastAsia="zh-CN"/>
            </w:rPr>
            <w:t>主要职责</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_Toc13179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2EE8EAA">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_Toc6669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val="en-US" w:eastAsia="zh-CN"/>
            </w:rPr>
            <w:t>二、机构设置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_Toc6669 \h </w:instrText>
          </w:r>
          <w:r>
            <w:rPr>
              <w:rFonts w:hint="eastAsia" w:ascii="仿宋" w:hAnsi="仿宋" w:eastAsia="仿宋" w:cs="仿宋"/>
              <w:sz w:val="28"/>
              <w:szCs w:val="28"/>
            </w:rPr>
            <w:fldChar w:fldCharType="separate"/>
          </w:r>
          <w:r>
            <w:rPr>
              <w:rFonts w:hint="eastAsia" w:ascii="仿宋" w:hAnsi="仿宋" w:eastAsia="仿宋" w:cs="仿宋"/>
              <w:sz w:val="28"/>
              <w:szCs w:val="28"/>
            </w:rPr>
            <w:t>- 1 -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A5BC997">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_Toc18361 </w:instrText>
          </w:r>
          <w:r>
            <w:rPr>
              <w:rFonts w:hint="eastAsia" w:ascii="仿宋" w:hAnsi="仿宋" w:eastAsia="仿宋" w:cs="仿宋"/>
              <w:b/>
              <w:sz w:val="28"/>
              <w:szCs w:val="28"/>
            </w:rPr>
            <w:fldChar w:fldCharType="separate"/>
          </w:r>
          <w:r>
            <w:rPr>
              <w:rFonts w:hint="eastAsia" w:ascii="仿宋" w:hAnsi="仿宋" w:eastAsia="仿宋" w:cs="仿宋"/>
              <w:b/>
              <w:bCs/>
              <w:sz w:val="28"/>
              <w:szCs w:val="28"/>
              <w:highlight w:val="none"/>
            </w:rPr>
            <w:t xml:space="preserve">第二部分 </w:t>
          </w:r>
          <w:r>
            <w:rPr>
              <w:rFonts w:hint="eastAsia" w:ascii="仿宋" w:hAnsi="仿宋" w:eastAsia="仿宋" w:cs="仿宋"/>
              <w:b/>
              <w:bCs/>
              <w:sz w:val="28"/>
              <w:szCs w:val="28"/>
              <w:highlight w:val="none"/>
              <w:lang w:val="en-US" w:eastAsia="zh-CN"/>
            </w:rPr>
            <w:t>2023年度</w:t>
          </w:r>
          <w:r>
            <w:rPr>
              <w:rFonts w:hint="eastAsia" w:ascii="仿宋" w:hAnsi="仿宋" w:eastAsia="仿宋" w:cs="仿宋"/>
              <w:b/>
              <w:bCs/>
              <w:sz w:val="28"/>
              <w:szCs w:val="28"/>
              <w:highlight w:val="none"/>
              <w:lang w:eastAsia="zh-CN"/>
            </w:rPr>
            <w:t>单位</w:t>
          </w:r>
          <w:r>
            <w:rPr>
              <w:rFonts w:hint="eastAsia" w:ascii="仿宋" w:hAnsi="仿宋" w:eastAsia="仿宋" w:cs="仿宋"/>
              <w:b/>
              <w:bCs/>
              <w:sz w:val="28"/>
              <w:szCs w:val="28"/>
              <w:highlight w:val="none"/>
            </w:rPr>
            <w:t>决算情况说明</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_Toc18361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466E0E4A">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_Toc29567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一、</w:t>
          </w:r>
          <w:r>
            <w:rPr>
              <w:rFonts w:hint="eastAsia" w:ascii="仿宋" w:hAnsi="仿宋" w:eastAsia="仿宋" w:cs="仿宋"/>
              <w:sz w:val="28"/>
              <w:szCs w:val="28"/>
              <w:highlight w:val="none"/>
            </w:rPr>
            <w:t>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_Toc29567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2AB19B1C">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_Toc1788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二、</w:t>
          </w:r>
          <w:r>
            <w:rPr>
              <w:rFonts w:hint="eastAsia" w:ascii="仿宋" w:hAnsi="仿宋" w:eastAsia="仿宋" w:cs="仿宋"/>
              <w:sz w:val="28"/>
              <w:szCs w:val="28"/>
              <w:highlight w:val="none"/>
            </w:rPr>
            <w:t>收入决算情况说明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_Toc1788 \h </w:instrText>
          </w:r>
          <w:r>
            <w:rPr>
              <w:rFonts w:hint="eastAsia" w:ascii="仿宋" w:hAnsi="仿宋" w:eastAsia="仿宋" w:cs="仿宋"/>
              <w:sz w:val="28"/>
              <w:szCs w:val="28"/>
            </w:rPr>
            <w:fldChar w:fldCharType="separate"/>
          </w:r>
          <w:r>
            <w:rPr>
              <w:rFonts w:hint="eastAsia" w:ascii="仿宋" w:hAnsi="仿宋" w:eastAsia="仿宋" w:cs="仿宋"/>
              <w:sz w:val="28"/>
              <w:szCs w:val="28"/>
            </w:rPr>
            <w:t>- 2 -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3951386">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_Toc3703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三、</w:t>
          </w:r>
          <w:r>
            <w:rPr>
              <w:rFonts w:hint="eastAsia" w:ascii="仿宋" w:hAnsi="仿宋" w:eastAsia="仿宋" w:cs="仿宋"/>
              <w:sz w:val="28"/>
              <w:szCs w:val="28"/>
              <w:highlight w:val="none"/>
            </w:rPr>
            <w:t>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_Toc3703 \h </w:instrText>
          </w:r>
          <w:r>
            <w:rPr>
              <w:rFonts w:hint="eastAsia" w:ascii="仿宋" w:hAnsi="仿宋" w:eastAsia="仿宋" w:cs="仿宋"/>
              <w:sz w:val="28"/>
              <w:szCs w:val="28"/>
            </w:rPr>
            <w:fldChar w:fldCharType="separate"/>
          </w:r>
          <w:r>
            <w:rPr>
              <w:rFonts w:hint="eastAsia" w:ascii="仿宋" w:hAnsi="仿宋" w:eastAsia="仿宋" w:cs="仿宋"/>
              <w:sz w:val="28"/>
              <w:szCs w:val="28"/>
            </w:rPr>
            <w:t>- 3 -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EFA9F39">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_Toc29031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四、财政拨款收入支出决算总体情况说明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_Toc29031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11B7457">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_Toc11271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五、一般公共预算财政拨款支出决算情况说明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_Toc11271 \h </w:instrText>
          </w:r>
          <w:r>
            <w:rPr>
              <w:rFonts w:hint="eastAsia" w:ascii="仿宋" w:hAnsi="仿宋" w:eastAsia="仿宋" w:cs="仿宋"/>
              <w:sz w:val="28"/>
              <w:szCs w:val="28"/>
            </w:rPr>
            <w:fldChar w:fldCharType="separate"/>
          </w:r>
          <w:r>
            <w:rPr>
              <w:rFonts w:hint="eastAsia" w:ascii="仿宋" w:hAnsi="仿宋" w:eastAsia="仿宋" w:cs="仿宋"/>
              <w:sz w:val="28"/>
              <w:szCs w:val="28"/>
            </w:rPr>
            <w:t>- 4 -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41410AB">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_Toc27920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六、一般公共预算财政拨款基本支出决算情况说明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_Toc27920 \h </w:instrText>
          </w:r>
          <w:r>
            <w:rPr>
              <w:rFonts w:hint="eastAsia" w:ascii="仿宋" w:hAnsi="仿宋" w:eastAsia="仿宋" w:cs="仿宋"/>
              <w:sz w:val="28"/>
              <w:szCs w:val="28"/>
            </w:rPr>
            <w:fldChar w:fldCharType="separate"/>
          </w:r>
          <w:r>
            <w:rPr>
              <w:rFonts w:hint="eastAsia" w:ascii="仿宋" w:hAnsi="仿宋" w:eastAsia="仿宋" w:cs="仿宋"/>
              <w:sz w:val="28"/>
              <w:szCs w:val="28"/>
            </w:rPr>
            <w:t>- 7 -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B4EFE69">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_Toc13862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七、财政拨款“三公”经费支出决算情况说明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_Toc13862 \h </w:instrText>
          </w:r>
          <w:r>
            <w:rPr>
              <w:rFonts w:hint="eastAsia" w:ascii="仿宋" w:hAnsi="仿宋" w:eastAsia="仿宋" w:cs="仿宋"/>
              <w:sz w:val="28"/>
              <w:szCs w:val="28"/>
            </w:rPr>
            <w:fldChar w:fldCharType="separate"/>
          </w:r>
          <w:r>
            <w:rPr>
              <w:rFonts w:hint="eastAsia" w:ascii="仿宋" w:hAnsi="仿宋" w:eastAsia="仿宋" w:cs="仿宋"/>
              <w:sz w:val="28"/>
              <w:szCs w:val="28"/>
            </w:rPr>
            <w:t>- 8 -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F3A7DA6">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_Toc22918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八、政府性基金预算支出决算情况说明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_Toc22918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3B13F3B">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_Toc18925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九、</w:t>
          </w:r>
          <w:r>
            <w:rPr>
              <w:rFonts w:hint="eastAsia" w:ascii="仿宋" w:hAnsi="仿宋" w:eastAsia="仿宋" w:cs="仿宋"/>
              <w:sz w:val="28"/>
              <w:szCs w:val="28"/>
              <w:highlight w:val="none"/>
            </w:rPr>
            <w:t>国有资本经营预算支出决算情况说明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_Toc18925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47AE7A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_Toc9683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lang w:eastAsia="zh-CN"/>
            </w:rPr>
            <w:t>十、</w:t>
          </w:r>
          <w:r>
            <w:rPr>
              <w:rFonts w:hint="eastAsia" w:ascii="仿宋" w:hAnsi="仿宋" w:eastAsia="仿宋" w:cs="仿宋"/>
              <w:sz w:val="28"/>
              <w:szCs w:val="28"/>
              <w:highlight w:val="none"/>
            </w:rPr>
            <w:t>其他重要事项的情况说明</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_Toc9683 \h </w:instrText>
          </w:r>
          <w:r>
            <w:rPr>
              <w:rFonts w:hint="eastAsia" w:ascii="仿宋" w:hAnsi="仿宋" w:eastAsia="仿宋" w:cs="仿宋"/>
              <w:sz w:val="28"/>
              <w:szCs w:val="28"/>
            </w:rPr>
            <w:fldChar w:fldCharType="separate"/>
          </w:r>
          <w:r>
            <w:rPr>
              <w:rFonts w:hint="eastAsia" w:ascii="仿宋" w:hAnsi="仿宋" w:eastAsia="仿宋" w:cs="仿宋"/>
              <w:sz w:val="28"/>
              <w:szCs w:val="28"/>
            </w:rPr>
            <w:t>- 10 -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118044B">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_Toc5316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lang w:eastAsia="zh-CN"/>
            </w:rPr>
            <w:t>第三部分</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名词解释</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_Toc5316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- 12 -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0FB2F96F">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_Toc12703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第四部分 附件</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_Toc12703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- 16 -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3A18AB42">
          <w:pPr>
            <w:pStyle w:val="18"/>
            <w:tabs>
              <w:tab w:val="right" w:leader="dot" w:pos="8306"/>
            </w:tabs>
            <w:rPr>
              <w:rFonts w:hint="eastAsia" w:ascii="仿宋" w:hAnsi="仿宋" w:eastAsia="仿宋" w:cs="仿宋"/>
              <w:b/>
              <w:sz w:val="28"/>
              <w:szCs w:val="28"/>
            </w:rPr>
          </w:pP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HYPERLINK \l _Toc4966 </w:instrText>
          </w:r>
          <w:r>
            <w:rPr>
              <w:rFonts w:hint="eastAsia" w:ascii="仿宋" w:hAnsi="仿宋" w:eastAsia="仿宋" w:cs="仿宋"/>
              <w:b/>
              <w:sz w:val="28"/>
              <w:szCs w:val="28"/>
            </w:rPr>
            <w:fldChar w:fldCharType="separate"/>
          </w:r>
          <w:r>
            <w:rPr>
              <w:rFonts w:hint="eastAsia" w:ascii="仿宋" w:hAnsi="仿宋" w:eastAsia="仿宋" w:cs="仿宋"/>
              <w:b/>
              <w:sz w:val="28"/>
              <w:szCs w:val="28"/>
              <w:highlight w:val="none"/>
            </w:rPr>
            <w:t>第五部分 附表</w:t>
          </w:r>
          <w:r>
            <w:rPr>
              <w:rFonts w:hint="eastAsia" w:ascii="仿宋" w:hAnsi="仿宋" w:eastAsia="仿宋" w:cs="仿宋"/>
              <w:b/>
              <w:sz w:val="28"/>
              <w:szCs w:val="28"/>
            </w:rPr>
            <w:tab/>
          </w:r>
          <w:r>
            <w:rPr>
              <w:rFonts w:hint="eastAsia" w:ascii="仿宋" w:hAnsi="仿宋" w:eastAsia="仿宋" w:cs="仿宋"/>
              <w:b/>
              <w:sz w:val="28"/>
              <w:szCs w:val="28"/>
            </w:rPr>
            <w:fldChar w:fldCharType="begin"/>
          </w:r>
          <w:r>
            <w:rPr>
              <w:rFonts w:hint="eastAsia" w:ascii="仿宋" w:hAnsi="仿宋" w:eastAsia="仿宋" w:cs="仿宋"/>
              <w:b/>
              <w:sz w:val="28"/>
              <w:szCs w:val="28"/>
            </w:rPr>
            <w:instrText xml:space="preserve"> PAGEREF _Toc4966 \h </w:instrText>
          </w:r>
          <w:r>
            <w:rPr>
              <w:rFonts w:hint="eastAsia" w:ascii="仿宋" w:hAnsi="仿宋" w:eastAsia="仿宋" w:cs="仿宋"/>
              <w:b/>
              <w:sz w:val="28"/>
              <w:szCs w:val="28"/>
            </w:rPr>
            <w:fldChar w:fldCharType="separate"/>
          </w:r>
          <w:r>
            <w:rPr>
              <w:rFonts w:hint="eastAsia" w:ascii="仿宋" w:hAnsi="仿宋" w:eastAsia="仿宋" w:cs="仿宋"/>
              <w:b/>
              <w:sz w:val="28"/>
              <w:szCs w:val="28"/>
            </w:rPr>
            <w:t>- 17 -</w:t>
          </w:r>
          <w:r>
            <w:rPr>
              <w:rFonts w:hint="eastAsia" w:ascii="仿宋" w:hAnsi="仿宋" w:eastAsia="仿宋" w:cs="仿宋"/>
              <w:b/>
              <w:sz w:val="28"/>
              <w:szCs w:val="28"/>
            </w:rPr>
            <w:fldChar w:fldCharType="end"/>
          </w:r>
          <w:r>
            <w:rPr>
              <w:rFonts w:hint="eastAsia" w:ascii="仿宋" w:hAnsi="仿宋" w:eastAsia="仿宋" w:cs="仿宋"/>
              <w:b/>
              <w:sz w:val="28"/>
              <w:szCs w:val="28"/>
            </w:rPr>
            <w:fldChar w:fldCharType="end"/>
          </w:r>
        </w:p>
        <w:p w14:paraId="2D9D89EB">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_Toc891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一、收</w:t>
          </w:r>
          <w:r>
            <w:rPr>
              <w:rFonts w:hint="eastAsia" w:ascii="仿宋" w:hAnsi="仿宋" w:eastAsia="仿宋" w:cs="仿宋"/>
              <w:bCs w:val="0"/>
              <w:sz w:val="28"/>
              <w:szCs w:val="28"/>
              <w:highlight w:val="none"/>
            </w:rPr>
            <w:t>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_Toc891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7673ED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_Toc16241 </w:instrText>
          </w:r>
          <w:r>
            <w:rPr>
              <w:rFonts w:hint="eastAsia" w:ascii="仿宋" w:hAnsi="仿宋" w:eastAsia="仿宋" w:cs="仿宋"/>
              <w:sz w:val="28"/>
              <w:szCs w:val="28"/>
            </w:rPr>
            <w:fldChar w:fldCharType="separate"/>
          </w:r>
          <w:r>
            <w:rPr>
              <w:rFonts w:hint="eastAsia" w:ascii="仿宋" w:hAnsi="仿宋" w:eastAsia="仿宋" w:cs="仿宋"/>
              <w:sz w:val="28"/>
              <w:szCs w:val="28"/>
              <w:highlight w:val="none"/>
            </w:rPr>
            <w:t>二、收</w:t>
          </w:r>
          <w:r>
            <w:rPr>
              <w:rFonts w:hint="eastAsia" w:ascii="仿宋" w:hAnsi="仿宋" w:eastAsia="仿宋" w:cs="仿宋"/>
              <w:bCs w:val="0"/>
              <w:sz w:val="28"/>
              <w:szCs w:val="28"/>
              <w:highlight w:val="none"/>
            </w:rPr>
            <w:t>入决算表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_Toc16241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762DC6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_Toc16796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三、</w:t>
          </w:r>
          <w:r>
            <w:rPr>
              <w:rFonts w:hint="eastAsia" w:ascii="仿宋" w:hAnsi="仿宋" w:eastAsia="仿宋" w:cs="仿宋"/>
              <w:sz w:val="28"/>
              <w:szCs w:val="28"/>
              <w:highlight w:val="none"/>
            </w:rPr>
            <w:t>支</w:t>
          </w:r>
          <w:r>
            <w:rPr>
              <w:rFonts w:hint="eastAsia" w:ascii="仿宋" w:hAnsi="仿宋" w:eastAsia="仿宋" w:cs="仿宋"/>
              <w:bCs w:val="0"/>
              <w:sz w:val="28"/>
              <w:szCs w:val="28"/>
              <w:highlight w:val="none"/>
            </w:rPr>
            <w:t>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_Toc16796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882147F">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_Toc18664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四、</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政拨款收入支出决算总表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_Toc18664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7FDDF415">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_Toc14795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五、</w:t>
          </w:r>
          <w:r>
            <w:rPr>
              <w:rFonts w:hint="eastAsia" w:ascii="仿宋" w:hAnsi="仿宋" w:eastAsia="仿宋" w:cs="仿宋"/>
              <w:sz w:val="28"/>
              <w:szCs w:val="28"/>
              <w:highlight w:val="none"/>
            </w:rPr>
            <w:t>财</w:t>
          </w:r>
          <w:r>
            <w:rPr>
              <w:rFonts w:hint="eastAsia" w:ascii="仿宋" w:hAnsi="仿宋" w:eastAsia="仿宋" w:cs="仿宋"/>
              <w:bCs w:val="0"/>
              <w:sz w:val="28"/>
              <w:szCs w:val="28"/>
              <w:highlight w:val="none"/>
            </w:rPr>
            <w:t>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_Toc14795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61DCE459">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_Toc578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六、</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_Toc578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49A75151">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_Toc2346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七、</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般公共预算财政拨款支出决算明细表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_Toc2346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D79F7B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_Toc32377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八、</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般公共预算财政拨款基本支出决算表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_Toc32377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5A7FD014">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_Toc16299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九、</w:t>
          </w:r>
          <w:r>
            <w:rPr>
              <w:rFonts w:hint="eastAsia" w:ascii="仿宋" w:hAnsi="仿宋" w:eastAsia="仿宋" w:cs="仿宋"/>
              <w:sz w:val="28"/>
              <w:szCs w:val="28"/>
              <w:highlight w:val="none"/>
            </w:rPr>
            <w:t>一</w:t>
          </w:r>
          <w:r>
            <w:rPr>
              <w:rFonts w:hint="eastAsia" w:ascii="仿宋" w:hAnsi="仿宋" w:eastAsia="仿宋" w:cs="仿宋"/>
              <w:bCs w:val="0"/>
              <w:sz w:val="28"/>
              <w:szCs w:val="28"/>
              <w:highlight w:val="none"/>
            </w:rPr>
            <w:t>般公共预算财政拨款项目支出决算表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_Toc16299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C88C820">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_Toc6955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w:t>
          </w:r>
          <w:r>
            <w:rPr>
              <w:rFonts w:hint="eastAsia" w:ascii="仿宋" w:hAnsi="仿宋" w:eastAsia="仿宋" w:cs="仿宋"/>
              <w:sz w:val="28"/>
              <w:szCs w:val="28"/>
              <w:highlight w:val="none"/>
            </w:rPr>
            <w:t>政</w:t>
          </w:r>
          <w:r>
            <w:rPr>
              <w:rFonts w:hint="eastAsia" w:ascii="仿宋" w:hAnsi="仿宋" w:eastAsia="仿宋" w:cs="仿宋"/>
              <w:bCs w:val="0"/>
              <w:sz w:val="28"/>
              <w:szCs w:val="28"/>
              <w:highlight w:val="none"/>
            </w:rPr>
            <w:t>府性基金预算财政拨款收入支出决算表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_Toc6955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15EB58A2">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_Toc25623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十一、</w:t>
          </w:r>
          <w:r>
            <w:rPr>
              <w:rFonts w:hint="eastAsia" w:ascii="仿宋" w:hAnsi="仿宋" w:eastAsia="仿宋" w:cs="仿宋"/>
              <w:sz w:val="28"/>
              <w:szCs w:val="28"/>
              <w:highlight w:val="none"/>
            </w:rPr>
            <w:t>国</w:t>
          </w:r>
          <w:r>
            <w:rPr>
              <w:rFonts w:hint="eastAsia" w:ascii="仿宋" w:hAnsi="仿宋" w:eastAsia="仿宋" w:cs="仿宋"/>
              <w:bCs w:val="0"/>
              <w:sz w:val="28"/>
              <w:szCs w:val="28"/>
              <w:highlight w:val="none"/>
            </w:rPr>
            <w:t>有资本经营预算</w:t>
          </w:r>
          <w:r>
            <w:rPr>
              <w:rFonts w:hint="eastAsia" w:ascii="仿宋" w:hAnsi="仿宋" w:eastAsia="仿宋" w:cs="仿宋"/>
              <w:bCs w:val="0"/>
              <w:sz w:val="28"/>
              <w:szCs w:val="28"/>
              <w:highlight w:val="none"/>
              <w:lang w:eastAsia="zh-CN"/>
            </w:rPr>
            <w:t>财政拨款收入</w:t>
          </w:r>
          <w:r>
            <w:rPr>
              <w:rFonts w:hint="eastAsia" w:ascii="仿宋" w:hAnsi="仿宋" w:eastAsia="仿宋" w:cs="仿宋"/>
              <w:bCs w:val="0"/>
              <w:sz w:val="28"/>
              <w:szCs w:val="28"/>
              <w:highlight w:val="none"/>
            </w:rPr>
            <w:t>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_Toc25623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0BDD20D3">
          <w:pPr>
            <w:pStyle w:val="19"/>
            <w:tabs>
              <w:tab w:val="right" w:leader="dot" w:pos="8306"/>
            </w:tabs>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_Toc3324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十二、</w:t>
          </w:r>
          <w:r>
            <w:rPr>
              <w:rFonts w:hint="eastAsia" w:ascii="仿宋" w:hAnsi="仿宋" w:eastAsia="仿宋" w:cs="仿宋"/>
              <w:bCs w:val="0"/>
              <w:sz w:val="28"/>
              <w:szCs w:val="28"/>
              <w:highlight w:val="none"/>
              <w:lang w:eastAsia="zh-CN"/>
            </w:rPr>
            <w:t>国有资本经营预算财政拨款支出决算表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_Toc3324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p>
        <w:p w14:paraId="3A240F2F">
          <w:pPr>
            <w:pStyle w:val="19"/>
            <w:tabs>
              <w:tab w:val="right" w:leader="dot" w:pos="8306"/>
            </w:tabs>
            <w:rPr>
              <w:b/>
            </w:rPr>
            <w:sectPr>
              <w:footerReference r:id="rId4" w:type="first"/>
              <w:footerReference r:id="rId3" w:type="default"/>
              <w:pgSz w:w="11906" w:h="16838"/>
              <w:pgMar w:top="1440" w:right="1800" w:bottom="1440" w:left="1800" w:header="851" w:footer="992" w:gutter="0"/>
              <w:pgNumType w:fmt="numberInDash" w:start="1"/>
              <w:cols w:space="425" w:num="1"/>
              <w:titlePg/>
              <w:docGrid w:type="lines" w:linePitch="312" w:charSpace="0"/>
            </w:sect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\l _Toc1409 </w:instrText>
          </w:r>
          <w:r>
            <w:rPr>
              <w:rFonts w:hint="eastAsia" w:ascii="仿宋" w:hAnsi="仿宋" w:eastAsia="仿宋" w:cs="仿宋"/>
              <w:sz w:val="28"/>
              <w:szCs w:val="28"/>
            </w:rPr>
            <w:fldChar w:fldCharType="separate"/>
          </w:r>
          <w:r>
            <w:rPr>
              <w:rFonts w:hint="eastAsia" w:ascii="仿宋" w:hAnsi="仿宋" w:eastAsia="仿宋" w:cs="仿宋"/>
              <w:bCs w:val="0"/>
              <w:sz w:val="28"/>
              <w:szCs w:val="28"/>
              <w:highlight w:val="none"/>
            </w:rPr>
            <w:t>十三、</w:t>
          </w:r>
          <w:r>
            <w:rPr>
              <w:rFonts w:hint="eastAsia" w:ascii="仿宋" w:hAnsi="仿宋" w:eastAsia="仿宋" w:cs="仿宋"/>
              <w:bCs w:val="0"/>
              <w:sz w:val="28"/>
              <w:szCs w:val="28"/>
              <w:highlight w:val="none"/>
              <w:lang w:eastAsia="zh-CN"/>
            </w:rPr>
            <w:t>财政拨款“三公”经费支出决算表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_Toc1409 \h </w:instrText>
          </w:r>
          <w:r>
            <w:rPr>
              <w:rFonts w:hint="eastAsia" w:ascii="仿宋" w:hAnsi="仿宋" w:eastAsia="仿宋" w:cs="仿宋"/>
              <w:sz w:val="28"/>
              <w:szCs w:val="28"/>
            </w:rPr>
            <w:fldChar w:fldCharType="separate"/>
          </w:r>
          <w:r>
            <w:rPr>
              <w:rFonts w:hint="eastAsia" w:ascii="仿宋" w:hAnsi="仿宋" w:eastAsia="仿宋" w:cs="仿宋"/>
              <w:sz w:val="28"/>
              <w:szCs w:val="28"/>
            </w:rPr>
            <w:t>- 17 -</w:t>
          </w:r>
          <w:r>
            <w:rPr>
              <w:rFonts w:hint="eastAsia" w:ascii="仿宋" w:hAnsi="仿宋" w:eastAsia="仿宋" w:cs="仿宋"/>
              <w:sz w:val="28"/>
              <w:szCs w:val="28"/>
            </w:rPr>
            <w:fldChar w:fldCharType="end"/>
          </w:r>
          <w:r>
            <w:rPr>
              <w:rFonts w:hint="eastAsia" w:ascii="仿宋" w:hAnsi="仿宋" w:eastAsia="仿宋" w:cs="仿宋"/>
              <w:sz w:val="28"/>
              <w:szCs w:val="28"/>
            </w:rPr>
            <w:fldChar w:fldCharType="end"/>
          </w:r>
          <w:r>
            <w:rPr>
              <w:rFonts w:hint="eastAsia" w:ascii="仿宋" w:hAnsi="仿宋" w:eastAsia="仿宋" w:cs="仿宋"/>
              <w:b/>
              <w:sz w:val="28"/>
              <w:szCs w:val="28"/>
            </w:rPr>
            <w:fldChar w:fldCharType="end"/>
          </w:r>
        </w:p>
      </w:sdtContent>
    </w:sdt>
    <w:p w14:paraId="059256CB">
      <w:pPr>
        <w:pStyle w:val="3"/>
        <w:jc w:val="center"/>
        <w:rPr>
          <w:rStyle w:val="14"/>
          <w:rFonts w:ascii="黑体" w:hAnsi="黑体" w:eastAsia="黑体"/>
          <w:b/>
          <w:bCs w:val="0"/>
          <w:color w:val="auto"/>
          <w:highlight w:val="none"/>
        </w:rPr>
      </w:pPr>
      <w:bookmarkStart w:id="0" w:name="_Toc6733"/>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4"/>
          <w:rFonts w:hint="eastAsia" w:ascii="黑体" w:hAnsi="黑体" w:eastAsia="黑体"/>
          <w:b w:val="0"/>
          <w:bCs w:val="0"/>
          <w:color w:val="auto"/>
          <w:highlight w:val="none"/>
        </w:rPr>
        <w:t>概况</w:t>
      </w:r>
      <w:bookmarkEnd w:id="0"/>
    </w:p>
    <w:p w14:paraId="31CC789C">
      <w:pPr>
        <w:widowControl/>
        <w:jc w:val="left"/>
        <w:rPr>
          <w:rFonts w:ascii="黑体" w:eastAsia="黑体"/>
          <w:color w:val="auto"/>
          <w:sz w:val="32"/>
          <w:szCs w:val="32"/>
          <w:highlight w:val="none"/>
        </w:rPr>
      </w:pPr>
    </w:p>
    <w:p w14:paraId="7C5B019A">
      <w:pPr>
        <w:pStyle w:val="4"/>
        <w:numPr>
          <w:ilvl w:val="0"/>
          <w:numId w:val="1"/>
        </w:numPr>
        <w:rPr>
          <w:rStyle w:val="15"/>
          <w:rFonts w:hint="eastAsia" w:ascii="黑体" w:hAnsi="黑体" w:eastAsia="黑体"/>
          <w:b w:val="0"/>
          <w:bCs w:val="0"/>
          <w:color w:val="auto"/>
          <w:highlight w:val="none"/>
          <w:lang w:eastAsia="zh-CN"/>
        </w:rPr>
      </w:pPr>
      <w:bookmarkStart w:id="1" w:name="_Toc13179"/>
      <w:r>
        <w:rPr>
          <w:rStyle w:val="15"/>
          <w:rFonts w:hint="eastAsia" w:ascii="黑体" w:hAnsi="黑体" w:eastAsia="黑体"/>
          <w:b w:val="0"/>
          <w:bCs w:val="0"/>
          <w:color w:val="auto"/>
          <w:highlight w:val="none"/>
          <w:lang w:eastAsia="zh-CN"/>
        </w:rPr>
        <w:t>主要职责</w:t>
      </w:r>
      <w:bookmarkEnd w:id="1"/>
    </w:p>
    <w:p w14:paraId="63658D11">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根据阿坝州编委阿编发[1994]02号文批准成立阿坝州公路管理局，其性质为事业性的生产单位和具有一定行政管理职能的经济技术实体；主要职能职责是：在州交通局的领导下，管理全州国省干线公路，统筹国、省干线公路养护管理，按照上级下达的经费和要求，编制年度实施计划；组织实施公路遭受自然灾害的抢修恢复；指导各公路管理分局的养护管理工作；完成州交通局交办的其他任务</w:t>
      </w:r>
      <w:r>
        <w:rPr>
          <w:rFonts w:hint="eastAsia" w:ascii="仿宋" w:hAnsi="仿宋" w:eastAsia="仿宋"/>
          <w:color w:val="auto"/>
          <w:sz w:val="32"/>
          <w:szCs w:val="32"/>
          <w:highlight w:val="none"/>
          <w:lang w:eastAsia="zh-CN"/>
        </w:rPr>
        <w:t>。</w:t>
      </w:r>
    </w:p>
    <w:p w14:paraId="26819CC5">
      <w:pPr>
        <w:pStyle w:val="4"/>
        <w:numPr>
          <w:ilvl w:val="0"/>
          <w:numId w:val="0"/>
        </w:numPr>
        <w:rPr>
          <w:rFonts w:hint="eastAsia" w:ascii="黑体" w:hAnsi="黑体" w:eastAsia="黑体"/>
          <w:b w:val="0"/>
          <w:color w:val="auto"/>
          <w:highlight w:val="none"/>
          <w:lang w:val="en-US" w:eastAsia="zh-CN"/>
        </w:rPr>
      </w:pPr>
      <w:bookmarkStart w:id="2" w:name="_Toc6669"/>
      <w:r>
        <w:rPr>
          <w:rFonts w:hint="eastAsia" w:ascii="黑体" w:hAnsi="黑体" w:eastAsia="黑体"/>
          <w:b w:val="0"/>
          <w:color w:val="auto"/>
          <w:highlight w:val="none"/>
          <w:lang w:val="en-US" w:eastAsia="zh-CN"/>
        </w:rPr>
        <w:t>二、机构设置</w:t>
      </w:r>
      <w:bookmarkEnd w:id="2"/>
    </w:p>
    <w:p w14:paraId="74D47A24">
      <w:pP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eastAsia="zh-CN"/>
        </w:rPr>
        <w:t>下设党委办公室、行政办公室、工会办公室、总工办公室、政工科、劳动人事科、监察审计科、工程科、财务科、机料科、安全保卫科等11个科室。</w:t>
      </w:r>
    </w:p>
    <w:p w14:paraId="44D09A12">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14:paraId="1AE115E4">
      <w:pPr>
        <w:pStyle w:val="3"/>
        <w:ind w:right="440"/>
        <w:jc w:val="center"/>
        <w:rPr>
          <w:rStyle w:val="14"/>
          <w:rFonts w:ascii="黑体" w:hAnsi="黑体" w:eastAsia="黑体"/>
          <w:b w:val="0"/>
          <w:bCs/>
          <w:color w:val="auto"/>
          <w:highlight w:val="none"/>
        </w:rPr>
      </w:pPr>
      <w:bookmarkStart w:id="3" w:name="_Toc18361"/>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2023年度</w:t>
      </w:r>
      <w:r>
        <w:rPr>
          <w:rStyle w:val="14"/>
          <w:rFonts w:hint="eastAsia" w:ascii="黑体" w:hAnsi="黑体" w:eastAsia="黑体"/>
          <w:b w:val="0"/>
          <w:bCs/>
          <w:color w:val="auto"/>
          <w:highlight w:val="none"/>
          <w:lang w:eastAsia="zh-CN"/>
        </w:rPr>
        <w:t>单位</w:t>
      </w:r>
      <w:r>
        <w:rPr>
          <w:rStyle w:val="14"/>
          <w:rFonts w:hint="eastAsia" w:ascii="黑体" w:hAnsi="黑体" w:eastAsia="黑体"/>
          <w:b w:val="0"/>
          <w:bCs/>
          <w:color w:val="auto"/>
          <w:highlight w:val="none"/>
        </w:rPr>
        <w:t>决算情况说明</w:t>
      </w:r>
      <w:bookmarkEnd w:id="3"/>
    </w:p>
    <w:p w14:paraId="0B1D1715">
      <w:pPr>
        <w:rPr>
          <w:color w:val="auto"/>
          <w:highlight w:val="none"/>
        </w:rPr>
      </w:pPr>
    </w:p>
    <w:p w14:paraId="656F69FF">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4" w:name="_Toc29567"/>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入支出决算总体情况说明</w:t>
      </w:r>
      <w:bookmarkEnd w:id="4"/>
    </w:p>
    <w:p w14:paraId="40A109AF">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eastAsia="zh-CN"/>
        </w:rPr>
        <w:t>均为39,270.19</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相比，收、支总计各增加7,412.15万元，增长23.</w:t>
      </w:r>
      <w:r>
        <w:rPr>
          <w:rFonts w:hint="eastAsia" w:ascii="仿宋" w:hAnsi="仿宋" w:eastAsia="仿宋"/>
          <w:color w:val="auto"/>
          <w:sz w:val="32"/>
          <w:szCs w:val="32"/>
          <w:highlight w:val="none"/>
          <w:lang w:val="en-US" w:eastAsia="zh-CN"/>
        </w:rPr>
        <w:t>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2022年度本单位</w:t>
      </w:r>
      <w:r>
        <w:rPr>
          <w:rFonts w:hint="eastAsia" w:ascii="仿宋" w:hAnsi="仿宋" w:eastAsia="仿宋"/>
          <w:color w:val="auto"/>
          <w:sz w:val="32"/>
          <w:szCs w:val="32"/>
          <w:highlight w:val="none"/>
        </w:rPr>
        <w:t>启用新的财务系统，除州本级人员经费外，还代各局属单位发放了人员经费，包括人员工资、各类保险和退休人员补助等资金</w:t>
      </w:r>
      <w:r>
        <w:rPr>
          <w:rFonts w:hint="eastAsia" w:ascii="仿宋" w:hAnsi="仿宋" w:eastAsia="仿宋"/>
          <w:color w:val="auto"/>
          <w:sz w:val="32"/>
          <w:szCs w:val="32"/>
          <w:highlight w:val="none"/>
          <w:lang w:eastAsia="zh-CN"/>
        </w:rPr>
        <w:t>。</w:t>
      </w:r>
    </w:p>
    <w:p w14:paraId="2ABF25B7">
      <w:pPr>
        <w:pStyle w:val="9"/>
        <w:rPr>
          <w:rFonts w:hint="eastAsia"/>
          <w:lang w:eastAsia="zh-CN"/>
        </w:rPr>
      </w:pPr>
      <w:r>
        <w:rPr>
          <w:rFonts w:hint="eastAsia"/>
          <w:lang w:eastAsia="zh-CN"/>
        </w:rPr>
        <w:drawing>
          <wp:inline distT="0" distB="0" distL="114300" distR="114300">
            <wp:extent cx="5256530" cy="2988310"/>
            <wp:effectExtent l="5080" t="4445" r="8890" b="762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B5B6A49">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14:paraId="0BD35A1F">
      <w:pPr>
        <w:spacing w:line="600" w:lineRule="exact"/>
        <w:ind w:firstLine="640" w:firstLineChars="200"/>
        <w:jc w:val="left"/>
        <w:rPr>
          <w:rFonts w:ascii="仿宋_GB2312" w:eastAsia="仿宋_GB2312"/>
          <w:color w:val="auto"/>
          <w:sz w:val="32"/>
          <w:szCs w:val="32"/>
          <w:highlight w:val="none"/>
        </w:rPr>
      </w:pPr>
    </w:p>
    <w:p w14:paraId="6ADB4E1F">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5" w:name="_Toc1788"/>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5"/>
          <w:rFonts w:hint="eastAsia" w:ascii="黑体" w:hAnsi="黑体" w:eastAsia="黑体"/>
          <w:b w:val="0"/>
          <w:color w:val="auto"/>
          <w:highlight w:val="none"/>
        </w:rPr>
        <w:t>入决算情况说明</w:t>
      </w:r>
      <w:bookmarkEnd w:id="5"/>
    </w:p>
    <w:p w14:paraId="3C594FF5">
      <w:pPr>
        <w:spacing w:line="600" w:lineRule="exact"/>
        <w:ind w:firstLine="640" w:firstLineChars="200"/>
        <w:outlineLvl w:val="1"/>
        <w:rPr>
          <w:rFonts w:ascii="仿宋" w:hAnsi="仿宋" w:eastAsia="仿宋"/>
          <w:color w:val="auto"/>
          <w:sz w:val="32"/>
          <w:szCs w:val="32"/>
          <w:highlight w:val="none"/>
        </w:rPr>
      </w:pPr>
      <w:bookmarkStart w:id="6" w:name="_Toc10379"/>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本年收入合计39,270.19万元，其中：一般公共预算财政拨款收入39,270.19万元，占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6"/>
    </w:p>
    <w:p w14:paraId="1DAFFB43">
      <w:pPr>
        <w:spacing w:line="240" w:lineRule="auto"/>
        <w:ind w:firstLine="0" w:firstLineChars="0"/>
        <w:outlineLvl w:val="9"/>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7FAB128A">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（图2：收入决算结构图）</w:t>
      </w:r>
    </w:p>
    <w:p w14:paraId="4D86C27F">
      <w:pPr>
        <w:spacing w:line="600" w:lineRule="exact"/>
        <w:ind w:firstLine="640" w:firstLineChars="200"/>
        <w:rPr>
          <w:rFonts w:ascii="仿宋_GB2312" w:eastAsia="仿宋_GB2312"/>
          <w:color w:val="auto"/>
          <w:sz w:val="32"/>
          <w:szCs w:val="32"/>
          <w:highlight w:val="none"/>
        </w:rPr>
      </w:pPr>
    </w:p>
    <w:p w14:paraId="36AB78F7">
      <w:pPr>
        <w:pStyle w:val="16"/>
        <w:numPr>
          <w:ilvl w:val="0"/>
          <w:numId w:val="0"/>
        </w:numPr>
        <w:spacing w:line="600" w:lineRule="exact"/>
        <w:ind w:left="640" w:leftChars="0"/>
        <w:outlineLvl w:val="1"/>
        <w:rPr>
          <w:rStyle w:val="15"/>
          <w:rFonts w:ascii="黑体" w:hAnsi="黑体" w:eastAsia="黑体"/>
          <w:b w:val="0"/>
          <w:color w:val="auto"/>
          <w:highlight w:val="none"/>
        </w:rPr>
      </w:pPr>
      <w:bookmarkStart w:id="7" w:name="_Toc3703"/>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5"/>
          <w:rFonts w:hint="eastAsia" w:ascii="黑体" w:hAnsi="黑体" w:eastAsia="黑体"/>
          <w:b w:val="0"/>
          <w:color w:val="auto"/>
          <w:highlight w:val="none"/>
        </w:rPr>
        <w:t>出决算情况说明</w:t>
      </w:r>
      <w:bookmarkEnd w:id="7"/>
    </w:p>
    <w:p w14:paraId="7E1F925D">
      <w:pPr>
        <w:spacing w:line="600" w:lineRule="exact"/>
        <w:ind w:firstLine="640" w:firstLineChars="200"/>
        <w:outlineLvl w:val="1"/>
        <w:rPr>
          <w:rFonts w:ascii="仿宋" w:hAnsi="仿宋" w:eastAsia="仿宋"/>
          <w:color w:val="auto"/>
          <w:sz w:val="32"/>
          <w:szCs w:val="32"/>
          <w:highlight w:val="none"/>
        </w:rPr>
      </w:pPr>
      <w:bookmarkStart w:id="8" w:name="_Toc8412"/>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本年支出合计39,270.19万元，其中：基本支出2,289.19万元，占</w:t>
      </w:r>
      <w:r>
        <w:rPr>
          <w:rFonts w:hint="eastAsia" w:ascii="仿宋" w:hAnsi="仿宋" w:eastAsia="仿宋"/>
          <w:color w:val="auto"/>
          <w:sz w:val="32"/>
          <w:szCs w:val="32"/>
          <w:highlight w:val="none"/>
          <w:lang w:val="en-US" w:eastAsia="zh-CN"/>
        </w:rPr>
        <w:t>5.8</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；项目支出36,981万元，占</w:t>
      </w:r>
      <w:r>
        <w:rPr>
          <w:rFonts w:hint="eastAsia" w:ascii="仿宋" w:hAnsi="仿宋" w:eastAsia="仿宋"/>
          <w:color w:val="auto"/>
          <w:sz w:val="32"/>
          <w:szCs w:val="32"/>
          <w:highlight w:val="none"/>
          <w:lang w:val="en-US" w:eastAsia="zh-CN"/>
        </w:rPr>
        <w:t>94.2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8"/>
    </w:p>
    <w:p w14:paraId="5E444EE0">
      <w:pPr>
        <w:spacing w:line="240" w:lineRule="auto"/>
        <w:ind w:firstLine="0"/>
        <w:rPr>
          <w:rFonts w:ascii="仿宋" w:hAnsi="仿宋" w:eastAsia="仿宋"/>
          <w:color w:val="auto"/>
          <w:sz w:val="32"/>
          <w:szCs w:val="32"/>
          <w:highlight w:val="none"/>
          <w:shd w:val="pct10" w:color="auto" w:fill="FFFFFF"/>
        </w:rPr>
      </w:pPr>
      <w:r>
        <w:rPr>
          <w:rFonts w:hint="eastAsia" w:ascii="仿宋" w:hAnsi="仿宋" w:eastAsia="仿宋"/>
          <w:color w:val="auto"/>
          <w:sz w:val="32"/>
          <w:szCs w:val="32"/>
          <w:highlight w:val="none"/>
          <w:shd w:val="pct10" w:color="auto" w:fill="FFFFFF"/>
          <w:lang w:eastAsia="zh-CN"/>
        </w:rPr>
        <w:drawing>
          <wp:inline distT="0" distB="0" distL="114300" distR="114300">
            <wp:extent cx="5256530" cy="2988310"/>
            <wp:effectExtent l="5080" t="4445" r="8890" b="762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D41E5DC">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（图3：支出决算结构图）</w:t>
      </w:r>
    </w:p>
    <w:p w14:paraId="0ECDE606">
      <w:pPr>
        <w:spacing w:line="600" w:lineRule="exact"/>
        <w:ind w:firstLine="640" w:firstLineChars="200"/>
        <w:rPr>
          <w:rFonts w:ascii="仿宋_GB2312" w:eastAsia="仿宋_GB2312"/>
          <w:color w:val="auto"/>
          <w:sz w:val="32"/>
          <w:szCs w:val="32"/>
          <w:highlight w:val="none"/>
        </w:rPr>
      </w:pPr>
    </w:p>
    <w:p w14:paraId="1761D8AB">
      <w:pPr>
        <w:spacing w:line="600" w:lineRule="exact"/>
        <w:ind w:firstLine="640" w:firstLineChars="200"/>
        <w:outlineLvl w:val="1"/>
        <w:rPr>
          <w:rStyle w:val="15"/>
          <w:rFonts w:ascii="黑体" w:hAnsi="黑体" w:eastAsia="黑体"/>
          <w:b w:val="0"/>
          <w:color w:val="auto"/>
          <w:highlight w:val="none"/>
        </w:rPr>
      </w:pPr>
      <w:bookmarkStart w:id="9" w:name="_Toc29031"/>
      <w:r>
        <w:rPr>
          <w:rFonts w:hint="eastAsia" w:ascii="黑体" w:hAnsi="黑体" w:eastAsia="黑体"/>
          <w:color w:val="auto"/>
          <w:sz w:val="32"/>
          <w:szCs w:val="32"/>
          <w:highlight w:val="none"/>
        </w:rPr>
        <w:t>四、财</w:t>
      </w:r>
      <w:r>
        <w:rPr>
          <w:rStyle w:val="15"/>
          <w:rFonts w:hint="eastAsia" w:ascii="黑体" w:hAnsi="黑体" w:eastAsia="黑体"/>
          <w:b w:val="0"/>
          <w:color w:val="auto"/>
          <w:highlight w:val="none"/>
        </w:rPr>
        <w:t>政拨款收入支出决算总体情况说明</w:t>
      </w:r>
      <w:bookmarkEnd w:id="9"/>
    </w:p>
    <w:p w14:paraId="7ECFA2BA">
      <w:pPr>
        <w:spacing w:line="600" w:lineRule="exact"/>
        <w:ind w:firstLine="64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财政拨款收、支总计</w:t>
      </w:r>
      <w:r>
        <w:rPr>
          <w:rFonts w:hint="eastAsia" w:ascii="仿宋" w:hAnsi="仿宋" w:eastAsia="仿宋"/>
          <w:color w:val="auto"/>
          <w:sz w:val="32"/>
          <w:szCs w:val="32"/>
          <w:highlight w:val="none"/>
          <w:lang w:eastAsia="zh-CN"/>
        </w:rPr>
        <w:t>均为39,270.19</w:t>
      </w:r>
      <w:r>
        <w:rPr>
          <w:rFonts w:hint="eastAsia" w:ascii="仿宋" w:hAnsi="仿宋" w:eastAsia="仿宋"/>
          <w:color w:val="auto"/>
          <w:sz w:val="32"/>
          <w:szCs w:val="32"/>
          <w:highlight w:val="none"/>
        </w:rPr>
        <w:t>万元。与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相比，财政拨款收、支总计各增加7,412.15万元，增长23.</w:t>
      </w:r>
      <w:r>
        <w:rPr>
          <w:rFonts w:hint="eastAsia" w:ascii="仿宋" w:hAnsi="仿宋" w:eastAsia="仿宋"/>
          <w:color w:val="auto"/>
          <w:sz w:val="32"/>
          <w:szCs w:val="32"/>
          <w:highlight w:val="none"/>
          <w:lang w:val="en-US" w:eastAsia="zh-CN"/>
        </w:rPr>
        <w:t>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2022年度</w:t>
      </w:r>
      <w:bookmarkStart w:id="34" w:name="_GoBack"/>
      <w:bookmarkEnd w:id="34"/>
      <w:r>
        <w:rPr>
          <w:rFonts w:hint="eastAsia" w:ascii="仿宋" w:hAnsi="仿宋" w:eastAsia="仿宋"/>
          <w:color w:val="auto"/>
          <w:sz w:val="32"/>
          <w:szCs w:val="32"/>
          <w:highlight w:val="none"/>
          <w:lang w:val="en-US" w:eastAsia="zh-CN"/>
        </w:rPr>
        <w:t>本单位</w:t>
      </w:r>
      <w:r>
        <w:rPr>
          <w:rFonts w:hint="eastAsia" w:ascii="仿宋" w:hAnsi="仿宋" w:eastAsia="仿宋"/>
          <w:color w:val="auto"/>
          <w:sz w:val="32"/>
          <w:szCs w:val="32"/>
          <w:highlight w:val="none"/>
        </w:rPr>
        <w:t>启用新的财务系统，除州本级人员经费外，还代各局属单位发放了人员经费，包括人员工资、各类保险和退休人员补助等资金</w:t>
      </w:r>
      <w:r>
        <w:rPr>
          <w:rFonts w:hint="eastAsia" w:ascii="仿宋" w:hAnsi="仿宋" w:eastAsia="仿宋"/>
          <w:color w:val="auto"/>
          <w:sz w:val="32"/>
          <w:szCs w:val="32"/>
          <w:highlight w:val="none"/>
          <w:lang w:eastAsia="zh-CN"/>
        </w:rPr>
        <w:t>。</w:t>
      </w:r>
    </w:p>
    <w:p w14:paraId="55391412">
      <w:pPr>
        <w:spacing w:line="240" w:lineRule="auto"/>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21B5311">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w:t>
      </w:r>
    </w:p>
    <w:p w14:paraId="0BF3F4DA">
      <w:pPr>
        <w:spacing w:line="600" w:lineRule="exact"/>
        <w:ind w:firstLine="640"/>
        <w:rPr>
          <w:rFonts w:ascii="仿宋" w:hAnsi="仿宋" w:eastAsia="仿宋"/>
          <w:b/>
          <w:color w:val="auto"/>
          <w:sz w:val="32"/>
          <w:szCs w:val="32"/>
          <w:highlight w:val="none"/>
        </w:rPr>
      </w:pPr>
    </w:p>
    <w:p w14:paraId="0C5A3028">
      <w:pPr>
        <w:spacing w:line="600" w:lineRule="exact"/>
        <w:ind w:firstLine="640" w:firstLineChars="200"/>
        <w:outlineLvl w:val="1"/>
        <w:rPr>
          <w:rStyle w:val="15"/>
          <w:rFonts w:ascii="黑体" w:hAnsi="黑体" w:eastAsia="黑体"/>
          <w:b w:val="0"/>
          <w:color w:val="auto"/>
          <w:highlight w:val="none"/>
        </w:rPr>
      </w:pPr>
      <w:bookmarkStart w:id="10" w:name="_Toc11271"/>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般公共预算财政拨款支出决算情况说明</w:t>
      </w:r>
      <w:bookmarkEnd w:id="10"/>
    </w:p>
    <w:p w14:paraId="33CAD207">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（一）一般公共预算财政拨款支出决算总体情况</w:t>
      </w:r>
    </w:p>
    <w:p w14:paraId="6B4DD10F">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eastAsia="zh-CN"/>
        </w:rPr>
        <w:t>39,270.19</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hint="eastAsia" w:ascii="仿宋" w:hAnsi="仿宋" w:eastAsia="仿宋"/>
          <w:color w:val="auto"/>
          <w:sz w:val="32"/>
          <w:szCs w:val="32"/>
          <w:highlight w:val="none"/>
          <w:lang w:eastAsia="zh-CN"/>
        </w:rPr>
        <w:t>2022</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增加7,412.15万元，增长23.</w:t>
      </w:r>
      <w:r>
        <w:rPr>
          <w:rFonts w:hint="eastAsia" w:ascii="仿宋" w:hAnsi="仿宋" w:eastAsia="仿宋"/>
          <w:color w:val="auto"/>
          <w:sz w:val="32"/>
          <w:szCs w:val="32"/>
          <w:highlight w:val="none"/>
          <w:lang w:val="en-US" w:eastAsia="zh-CN"/>
        </w:rPr>
        <w:t>3</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2022年本单位</w:t>
      </w:r>
      <w:r>
        <w:rPr>
          <w:rFonts w:hint="eastAsia" w:ascii="仿宋" w:hAnsi="仿宋" w:eastAsia="仿宋"/>
          <w:color w:val="auto"/>
          <w:sz w:val="32"/>
          <w:szCs w:val="32"/>
          <w:highlight w:val="none"/>
        </w:rPr>
        <w:t>启用新的财务系统，除州本级人员经费外，还代各局属单位发放了人员经费，包括人员工资、各类保险和退休人员补助等资金</w:t>
      </w:r>
      <w:r>
        <w:rPr>
          <w:rFonts w:hint="eastAsia" w:ascii="仿宋" w:hAnsi="仿宋" w:eastAsia="仿宋"/>
          <w:color w:val="auto"/>
          <w:sz w:val="32"/>
          <w:szCs w:val="32"/>
          <w:highlight w:val="none"/>
          <w:lang w:eastAsia="zh-CN"/>
        </w:rPr>
        <w:t>。</w:t>
      </w:r>
    </w:p>
    <w:p w14:paraId="77050058">
      <w:pPr>
        <w:spacing w:line="240" w:lineRule="auto"/>
        <w:ind w:firstLine="0" w:firstLineChars="0"/>
        <w:rPr>
          <w:rFonts w:ascii="仿宋" w:hAnsi="仿宋" w:eastAsia="仿宋"/>
          <w:color w:val="auto"/>
          <w:sz w:val="32"/>
          <w:szCs w:val="32"/>
          <w:highlight w:val="none"/>
        </w:rPr>
      </w:pPr>
      <w:r>
        <w:rPr>
          <w:rFonts w:hint="eastAsia"/>
          <w:lang w:eastAsia="zh-CN"/>
        </w:rPr>
        <w:drawing>
          <wp:inline distT="0" distB="0" distL="114300" distR="114300">
            <wp:extent cx="5256530" cy="2988310"/>
            <wp:effectExtent l="5080" t="4445" r="8890" b="762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0A60BA9">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14:paraId="40D7509A">
      <w:pPr>
        <w:spacing w:line="600" w:lineRule="exact"/>
        <w:ind w:firstLine="640" w:firstLineChars="200"/>
        <w:rPr>
          <w:rFonts w:ascii="仿宋" w:hAnsi="仿宋" w:eastAsia="仿宋"/>
          <w:color w:val="auto"/>
          <w:sz w:val="32"/>
          <w:szCs w:val="32"/>
          <w:highlight w:val="none"/>
        </w:rPr>
      </w:pPr>
    </w:p>
    <w:p w14:paraId="7F82BDDB">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（二）一般公共预算财政拨款支出决算结构情况</w:t>
      </w:r>
    </w:p>
    <w:p w14:paraId="4DF17E5F">
      <w:pPr>
        <w:spacing w:line="600" w:lineRule="exact"/>
        <w:ind w:firstLine="640"/>
        <w:rPr>
          <w:rFonts w:hint="eastAsia" w:ascii="仿宋" w:hAnsi="仿宋" w:eastAsia="仿宋"/>
          <w:b/>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一般公共预算财政拨款支出</w:t>
      </w:r>
      <w:r>
        <w:rPr>
          <w:rFonts w:hint="eastAsia" w:ascii="仿宋" w:hAnsi="仿宋" w:eastAsia="仿宋"/>
          <w:color w:val="auto"/>
          <w:sz w:val="32"/>
          <w:szCs w:val="32"/>
          <w:highlight w:val="none"/>
          <w:lang w:eastAsia="zh-CN"/>
        </w:rPr>
        <w:t>39,270.19</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社会保障和就业支出235.99</w:t>
      </w:r>
      <w:r>
        <w:rPr>
          <w:rFonts w:hint="eastAsia" w:ascii="仿宋" w:hAnsi="仿宋" w:eastAsia="仿宋"/>
          <w:color w:val="auto"/>
          <w:sz w:val="32"/>
          <w:szCs w:val="32"/>
          <w:highlight w:val="none"/>
        </w:rPr>
        <w:t>万元，占 0.6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卫生健康支出100.49</w:t>
      </w:r>
      <w:r>
        <w:rPr>
          <w:rFonts w:hint="eastAsia" w:ascii="仿宋" w:hAnsi="仿宋" w:eastAsia="仿宋"/>
          <w:color w:val="auto"/>
          <w:sz w:val="32"/>
          <w:szCs w:val="32"/>
          <w:highlight w:val="none"/>
        </w:rPr>
        <w:t>万元，占0.</w:t>
      </w:r>
      <w:r>
        <w:rPr>
          <w:rFonts w:hint="eastAsia" w:ascii="仿宋" w:hAnsi="仿宋" w:eastAsia="仿宋"/>
          <w:color w:val="auto"/>
          <w:sz w:val="32"/>
          <w:szCs w:val="32"/>
          <w:highlight w:val="none"/>
          <w:lang w:val="en-US" w:eastAsia="zh-CN"/>
        </w:rPr>
        <w:t>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交通运输支出38,809.08</w:t>
      </w:r>
      <w:r>
        <w:rPr>
          <w:rFonts w:hint="eastAsia" w:ascii="仿宋" w:hAnsi="仿宋" w:eastAsia="仿宋"/>
          <w:color w:val="auto"/>
          <w:sz w:val="32"/>
          <w:szCs w:val="32"/>
          <w:highlight w:val="none"/>
        </w:rPr>
        <w:t>万元，占98.8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住房保障支出124.63</w:t>
      </w:r>
      <w:r>
        <w:rPr>
          <w:rFonts w:hint="eastAsia" w:ascii="仿宋" w:hAnsi="仿宋" w:eastAsia="仿宋"/>
          <w:color w:val="auto"/>
          <w:sz w:val="32"/>
          <w:szCs w:val="32"/>
          <w:highlight w:val="none"/>
        </w:rPr>
        <w:t>万元，占0.3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14:paraId="304BF11A">
      <w:pPr>
        <w:spacing w:line="240" w:lineRule="auto"/>
        <w:ind w:firstLine="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drawing>
          <wp:inline distT="0" distB="0" distL="114300" distR="114300">
            <wp:extent cx="5256530" cy="2988310"/>
            <wp:effectExtent l="5080" t="4445" r="8890" b="762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9D74ECB">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14:paraId="0F01B3CF">
      <w:pPr>
        <w:spacing w:line="600" w:lineRule="exact"/>
        <w:ind w:firstLine="640" w:firstLineChars="200"/>
        <w:rPr>
          <w:rFonts w:ascii="仿宋" w:hAnsi="仿宋" w:eastAsia="仿宋"/>
          <w:color w:val="auto"/>
          <w:sz w:val="32"/>
          <w:szCs w:val="32"/>
          <w:highlight w:val="none"/>
        </w:rPr>
      </w:pPr>
    </w:p>
    <w:p w14:paraId="66966DF2">
      <w:pPr>
        <w:spacing w:line="600" w:lineRule="exact"/>
        <w:ind w:firstLine="643" w:firstLineChars="20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（三）一般公共预算财政拨款支出决算具体情况</w:t>
      </w:r>
    </w:p>
    <w:p w14:paraId="529ADB6C">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lang w:eastAsia="zh-CN"/>
        </w:rPr>
        <w:t>2023</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度一</w:t>
      </w:r>
      <w:r>
        <w:rPr>
          <w:rFonts w:hint="eastAsia" w:ascii="仿宋" w:hAnsi="仿宋" w:eastAsia="仿宋"/>
          <w:b/>
          <w:color w:val="auto"/>
          <w:sz w:val="32"/>
          <w:szCs w:val="32"/>
          <w:highlight w:val="none"/>
        </w:rPr>
        <w:t>般公共预算支出决算数为39,270.19</w:t>
      </w:r>
      <w:r>
        <w:rPr>
          <w:rFonts w:hint="eastAsia" w:ascii="仿宋" w:hAnsi="仿宋" w:eastAsia="仿宋"/>
          <w:b/>
          <w:color w:val="auto"/>
          <w:sz w:val="32"/>
          <w:szCs w:val="32"/>
          <w:highlight w:val="none"/>
          <w:lang w:val="en-US" w:eastAsia="zh-CN"/>
        </w:rPr>
        <w:t>万元</w:t>
      </w:r>
      <w:r>
        <w:rPr>
          <w:rFonts w:hint="eastAsia" w:ascii="仿宋" w:hAnsi="仿宋" w:eastAsia="仿宋"/>
          <w:color w:val="auto"/>
          <w:sz w:val="32"/>
          <w:szCs w:val="32"/>
          <w:highlight w:val="none"/>
        </w:rPr>
        <w:t>，</w:t>
      </w:r>
      <w:r>
        <w:rPr>
          <w:rStyle w:val="13"/>
          <w:rFonts w:hint="eastAsia" w:ascii="仿宋" w:hAnsi="仿宋" w:eastAsia="仿宋"/>
          <w:bCs/>
          <w:color w:val="auto"/>
          <w:sz w:val="32"/>
          <w:szCs w:val="32"/>
          <w:highlight w:val="none"/>
        </w:rPr>
        <w:t>完成预算</w:t>
      </w:r>
      <w:r>
        <w:rPr>
          <w:rStyle w:val="13"/>
          <w:rFonts w:hint="eastAsia" w:ascii="仿宋" w:hAnsi="仿宋" w:eastAsia="仿宋"/>
          <w:bCs/>
          <w:color w:val="auto"/>
          <w:sz w:val="32"/>
          <w:szCs w:val="32"/>
          <w:highlight w:val="none"/>
          <w:lang w:val="en-US" w:eastAsia="zh-CN"/>
        </w:rPr>
        <w:t>100</w:t>
      </w:r>
      <w:r>
        <w:rPr>
          <w:rStyle w:val="13"/>
          <w:rFonts w:ascii="仿宋" w:hAnsi="仿宋" w:eastAsia="仿宋"/>
          <w:bCs/>
          <w:color w:val="auto"/>
          <w:sz w:val="32"/>
          <w:szCs w:val="32"/>
          <w:highlight w:val="none"/>
        </w:rPr>
        <w:t>%</w:t>
      </w:r>
      <w:r>
        <w:rPr>
          <w:rStyle w:val="13"/>
          <w:rFonts w:hint="eastAsia" w:ascii="仿宋" w:hAnsi="仿宋" w:eastAsia="仿宋"/>
          <w:bCs/>
          <w:color w:val="auto"/>
          <w:sz w:val="32"/>
          <w:szCs w:val="32"/>
          <w:highlight w:val="none"/>
        </w:rPr>
        <w:t>。其中：</w:t>
      </w:r>
    </w:p>
    <w:p w14:paraId="70DAE47E">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1.</w:t>
      </w:r>
      <w:r>
        <w:rPr>
          <w:rStyle w:val="13"/>
          <w:rFonts w:hint="eastAsia" w:ascii="仿宋" w:hAnsi="仿宋" w:eastAsia="仿宋"/>
          <w:bCs/>
          <w:color w:val="auto"/>
          <w:sz w:val="32"/>
          <w:szCs w:val="32"/>
          <w:highlight w:val="none"/>
        </w:rPr>
        <w:t>社会保障和就业支出（类）行政事业单位养老支出（款）机关事业单位基本养老保险缴费支出（项）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  157.33万元，完成预算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6D854FDF">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2.</w:t>
      </w:r>
      <w:r>
        <w:rPr>
          <w:rStyle w:val="13"/>
          <w:rFonts w:hint="eastAsia" w:ascii="仿宋" w:hAnsi="仿宋" w:eastAsia="仿宋"/>
          <w:bCs/>
          <w:color w:val="auto"/>
          <w:sz w:val="32"/>
          <w:szCs w:val="32"/>
          <w:highlight w:val="none"/>
        </w:rPr>
        <w:t>社会保障和就业支出（类）行政事业单位养老支出（款）机关事业单位职业年金缴费支出（项）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支出决算为78.66  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656ED11">
      <w:pPr>
        <w:spacing w:line="600" w:lineRule="exact"/>
        <w:ind w:firstLine="643" w:firstLineChars="200"/>
        <w:rPr>
          <w:rFonts w:ascii="仿宋" w:hAnsi="仿宋" w:eastAsia="仿宋"/>
          <w:b/>
          <w:color w:val="auto"/>
          <w:sz w:val="32"/>
          <w:szCs w:val="32"/>
          <w:highlight w:val="none"/>
        </w:rPr>
      </w:pPr>
      <w:r>
        <w:rPr>
          <w:rStyle w:val="13"/>
          <w:rFonts w:ascii="仿宋" w:hAnsi="仿宋" w:eastAsia="仿宋"/>
          <w:bCs/>
          <w:color w:val="auto"/>
          <w:sz w:val="32"/>
          <w:szCs w:val="32"/>
          <w:highlight w:val="none"/>
        </w:rPr>
        <w:t>3.</w:t>
      </w:r>
      <w:r>
        <w:rPr>
          <w:rStyle w:val="13"/>
          <w:rFonts w:hint="eastAsia" w:ascii="仿宋" w:hAnsi="仿宋" w:eastAsia="仿宋"/>
          <w:bCs/>
          <w:color w:val="auto"/>
          <w:sz w:val="32"/>
          <w:szCs w:val="32"/>
          <w:highlight w:val="none"/>
        </w:rPr>
        <w:t>卫生健康支出（类）行政事业单位医疗（款）事业单位医疗（项）</w:t>
      </w:r>
      <w:r>
        <w:rPr>
          <w:rStyle w:val="13"/>
          <w:rFonts w:hint="eastAsia" w:ascii="仿宋" w:hAnsi="仿宋" w:eastAsia="仿宋"/>
          <w:bCs/>
          <w:color w:val="auto"/>
          <w:sz w:val="32"/>
          <w:szCs w:val="32"/>
          <w:highlight w:val="none"/>
          <w:lang w:eastAsia="zh-CN"/>
        </w:rPr>
        <w:t>：</w:t>
      </w:r>
      <w:r>
        <w:rPr>
          <w:rStyle w:val="13"/>
          <w:rFonts w:ascii="仿宋" w:hAnsi="仿宋" w:eastAsia="仿宋"/>
          <w:b w:val="0"/>
          <w:bCs/>
          <w:color w:val="auto"/>
          <w:sz w:val="32"/>
          <w:szCs w:val="32"/>
          <w:highlight w:val="none"/>
        </w:rPr>
        <w:t xml:space="preserve"> </w:t>
      </w:r>
      <w:r>
        <w:rPr>
          <w:rStyle w:val="13"/>
          <w:rFonts w:hint="eastAsia" w:ascii="仿宋" w:hAnsi="仿宋" w:eastAsia="仿宋"/>
          <w:b w:val="0"/>
          <w:bCs/>
          <w:color w:val="auto"/>
          <w:sz w:val="32"/>
          <w:szCs w:val="32"/>
          <w:highlight w:val="none"/>
        </w:rPr>
        <w:t>支出决算为74.44万元，完成预算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3C8A97CB">
      <w:pPr>
        <w:spacing w:line="600" w:lineRule="exact"/>
        <w:ind w:firstLine="643" w:firstLineChars="200"/>
        <w:rPr>
          <w:rStyle w:val="13"/>
          <w:rFonts w:hint="eastAsia" w:ascii="仿宋" w:hAnsi="仿宋" w:eastAsia="仿宋"/>
          <w:b w:val="0"/>
          <w:bCs/>
          <w:color w:val="auto"/>
          <w:sz w:val="32"/>
          <w:szCs w:val="32"/>
          <w:highlight w:val="none"/>
        </w:rPr>
      </w:pPr>
      <w:r>
        <w:rPr>
          <w:rStyle w:val="13"/>
          <w:rFonts w:ascii="仿宋" w:hAnsi="仿宋" w:eastAsia="仿宋"/>
          <w:bCs/>
          <w:color w:val="auto"/>
          <w:sz w:val="32"/>
          <w:szCs w:val="32"/>
          <w:highlight w:val="none"/>
        </w:rPr>
        <w:t>4.</w:t>
      </w:r>
      <w:r>
        <w:rPr>
          <w:rStyle w:val="13"/>
          <w:rFonts w:hint="eastAsia" w:ascii="仿宋" w:hAnsi="仿宋" w:eastAsia="仿宋"/>
          <w:bCs/>
          <w:color w:val="auto"/>
          <w:sz w:val="32"/>
          <w:szCs w:val="32"/>
          <w:highlight w:val="none"/>
        </w:rPr>
        <w:t>卫生健康支出（类）行政事业单位医疗（款）其他行政事业单位医疗支出（项）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支出决算为26.05万元，完成预算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04E021BE">
      <w:pPr>
        <w:pStyle w:val="2"/>
        <w:ind w:firstLine="643" w:firstLineChars="200"/>
        <w:rPr>
          <w:rFonts w:hint="eastAsia" w:eastAsia="仿宋"/>
          <w:lang w:eastAsia="zh-CN"/>
        </w:rPr>
      </w:pPr>
      <w:r>
        <w:rPr>
          <w:rStyle w:val="13"/>
          <w:rFonts w:hint="eastAsia" w:ascii="仿宋" w:hAnsi="仿宋" w:eastAsia="仿宋"/>
          <w:bCs/>
          <w:color w:val="auto"/>
          <w:sz w:val="32"/>
          <w:szCs w:val="32"/>
          <w:highlight w:val="none"/>
          <w:lang w:val="en-US" w:eastAsia="zh-CN"/>
        </w:rPr>
        <w:t>5.</w:t>
      </w:r>
      <w:r>
        <w:rPr>
          <w:rStyle w:val="13"/>
          <w:rFonts w:hint="eastAsia" w:ascii="仿宋" w:hAnsi="仿宋" w:eastAsia="仿宋"/>
          <w:bCs/>
          <w:color w:val="auto"/>
          <w:sz w:val="32"/>
          <w:szCs w:val="32"/>
          <w:highlight w:val="none"/>
        </w:rPr>
        <w:t>交通运输支出（类）公路水路运输（款）公路建设（项）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支出决算为2,996.55万元，完成预算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eastAsia="zh-CN"/>
        </w:rPr>
        <w:t>。</w:t>
      </w:r>
    </w:p>
    <w:p w14:paraId="6C98AD0C">
      <w:pPr>
        <w:spacing w:line="600" w:lineRule="exact"/>
        <w:ind w:firstLine="643" w:firstLineChars="200"/>
        <w:rPr>
          <w:rStyle w:val="13"/>
          <w:rFonts w:hint="eastAsia" w:ascii="仿宋" w:hAnsi="仿宋" w:eastAsia="仿宋"/>
          <w:b w:val="0"/>
          <w:bCs/>
          <w:color w:val="auto"/>
          <w:sz w:val="32"/>
          <w:szCs w:val="32"/>
          <w:highlight w:val="none"/>
        </w:rPr>
      </w:pPr>
      <w:r>
        <w:rPr>
          <w:rStyle w:val="13"/>
          <w:rFonts w:hint="eastAsia" w:ascii="仿宋" w:hAnsi="仿宋" w:eastAsia="仿宋"/>
          <w:bCs/>
          <w:color w:val="auto"/>
          <w:sz w:val="32"/>
          <w:szCs w:val="32"/>
          <w:highlight w:val="none"/>
          <w:lang w:val="en-US" w:eastAsia="zh-CN"/>
        </w:rPr>
        <w:t>6</w:t>
      </w:r>
      <w:r>
        <w:rPr>
          <w:rStyle w:val="13"/>
          <w:rFonts w:ascii="仿宋" w:hAnsi="仿宋" w:eastAsia="仿宋"/>
          <w:bCs/>
          <w:color w:val="auto"/>
          <w:sz w:val="32"/>
          <w:szCs w:val="32"/>
          <w:highlight w:val="none"/>
        </w:rPr>
        <w:t>.</w:t>
      </w:r>
      <w:r>
        <w:rPr>
          <w:rStyle w:val="13"/>
          <w:rFonts w:hint="eastAsia" w:ascii="仿宋" w:hAnsi="仿宋" w:eastAsia="仿宋"/>
          <w:bCs/>
          <w:color w:val="auto"/>
          <w:sz w:val="32"/>
          <w:szCs w:val="32"/>
          <w:highlight w:val="none"/>
        </w:rPr>
        <w:t>交通运输支出（类）公路水路运输（款）公路养护（项）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支出决算为26,890.72万元，完成预算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1A6F86A8">
      <w:pPr>
        <w:pStyle w:val="2"/>
        <w:ind w:firstLine="643" w:firstLineChars="200"/>
        <w:rPr>
          <w:rStyle w:val="13"/>
          <w:rFonts w:hint="eastAsia" w:ascii="仿宋" w:hAnsi="仿宋" w:eastAsia="仿宋"/>
          <w:b w:val="0"/>
          <w:bCs/>
          <w:color w:val="auto"/>
          <w:sz w:val="32"/>
          <w:szCs w:val="32"/>
          <w:highlight w:val="none"/>
          <w:lang w:eastAsia="zh-CN"/>
        </w:rPr>
      </w:pPr>
      <w:r>
        <w:rPr>
          <w:rStyle w:val="13"/>
          <w:rFonts w:hint="eastAsia" w:ascii="仿宋" w:hAnsi="仿宋" w:eastAsia="仿宋" w:cs="Times New Roman"/>
          <w:bCs/>
          <w:color w:val="auto"/>
          <w:kern w:val="2"/>
          <w:sz w:val="32"/>
          <w:szCs w:val="32"/>
          <w:highlight w:val="none"/>
          <w:lang w:val="en-US" w:eastAsia="zh-CN" w:bidi="ar-SA"/>
        </w:rPr>
        <w:t>7.交通运</w:t>
      </w:r>
      <w:r>
        <w:rPr>
          <w:rStyle w:val="13"/>
          <w:rFonts w:hint="eastAsia" w:ascii="仿宋" w:hAnsi="仿宋" w:eastAsia="仿宋"/>
          <w:bCs/>
          <w:color w:val="auto"/>
          <w:sz w:val="32"/>
          <w:szCs w:val="32"/>
          <w:highlight w:val="none"/>
        </w:rPr>
        <w:t>输支出（类）公路水路运输（款）其他公路水路运输支出（项）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支出决算为111.86万元，完成预算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eastAsia="zh-CN"/>
        </w:rPr>
        <w:t>。</w:t>
      </w:r>
    </w:p>
    <w:p w14:paraId="317B7B23">
      <w:pPr>
        <w:ind w:firstLine="643" w:firstLineChars="200"/>
        <w:rPr>
          <w:rStyle w:val="13"/>
          <w:rFonts w:hint="eastAsia" w:ascii="仿宋" w:hAnsi="仿宋" w:eastAsia="仿宋"/>
          <w:b w:val="0"/>
          <w:bCs/>
          <w:color w:val="auto"/>
          <w:sz w:val="32"/>
          <w:szCs w:val="32"/>
          <w:highlight w:val="none"/>
          <w:lang w:eastAsia="zh-CN"/>
        </w:rPr>
      </w:pPr>
      <w:r>
        <w:rPr>
          <w:rStyle w:val="13"/>
          <w:rFonts w:hint="eastAsia" w:ascii="仿宋" w:hAnsi="仿宋" w:eastAsia="仿宋" w:cs="Times New Roman"/>
          <w:bCs/>
          <w:color w:val="auto"/>
          <w:kern w:val="2"/>
          <w:sz w:val="32"/>
          <w:szCs w:val="32"/>
          <w:highlight w:val="none"/>
          <w:lang w:val="en-US" w:eastAsia="zh-CN" w:bidi="ar-SA"/>
        </w:rPr>
        <w:t>8.交通运</w:t>
      </w:r>
      <w:r>
        <w:rPr>
          <w:rStyle w:val="13"/>
          <w:rFonts w:hint="eastAsia" w:ascii="仿宋" w:hAnsi="仿宋" w:eastAsia="仿宋"/>
          <w:bCs/>
          <w:color w:val="auto"/>
          <w:sz w:val="32"/>
          <w:szCs w:val="32"/>
          <w:highlight w:val="none"/>
        </w:rPr>
        <w:t>输支出（类）车辆购置税支出（款）车辆购置税用于公路等基础设施建设支出（项）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支出决算为8,779.95万元，完成预算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eastAsia="zh-CN"/>
        </w:rPr>
        <w:t>。</w:t>
      </w:r>
    </w:p>
    <w:p w14:paraId="0ECE888B">
      <w:pPr>
        <w:pStyle w:val="2"/>
        <w:ind w:firstLine="643" w:firstLineChars="200"/>
        <w:rPr>
          <w:rFonts w:hint="eastAsia" w:eastAsia="仿宋"/>
          <w:lang w:val="en-US" w:eastAsia="zh-CN"/>
        </w:rPr>
      </w:pPr>
      <w:r>
        <w:rPr>
          <w:rStyle w:val="13"/>
          <w:rFonts w:hint="eastAsia" w:ascii="仿宋" w:hAnsi="仿宋" w:eastAsia="仿宋" w:cs="Times New Roman"/>
          <w:bCs/>
          <w:color w:val="auto"/>
          <w:kern w:val="2"/>
          <w:sz w:val="32"/>
          <w:szCs w:val="32"/>
          <w:highlight w:val="none"/>
          <w:lang w:val="en-US" w:eastAsia="zh-CN" w:bidi="ar-SA"/>
        </w:rPr>
        <w:t>9.交通运</w:t>
      </w:r>
      <w:r>
        <w:rPr>
          <w:rStyle w:val="13"/>
          <w:rFonts w:hint="eastAsia" w:ascii="仿宋" w:hAnsi="仿宋" w:eastAsia="仿宋"/>
          <w:bCs/>
          <w:color w:val="auto"/>
          <w:sz w:val="32"/>
          <w:szCs w:val="32"/>
          <w:highlight w:val="none"/>
        </w:rPr>
        <w:t>输支出（类）其他交通运输支出（款）其他交通运输支出（项）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支出决算为30万元，完成预算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r>
        <w:rPr>
          <w:rStyle w:val="13"/>
          <w:rFonts w:hint="eastAsia" w:ascii="仿宋" w:hAnsi="仿宋" w:eastAsia="仿宋"/>
          <w:b w:val="0"/>
          <w:bCs/>
          <w:color w:val="auto"/>
          <w:sz w:val="32"/>
          <w:szCs w:val="32"/>
          <w:highlight w:val="none"/>
          <w:lang w:eastAsia="zh-CN"/>
        </w:rPr>
        <w:t>。</w:t>
      </w:r>
    </w:p>
    <w:p w14:paraId="3690878A">
      <w:pPr>
        <w:spacing w:line="600" w:lineRule="exact"/>
        <w:ind w:firstLine="643" w:firstLineChars="200"/>
        <w:rPr>
          <w:rFonts w:ascii="仿宋" w:hAnsi="仿宋" w:eastAsia="仿宋"/>
          <w:b/>
          <w:color w:val="auto"/>
          <w:sz w:val="32"/>
          <w:szCs w:val="32"/>
          <w:highlight w:val="none"/>
        </w:rPr>
      </w:pPr>
      <w:r>
        <w:rPr>
          <w:rStyle w:val="13"/>
          <w:rFonts w:hint="eastAsia" w:ascii="仿宋" w:hAnsi="仿宋" w:eastAsia="仿宋"/>
          <w:bCs/>
          <w:color w:val="auto"/>
          <w:sz w:val="32"/>
          <w:szCs w:val="32"/>
          <w:highlight w:val="none"/>
          <w:lang w:val="en-US" w:eastAsia="zh-CN"/>
        </w:rPr>
        <w:t>10</w:t>
      </w:r>
      <w:r>
        <w:rPr>
          <w:rStyle w:val="13"/>
          <w:rFonts w:ascii="仿宋" w:hAnsi="仿宋" w:eastAsia="仿宋"/>
          <w:bCs/>
          <w:color w:val="auto"/>
          <w:sz w:val="32"/>
          <w:szCs w:val="32"/>
          <w:highlight w:val="none"/>
        </w:rPr>
        <w:t>.</w:t>
      </w:r>
      <w:r>
        <w:rPr>
          <w:rStyle w:val="13"/>
          <w:rFonts w:hint="eastAsia" w:ascii="仿宋" w:hAnsi="仿宋" w:eastAsia="仿宋" w:cs="Times New Roman"/>
          <w:bCs/>
          <w:color w:val="auto"/>
          <w:sz w:val="32"/>
          <w:szCs w:val="32"/>
          <w:highlight w:val="none"/>
        </w:rPr>
        <w:t>住房保障支出</w:t>
      </w:r>
      <w:r>
        <w:rPr>
          <w:rStyle w:val="13"/>
          <w:rFonts w:hint="eastAsia" w:ascii="仿宋" w:hAnsi="仿宋" w:eastAsia="仿宋"/>
          <w:bCs/>
          <w:color w:val="auto"/>
          <w:sz w:val="32"/>
          <w:szCs w:val="32"/>
          <w:highlight w:val="none"/>
        </w:rPr>
        <w:t>（类）住房改革支出（款）住房公积金（项）</w:t>
      </w:r>
      <w:r>
        <w:rPr>
          <w:rStyle w:val="13"/>
          <w:rFonts w:hint="eastAsia" w:ascii="仿宋" w:hAnsi="仿宋" w:eastAsia="仿宋"/>
          <w:bCs/>
          <w:color w:val="auto"/>
          <w:sz w:val="32"/>
          <w:szCs w:val="32"/>
          <w:highlight w:val="none"/>
          <w:lang w:eastAsia="zh-CN"/>
        </w:rPr>
        <w:t>：</w:t>
      </w:r>
      <w:r>
        <w:rPr>
          <w:rStyle w:val="13"/>
          <w:rFonts w:hint="eastAsia" w:ascii="仿宋" w:hAnsi="仿宋" w:eastAsia="仿宋"/>
          <w:b w:val="0"/>
          <w:bCs/>
          <w:color w:val="auto"/>
          <w:sz w:val="32"/>
          <w:szCs w:val="32"/>
          <w:highlight w:val="none"/>
        </w:rPr>
        <w:t>支出决算为124.63万元，完成预算</w:t>
      </w:r>
      <w:r>
        <w:rPr>
          <w:rStyle w:val="13"/>
          <w:rFonts w:hint="eastAsia" w:ascii="仿宋" w:hAnsi="仿宋" w:eastAsia="仿宋"/>
          <w:b w:val="0"/>
          <w:bCs/>
          <w:color w:val="auto"/>
          <w:sz w:val="32"/>
          <w:szCs w:val="32"/>
          <w:highlight w:val="none"/>
          <w:lang w:val="en-US" w:eastAsia="zh-CN"/>
        </w:rPr>
        <w:t>100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lang w:eastAsia="zh-CN"/>
        </w:rPr>
        <w:t>，</w:t>
      </w:r>
      <w:r>
        <w:rPr>
          <w:rStyle w:val="13"/>
          <w:rFonts w:hint="eastAsia" w:ascii="仿宋" w:hAnsi="仿宋" w:eastAsia="仿宋"/>
          <w:b w:val="0"/>
          <w:bCs/>
          <w:color w:val="auto"/>
          <w:sz w:val="32"/>
          <w:szCs w:val="32"/>
          <w:highlight w:val="none"/>
        </w:rPr>
        <w:t>决算数等于预算数。</w:t>
      </w:r>
    </w:p>
    <w:p w14:paraId="286D6E78">
      <w:pPr>
        <w:spacing w:line="600" w:lineRule="exact"/>
        <w:ind w:firstLine="640"/>
        <w:rPr>
          <w:rFonts w:ascii="仿宋" w:hAnsi="仿宋" w:eastAsia="仿宋"/>
          <w:b/>
          <w:color w:val="auto"/>
          <w:sz w:val="32"/>
          <w:szCs w:val="32"/>
          <w:highlight w:val="none"/>
        </w:rPr>
      </w:pPr>
    </w:p>
    <w:p w14:paraId="5BE8D352">
      <w:pPr>
        <w:tabs>
          <w:tab w:val="right" w:pos="8306"/>
        </w:tabs>
        <w:spacing w:line="600" w:lineRule="exact"/>
        <w:ind w:firstLine="640"/>
        <w:outlineLvl w:val="1"/>
        <w:rPr>
          <w:rStyle w:val="15"/>
          <w:color w:val="auto"/>
          <w:highlight w:val="none"/>
        </w:rPr>
      </w:pPr>
      <w:bookmarkStart w:id="11" w:name="_Toc27920"/>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5"/>
          <w:rFonts w:hint="eastAsia" w:ascii="黑体" w:hAnsi="黑体" w:eastAsia="黑体"/>
          <w:b w:val="0"/>
          <w:color w:val="auto"/>
          <w:highlight w:val="none"/>
        </w:rPr>
        <w:t>般公共预算财政拨款基本支出决算情况说明</w:t>
      </w:r>
      <w:bookmarkEnd w:id="11"/>
      <w:r>
        <w:rPr>
          <w:rStyle w:val="15"/>
          <w:rFonts w:ascii="黑体" w:hAnsi="黑体" w:eastAsia="黑体"/>
          <w:b w:val="0"/>
          <w:color w:val="auto"/>
          <w:highlight w:val="none"/>
        </w:rPr>
        <w:tab/>
      </w:r>
    </w:p>
    <w:p w14:paraId="0787DA85">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一般公共预算财政拨款基本支出2,289.19万元，其中：</w:t>
      </w:r>
    </w:p>
    <w:p w14:paraId="027B6A4B">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人员经费1,607.46万元，主要包括：基本工资、津贴补贴、奖金、绩效工资、机关事业单位基本养老保险缴费、职业年金缴费、职工基本医疗保险缴费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其他社会保障缴费、住房公积金、抚恤金、生活补助、奖励金、其他对个人和家庭的补助支出等。</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公用经费681.73万元，主要包括：办公费、咨询费、水费、电费、邮电费、物业管理费、差旅费、维修（护）费、租赁费、培训费、公务接待费、专用材料费</w:t>
      </w:r>
      <w:r>
        <w:rPr>
          <w:rFonts w:hint="eastAsia" w:ascii="仿宋" w:hAnsi="仿宋" w:eastAsia="仿宋"/>
          <w:color w:val="auto"/>
          <w:sz w:val="32"/>
          <w:szCs w:val="32"/>
          <w:highlight w:val="none"/>
          <w:lang w:eastAsia="zh-CN"/>
        </w:rPr>
        <w:t>、专用燃料费、</w:t>
      </w:r>
      <w:r>
        <w:rPr>
          <w:rFonts w:hint="eastAsia" w:ascii="仿宋" w:hAnsi="仿宋" w:eastAsia="仿宋"/>
          <w:color w:val="auto"/>
          <w:sz w:val="32"/>
          <w:szCs w:val="32"/>
          <w:highlight w:val="none"/>
        </w:rPr>
        <w:t>劳务费、工会经费、福利费、公务用车运行维护费、其他商品和服务支出、办公设备购置、专用设备购置、信基础设施建设等。</w:t>
      </w:r>
    </w:p>
    <w:p w14:paraId="4888B2BF">
      <w:pPr>
        <w:spacing w:line="600" w:lineRule="exact"/>
        <w:ind w:firstLine="640"/>
        <w:rPr>
          <w:rFonts w:ascii="仿宋" w:hAnsi="仿宋" w:eastAsia="仿宋"/>
          <w:b/>
          <w:color w:val="auto"/>
          <w:sz w:val="32"/>
          <w:szCs w:val="32"/>
          <w:highlight w:val="none"/>
        </w:rPr>
      </w:pPr>
    </w:p>
    <w:p w14:paraId="764DBBA1">
      <w:pPr>
        <w:spacing w:line="600" w:lineRule="exact"/>
        <w:ind w:firstLine="640"/>
        <w:outlineLvl w:val="1"/>
        <w:rPr>
          <w:rStyle w:val="15"/>
          <w:rFonts w:ascii="黑体" w:hAnsi="黑体" w:eastAsia="黑体"/>
          <w:b w:val="0"/>
          <w:color w:val="auto"/>
          <w:highlight w:val="none"/>
        </w:rPr>
      </w:pPr>
      <w:bookmarkStart w:id="12" w:name="_Toc13862"/>
      <w:r>
        <w:rPr>
          <w:rFonts w:hint="eastAsia" w:ascii="黑体" w:eastAsia="黑体"/>
          <w:color w:val="auto"/>
          <w:sz w:val="32"/>
          <w:szCs w:val="32"/>
          <w:highlight w:val="none"/>
        </w:rPr>
        <w:t>七、</w:t>
      </w:r>
      <w:r>
        <w:rPr>
          <w:rStyle w:val="15"/>
          <w:rFonts w:hint="eastAsia" w:ascii="黑体" w:hAnsi="黑体" w:eastAsia="黑体"/>
          <w:b w:val="0"/>
          <w:color w:val="auto"/>
          <w:highlight w:val="none"/>
        </w:rPr>
        <w:t>财政拨款</w:t>
      </w:r>
      <w:r>
        <w:rPr>
          <w:rStyle w:val="15"/>
          <w:rFonts w:hint="eastAsia" w:ascii="黑体" w:hAnsi="黑体" w:eastAsia="黑体"/>
          <w:color w:val="auto"/>
          <w:highlight w:val="none"/>
        </w:rPr>
        <w:t>“</w:t>
      </w:r>
      <w:r>
        <w:rPr>
          <w:rStyle w:val="15"/>
          <w:rFonts w:hint="eastAsia" w:ascii="黑体" w:hAnsi="黑体" w:eastAsia="黑体"/>
          <w:b w:val="0"/>
          <w:color w:val="auto"/>
          <w:highlight w:val="none"/>
        </w:rPr>
        <w:t>三公”经费支出决算情况说明</w:t>
      </w:r>
      <w:bookmarkEnd w:id="12"/>
    </w:p>
    <w:p w14:paraId="2745C4CE">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（一）“三公”经费财政拨款支出决算总体情况说明</w:t>
      </w:r>
    </w:p>
    <w:p w14:paraId="3B9F7040">
      <w:pPr>
        <w:spacing w:line="600" w:lineRule="exact"/>
        <w:ind w:firstLine="640"/>
        <w:rPr>
          <w:rFonts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“三公”经费财政拨款支出决算为156.29万元，完成预算</w:t>
      </w:r>
      <w:r>
        <w:rPr>
          <w:rFonts w:hint="eastAsia" w:ascii="仿宋" w:hAnsi="仿宋" w:eastAsia="仿宋"/>
          <w:color w:val="auto"/>
          <w:sz w:val="32"/>
          <w:szCs w:val="32"/>
          <w:highlight w:val="none"/>
          <w:lang w:val="en-US" w:eastAsia="zh-CN"/>
        </w:rPr>
        <w:t>87.3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较上年度</w:t>
      </w:r>
      <w:r>
        <w:rPr>
          <w:rFonts w:hint="eastAsia" w:ascii="仿宋" w:hAnsi="仿宋" w:eastAsia="仿宋"/>
          <w:color w:val="auto"/>
          <w:sz w:val="32"/>
          <w:szCs w:val="32"/>
          <w:highlight w:val="none"/>
          <w:lang w:val="en-US" w:eastAsia="zh-CN"/>
        </w:rPr>
        <w:t>减少34.65万元，下降18.1%。</w:t>
      </w:r>
      <w:r>
        <w:rPr>
          <w:rFonts w:hint="eastAsia" w:ascii="仿宋" w:hAnsi="仿宋" w:eastAsia="仿宋"/>
          <w:color w:val="auto"/>
          <w:sz w:val="32"/>
          <w:szCs w:val="32"/>
          <w:highlight w:val="none"/>
        </w:rPr>
        <w:t>决算数小于预算数的主要原因是</w:t>
      </w:r>
      <w:r>
        <w:rPr>
          <w:rFonts w:hint="eastAsia" w:ascii="仿宋" w:hAnsi="仿宋" w:eastAsia="仿宋"/>
          <w:color w:val="auto"/>
          <w:sz w:val="32"/>
          <w:szCs w:val="32"/>
          <w:highlight w:val="none"/>
          <w:lang w:val="en-US" w:eastAsia="zh-CN"/>
        </w:rPr>
        <w:t>依据厉行节约原则，缩减三公经费</w:t>
      </w:r>
      <w:r>
        <w:rPr>
          <w:rFonts w:hint="eastAsia" w:ascii="仿宋" w:hAnsi="仿宋" w:eastAsia="仿宋"/>
          <w:color w:val="auto"/>
          <w:sz w:val="32"/>
          <w:szCs w:val="32"/>
          <w:highlight w:val="none"/>
        </w:rPr>
        <w:t>。</w:t>
      </w:r>
    </w:p>
    <w:p w14:paraId="52F4E7B7">
      <w:pPr>
        <w:spacing w:line="600" w:lineRule="exact"/>
        <w:ind w:firstLine="640"/>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（二）“三公”经费财政拨款支出决算具体情况说明</w:t>
      </w:r>
    </w:p>
    <w:p w14:paraId="7DE167E1">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lang w:eastAsia="zh-CN"/>
        </w:rPr>
        <w:t>2023</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度</w:t>
      </w:r>
      <w:r>
        <w:rPr>
          <w:rFonts w:hint="eastAsia" w:ascii="仿宋" w:hAnsi="仿宋" w:eastAsia="仿宋"/>
          <w:color w:val="auto"/>
          <w:sz w:val="32"/>
          <w:szCs w:val="32"/>
          <w:highlight w:val="none"/>
        </w:rPr>
        <w:t>“三公”经费财政拨款支出决算中，因公出国（境）费支出决算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；公务用车购置及运行维护费支出决算156.20万元，占</w:t>
      </w:r>
      <w:r>
        <w:rPr>
          <w:rFonts w:hint="eastAsia" w:ascii="仿宋" w:hAnsi="仿宋" w:eastAsia="仿宋"/>
          <w:color w:val="auto"/>
          <w:sz w:val="32"/>
          <w:szCs w:val="32"/>
          <w:highlight w:val="none"/>
          <w:lang w:val="en-US" w:eastAsia="zh-CN"/>
        </w:rPr>
        <w:t>99.9</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；公务接待费支出决算0.09万元，占</w:t>
      </w:r>
      <w:r>
        <w:rPr>
          <w:rFonts w:hint="eastAsia" w:ascii="仿宋" w:hAnsi="仿宋" w:eastAsia="仿宋"/>
          <w:color w:val="auto"/>
          <w:sz w:val="32"/>
          <w:szCs w:val="32"/>
          <w:highlight w:val="none"/>
          <w:lang w:val="en-US" w:eastAsia="zh-CN"/>
        </w:rPr>
        <w:t>0.1</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14:paraId="578D4EB3">
      <w:pPr>
        <w:pStyle w:val="2"/>
      </w:pPr>
      <w:r>
        <w:rPr>
          <w:rFonts w:hint="eastAsia" w:eastAsia="仿宋"/>
          <w:lang w:eastAsia="zh-CN"/>
        </w:rPr>
        <w:drawing>
          <wp:inline distT="0" distB="0" distL="114300" distR="114300">
            <wp:extent cx="5256530" cy="2988310"/>
            <wp:effectExtent l="5080" t="4445" r="8890" b="762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E534916">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14:paraId="65CB01B3">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0</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全年安排因公出国（境）团组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次，出国（境）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人。因公出国（境）支出决算</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lang w:val="en-US" w:eastAsia="zh-CN"/>
        </w:rPr>
        <w:t>持平。</w:t>
      </w:r>
    </w:p>
    <w:p w14:paraId="53B92315">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 w:hAnsi="仿宋" w:eastAsia="仿宋"/>
          <w:color w:val="auto"/>
          <w:sz w:val="32"/>
          <w:szCs w:val="32"/>
          <w:highlight w:val="none"/>
        </w:rPr>
        <w:t>156.20</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88.7</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减少34.60万元，下降18.1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依据厉行节约原则，缩减三公经费</w:t>
      </w:r>
      <w:r>
        <w:rPr>
          <w:rFonts w:hint="eastAsia" w:ascii="仿宋_GB2312" w:eastAsia="仿宋_GB2312"/>
          <w:color w:val="auto"/>
          <w:sz w:val="32"/>
          <w:szCs w:val="32"/>
          <w:highlight w:val="none"/>
        </w:rPr>
        <w:t>。</w:t>
      </w:r>
    </w:p>
    <w:p w14:paraId="316B8AA0">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hint="eastAsia" w:ascii="仿宋_GB2312" w:eastAsia="仿宋_GB2312"/>
          <w:color w:val="auto"/>
          <w:sz w:val="32"/>
          <w:szCs w:val="32"/>
          <w:highlight w:val="none"/>
          <w:lang w:val="en-US" w:eastAsia="zh-CN"/>
        </w:rPr>
        <w:t>31日</w:t>
      </w:r>
      <w:r>
        <w:rPr>
          <w:rFonts w:hint="eastAsia" w:ascii="仿宋_GB2312" w:eastAsia="仿宋_GB2312"/>
          <w:color w:val="auto"/>
          <w:sz w:val="32"/>
          <w:szCs w:val="32"/>
          <w:highlight w:val="none"/>
        </w:rPr>
        <w:t>，单位共有公务用车</w:t>
      </w:r>
      <w:r>
        <w:rPr>
          <w:rFonts w:hint="eastAsia" w:ascii="仿宋_GB2312" w:eastAsia="仿宋_GB2312"/>
          <w:color w:val="auto"/>
          <w:sz w:val="32"/>
          <w:szCs w:val="32"/>
          <w:highlight w:val="none"/>
          <w:lang w:val="en-US" w:eastAsia="zh-CN"/>
        </w:rPr>
        <w:t>114</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16</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val="en-US" w:eastAsia="zh-CN"/>
        </w:rPr>
        <w:t>其他车型86</w:t>
      </w:r>
      <w:r>
        <w:rPr>
          <w:rFonts w:hint="eastAsia" w:ascii="仿宋_GB2312" w:eastAsia="仿宋_GB2312"/>
          <w:color w:val="auto"/>
          <w:sz w:val="32"/>
          <w:szCs w:val="32"/>
          <w:highlight w:val="none"/>
        </w:rPr>
        <w:t>辆。</w:t>
      </w:r>
    </w:p>
    <w:p w14:paraId="21B2ACB5">
      <w:pPr>
        <w:spacing w:line="600" w:lineRule="exact"/>
        <w:ind w:firstLine="640"/>
        <w:rPr>
          <w:rFonts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 w:hAnsi="仿宋" w:eastAsia="仿宋"/>
          <w:color w:val="auto"/>
          <w:sz w:val="32"/>
          <w:szCs w:val="32"/>
          <w:highlight w:val="none"/>
        </w:rPr>
        <w:t>156.20</w:t>
      </w:r>
      <w:r>
        <w:rPr>
          <w:rFonts w:hint="eastAsia" w:ascii="仿宋_GB2312" w:eastAsia="仿宋_GB2312"/>
          <w:color w:val="auto"/>
          <w:sz w:val="32"/>
          <w:szCs w:val="32"/>
          <w:highlight w:val="none"/>
        </w:rPr>
        <w:t>万元。主要用于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rPr>
        <w:t>等所需的公务用车燃料费、维修费、过路过桥费、保险费等支出。</w:t>
      </w:r>
    </w:p>
    <w:p w14:paraId="43E447BB">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0.09</w:t>
      </w:r>
      <w:r>
        <w:rPr>
          <w:rFonts w:hint="eastAsia" w:ascii="仿宋_GB2312" w:eastAsia="仿宋_GB2312"/>
          <w:color w:val="auto"/>
          <w:sz w:val="32"/>
          <w:szCs w:val="32"/>
          <w:highlight w:val="none"/>
        </w:rPr>
        <w:t>万元，</w:t>
      </w:r>
      <w:r>
        <w:rPr>
          <w:rStyle w:val="13"/>
          <w:rFonts w:hint="eastAsia" w:ascii="仿宋" w:hAnsi="仿宋" w:eastAsia="仿宋"/>
          <w:b w:val="0"/>
          <w:bCs/>
          <w:color w:val="auto"/>
          <w:sz w:val="32"/>
          <w:szCs w:val="32"/>
          <w:highlight w:val="none"/>
        </w:rPr>
        <w:t>完成预算</w:t>
      </w:r>
      <w:r>
        <w:rPr>
          <w:rStyle w:val="13"/>
          <w:rFonts w:hint="eastAsia" w:ascii="仿宋" w:hAnsi="仿宋" w:eastAsia="仿宋"/>
          <w:b w:val="0"/>
          <w:bCs/>
          <w:color w:val="auto"/>
          <w:sz w:val="32"/>
          <w:szCs w:val="32"/>
          <w:highlight w:val="none"/>
          <w:lang w:val="en-US" w:eastAsia="zh-CN"/>
        </w:rPr>
        <w:t>3.2</w:t>
      </w:r>
      <w:r>
        <w:rPr>
          <w:rStyle w:val="13"/>
          <w:rFonts w:ascii="仿宋" w:hAnsi="仿宋" w:eastAsia="仿宋"/>
          <w:b w:val="0"/>
          <w:bCs/>
          <w:color w:val="auto"/>
          <w:sz w:val="32"/>
          <w:szCs w:val="32"/>
          <w:highlight w:val="none"/>
        </w:rPr>
        <w:t>%</w:t>
      </w:r>
      <w:r>
        <w:rPr>
          <w:rStyle w:val="13"/>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减少0.05万元，下降35.</w:t>
      </w:r>
      <w:r>
        <w:rPr>
          <w:rFonts w:hint="eastAsia" w:ascii="仿宋_GB2312" w:eastAsia="仿宋_GB2312"/>
          <w:color w:val="auto"/>
          <w:sz w:val="32"/>
          <w:szCs w:val="32"/>
          <w:highlight w:val="none"/>
          <w:lang w:val="en-US" w:eastAsia="zh-CN"/>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 w:hAnsi="仿宋" w:eastAsia="仿宋"/>
          <w:color w:val="auto"/>
          <w:sz w:val="32"/>
          <w:szCs w:val="32"/>
          <w:highlight w:val="none"/>
          <w:lang w:val="en-US" w:eastAsia="zh-CN"/>
        </w:rPr>
        <w:t>依据厉行节约原则，缩减三公经费</w:t>
      </w:r>
      <w:r>
        <w:rPr>
          <w:rFonts w:hint="eastAsia" w:ascii="仿宋_GB2312" w:eastAsia="仿宋_GB2312"/>
          <w:color w:val="auto"/>
          <w:sz w:val="32"/>
          <w:szCs w:val="32"/>
          <w:highlight w:val="none"/>
        </w:rPr>
        <w:t>。其中：</w:t>
      </w:r>
    </w:p>
    <w:p w14:paraId="49155870">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0.09</w:t>
      </w:r>
      <w:r>
        <w:rPr>
          <w:rFonts w:hint="eastAsia" w:ascii="仿宋_GB2312" w:eastAsia="仿宋_GB2312"/>
          <w:color w:val="auto"/>
          <w:sz w:val="32"/>
          <w:szCs w:val="32"/>
          <w:highlight w:val="none"/>
        </w:rPr>
        <w:t>万元，主要用于洽谈交通发展合作事宜开支</w:t>
      </w:r>
      <w:r>
        <w:rPr>
          <w:rFonts w:hint="eastAsia" w:ascii="仿宋_GB2312" w:eastAsia="仿宋_GB2312"/>
          <w:color w:val="auto"/>
          <w:sz w:val="32"/>
          <w:szCs w:val="32"/>
          <w:highlight w:val="none"/>
          <w:lang w:eastAsia="zh-CN"/>
        </w:rPr>
        <w:t>的</w:t>
      </w:r>
      <w:r>
        <w:rPr>
          <w:rFonts w:hint="eastAsia" w:ascii="仿宋_GB2312" w:eastAsia="仿宋_GB2312"/>
          <w:color w:val="auto"/>
          <w:sz w:val="32"/>
          <w:szCs w:val="32"/>
          <w:highlight w:val="none"/>
        </w:rPr>
        <w:t>用餐费。国内公务接待</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人次（不包括陪同人员），共计支出</w:t>
      </w:r>
      <w:r>
        <w:rPr>
          <w:rFonts w:hint="eastAsia" w:ascii="仿宋_GB2312" w:eastAsia="仿宋_GB2312"/>
          <w:color w:val="auto"/>
          <w:sz w:val="32"/>
          <w:szCs w:val="32"/>
          <w:highlight w:val="none"/>
          <w:lang w:val="en-US" w:eastAsia="zh-CN"/>
        </w:rPr>
        <w:t>0.09</w:t>
      </w:r>
      <w:r>
        <w:rPr>
          <w:rFonts w:hint="eastAsia" w:ascii="仿宋_GB2312" w:eastAsia="仿宋_GB2312"/>
          <w:color w:val="auto"/>
          <w:sz w:val="32"/>
          <w:szCs w:val="32"/>
          <w:highlight w:val="none"/>
        </w:rPr>
        <w:t>万元，具体内容包括：四川公路工程咨询监理有限公司党委副书记一行</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人到我局送挂职干部，并洽谈交通发展合作事宜。</w:t>
      </w:r>
    </w:p>
    <w:p w14:paraId="74609B14">
      <w:pPr>
        <w:spacing w:line="600" w:lineRule="exact"/>
        <w:ind w:firstLine="643" w:firstLineChars="200"/>
        <w:rPr>
          <w:rFonts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次（不包括陪同人员）</w:t>
      </w:r>
      <w:r>
        <w:rPr>
          <w:rFonts w:hint="eastAsia" w:ascii="仿宋_GB2312" w:eastAsia="仿宋_GB2312"/>
          <w:color w:val="auto"/>
          <w:sz w:val="32"/>
          <w:szCs w:val="32"/>
          <w:highlight w:val="none"/>
        </w:rPr>
        <w:t>，共计支出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22DD74BF">
      <w:pPr>
        <w:spacing w:line="600" w:lineRule="exact"/>
        <w:ind w:firstLine="640"/>
        <w:outlineLvl w:val="9"/>
        <w:rPr>
          <w:rFonts w:ascii="黑体" w:eastAsia="黑体"/>
          <w:color w:val="auto"/>
          <w:sz w:val="32"/>
          <w:szCs w:val="32"/>
          <w:highlight w:val="none"/>
        </w:rPr>
      </w:pPr>
    </w:p>
    <w:p w14:paraId="312E6200">
      <w:pPr>
        <w:spacing w:line="600" w:lineRule="exact"/>
        <w:ind w:firstLine="640"/>
        <w:outlineLvl w:val="1"/>
        <w:rPr>
          <w:rStyle w:val="15"/>
          <w:rFonts w:ascii="黑体" w:hAnsi="黑体" w:eastAsia="黑体"/>
          <w:color w:val="auto"/>
          <w:highlight w:val="none"/>
        </w:rPr>
      </w:pPr>
      <w:bookmarkStart w:id="13" w:name="_Toc22918"/>
      <w:r>
        <w:rPr>
          <w:rFonts w:hint="eastAsia" w:ascii="黑体" w:eastAsia="黑体"/>
          <w:color w:val="auto"/>
          <w:sz w:val="32"/>
          <w:szCs w:val="32"/>
          <w:highlight w:val="none"/>
        </w:rPr>
        <w:t>八、</w:t>
      </w:r>
      <w:r>
        <w:rPr>
          <w:rStyle w:val="15"/>
          <w:rFonts w:hint="eastAsia" w:ascii="黑体" w:hAnsi="黑体" w:eastAsia="黑体"/>
          <w:b w:val="0"/>
          <w:color w:val="auto"/>
          <w:highlight w:val="none"/>
        </w:rPr>
        <w:t>政府性基金预算支出决算情况说明</w:t>
      </w:r>
      <w:bookmarkEnd w:id="13"/>
    </w:p>
    <w:p w14:paraId="1C819431">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54E63B0C">
      <w:pPr>
        <w:spacing w:line="600" w:lineRule="exact"/>
        <w:ind w:firstLine="640"/>
        <w:rPr>
          <w:rFonts w:ascii="仿宋_GB2312" w:eastAsia="仿宋_GB2312"/>
          <w:color w:val="auto"/>
          <w:sz w:val="32"/>
          <w:szCs w:val="32"/>
          <w:highlight w:val="none"/>
        </w:rPr>
      </w:pPr>
    </w:p>
    <w:p w14:paraId="353C008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ascii="黑体" w:hAnsi="黑体" w:eastAsia="黑体"/>
          <w:b w:val="0"/>
          <w:color w:val="auto"/>
          <w:highlight w:val="none"/>
        </w:rPr>
      </w:pPr>
      <w:bookmarkStart w:id="14" w:name="_Toc18925"/>
      <w:r>
        <w:rPr>
          <w:rStyle w:val="15"/>
          <w:rFonts w:hint="eastAsia" w:ascii="黑体" w:hAnsi="黑体" w:eastAsia="黑体"/>
          <w:b w:val="0"/>
          <w:color w:val="auto"/>
          <w:highlight w:val="none"/>
          <w:lang w:eastAsia="zh-CN"/>
        </w:rPr>
        <w:t>九、</w:t>
      </w:r>
      <w:r>
        <w:rPr>
          <w:rStyle w:val="15"/>
          <w:rFonts w:hint="eastAsia" w:ascii="黑体" w:hAnsi="黑体" w:eastAsia="黑体"/>
          <w:b w:val="0"/>
          <w:color w:val="auto"/>
          <w:highlight w:val="none"/>
        </w:rPr>
        <w:t>国有资本经营预算支出决算情况说明</w:t>
      </w:r>
      <w:bookmarkEnd w:id="14"/>
    </w:p>
    <w:p w14:paraId="3581D459">
      <w:pPr>
        <w:spacing w:line="60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14:paraId="1044E739">
      <w:pPr>
        <w:keepNext w:val="0"/>
        <w:keepLines w:val="0"/>
        <w:pageBreakBefore w:val="0"/>
        <w:widowControl w:val="0"/>
        <w:kinsoku/>
        <w:wordWrap/>
        <w:overflowPunct/>
        <w:topLinePunct w:val="0"/>
        <w:autoSpaceDE/>
        <w:autoSpaceDN/>
        <w:bidi w:val="0"/>
        <w:adjustRightInd/>
        <w:snapToGrid/>
        <w:spacing w:line="580" w:lineRule="exact"/>
        <w:ind w:firstLine="880" w:firstLineChars="200"/>
        <w:jc w:val="center"/>
        <w:textAlignment w:val="auto"/>
        <w:rPr>
          <w:rFonts w:ascii="方正小标宋简体" w:hAnsi="方正小标宋简体" w:eastAsia="方正小标宋简体" w:cs="方正小标宋简体"/>
          <w:color w:val="auto"/>
          <w:sz w:val="44"/>
          <w:szCs w:val="44"/>
          <w:highlight w:val="none"/>
        </w:rPr>
      </w:pPr>
    </w:p>
    <w:p w14:paraId="166F695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Style w:val="15"/>
          <w:rFonts w:hint="eastAsia" w:ascii="黑体" w:hAnsi="黑体" w:eastAsia="黑体"/>
          <w:b w:val="0"/>
          <w:color w:val="auto"/>
          <w:highlight w:val="none"/>
        </w:rPr>
      </w:pPr>
      <w:bookmarkStart w:id="15" w:name="_Toc9683"/>
      <w:r>
        <w:rPr>
          <w:rStyle w:val="15"/>
          <w:rFonts w:hint="eastAsia" w:ascii="黑体" w:hAnsi="黑体" w:eastAsia="黑体"/>
          <w:b w:val="0"/>
          <w:color w:val="auto"/>
          <w:highlight w:val="none"/>
          <w:lang w:eastAsia="zh-CN"/>
        </w:rPr>
        <w:t>十、</w:t>
      </w:r>
      <w:r>
        <w:rPr>
          <w:rStyle w:val="15"/>
          <w:rFonts w:hint="eastAsia" w:ascii="黑体" w:hAnsi="黑体" w:eastAsia="黑体"/>
          <w:b w:val="0"/>
          <w:color w:val="auto"/>
          <w:highlight w:val="none"/>
        </w:rPr>
        <w:t>其他重要事项的情况说明</w:t>
      </w:r>
      <w:bookmarkEnd w:id="15"/>
    </w:p>
    <w:p w14:paraId="2244C2FA">
      <w:pPr>
        <w:spacing w:line="600" w:lineRule="exact"/>
        <w:ind w:firstLine="643" w:firstLineChars="200"/>
        <w:outlineLvl w:val="2"/>
        <w:rPr>
          <w:rFonts w:ascii="仿宋" w:hAnsi="仿宋" w:eastAsia="仿宋"/>
          <w:color w:val="auto"/>
          <w:sz w:val="32"/>
          <w:szCs w:val="32"/>
          <w:highlight w:val="none"/>
        </w:rPr>
      </w:pPr>
      <w:r>
        <w:rPr>
          <w:rFonts w:hint="eastAsia" w:ascii="仿宋" w:hAnsi="仿宋" w:eastAsia="仿宋"/>
          <w:b/>
          <w:color w:val="auto"/>
          <w:sz w:val="32"/>
          <w:szCs w:val="32"/>
          <w:highlight w:val="none"/>
        </w:rPr>
        <w:t>（一）机关运行经费支出情况</w:t>
      </w:r>
    </w:p>
    <w:p w14:paraId="79257BD8">
      <w:pPr>
        <w:spacing w:line="600" w:lineRule="exact"/>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与</w:t>
      </w:r>
      <w:r>
        <w:rPr>
          <w:rFonts w:hint="eastAsia" w:ascii="仿宋_GB2312" w:eastAsia="仿宋_GB2312"/>
          <w:color w:val="auto"/>
          <w:sz w:val="32"/>
          <w:szCs w:val="32"/>
          <w:highlight w:val="none"/>
          <w:lang w:eastAsia="zh-CN"/>
        </w:rPr>
        <w:t>2022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决算数持平</w:t>
      </w:r>
      <w:r>
        <w:rPr>
          <w:rFonts w:hint="eastAsia" w:ascii="仿宋_GB2312" w:eastAsia="仿宋_GB2312"/>
          <w:color w:val="auto"/>
          <w:sz w:val="32"/>
          <w:szCs w:val="32"/>
          <w:highlight w:val="none"/>
          <w:lang w:eastAsia="zh-CN"/>
        </w:rPr>
        <w:t>。</w:t>
      </w:r>
    </w:p>
    <w:p w14:paraId="1C53721F">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p>
    <w:p w14:paraId="17E19000">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度</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政府采购支出总额18,542.35万元，其中：政府采购货物支出222.41万元、政府采购工程支出18,176.47万元、政府采购服务支出143.48万元。主要用于一线职工工作服和公务用车购置</w:t>
      </w:r>
      <w:r>
        <w:rPr>
          <w:rFonts w:hint="eastAsia" w:ascii="仿宋_GB2312" w:eastAsia="仿宋_GB2312"/>
          <w:color w:val="auto"/>
          <w:sz w:val="32"/>
          <w:szCs w:val="32"/>
          <w:highlight w:val="none"/>
          <w:lang w:val="en-US" w:eastAsia="zh-CN"/>
        </w:rPr>
        <w:t>及国省干线养护工程等项目</w:t>
      </w:r>
      <w:r>
        <w:rPr>
          <w:rFonts w:hint="eastAsia" w:ascii="仿宋_GB2312" w:eastAsia="仿宋_GB2312"/>
          <w:color w:val="auto"/>
          <w:sz w:val="32"/>
          <w:szCs w:val="32"/>
          <w:highlight w:val="none"/>
        </w:rPr>
        <w:t>。授予中小企业合同金额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，其中：授予小微企业合同金额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万元，占政府采购支出总额的</w:t>
      </w:r>
      <w:r>
        <w:rPr>
          <w:rFonts w:hint="eastAsia" w:ascii="仿宋_GB2312" w:eastAsia="仿宋_GB2312"/>
          <w:color w:val="auto"/>
          <w:sz w:val="32"/>
          <w:szCs w:val="32"/>
          <w:highlight w:val="none"/>
          <w:lang w:val="en-US" w:eastAsia="zh-CN"/>
        </w:rPr>
        <w:t>0</w:t>
      </w:r>
      <w:r>
        <w:rPr>
          <w:rFonts w:ascii="仿宋_GB2312" w:eastAsia="仿宋_GB2312"/>
          <w:color w:val="auto"/>
          <w:sz w:val="32"/>
          <w:szCs w:val="32"/>
          <w:highlight w:val="none"/>
        </w:rPr>
        <w:t>%</w:t>
      </w:r>
      <w:r>
        <w:rPr>
          <w:rFonts w:hint="eastAsia" w:ascii="仿宋_GB2312" w:eastAsia="仿宋_GB2312"/>
          <w:color w:val="auto"/>
          <w:sz w:val="32"/>
          <w:szCs w:val="32"/>
          <w:highlight w:val="none"/>
        </w:rPr>
        <w:t>。</w:t>
      </w:r>
    </w:p>
    <w:p w14:paraId="2E1C9A85">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（三）国有资产占有使用情况</w:t>
      </w:r>
    </w:p>
    <w:p w14:paraId="380FF4FF">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hint="eastAsia" w:ascii="仿宋_GB2312" w:eastAsia="仿宋_GB2312"/>
          <w:color w:val="auto"/>
          <w:sz w:val="32"/>
          <w:szCs w:val="32"/>
          <w:highlight w:val="none"/>
          <w:lang w:eastAsia="zh-CN"/>
        </w:rPr>
        <w:t>2023</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val="en-US" w:eastAsia="zh-CN"/>
        </w:rPr>
        <w:t>本单位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114</w:t>
      </w:r>
      <w:r>
        <w:rPr>
          <w:rFonts w:hint="eastAsia" w:ascii="仿宋_GB2312" w:eastAsia="仿宋_GB2312"/>
          <w:color w:val="auto"/>
          <w:sz w:val="32"/>
          <w:szCs w:val="32"/>
          <w:highlight w:val="none"/>
        </w:rPr>
        <w:t>辆，其中：应急保障用车</w:t>
      </w:r>
      <w:r>
        <w:rPr>
          <w:rFonts w:hint="eastAsia" w:ascii="仿宋_GB2312" w:eastAsia="仿宋_GB2312"/>
          <w:color w:val="auto"/>
          <w:sz w:val="32"/>
          <w:szCs w:val="32"/>
          <w:highlight w:val="none"/>
          <w:lang w:val="en-US" w:eastAsia="zh-CN"/>
        </w:rPr>
        <w:t>75</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39</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其他用车主要是用于</w:t>
      </w:r>
      <w:r>
        <w:rPr>
          <w:rFonts w:hint="eastAsia" w:ascii="仿宋_GB2312" w:eastAsia="仿宋_GB2312"/>
          <w:color w:val="auto"/>
          <w:sz w:val="32"/>
          <w:szCs w:val="32"/>
          <w:highlight w:val="none"/>
          <w:lang w:val="en-US" w:eastAsia="zh-CN"/>
        </w:rPr>
        <w:t>公路养护</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eastAsia="zh-CN"/>
        </w:rPr>
        <w:t>（不含车辆）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14:paraId="441C5A94">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14:paraId="0314E193">
      <w:pPr>
        <w:spacing w:line="600" w:lineRule="exact"/>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s="Times New Roman"/>
          <w:color w:val="auto"/>
          <w:sz w:val="32"/>
          <w:szCs w:val="32"/>
          <w:highlight w:val="none"/>
          <w:lang w:val="en-US" w:eastAsia="zh-CN"/>
        </w:rPr>
        <w:t>2023年本单位不涉及项目绩效自评，故无项目绩效自评表</w:t>
      </w:r>
      <w:r>
        <w:rPr>
          <w:rFonts w:hint="eastAsia" w:ascii="仿宋_GB2312" w:hAnsi="Times New Roman" w:eastAsia="仿宋_GB2312" w:cs="Times New Roman"/>
          <w:color w:val="auto"/>
          <w:sz w:val="32"/>
          <w:szCs w:val="32"/>
          <w:highlight w:val="none"/>
          <w:lang w:val="en-US" w:eastAsia="zh-CN"/>
        </w:rPr>
        <w:t>。</w:t>
      </w:r>
    </w:p>
    <w:p w14:paraId="51C3648E">
      <w:pPr>
        <w:spacing w:line="600" w:lineRule="exact"/>
        <w:ind w:firstLine="640" w:firstLineChars="200"/>
        <w:rPr>
          <w:rFonts w:hint="eastAsia" w:ascii="仿宋_GB2312" w:hAnsi="Times New Roman" w:eastAsia="仿宋_GB2312" w:cs="Times New Roman"/>
          <w:color w:val="auto"/>
          <w:sz w:val="32"/>
          <w:szCs w:val="32"/>
          <w:highlight w:val="none"/>
          <w:lang w:eastAsia="zh-CN"/>
        </w:rPr>
      </w:pPr>
      <w:r>
        <w:rPr>
          <w:rFonts w:hint="eastAsia" w:ascii="仿宋_GB2312" w:hAnsi="Times New Roman" w:eastAsia="仿宋_GB2312" w:cs="Times New Roman"/>
          <w:color w:val="auto"/>
          <w:sz w:val="32"/>
          <w:szCs w:val="32"/>
          <w:highlight w:val="none"/>
          <w:lang w:eastAsia="zh-CN"/>
        </w:rPr>
        <w:br w:type="page"/>
      </w:r>
    </w:p>
    <w:p w14:paraId="6800AAE3">
      <w:pPr>
        <w:numPr>
          <w:ilvl w:val="0"/>
          <w:numId w:val="0"/>
        </w:numPr>
        <w:spacing w:line="600" w:lineRule="exact"/>
        <w:jc w:val="center"/>
        <w:outlineLvl w:val="0"/>
        <w:rPr>
          <w:rStyle w:val="14"/>
          <w:rFonts w:ascii="黑体" w:hAnsi="黑体" w:eastAsia="黑体"/>
          <w:b w:val="0"/>
          <w:color w:val="auto"/>
          <w:highlight w:val="none"/>
        </w:rPr>
      </w:pPr>
      <w:bookmarkStart w:id="16" w:name="_Toc5316"/>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4"/>
          <w:rFonts w:hint="eastAsia" w:ascii="黑体" w:hAnsi="黑体" w:eastAsia="黑体"/>
          <w:b w:val="0"/>
          <w:color w:val="auto"/>
          <w:highlight w:val="none"/>
        </w:rPr>
        <w:t>词解释</w:t>
      </w:r>
      <w:bookmarkEnd w:id="16"/>
    </w:p>
    <w:p w14:paraId="30163893">
      <w:pPr>
        <w:spacing w:line="600" w:lineRule="exact"/>
        <w:jc w:val="left"/>
        <w:rPr>
          <w:rFonts w:ascii="宋体"/>
          <w:b/>
          <w:color w:val="auto"/>
          <w:sz w:val="44"/>
          <w:szCs w:val="44"/>
          <w:highlight w:val="none"/>
        </w:rPr>
      </w:pPr>
    </w:p>
    <w:p w14:paraId="36001156">
      <w:pPr>
        <w:pStyle w:val="17"/>
        <w:spacing w:line="560" w:lineRule="exact"/>
        <w:ind w:firstLine="640" w:firstLineChars="200"/>
        <w:outlineLvl w:val="1"/>
        <w:rPr>
          <w:rFonts w:ascii="仿宋_GB2312" w:eastAsia="仿宋_GB2312"/>
          <w:color w:val="auto"/>
          <w:sz w:val="32"/>
          <w:szCs w:val="32"/>
          <w:highlight w:val="none"/>
        </w:rPr>
      </w:pPr>
      <w:bookmarkStart w:id="17" w:name="_Toc25144"/>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取得的财政预算资金。</w:t>
      </w:r>
      <w:bookmarkEnd w:id="17"/>
    </w:p>
    <w:p w14:paraId="2B1E4D6D">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rPr>
        <w:t>事业收入：指事业单位开展专业业务活动及辅助活动取得的收入。</w:t>
      </w:r>
    </w:p>
    <w:p w14:paraId="51B16860">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3.</w:t>
      </w:r>
      <w:r>
        <w:rPr>
          <w:rFonts w:hint="eastAsia" w:ascii="仿宋_GB2312" w:eastAsia="仿宋_GB2312"/>
          <w:color w:val="auto"/>
          <w:sz w:val="32"/>
          <w:szCs w:val="32"/>
          <w:highlight w:val="none"/>
        </w:rPr>
        <w:t>经营收入：指事业单位在专业业务活动及其辅助活动之外开展非独立核算经营活动取得的收入。</w:t>
      </w:r>
    </w:p>
    <w:p w14:paraId="183A8D88">
      <w:pPr>
        <w:pStyle w:val="17"/>
        <w:spacing w:line="560" w:lineRule="exact"/>
        <w:ind w:firstLine="640" w:firstLineChars="200"/>
        <w:outlineLvl w:val="1"/>
        <w:rPr>
          <w:rFonts w:ascii="仿宋_GB2312" w:eastAsia="仿宋_GB2312"/>
          <w:color w:val="auto"/>
          <w:sz w:val="32"/>
          <w:szCs w:val="32"/>
          <w:highlight w:val="none"/>
        </w:rPr>
      </w:pPr>
      <w:bookmarkStart w:id="18" w:name="_Toc1142"/>
      <w:r>
        <w:rPr>
          <w:rFonts w:ascii="仿宋_GB2312" w:eastAsia="仿宋_GB2312"/>
          <w:color w:val="auto"/>
          <w:sz w:val="32"/>
          <w:szCs w:val="32"/>
          <w:highlight w:val="none"/>
        </w:rPr>
        <w:t>4.</w:t>
      </w:r>
      <w:r>
        <w:rPr>
          <w:rFonts w:hint="eastAsia" w:ascii="仿宋_GB2312" w:eastAsia="仿宋_GB2312"/>
          <w:color w:val="auto"/>
          <w:sz w:val="32"/>
          <w:szCs w:val="32"/>
          <w:highlight w:val="none"/>
        </w:rPr>
        <w:t>其他收入：指单位取得的除上述收入以外的各项收入。</w:t>
      </w:r>
      <w:bookmarkEnd w:id="18"/>
      <w:r>
        <w:rPr>
          <w:rFonts w:ascii="仿宋_GB2312" w:eastAsia="仿宋_GB2312"/>
          <w:color w:val="auto"/>
          <w:sz w:val="32"/>
          <w:szCs w:val="32"/>
          <w:highlight w:val="none"/>
        </w:rPr>
        <w:t xml:space="preserve"> </w:t>
      </w:r>
    </w:p>
    <w:p w14:paraId="1256C8E9">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5.</w:t>
      </w:r>
      <w:r>
        <w:rPr>
          <w:rFonts w:hint="eastAsia" w:ascii="仿宋_GB2312" w:hAnsi="华文中宋" w:eastAsia="仿宋_GB2312"/>
          <w:sz w:val="32"/>
          <w:szCs w:val="32"/>
          <w:u w:val="none"/>
          <w:lang w:eastAsia="zh-CN"/>
        </w:rPr>
        <w:t>使用非财政拨款结余（含专用结余）</w:t>
      </w:r>
      <w:r>
        <w:rPr>
          <w:rFonts w:hint="eastAsia" w:ascii="仿宋_GB2312" w:eastAsia="仿宋_GB2312"/>
          <w:color w:val="auto"/>
          <w:sz w:val="32"/>
          <w:szCs w:val="32"/>
          <w:highlight w:val="none"/>
        </w:rPr>
        <w:t>：指事业单位</w:t>
      </w:r>
      <w:r>
        <w:rPr>
          <w:rFonts w:hint="eastAsia" w:ascii="仿宋_GB2312" w:eastAsia="仿宋_GB2312"/>
          <w:color w:val="auto"/>
          <w:sz w:val="32"/>
          <w:szCs w:val="32"/>
          <w:highlight w:val="none"/>
          <w:lang w:eastAsia="zh-CN"/>
        </w:rPr>
        <w:t>使用以前年度积累的非财政拨款结余弥补当年收支差额的金额。</w:t>
      </w:r>
      <w:r>
        <w:rPr>
          <w:rFonts w:ascii="仿宋_GB2312" w:eastAsia="仿宋_GB2312"/>
          <w:color w:val="auto"/>
          <w:sz w:val="32"/>
          <w:szCs w:val="32"/>
          <w:highlight w:val="none"/>
        </w:rPr>
        <w:t xml:space="preserve"> </w:t>
      </w:r>
    </w:p>
    <w:p w14:paraId="036EAE57">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6.</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14:paraId="0DF7BE3D">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7.</w:t>
      </w:r>
      <w:r>
        <w:rPr>
          <w:rFonts w:hint="eastAsia" w:ascii="仿宋_GB2312" w:eastAsia="仿宋_GB2312"/>
          <w:color w:val="auto"/>
          <w:sz w:val="32"/>
          <w:szCs w:val="32"/>
          <w:highlight w:val="none"/>
        </w:rPr>
        <w:t>结余分配：指事业单位按照会计制度规定</w:t>
      </w:r>
      <w:r>
        <w:rPr>
          <w:rFonts w:hint="eastAsia" w:ascii="仿宋_GB2312" w:eastAsia="仿宋_GB2312"/>
          <w:color w:val="auto"/>
          <w:sz w:val="32"/>
          <w:szCs w:val="32"/>
          <w:highlight w:val="none"/>
          <w:lang w:eastAsia="zh-CN"/>
        </w:rPr>
        <w:t>缴纳的所得税、提取的专用结余以及转入非财政拨款结余的金额</w:t>
      </w:r>
      <w:r>
        <w:rPr>
          <w:rFonts w:hint="eastAsia" w:ascii="仿宋_GB2312" w:eastAsia="仿宋_GB2312"/>
          <w:color w:val="auto"/>
          <w:sz w:val="32"/>
          <w:szCs w:val="32"/>
          <w:highlight w:val="none"/>
        </w:rPr>
        <w:t>等。</w:t>
      </w:r>
    </w:p>
    <w:p w14:paraId="5494865E">
      <w:pPr>
        <w:pStyle w:val="1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8</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14:paraId="109D9DE1">
      <w:pPr>
        <w:ind w:firstLine="640" w:firstLineChars="200"/>
        <w:rPr>
          <w:rFonts w:hint="eastAsia" w:ascii="仿宋_GB2312" w:eastAsia="仿宋_GB2312"/>
          <w:color w:val="auto"/>
          <w:sz w:val="32"/>
          <w:szCs w:val="32"/>
          <w:highlight w:val="none"/>
        </w:rPr>
      </w:pPr>
      <w:r>
        <w:rPr>
          <w:rFonts w:ascii="仿宋_GB2312" w:eastAsia="仿宋_GB2312"/>
          <w:color w:val="auto"/>
          <w:sz w:val="32"/>
          <w:szCs w:val="32"/>
          <w:highlight w:val="none"/>
        </w:rPr>
        <w:t>9.</w:t>
      </w:r>
      <w:r>
        <w:rPr>
          <w:rFonts w:hint="eastAsia" w:ascii="仿宋_GB2312" w:eastAsia="仿宋_GB2312"/>
          <w:color w:val="auto"/>
          <w:sz w:val="32"/>
          <w:szCs w:val="32"/>
          <w:highlight w:val="none"/>
        </w:rPr>
        <w:t>社会保障和就业支出（类）行政事业单位养老支出（款）机关事业单位基本养老保险缴费支出（项）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反映机关事业单位实施养老保险制度由单位缴纳的基本养老保险费支出。</w:t>
      </w:r>
    </w:p>
    <w:p w14:paraId="7A1537A9">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10</w:t>
      </w:r>
      <w:r>
        <w:rPr>
          <w:rFonts w:hint="eastAsia" w:ascii="仿宋_GB2312" w:eastAsia="仿宋_GB2312"/>
          <w:color w:val="auto"/>
          <w:sz w:val="32"/>
          <w:szCs w:val="32"/>
          <w:highlight w:val="none"/>
        </w:rPr>
        <w:t>.社会保障和就业支出（类）行政事业单位养老支出（款）机关事业单位职业年金缴费支出（项）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指反映机关事业单位实施养老保险制度由单位实际缴纳的职业年金支出</w:t>
      </w:r>
      <w:r>
        <w:rPr>
          <w:rFonts w:hint="eastAsia" w:ascii="仿宋_GB2312" w:eastAsia="仿宋_GB2312"/>
          <w:color w:val="auto"/>
          <w:sz w:val="32"/>
          <w:szCs w:val="32"/>
          <w:highlight w:val="none"/>
        </w:rPr>
        <w:t>。</w:t>
      </w:r>
    </w:p>
    <w:p w14:paraId="3EC7EFE3">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11</w:t>
      </w:r>
      <w:r>
        <w:rPr>
          <w:rFonts w:hint="eastAsia" w:ascii="仿宋_GB2312" w:eastAsia="仿宋_GB2312"/>
          <w:color w:val="auto"/>
          <w:sz w:val="32"/>
          <w:szCs w:val="32"/>
          <w:highlight w:val="none"/>
        </w:rPr>
        <w:t>.卫生健康支出（类）行政事业单位医疗（款）事业单位医疗（项）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 xml:space="preserve"> </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反映财政部门安排的事业单位基本医疗保险缴费经费，未参加医疗保险的事业单位的公费医疗经费，按国家规定享受离休 人员待遇的医疗经费。</w:t>
      </w:r>
    </w:p>
    <w:p w14:paraId="54C5DC82">
      <w:pPr>
        <w:ind w:firstLine="640" w:firstLineChars="200"/>
        <w:rPr>
          <w:rFonts w:hint="eastAsia" w:ascii="仿宋_GB2312" w:hAnsi="Times New Roman" w:eastAsia="仿宋_GB2312" w:cs="Times New Roman"/>
          <w:color w:val="auto"/>
          <w:sz w:val="32"/>
          <w:szCs w:val="32"/>
          <w:highlight w:val="none"/>
          <w:lang w:val="en-US" w:eastAsia="zh-CN"/>
        </w:rPr>
      </w:pP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.卫生健康支出（类）行政事业单位医疗（款）其他行政事业单位医疗支出（项）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反映除上述项目以外的其</w:t>
      </w:r>
      <w:r>
        <w:rPr>
          <w:rFonts w:hint="eastAsia" w:ascii="仿宋_GB2312" w:hAnsi="Times New Roman" w:eastAsia="仿宋_GB2312" w:cs="Times New Roman"/>
          <w:color w:val="auto"/>
          <w:sz w:val="32"/>
          <w:szCs w:val="32"/>
          <w:highlight w:val="none"/>
          <w:lang w:val="en-US" w:eastAsia="zh-CN"/>
        </w:rPr>
        <w:t>他用于行政事业单位医疗方面的支出。</w:t>
      </w:r>
    </w:p>
    <w:p w14:paraId="08E2716F">
      <w:pPr>
        <w:ind w:firstLine="640" w:firstLineChars="200"/>
        <w:rPr>
          <w:rFonts w:hint="default"/>
          <w:lang w:val="en-US"/>
        </w:rPr>
      </w:pPr>
      <w:r>
        <w:rPr>
          <w:rFonts w:hint="eastAsia" w:ascii="仿宋_GB2312" w:hAnsi="Times New Roman" w:eastAsia="仿宋_GB2312" w:cs="Times New Roman"/>
          <w:color w:val="auto"/>
          <w:sz w:val="32"/>
          <w:szCs w:val="32"/>
          <w:highlight w:val="none"/>
          <w:lang w:val="en-US" w:eastAsia="zh-CN"/>
        </w:rPr>
        <w:t>13.交通运输支</w:t>
      </w:r>
      <w:r>
        <w:rPr>
          <w:rFonts w:hint="eastAsia" w:ascii="仿宋_GB2312" w:hAnsi="Times New Roman" w:eastAsia="仿宋_GB2312" w:cs="Times New Roman"/>
          <w:color w:val="auto"/>
          <w:kern w:val="2"/>
          <w:sz w:val="32"/>
          <w:szCs w:val="32"/>
          <w:highlight w:val="none"/>
          <w:lang w:val="en-US" w:eastAsia="zh-CN" w:bidi="ar-SA"/>
        </w:rPr>
        <w:t>出（类）公路水路运输（款）公路建设（项）：指反映新建公路支出，公路改建支出，特大型桥梁建设支出，公路客货运站(场)建设支出。</w:t>
      </w:r>
    </w:p>
    <w:p w14:paraId="7A2A16DF">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rPr>
        <w:t>.交通运输支出（类）公路水路运输（款）公路养护（项）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反映公路养护支出。</w:t>
      </w:r>
    </w:p>
    <w:p w14:paraId="162873A6">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15</w:t>
      </w:r>
      <w:r>
        <w:rPr>
          <w:rFonts w:hint="eastAsia" w:ascii="仿宋_GB2312" w:eastAsia="仿宋_GB2312"/>
          <w:color w:val="auto"/>
          <w:sz w:val="32"/>
          <w:szCs w:val="32"/>
          <w:highlight w:val="none"/>
        </w:rPr>
        <w:t>.交通运输支出（类）公路水路运输（款）其他公路水路运输支出（项）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反映除上述项目以外其他用于公路水路运输方面的支出。</w:t>
      </w:r>
    </w:p>
    <w:p w14:paraId="421EDBE6">
      <w:pPr>
        <w:pStyle w:val="2"/>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w:t>
      </w:r>
      <w:r>
        <w:rPr>
          <w:rFonts w:hint="eastAsia"/>
          <w:color w:val="auto"/>
          <w:sz w:val="32"/>
          <w:szCs w:val="32"/>
          <w:highlight w:val="none"/>
          <w:lang w:val="en-US" w:eastAsia="zh-CN"/>
        </w:rPr>
        <w:t>6</w:t>
      </w:r>
      <w:r>
        <w:rPr>
          <w:rFonts w:hint="eastAsia" w:ascii="仿宋_GB2312" w:eastAsia="仿宋_GB2312"/>
          <w:color w:val="auto"/>
          <w:sz w:val="32"/>
          <w:szCs w:val="32"/>
          <w:highlight w:val="none"/>
        </w:rPr>
        <w:t>.交通运输支出（类）车辆购置税支出（款）车辆购置税用于公路等基础设施建设支出（项）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指反映车辆购置税收入安排用于公路等基础设施建设的支出</w:t>
      </w:r>
      <w:r>
        <w:rPr>
          <w:rFonts w:hint="eastAsia"/>
          <w:color w:val="auto"/>
          <w:sz w:val="32"/>
          <w:szCs w:val="32"/>
          <w:highlight w:val="none"/>
          <w:lang w:val="en-US" w:eastAsia="zh-CN"/>
        </w:rPr>
        <w:t>。</w:t>
      </w:r>
    </w:p>
    <w:p w14:paraId="60F95138">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17</w:t>
      </w:r>
      <w:r>
        <w:rPr>
          <w:rFonts w:hint="eastAsia" w:ascii="仿宋_GB2312" w:eastAsia="仿宋_GB2312"/>
          <w:color w:val="auto"/>
          <w:sz w:val="32"/>
          <w:szCs w:val="32"/>
          <w:highlight w:val="none"/>
        </w:rPr>
        <w:t>.交通运输支出（类）其他交通运输支出（款）其他交通运输支出（项）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指反映其他交通运输支出中除对公共交通运营补助以外的其他支出。</w:t>
      </w:r>
    </w:p>
    <w:p w14:paraId="7783E281">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18.</w:t>
      </w:r>
      <w:r>
        <w:rPr>
          <w:rFonts w:hint="eastAsia" w:ascii="仿宋_GB2312" w:eastAsia="仿宋_GB2312"/>
          <w:color w:val="auto"/>
          <w:sz w:val="32"/>
          <w:szCs w:val="32"/>
          <w:highlight w:val="none"/>
        </w:rPr>
        <w:t>住房保障支出（类）住房改革支出（款）住房公积金（项）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指</w:t>
      </w:r>
      <w:r>
        <w:rPr>
          <w:rFonts w:hint="eastAsia" w:ascii="仿宋_GB2312" w:eastAsia="仿宋_GB2312"/>
          <w:color w:val="auto"/>
          <w:sz w:val="32"/>
          <w:szCs w:val="32"/>
          <w:highlight w:val="none"/>
        </w:rPr>
        <w:t>反映行政事业单位按人力资源和社会保障部、财政部规定的 基本工资和津贴补贴以及规定比例为职工缴纳的住房公积金</w:t>
      </w:r>
      <w:r>
        <w:rPr>
          <w:rFonts w:hint="eastAsia" w:ascii="仿宋_GB2312" w:eastAsia="仿宋_GB2312"/>
          <w:color w:val="auto"/>
          <w:sz w:val="32"/>
          <w:szCs w:val="32"/>
          <w:highlight w:val="none"/>
          <w:lang w:val="en-US" w:eastAsia="zh-CN"/>
        </w:rPr>
        <w:t>。</w:t>
      </w:r>
    </w:p>
    <w:p w14:paraId="58272EFA">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14:paraId="035A3ACE">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20</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14:paraId="4328632A">
      <w:pPr>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w:t>
      </w:r>
      <w:r>
        <w:rPr>
          <w:rFonts w:hint="eastAsia" w:ascii="仿宋_GB2312" w:eastAsia="仿宋_GB2312"/>
          <w:color w:val="auto"/>
          <w:sz w:val="32"/>
          <w:szCs w:val="32"/>
          <w:highlight w:val="none"/>
          <w:lang w:val="en-US" w:eastAsia="zh-CN"/>
        </w:rPr>
        <w:t>1</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经营支出：指事业单位在专业业务活动及其辅助活动之外开展非独立核算经营活动发生的支出。</w:t>
      </w:r>
    </w:p>
    <w:p w14:paraId="180B37EA">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0A524DDB">
      <w:pPr>
        <w:pStyle w:val="1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23</w:t>
      </w:r>
      <w:r>
        <w:rPr>
          <w:rFonts w:ascii="仿宋_GB2312" w:eastAsia="仿宋_GB2312"/>
          <w:color w:val="auto"/>
          <w:sz w:val="32"/>
          <w:szCs w:val="32"/>
          <w:highlight w:val="none"/>
        </w:rPr>
        <w:t>.</w:t>
      </w: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9569F0D">
      <w:pPr>
        <w:spacing w:line="600" w:lineRule="exact"/>
        <w:jc w:val="center"/>
        <w:outlineLvl w:val="0"/>
        <w:rPr>
          <w:rStyle w:val="14"/>
          <w:rFonts w:ascii="黑体" w:hAnsi="黑体" w:eastAsia="黑体"/>
          <w:b w:val="0"/>
          <w:color w:val="auto"/>
          <w:highlight w:val="none"/>
        </w:rPr>
      </w:pPr>
      <w:r>
        <w:rPr>
          <w:rFonts w:ascii="宋体"/>
          <w:b/>
          <w:color w:val="auto"/>
          <w:sz w:val="44"/>
          <w:szCs w:val="44"/>
          <w:highlight w:val="none"/>
        </w:rPr>
        <w:br w:type="page"/>
      </w:r>
      <w:bookmarkStart w:id="19" w:name="_Toc12703"/>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四部分 附件</w:t>
      </w:r>
      <w:bookmarkEnd w:id="19"/>
    </w:p>
    <w:p w14:paraId="5E762D61">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14:paraId="47EE0DE8">
      <w:pPr>
        <w:pStyle w:val="6"/>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Calibri" w:eastAsia="仿宋_GB2312" w:cs="仿宋"/>
          <w:color w:val="auto"/>
          <w:sz w:val="32"/>
          <w:szCs w:val="32"/>
          <w:highlight w:val="none"/>
          <w:lang w:val="zh-CN" w:eastAsia="zh-CN" w:bidi="ar-SA"/>
        </w:rPr>
      </w:pPr>
      <w:r>
        <w:rPr>
          <w:rFonts w:hint="eastAsia" w:cs="Times New Roman"/>
          <w:sz w:val="32"/>
          <w:szCs w:val="32"/>
          <w:highlight w:val="none"/>
          <w:lang w:val="en-US" w:eastAsia="zh-CN"/>
        </w:rPr>
        <w:t>2023年四川省阿坝州公路管理局（本级）无单位</w:t>
      </w:r>
      <w:r>
        <w:rPr>
          <w:rFonts w:hint="eastAsia" w:hAnsi="Times New Roman" w:cs="Times New Roman"/>
          <w:sz w:val="32"/>
          <w:szCs w:val="32"/>
          <w:highlight w:val="none"/>
          <w:lang w:val="en-US" w:eastAsia="zh-CN"/>
        </w:rPr>
        <w:t>预算项目支出绩效自评表。</w:t>
      </w:r>
    </w:p>
    <w:p w14:paraId="52992234">
      <w:pPr>
        <w:pStyle w:val="2"/>
        <w:rPr>
          <w:rFonts w:hint="eastAsia" w:ascii="仿宋_GB2312" w:hAnsi="Calibri" w:eastAsia="仿宋_GB2312" w:cs="仿宋"/>
          <w:color w:val="auto"/>
          <w:kern w:val="0"/>
          <w:sz w:val="32"/>
          <w:szCs w:val="32"/>
          <w:highlight w:val="none"/>
          <w:lang w:val="en-US" w:eastAsia="zh-CN" w:bidi="ar-SA"/>
        </w:rPr>
      </w:pPr>
    </w:p>
    <w:p w14:paraId="45EA2B04">
      <w:pPr>
        <w:pStyle w:val="2"/>
        <w:rPr>
          <w:rFonts w:hint="eastAsia" w:ascii="仿宋_GB2312" w:hAnsi="Calibri" w:eastAsia="仿宋_GB2312" w:cs="仿宋"/>
          <w:color w:val="auto"/>
          <w:kern w:val="0"/>
          <w:sz w:val="32"/>
          <w:szCs w:val="32"/>
          <w:highlight w:val="none"/>
          <w:lang w:val="en-US" w:eastAsia="zh-CN" w:bidi="ar-SA"/>
        </w:rPr>
      </w:pPr>
    </w:p>
    <w:p w14:paraId="59218C7D">
      <w:pPr>
        <w:pStyle w:val="2"/>
        <w:rPr>
          <w:rFonts w:hint="eastAsia" w:ascii="仿宋_GB2312" w:hAnsi="Calibri" w:eastAsia="仿宋_GB2312" w:cs="仿宋"/>
          <w:color w:val="auto"/>
          <w:kern w:val="0"/>
          <w:sz w:val="32"/>
          <w:szCs w:val="32"/>
          <w:highlight w:val="none"/>
          <w:lang w:val="en-US" w:eastAsia="zh-CN" w:bidi="ar-SA"/>
        </w:rPr>
      </w:pPr>
    </w:p>
    <w:p w14:paraId="32DD5F8C">
      <w:pPr>
        <w:pStyle w:val="2"/>
        <w:rPr>
          <w:rFonts w:hint="eastAsia" w:ascii="仿宋_GB2312" w:hAnsi="Calibri" w:eastAsia="仿宋_GB2312" w:cs="仿宋"/>
          <w:color w:val="auto"/>
          <w:kern w:val="0"/>
          <w:sz w:val="32"/>
          <w:szCs w:val="32"/>
          <w:highlight w:val="none"/>
          <w:lang w:val="en-US" w:eastAsia="zh-CN" w:bidi="ar-SA"/>
        </w:rPr>
      </w:pPr>
    </w:p>
    <w:p w14:paraId="51A0E7F2">
      <w:pPr>
        <w:pStyle w:val="2"/>
        <w:rPr>
          <w:rFonts w:hint="eastAsia" w:ascii="仿宋_GB2312" w:hAnsi="Calibri" w:eastAsia="仿宋_GB2312" w:cs="仿宋"/>
          <w:color w:val="auto"/>
          <w:kern w:val="0"/>
          <w:sz w:val="32"/>
          <w:szCs w:val="32"/>
          <w:highlight w:val="none"/>
          <w:lang w:val="en-US" w:eastAsia="zh-CN" w:bidi="ar-SA"/>
        </w:rPr>
      </w:pPr>
    </w:p>
    <w:p w14:paraId="2F9EABED">
      <w:pPr>
        <w:pStyle w:val="2"/>
        <w:rPr>
          <w:rFonts w:hint="eastAsia" w:ascii="仿宋_GB2312" w:hAnsi="Calibri" w:eastAsia="仿宋_GB2312" w:cs="仿宋"/>
          <w:color w:val="auto"/>
          <w:kern w:val="0"/>
          <w:sz w:val="32"/>
          <w:szCs w:val="32"/>
          <w:highlight w:val="none"/>
          <w:lang w:val="en-US" w:eastAsia="zh-CN" w:bidi="ar-SA"/>
        </w:rPr>
      </w:pPr>
    </w:p>
    <w:p w14:paraId="445BC45D">
      <w:pPr>
        <w:pStyle w:val="2"/>
        <w:rPr>
          <w:rFonts w:hint="eastAsia" w:ascii="仿宋_GB2312" w:hAnsi="Calibri" w:eastAsia="仿宋_GB2312" w:cs="仿宋"/>
          <w:color w:val="auto"/>
          <w:kern w:val="0"/>
          <w:sz w:val="32"/>
          <w:szCs w:val="32"/>
          <w:highlight w:val="none"/>
          <w:lang w:val="en-US" w:eastAsia="zh-CN" w:bidi="ar-SA"/>
        </w:rPr>
      </w:pPr>
    </w:p>
    <w:p w14:paraId="13478A01">
      <w:pPr>
        <w:pStyle w:val="2"/>
        <w:rPr>
          <w:rFonts w:hint="eastAsia" w:ascii="仿宋_GB2312" w:hAnsi="Calibri" w:eastAsia="仿宋_GB2312" w:cs="仿宋"/>
          <w:color w:val="auto"/>
          <w:kern w:val="0"/>
          <w:sz w:val="32"/>
          <w:szCs w:val="32"/>
          <w:highlight w:val="none"/>
          <w:lang w:val="en-US" w:eastAsia="zh-CN" w:bidi="ar-SA"/>
        </w:rPr>
      </w:pPr>
    </w:p>
    <w:p w14:paraId="059FB36A">
      <w:pPr>
        <w:pStyle w:val="2"/>
        <w:rPr>
          <w:rFonts w:hint="eastAsia" w:ascii="仿宋_GB2312" w:hAnsi="Calibri" w:eastAsia="仿宋_GB2312" w:cs="仿宋"/>
          <w:color w:val="auto"/>
          <w:kern w:val="0"/>
          <w:sz w:val="32"/>
          <w:szCs w:val="32"/>
          <w:highlight w:val="none"/>
          <w:lang w:val="en-US" w:eastAsia="zh-CN" w:bidi="ar-SA"/>
        </w:rPr>
      </w:pPr>
    </w:p>
    <w:p w14:paraId="6C24145E">
      <w:pPr>
        <w:pStyle w:val="2"/>
        <w:rPr>
          <w:rFonts w:hint="eastAsia" w:ascii="仿宋_GB2312" w:hAnsi="Calibri" w:eastAsia="仿宋_GB2312" w:cs="仿宋"/>
          <w:color w:val="auto"/>
          <w:kern w:val="0"/>
          <w:sz w:val="32"/>
          <w:szCs w:val="32"/>
          <w:highlight w:val="none"/>
          <w:lang w:val="en-US" w:eastAsia="zh-CN" w:bidi="ar-SA"/>
        </w:rPr>
      </w:pPr>
    </w:p>
    <w:p w14:paraId="7ABB2949">
      <w:pPr>
        <w:pStyle w:val="2"/>
        <w:rPr>
          <w:rFonts w:hint="eastAsia" w:ascii="仿宋_GB2312" w:hAnsi="Calibri" w:eastAsia="仿宋_GB2312" w:cs="仿宋"/>
          <w:color w:val="auto"/>
          <w:kern w:val="0"/>
          <w:sz w:val="32"/>
          <w:szCs w:val="32"/>
          <w:highlight w:val="none"/>
          <w:lang w:val="en-US" w:eastAsia="zh-CN" w:bidi="ar-SA"/>
        </w:rPr>
      </w:pPr>
    </w:p>
    <w:p w14:paraId="42E9F776">
      <w:pPr>
        <w:pStyle w:val="2"/>
        <w:rPr>
          <w:rFonts w:hint="eastAsia" w:ascii="仿宋_GB2312" w:hAnsi="Calibri" w:eastAsia="仿宋_GB2312" w:cs="仿宋"/>
          <w:color w:val="auto"/>
          <w:kern w:val="0"/>
          <w:sz w:val="32"/>
          <w:szCs w:val="32"/>
          <w:highlight w:val="none"/>
          <w:lang w:val="en-US" w:eastAsia="zh-CN" w:bidi="ar-SA"/>
        </w:rPr>
      </w:pPr>
    </w:p>
    <w:p w14:paraId="13799EBF">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14:paraId="6A6F79BC">
      <w:pPr>
        <w:spacing w:line="600" w:lineRule="exact"/>
        <w:jc w:val="center"/>
        <w:outlineLvl w:val="0"/>
        <w:rPr>
          <w:rFonts w:hint="eastAsia" w:ascii="仿宋" w:hAnsi="仿宋" w:eastAsia="仿宋"/>
          <w:b w:val="0"/>
          <w:color w:val="auto"/>
          <w:highlight w:val="none"/>
        </w:rPr>
      </w:pPr>
      <w:bookmarkStart w:id="20" w:name="_Toc4966"/>
      <w:r>
        <w:rPr>
          <w:rFonts w:hint="eastAsia" w:ascii="黑体" w:hAnsi="黑体" w:eastAsia="黑体"/>
          <w:color w:val="auto"/>
          <w:sz w:val="44"/>
          <w:szCs w:val="44"/>
          <w:highlight w:val="none"/>
        </w:rPr>
        <w:t>第</w:t>
      </w:r>
      <w:r>
        <w:rPr>
          <w:rStyle w:val="14"/>
          <w:rFonts w:hint="eastAsia" w:ascii="黑体" w:hAnsi="黑体" w:eastAsia="黑体"/>
          <w:b w:val="0"/>
          <w:color w:val="auto"/>
          <w:highlight w:val="none"/>
        </w:rPr>
        <w:t>五部分 附表</w:t>
      </w:r>
      <w:bookmarkEnd w:id="20"/>
    </w:p>
    <w:p w14:paraId="61289A9C">
      <w:pPr>
        <w:pStyle w:val="4"/>
        <w:rPr>
          <w:rFonts w:ascii="仿宋" w:hAnsi="仿宋" w:eastAsia="仿宋"/>
          <w:color w:val="auto"/>
          <w:highlight w:val="none"/>
        </w:rPr>
      </w:pPr>
      <w:bookmarkStart w:id="21" w:name="_Toc891"/>
      <w:r>
        <w:rPr>
          <w:rFonts w:hint="eastAsia" w:ascii="仿宋" w:hAnsi="仿宋" w:eastAsia="仿宋"/>
          <w:b w:val="0"/>
          <w:color w:val="auto"/>
          <w:highlight w:val="none"/>
        </w:rPr>
        <w:t>一、收</w:t>
      </w:r>
      <w:r>
        <w:rPr>
          <w:rStyle w:val="15"/>
          <w:rFonts w:hint="eastAsia" w:ascii="仿宋" w:hAnsi="仿宋" w:eastAsia="仿宋"/>
          <w:b w:val="0"/>
          <w:bCs w:val="0"/>
          <w:color w:val="auto"/>
          <w:highlight w:val="none"/>
        </w:rPr>
        <w:t>入支出决算总表</w:t>
      </w:r>
      <w:bookmarkEnd w:id="21"/>
    </w:p>
    <w:p w14:paraId="3804AD5F">
      <w:pPr>
        <w:pStyle w:val="4"/>
        <w:rPr>
          <w:rFonts w:ascii="仿宋" w:hAnsi="仿宋" w:eastAsia="仿宋"/>
          <w:color w:val="auto"/>
          <w:highlight w:val="none"/>
        </w:rPr>
      </w:pPr>
      <w:bookmarkStart w:id="22" w:name="_Toc16241"/>
      <w:r>
        <w:rPr>
          <w:rFonts w:hint="eastAsia" w:ascii="仿宋" w:hAnsi="仿宋" w:eastAsia="仿宋"/>
          <w:b w:val="0"/>
          <w:color w:val="auto"/>
          <w:highlight w:val="none"/>
        </w:rPr>
        <w:t>二、收</w:t>
      </w:r>
      <w:r>
        <w:rPr>
          <w:rStyle w:val="15"/>
          <w:rFonts w:hint="eastAsia" w:ascii="仿宋" w:hAnsi="仿宋" w:eastAsia="仿宋"/>
          <w:b w:val="0"/>
          <w:bCs w:val="0"/>
          <w:color w:val="auto"/>
          <w:highlight w:val="none"/>
        </w:rPr>
        <w:t>入决算表</w:t>
      </w:r>
      <w:bookmarkEnd w:id="22"/>
    </w:p>
    <w:p w14:paraId="39A96968">
      <w:pPr>
        <w:pStyle w:val="4"/>
        <w:rPr>
          <w:rFonts w:ascii="仿宋" w:hAnsi="仿宋" w:eastAsia="仿宋"/>
          <w:color w:val="auto"/>
          <w:highlight w:val="none"/>
        </w:rPr>
      </w:pPr>
      <w:bookmarkStart w:id="23" w:name="_Toc16796"/>
      <w:r>
        <w:rPr>
          <w:rStyle w:val="15"/>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15"/>
          <w:rFonts w:hint="eastAsia" w:ascii="仿宋" w:hAnsi="仿宋" w:eastAsia="仿宋"/>
          <w:b w:val="0"/>
          <w:bCs w:val="0"/>
          <w:color w:val="auto"/>
          <w:highlight w:val="none"/>
        </w:rPr>
        <w:t>出决算表</w:t>
      </w:r>
      <w:bookmarkEnd w:id="23"/>
    </w:p>
    <w:p w14:paraId="005B7F3B">
      <w:pPr>
        <w:pStyle w:val="4"/>
        <w:rPr>
          <w:rFonts w:ascii="仿宋" w:hAnsi="仿宋" w:eastAsia="仿宋"/>
          <w:b w:val="0"/>
          <w:color w:val="auto"/>
          <w:highlight w:val="none"/>
        </w:rPr>
      </w:pPr>
      <w:bookmarkStart w:id="24" w:name="_Toc18664"/>
      <w:r>
        <w:rPr>
          <w:rStyle w:val="15"/>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政拨款收入支出决算总表</w:t>
      </w:r>
      <w:bookmarkEnd w:id="24"/>
    </w:p>
    <w:p w14:paraId="3B94E9BA">
      <w:pPr>
        <w:pStyle w:val="4"/>
        <w:rPr>
          <w:rStyle w:val="15"/>
          <w:rFonts w:ascii="仿宋" w:hAnsi="仿宋" w:eastAsia="仿宋"/>
          <w:b w:val="0"/>
          <w:bCs w:val="0"/>
          <w:color w:val="auto"/>
          <w:highlight w:val="none"/>
        </w:rPr>
      </w:pPr>
      <w:bookmarkStart w:id="25" w:name="_Toc14795"/>
      <w:r>
        <w:rPr>
          <w:rStyle w:val="15"/>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15"/>
          <w:rFonts w:hint="eastAsia" w:ascii="仿宋" w:hAnsi="仿宋" w:eastAsia="仿宋"/>
          <w:b w:val="0"/>
          <w:bCs w:val="0"/>
          <w:color w:val="auto"/>
          <w:highlight w:val="none"/>
        </w:rPr>
        <w:t>政拨款支出决算明细表</w:t>
      </w:r>
      <w:bookmarkEnd w:id="25"/>
    </w:p>
    <w:p w14:paraId="08C4640D">
      <w:pPr>
        <w:pStyle w:val="4"/>
        <w:rPr>
          <w:rFonts w:ascii="仿宋" w:hAnsi="仿宋" w:eastAsia="仿宋"/>
          <w:color w:val="auto"/>
          <w:highlight w:val="none"/>
        </w:rPr>
      </w:pPr>
      <w:bookmarkStart w:id="26" w:name="_Toc578"/>
      <w:r>
        <w:rPr>
          <w:rStyle w:val="15"/>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般公共预算财政拨款支出决算表</w:t>
      </w:r>
      <w:bookmarkEnd w:id="26"/>
    </w:p>
    <w:p w14:paraId="74DB517C">
      <w:pPr>
        <w:pStyle w:val="4"/>
        <w:rPr>
          <w:rFonts w:ascii="仿宋" w:hAnsi="仿宋" w:eastAsia="仿宋"/>
          <w:color w:val="auto"/>
          <w:highlight w:val="none"/>
        </w:rPr>
      </w:pPr>
      <w:bookmarkStart w:id="27" w:name="_Toc2346"/>
      <w:r>
        <w:rPr>
          <w:rStyle w:val="15"/>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般公共预算财政拨款支出决算明细表</w:t>
      </w:r>
      <w:bookmarkEnd w:id="27"/>
    </w:p>
    <w:p w14:paraId="4DEBD5DB">
      <w:pPr>
        <w:pStyle w:val="4"/>
        <w:rPr>
          <w:rFonts w:ascii="仿宋" w:hAnsi="仿宋" w:eastAsia="仿宋"/>
          <w:color w:val="auto"/>
          <w:highlight w:val="none"/>
        </w:rPr>
      </w:pPr>
      <w:bookmarkStart w:id="28" w:name="_Toc32377"/>
      <w:r>
        <w:rPr>
          <w:rStyle w:val="15"/>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般公共预算财政拨款基本支出决算表</w:t>
      </w:r>
      <w:bookmarkEnd w:id="28"/>
    </w:p>
    <w:p w14:paraId="4E3018DA">
      <w:pPr>
        <w:pStyle w:val="4"/>
        <w:rPr>
          <w:rFonts w:ascii="仿宋" w:hAnsi="仿宋" w:eastAsia="仿宋"/>
          <w:color w:val="auto"/>
          <w:highlight w:val="none"/>
        </w:rPr>
      </w:pPr>
      <w:bookmarkStart w:id="29" w:name="_Toc16299"/>
      <w:r>
        <w:rPr>
          <w:rStyle w:val="15"/>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15"/>
          <w:rFonts w:hint="eastAsia" w:ascii="仿宋" w:hAnsi="仿宋" w:eastAsia="仿宋"/>
          <w:b w:val="0"/>
          <w:bCs w:val="0"/>
          <w:color w:val="auto"/>
          <w:highlight w:val="none"/>
        </w:rPr>
        <w:t>般公共预算财政拨款项目支出决算表</w:t>
      </w:r>
      <w:bookmarkEnd w:id="29"/>
    </w:p>
    <w:p w14:paraId="10B9CD16">
      <w:pPr>
        <w:pStyle w:val="4"/>
        <w:rPr>
          <w:rFonts w:ascii="仿宋" w:hAnsi="仿宋" w:eastAsia="仿宋"/>
          <w:color w:val="auto"/>
          <w:highlight w:val="none"/>
        </w:rPr>
      </w:pPr>
      <w:bookmarkStart w:id="30" w:name="_Toc6955"/>
      <w:r>
        <w:rPr>
          <w:rStyle w:val="15"/>
          <w:rFonts w:hint="eastAsia" w:ascii="仿宋" w:hAnsi="仿宋" w:eastAsia="仿宋"/>
          <w:b w:val="0"/>
          <w:bCs w:val="0"/>
          <w:color w:val="auto"/>
          <w:highlight w:val="none"/>
        </w:rPr>
        <w:t>十、</w:t>
      </w:r>
      <w:r>
        <w:rPr>
          <w:rFonts w:hint="eastAsia" w:ascii="仿宋" w:hAnsi="仿宋" w:eastAsia="仿宋"/>
          <w:b w:val="0"/>
          <w:color w:val="auto"/>
          <w:highlight w:val="none"/>
        </w:rPr>
        <w:t>政</w:t>
      </w:r>
      <w:r>
        <w:rPr>
          <w:rStyle w:val="15"/>
          <w:rFonts w:hint="eastAsia" w:ascii="仿宋" w:hAnsi="仿宋" w:eastAsia="仿宋"/>
          <w:b w:val="0"/>
          <w:bCs w:val="0"/>
          <w:color w:val="auto"/>
          <w:highlight w:val="none"/>
        </w:rPr>
        <w:t>府性基金预算财政拨款收入支出决算表</w:t>
      </w:r>
      <w:bookmarkEnd w:id="30"/>
    </w:p>
    <w:p w14:paraId="17CCB207">
      <w:pPr>
        <w:pStyle w:val="4"/>
        <w:rPr>
          <w:rFonts w:ascii="仿宋" w:hAnsi="仿宋" w:eastAsia="仿宋"/>
          <w:color w:val="auto"/>
          <w:highlight w:val="none"/>
        </w:rPr>
      </w:pPr>
      <w:bookmarkStart w:id="31" w:name="_Toc25623"/>
      <w:r>
        <w:rPr>
          <w:rStyle w:val="15"/>
          <w:rFonts w:hint="eastAsia" w:ascii="仿宋" w:hAnsi="仿宋" w:eastAsia="仿宋"/>
          <w:b w:val="0"/>
          <w:bCs w:val="0"/>
          <w:color w:val="auto"/>
          <w:highlight w:val="none"/>
        </w:rPr>
        <w:t>十一、</w:t>
      </w:r>
      <w:r>
        <w:rPr>
          <w:rFonts w:hint="eastAsia" w:ascii="仿宋" w:hAnsi="仿宋" w:eastAsia="仿宋"/>
          <w:b w:val="0"/>
          <w:color w:val="auto"/>
          <w:highlight w:val="none"/>
        </w:rPr>
        <w:t>国</w:t>
      </w:r>
      <w:r>
        <w:rPr>
          <w:rStyle w:val="15"/>
          <w:rFonts w:hint="eastAsia" w:ascii="仿宋" w:hAnsi="仿宋" w:eastAsia="仿宋"/>
          <w:b w:val="0"/>
          <w:bCs w:val="0"/>
          <w:color w:val="auto"/>
          <w:highlight w:val="none"/>
        </w:rPr>
        <w:t>有资本经营预算</w:t>
      </w:r>
      <w:r>
        <w:rPr>
          <w:rStyle w:val="15"/>
          <w:rFonts w:hint="eastAsia" w:ascii="仿宋" w:hAnsi="仿宋" w:eastAsia="仿宋"/>
          <w:b w:val="0"/>
          <w:bCs w:val="0"/>
          <w:color w:val="auto"/>
          <w:highlight w:val="none"/>
          <w:lang w:eastAsia="zh-CN"/>
        </w:rPr>
        <w:t>财政拨款收入</w:t>
      </w:r>
      <w:r>
        <w:rPr>
          <w:rStyle w:val="15"/>
          <w:rFonts w:hint="eastAsia" w:ascii="仿宋" w:hAnsi="仿宋" w:eastAsia="仿宋"/>
          <w:b w:val="0"/>
          <w:bCs w:val="0"/>
          <w:color w:val="auto"/>
          <w:highlight w:val="none"/>
        </w:rPr>
        <w:t>支出决算表</w:t>
      </w:r>
      <w:bookmarkEnd w:id="31"/>
    </w:p>
    <w:p w14:paraId="256DBB2B">
      <w:pPr>
        <w:pStyle w:val="4"/>
        <w:rPr>
          <w:rFonts w:ascii="仿宋" w:hAnsi="仿宋" w:eastAsia="仿宋"/>
          <w:color w:val="auto"/>
          <w:highlight w:val="none"/>
        </w:rPr>
      </w:pPr>
      <w:bookmarkStart w:id="32" w:name="_Toc3324"/>
      <w:r>
        <w:rPr>
          <w:rStyle w:val="15"/>
          <w:rFonts w:hint="eastAsia" w:ascii="仿宋" w:hAnsi="仿宋" w:eastAsia="仿宋"/>
          <w:b w:val="0"/>
          <w:bCs w:val="0"/>
          <w:color w:val="auto"/>
          <w:highlight w:val="none"/>
        </w:rPr>
        <w:t>十二、</w:t>
      </w:r>
      <w:r>
        <w:rPr>
          <w:rStyle w:val="15"/>
          <w:rFonts w:hint="eastAsia" w:ascii="仿宋" w:hAnsi="仿宋" w:eastAsia="仿宋"/>
          <w:b w:val="0"/>
          <w:bCs w:val="0"/>
          <w:color w:val="auto"/>
          <w:highlight w:val="none"/>
          <w:lang w:eastAsia="zh-CN"/>
        </w:rPr>
        <w:t>国有资本经营预算财政拨款支出决算表</w:t>
      </w:r>
      <w:bookmarkEnd w:id="32"/>
    </w:p>
    <w:p w14:paraId="77DACF2D">
      <w:pPr>
        <w:pStyle w:val="4"/>
        <w:rPr>
          <w:rFonts w:hint="eastAsia" w:eastAsia="仿宋"/>
          <w:color w:val="auto"/>
          <w:highlight w:val="none"/>
          <w:lang w:eastAsia="zh-CN"/>
        </w:rPr>
      </w:pPr>
      <w:bookmarkStart w:id="33" w:name="_Toc1409"/>
      <w:r>
        <w:rPr>
          <w:rStyle w:val="15"/>
          <w:rFonts w:hint="eastAsia" w:ascii="仿宋" w:hAnsi="仿宋" w:eastAsia="仿宋"/>
          <w:b w:val="0"/>
          <w:bCs w:val="0"/>
          <w:color w:val="auto"/>
          <w:highlight w:val="none"/>
        </w:rPr>
        <w:t>十三、</w:t>
      </w:r>
      <w:r>
        <w:rPr>
          <w:rStyle w:val="15"/>
          <w:rFonts w:hint="eastAsia" w:ascii="仿宋" w:hAnsi="仿宋" w:eastAsia="仿宋"/>
          <w:b w:val="0"/>
          <w:bCs w:val="0"/>
          <w:color w:val="auto"/>
          <w:highlight w:val="none"/>
          <w:lang w:eastAsia="zh-CN"/>
        </w:rPr>
        <w:t>财政拨款“三公”经费支出决算表</w:t>
      </w:r>
      <w:bookmarkEnd w:id="33"/>
    </w:p>
    <w:p w14:paraId="4A49D607">
      <w:pPr>
        <w:rPr>
          <w:rFonts w:hint="eastAsia"/>
          <w:lang w:eastAsia="zh-CN"/>
        </w:rPr>
      </w:pPr>
    </w:p>
    <w:p w14:paraId="2B014260"/>
    <w:sectPr>
      <w:pgSz w:w="11906" w:h="16838"/>
      <w:pgMar w:top="1440" w:right="1800" w:bottom="1440" w:left="1800" w:header="851" w:footer="992" w:gutter="0"/>
      <w:pgNumType w:fmt="numberInDash"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7DA8">
    <w:pPr>
      <w:pStyle w:val="7"/>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5E388199">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4A989A2A">
                          <w:pPr>
                            <w:pStyle w:val="9"/>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14:paraId="5E388199">
                        <w:pPr>
                          <w:pStyle w:val="7"/>
                          <w:jc w:val="center"/>
                        </w:pPr>
                        <w:r>
                          <w:rPr>
                            <w:sz w:val="28"/>
                          </w:rPr>
                          <w:fldChar w:fldCharType="begin"/>
                        </w:r>
                        <w:r>
                          <w:rPr>
                            <w:sz w:val="28"/>
                          </w:rPr>
                          <w:instrText xml:space="preserve">PAGE   \* MERGEFORMAT</w:instrText>
                        </w:r>
                        <w:r>
                          <w:rPr>
                            <w:sz w:val="28"/>
                          </w:rPr>
                          <w:fldChar w:fldCharType="separate"/>
                        </w:r>
                        <w:r>
                          <w:rPr>
                            <w:sz w:val="28"/>
                            <w:lang w:val="zh-CN"/>
                          </w:rPr>
                          <w:t>8</w:t>
                        </w:r>
                        <w:r>
                          <w:rPr>
                            <w:sz w:val="28"/>
                          </w:rPr>
                          <w:fldChar w:fldCharType="end"/>
                        </w:r>
                      </w:p>
                    </w:sdtContent>
                  </w:sdt>
                  <w:p w14:paraId="4A989A2A">
                    <w:pPr>
                      <w:pStyle w:val="9"/>
                    </w:pPr>
                  </w:p>
                </w:txbxContent>
              </v:textbox>
            </v:shape>
          </w:pict>
        </mc:Fallback>
      </mc:AlternateContent>
    </w:r>
  </w:p>
  <w:p w14:paraId="0AC60835">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47875">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-16510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2D6200">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3pt;height:144pt;width:144pt;mso-position-horizontal:center;mso-position-horizontal-relative:margin;mso-wrap-style:none;z-index:251660288;mso-width-relative:page;mso-height-relative:page;" filled="f" stroked="f" coordsize="21600,21600" o:gfxdata="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k0DSR9UAAAAHAQAADwAAAAAAAAABACAAAAAiAAAAZHJzL2Rvd25yZXYueG1sUEsB&#10;AhQAFAAAAAgAh07iQCSCRrQxAgAAYQQAAA4AAAAAAAAAAQAgAAAAJAEAAGRycy9lMm9Eb2MueG1s&#10;UEsFBgAAAAAGAAYAWQEAAMcFAAAAAA==&#10;">
              <v:fill on="f" focussize="0,0"/>
              <v:stroke on="f" weight="0.5pt"/>
              <v:imagedata o:title=""/>
              <o:lock v:ext="edit" aspectratio="f"/>
              <v:textbox inset="0mm,0mm,0mm,0mm" style="mso-fit-shape-to-text:t;">
                <w:txbxContent>
                  <w:p w14:paraId="2B2D6200">
                    <w:pPr>
                      <w:pStyle w:val="7"/>
                      <w:rPr>
                        <w:rFonts w:hint="eastAsia" w:eastAsia="宋体"/>
                        <w:sz w:val="28"/>
                        <w:szCs w:val="28"/>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18A09A"/>
    <w:multiLevelType w:val="singleLevel"/>
    <w:tmpl w:val="3818A0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kNzljNTA0OTNkNzczZjA0NTNiODM0N2U0N2VjM2YifQ=="/>
  </w:docVars>
  <w:rsids>
    <w:rsidRoot w:val="FFDBB21C"/>
    <w:rsid w:val="125C6E10"/>
    <w:rsid w:val="1B0F0870"/>
    <w:rsid w:val="242529A0"/>
    <w:rsid w:val="372B2789"/>
    <w:rsid w:val="42A75850"/>
    <w:rsid w:val="44C77869"/>
    <w:rsid w:val="578B617C"/>
    <w:rsid w:val="58B06D08"/>
    <w:rsid w:val="67AC4971"/>
    <w:rsid w:val="709561A1"/>
    <w:rsid w:val="7CC94111"/>
    <w:rsid w:val="7E893749"/>
    <w:rsid w:val="FFDBB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beforeLines="30"/>
    </w:pPr>
    <w:rPr>
      <w:rFonts w:ascii="仿宋_GB2312" w:eastAsia="仿宋_GB2312"/>
      <w:kern w:val="0"/>
      <w:sz w:val="30"/>
    </w:rPr>
  </w:style>
  <w:style w:type="paragraph" w:styleId="5">
    <w:name w:val="Body Text Indent"/>
    <w:basedOn w:val="1"/>
    <w:next w:val="6"/>
    <w:qFormat/>
    <w:uiPriority w:val="0"/>
    <w:pPr>
      <w:spacing w:after="120"/>
      <w:ind w:leftChars="200"/>
    </w:pPr>
    <w:rPr>
      <w:rFonts w:ascii="仿宋_GB2312"/>
      <w:szCs w:val="32"/>
    </w:rPr>
  </w:style>
  <w:style w:type="paragraph" w:styleId="6">
    <w:name w:val="Body Text First Indent 2"/>
    <w:basedOn w:val="5"/>
    <w:unhideWhenUsed/>
    <w:qFormat/>
    <w:uiPriority w:val="99"/>
    <w:pPr>
      <w:ind w:firstLine="420" w:firstLineChars="200"/>
    </w:pPr>
  </w:style>
  <w:style w:type="paragraph" w:styleId="7">
    <w:name w:val="footer"/>
    <w:basedOn w:val="1"/>
    <w:qFormat/>
    <w:uiPriority w:val="99"/>
    <w:pPr>
      <w:tabs>
        <w:tab w:val="center" w:pos="4153"/>
        <w:tab w:val="right" w:pos="8306"/>
      </w:tabs>
      <w:snapToGrid w:val="0"/>
      <w:jc w:val="left"/>
    </w:pPr>
    <w:rPr>
      <w:rFonts w:ascii="Calibri" w:hAnsi="Calibri"/>
      <w:kern w:val="0"/>
      <w:sz w:val="18"/>
      <w:szCs w:val="18"/>
    </w:rPr>
  </w:style>
  <w:style w:type="paragraph" w:styleId="8">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9">
    <w:name w:val="footnote text"/>
    <w:basedOn w:val="1"/>
    <w:next w:val="6"/>
    <w:semiHidden/>
    <w:qFormat/>
    <w:uiPriority w:val="0"/>
    <w:pPr>
      <w:snapToGrid w:val="0"/>
      <w:jc w:val="left"/>
    </w:pPr>
    <w:rPr>
      <w:sz w:val="18"/>
      <w:szCs w:val="18"/>
    </w:rPr>
  </w:style>
  <w:style w:type="paragraph" w:styleId="10">
    <w:name w:val="toc 2"/>
    <w:basedOn w:val="1"/>
    <w:next w:val="1"/>
    <w:unhideWhenUsed/>
    <w:qFormat/>
    <w:uiPriority w:val="39"/>
    <w:pPr>
      <w:tabs>
        <w:tab w:val="right" w:leader="dot" w:pos="8296"/>
      </w:tabs>
      <w:ind w:left="420" w:leftChars="200"/>
    </w:pPr>
  </w:style>
  <w:style w:type="character" w:styleId="13">
    <w:name w:val="Strong"/>
    <w:basedOn w:val="12"/>
    <w:qFormat/>
    <w:uiPriority w:val="99"/>
    <w:rPr>
      <w:b/>
    </w:rPr>
  </w:style>
  <w:style w:type="character" w:customStyle="1" w:styleId="14">
    <w:name w:val="标题 1 Char"/>
    <w:basedOn w:val="12"/>
    <w:link w:val="3"/>
    <w:qFormat/>
    <w:uiPriority w:val="9"/>
    <w:rPr>
      <w:b/>
      <w:bCs/>
      <w:kern w:val="44"/>
      <w:sz w:val="44"/>
      <w:szCs w:val="44"/>
    </w:rPr>
  </w:style>
  <w:style w:type="character" w:customStyle="1" w:styleId="15">
    <w:name w:val="标题 2 Char"/>
    <w:basedOn w:val="12"/>
    <w:link w:val="4"/>
    <w:qFormat/>
    <w:uiPriority w:val="9"/>
    <w:rPr>
      <w:rFonts w:asciiTheme="majorHAnsi" w:hAnsiTheme="majorHAnsi" w:eastAsiaTheme="majorEastAsia" w:cstheme="majorBidi"/>
      <w:b/>
      <w:bCs/>
      <w:sz w:val="32"/>
      <w:szCs w:val="32"/>
    </w:rPr>
  </w:style>
  <w:style w:type="paragraph" w:styleId="16">
    <w:name w:val="List Paragraph"/>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Sheet1!$B$2:$B$3</c:f>
              <c:numCache>
                <c:formatCode>_ * #,##0.00_ ;_ * \-#,##0.00_ ;_ * "-"??_ ;_ @_ </c:formatCode>
                <c:ptCount val="2"/>
                <c:pt idx="0">
                  <c:v>39270.190317</c:v>
                </c:pt>
                <c:pt idx="1">
                  <c:v>39270.190317</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收入</c:v>
                </c:pt>
                <c:pt idx="1">
                  <c:v>支出</c:v>
                </c:pt>
              </c:strCache>
            </c:strRef>
          </c:cat>
          <c:val>
            <c:numRef>
              <c:f>Sheet1!$C$2:$C$3</c:f>
              <c:numCache>
                <c:formatCode>_ * #,##0.00_ ;_ * \-#,##0.00_ ;_ * "-"??_ ;_ @_ </c:formatCode>
                <c:ptCount val="2"/>
                <c:pt idx="0">
                  <c:v>31858.041684</c:v>
                </c:pt>
                <c:pt idx="1">
                  <c:v>31858.041684</c:v>
                </c:pt>
              </c:numCache>
            </c:numRef>
          </c:val>
        </c:ser>
        <c:dLbls>
          <c:showLegendKey val="0"/>
          <c:showVal val="1"/>
          <c:showCatName val="0"/>
          <c:showSerName val="0"/>
          <c:showPercent val="0"/>
          <c:showBubbleSize val="0"/>
        </c:dLbls>
        <c:gapWidth val="246"/>
        <c:overlap val="-28"/>
        <c:axId val="635797690"/>
        <c:axId val="739148166"/>
      </c:barChart>
      <c:catAx>
        <c:axId val="63579769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9148166"/>
        <c:crosses val="autoZero"/>
        <c:auto val="1"/>
        <c:lblAlgn val="ctr"/>
        <c:lblOffset val="100"/>
        <c:noMultiLvlLbl val="0"/>
      </c:catAx>
      <c:valAx>
        <c:axId val="739148166"/>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579769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收入决算结构</a:t>
            </a:r>
          </a:p>
        </c:rich>
      </c:tx>
      <c:layout/>
      <c:overlay val="0"/>
      <c:spPr>
        <a:noFill/>
        <a:ln>
          <a:noFill/>
        </a:ln>
        <a:effectLst/>
      </c:sp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rPr lang="en-US" altLang="zh-CN"/>
                      <a:t>100%</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39270.19</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支出决算结构</a:t>
            </a:r>
            <a:endParaRPr lang="en-US" altLang="zh-CN"/>
          </a:p>
        </c:rich>
      </c:tx>
      <c:layout/>
      <c:overlay val="0"/>
      <c:spPr>
        <a:noFill/>
        <a:ln>
          <a:noFill/>
        </a:ln>
        <a:effectLst/>
      </c:sp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0.0583</c:v>
                </c:pt>
                <c:pt idx="1">
                  <c:v>0.9417</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Sheet1!$B$2:$B$3</c:f>
              <c:numCache>
                <c:formatCode>_ * #,##0.00_ ;_ * \-#,##0.00_ ;_ * "-"??_ ;_ @_ </c:formatCode>
                <c:ptCount val="2"/>
                <c:pt idx="0">
                  <c:v>39270.190317</c:v>
                </c:pt>
                <c:pt idx="1">
                  <c:v>39270.190317</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财政拨款收入</c:v>
                </c:pt>
                <c:pt idx="1">
                  <c:v>财政拨款支出</c:v>
                </c:pt>
              </c:strCache>
            </c:strRef>
          </c:cat>
          <c:val>
            <c:numRef>
              <c:f>Sheet1!$C$2:$C$3</c:f>
              <c:numCache>
                <c:formatCode>_ * #,##0.00_ ;_ * \-#,##0.00_ ;_ * "-"??_ ;_ @_ </c:formatCode>
                <c:ptCount val="2"/>
                <c:pt idx="0">
                  <c:v>31858.041684</c:v>
                </c:pt>
                <c:pt idx="1">
                  <c:v>31858.041684</c:v>
                </c:pt>
              </c:numCache>
            </c:numRef>
          </c:val>
        </c:ser>
        <c:dLbls>
          <c:showLegendKey val="0"/>
          <c:showVal val="1"/>
          <c:showCatName val="0"/>
          <c:showSerName val="0"/>
          <c:showPercent val="0"/>
          <c:showBubbleSize val="0"/>
        </c:dLbls>
        <c:gapWidth val="246"/>
        <c:overlap val="-28"/>
        <c:axId val="635797690"/>
        <c:axId val="739148166"/>
      </c:barChart>
      <c:catAx>
        <c:axId val="63579769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9148166"/>
        <c:crosses val="autoZero"/>
        <c:auto val="1"/>
        <c:lblAlgn val="ctr"/>
        <c:lblOffset val="100"/>
        <c:noMultiLvlLbl val="0"/>
      </c:catAx>
      <c:valAx>
        <c:axId val="739148166"/>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579769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一般公共预算财政拨款收、支决算总计变动情况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Sheet1!$A$3</c:f>
              <c:strCache>
                <c:ptCount val="1"/>
                <c:pt idx="0">
                  <c:v>一般公共预算财政拨款支出</c:v>
                </c:pt>
              </c:strCache>
            </c:strRef>
          </c:cat>
          <c:val>
            <c:numRef>
              <c:extLst>
                <c:ext xmlns:c15="http://schemas.microsoft.com/office/drawing/2012/chart" uri="{02D57815-91ED-43cb-92C2-25804820EDAC}">
                  <c15:fullRef>
                    <c15:sqref>Sheet1!$B$2:$B$3</c15:sqref>
                  </c15:fullRef>
                </c:ext>
              </c:extLst>
              <c:f>Sheet1!$B$3</c:f>
              <c:numCache>
                <c:formatCode>_ * #,##0.00_ ;_ * \-#,##0.00_ ;_ * "-"??_ ;_ @_ </c:formatCode>
                <c:ptCount val="1"/>
                <c:pt idx="0">
                  <c:v>39270.190317</c:v>
                </c:pt>
              </c:numCache>
            </c:numRef>
          </c:val>
        </c:ser>
        <c:ser>
          <c:idx val="1"/>
          <c:order val="1"/>
          <c:tx>
            <c:strRef>
              <c:f>Sheet1!$C$1</c:f>
              <c:strCache>
                <c:ptCount val="1"/>
                <c:pt idx="0">
                  <c:v>2022年</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extLst>
                <c:ext xmlns:c15="http://schemas.microsoft.com/office/drawing/2012/chart" uri="{02D57815-91ED-43cb-92C2-25804820EDAC}">
                  <c15:fullRef>
                    <c15:sqref>Sheet1!$A$2:$A$3</c15:sqref>
                  </c15:fullRef>
                </c:ext>
              </c:extLst>
              <c:f>Sheet1!$A$3</c:f>
              <c:strCache>
                <c:ptCount val="1"/>
                <c:pt idx="0">
                  <c:v>一般公共预算财政拨款支出</c:v>
                </c:pt>
              </c:strCache>
            </c:strRef>
          </c:cat>
          <c:val>
            <c:numRef>
              <c:extLst>
                <c:ext xmlns:c15="http://schemas.microsoft.com/office/drawing/2012/chart" uri="{02D57815-91ED-43cb-92C2-25804820EDAC}">
                  <c15:fullRef>
                    <c15:sqref>Sheet1!$C$2:$C$3</c15:sqref>
                  </c15:fullRef>
                </c:ext>
              </c:extLst>
              <c:f>Sheet1!$C$3</c:f>
              <c:numCache>
                <c:formatCode>_ * #,##0.00_ ;_ * \-#,##0.00_ ;_ * "-"??_ ;_ @_ </c:formatCode>
                <c:ptCount val="1"/>
                <c:pt idx="0">
                  <c:v>31858.041684</c:v>
                </c:pt>
              </c:numCache>
            </c:numRef>
          </c:val>
        </c:ser>
        <c:dLbls>
          <c:showLegendKey val="0"/>
          <c:showVal val="1"/>
          <c:showCatName val="0"/>
          <c:showSerName val="0"/>
          <c:showPercent val="0"/>
          <c:showBubbleSize val="0"/>
        </c:dLbls>
        <c:gapWidth val="246"/>
        <c:overlap val="-28"/>
        <c:axId val="635797690"/>
        <c:axId val="739148166"/>
      </c:barChart>
      <c:catAx>
        <c:axId val="63579769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39148166"/>
        <c:crosses val="autoZero"/>
        <c:auto val="1"/>
        <c:lblAlgn val="ctr"/>
        <c:lblOffset val="100"/>
        <c:noMultiLvlLbl val="0"/>
      </c:catAx>
      <c:valAx>
        <c:axId val="739148166"/>
        <c:scaling>
          <c:orientation val="minMax"/>
        </c:scaling>
        <c:delete val="0"/>
        <c:axPos val="l"/>
        <c:majorGridlines>
          <c:spPr>
            <a:ln w="9525" cap="flat" cmpd="sng" algn="ctr">
              <a:solidFill>
                <a:schemeClr val="lt1">
                  <a:lumMod val="90200"/>
                </a:schemeClr>
              </a:solidFill>
              <a:round/>
            </a:ln>
            <a:effectLst/>
          </c:spPr>
        </c:majorGridlines>
        <c:numFmt formatCode="_ * #,##0.00_ ;_ * \-#,##0.00_ ;_ * &quot;-&quot;??_ ;_ @_ "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35797690"/>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Lbls>
            <c:dLbl>
              <c:idx val="0"/>
              <c:layout>
                <c:manualLayout>
                  <c:x val="-0.0705484416525731"/>
                  <c:y val="0"/>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957960860111138"/>
                  <c:y val="-0.014874628134296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3</a:t>
                    </a:r>
                    <a:r>
                      <a:t>%</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98.8%</a:t>
                    </a:r>
                  </a:p>
                </c:rich>
              </c:tx>
              <c:dLblPos val="outEnd"/>
              <c:showLegendKey val="0"/>
              <c:showVal val="1"/>
              <c:showCatName val="0"/>
              <c:showSerName val="0"/>
              <c:showPercent val="0"/>
              <c:showBubbleSize val="0"/>
              <c:extLst>
                <c:ext xmlns:c15="http://schemas.microsoft.com/office/drawing/2012/chart" uri="{CE6537A1-D6FC-4f65-9D91-7224C49458BB}"/>
              </c:extLst>
            </c:dLbl>
            <c:dLbl>
              <c:idx val="3"/>
              <c:layout>
                <c:manualLayout>
                  <c:x val="0.0169122976564388"/>
                  <c:y val="-0.01784955376115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0.3%</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社会保障和就业支出</c:v>
                </c:pt>
                <c:pt idx="1">
                  <c:v>卫生健康支出</c:v>
                </c:pt>
                <c:pt idx="2">
                  <c:v>交通运输支出</c:v>
                </c:pt>
                <c:pt idx="3">
                  <c:v>住房保障支出</c:v>
                </c:pt>
              </c:strCache>
            </c:strRef>
          </c:cat>
          <c:val>
            <c:numRef>
              <c:f>Sheet1!$B$2:$B$5</c:f>
              <c:numCache>
                <c:formatCode>0.00%</c:formatCode>
                <c:ptCount val="4"/>
                <c:pt idx="0">
                  <c:v>0.006</c:v>
                </c:pt>
                <c:pt idx="1">
                  <c:v>0.0026</c:v>
                </c:pt>
                <c:pt idx="2">
                  <c:v>0.9883</c:v>
                </c:pt>
                <c:pt idx="3">
                  <c:v>0.0032</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manualLayout>
          <c:xMode val="edge"/>
          <c:yMode val="edge"/>
          <c:x val="0.287267455907224"/>
          <c:y val="0.0284742881427964"/>
        </c:manualLayout>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a:t>
                    </a:r>
                    <a:endParaRPr lang="en-US" altLang="zh-CN"/>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99.9%</a:t>
                    </a:r>
                  </a:p>
                </c:rich>
              </c:tx>
              <c:dLblPos val="outEnd"/>
              <c:showLegendKey val="0"/>
              <c:showVal val="1"/>
              <c:showCatName val="0"/>
              <c:showSerName val="0"/>
              <c:showPercent val="0"/>
              <c:showBubbleSize val="0"/>
              <c:extLst>
                <c:ext xmlns:c15="http://schemas.microsoft.com/office/drawing/2012/chart" uri="{CE6537A1-D6FC-4f65-9D91-7224C49458BB}"/>
              </c:extLst>
            </c:dLbl>
            <c:dLbl>
              <c:idx val="2"/>
              <c:layout>
                <c:manualLayout>
                  <c:x val="0.0773133607151486"/>
                  <c:y val="-0.0089247768805779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chemeClr val="tx1">
                            <a:lumMod val="75000"/>
                            <a:lumOff val="25000"/>
                          </a:schemeClr>
                        </a:solidFill>
                        <a:latin typeface="+mn-lt"/>
                        <a:ea typeface="+mn-ea"/>
                        <a:cs typeface="+mn-cs"/>
                      </a:defRPr>
                    </a:pPr>
                    <a:r>
                      <a:t>0.</a:t>
                    </a:r>
                    <a:r>
                      <a:rPr lang="en-US" altLang="zh-CN"/>
                      <a:t>1</a:t>
                    </a:r>
                    <a:r>
                      <a:t>%</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General</c:formatCode>
                <c:ptCount val="3"/>
                <c:pt idx="0">
                  <c:v>0</c:v>
                </c:pt>
                <c:pt idx="1" c:formatCode="0.00%">
                  <c:v>0.9994</c:v>
                </c:pt>
                <c:pt idx="2" c:formatCode="0.00%">
                  <c:v>0.0006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3">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5298</Words>
  <Characters>5852</Characters>
  <Lines>0</Lines>
  <Paragraphs>0</Paragraphs>
  <TotalTime>0</TotalTime>
  <ScaleCrop>false</ScaleCrop>
  <LinksUpToDate>false</LinksUpToDate>
  <CharactersWithSpaces>6032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2024-08-15T10:26:00Z</dcterms:created>
  <dc:creator>财务处
王悦</dc:creator>
  <cp:lastModifiedBy>小颖</cp:lastModifiedBy>
  <dcterms:modified xsi:type="dcterms:W3CDTF">2024-09-18T03:18:52Z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83E866C972534CD393A5A2565B5BC41E_13</vt:lpwstr>
  </property>
</Properties>
</file>