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C4DFA">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42DFBBA6">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2023年度阿坝藏族羌族自治州公路隧道管理处单位决算</w:t>
      </w:r>
    </w:p>
    <w:p w14:paraId="6943146F">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76655C5A">
      <w:pPr>
        <w:widowControl/>
        <w:jc w:val="center"/>
        <w:rPr>
          <w:rFonts w:ascii="黑体" w:hAnsi="黑体" w:eastAsia="黑体" w:cstheme="minorBidi"/>
          <w:color w:val="auto"/>
          <w:sz w:val="28"/>
          <w:szCs w:val="28"/>
          <w:highlight w:val="none"/>
        </w:rPr>
      </w:pPr>
    </w:p>
    <w:p w14:paraId="6175B0AC">
      <w:pPr>
        <w:pStyle w:val="9"/>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70401"/>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576FE61F">
          <w:pPr>
            <w:spacing w:before="0" w:beforeLines="0" w:after="0" w:afterLines="0" w:line="240" w:lineRule="auto"/>
            <w:ind w:left="0" w:leftChars="0" w:right="0" w:rightChars="0" w:firstLine="0" w:firstLineChars="0"/>
            <w:jc w:val="center"/>
          </w:pPr>
        </w:p>
        <w:p w14:paraId="619B645C">
          <w:pPr>
            <w:pStyle w:val="19"/>
            <w:tabs>
              <w:tab w:val="right" w:leader="dot" w:pos="8306"/>
            </w:tabs>
            <w:rPr>
              <w:rFonts w:hint="eastAsia" w:ascii="仿宋" w:hAnsi="仿宋" w:eastAsia="仿宋" w:cs="仿宋"/>
              <w:b/>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_Toc28991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_Toc28991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0356413F">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_Toc19700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_Toc19700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ACC0E4D">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_Toc26297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_Toc26297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C159C4A">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_Toc14952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_Toc14952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02E878FA">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_Toc9554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_Toc9554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1967065">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_Toc6109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_Toc6109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690DCFE">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_Toc1259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_Toc1259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E2C7CB6">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_Toc32344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_Toc32344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D762873">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_Toc24301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_Toc24301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733D696">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_Toc2875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_Toc2875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363A307">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_Toc12227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_Toc12227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CD5142B">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_Toc31422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_Toc31422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02169AE">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_Toc23748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_Toc23748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C589907">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_Toc26560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_Toc26560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4427BAF">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_Toc1489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_Toc1489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1A22C9D4">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_Toc16785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_Toc16785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- 14 -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66F8C1E5">
          <w:pPr>
            <w:pStyle w:val="1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_Toc32586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_Toc32586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65B32CE6">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_Toc10132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_Toc10132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BCFE351">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_Toc31344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_Toc31344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3648F33">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_Toc32478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_Toc32478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C90B902">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_Toc6657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_Toc6657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EBF5F8A">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_Toc12547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_Toc12547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3127AB5">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_Toc19887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_Toc19887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D434030">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_Toc16835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_Toc16835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CD4A564">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_Toc31146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_Toc31146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361FE84">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_Toc32319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_Toc32319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06D4029">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_Toc29078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_Toc29078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FCE15AA">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_Toc17023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_Toc17023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768D778">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_Toc1129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_Toc1129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5B595F5">
          <w:pPr>
            <w:pStyle w:val="2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_Toc16494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_Toc16494 \h </w:instrText>
          </w:r>
          <w:r>
            <w:rPr>
              <w:rFonts w:hint="eastAsia" w:ascii="仿宋" w:hAnsi="仿宋" w:eastAsia="仿宋" w:cs="仿宋"/>
              <w:sz w:val="28"/>
              <w:szCs w:val="28"/>
            </w:rPr>
            <w:fldChar w:fldCharType="separate"/>
          </w:r>
          <w:r>
            <w:rPr>
              <w:rFonts w:hint="eastAsia" w:ascii="仿宋" w:hAnsi="仿宋" w:eastAsia="仿宋" w:cs="仿宋"/>
              <w:sz w:val="28"/>
              <w:szCs w:val="28"/>
            </w:rPr>
            <w:t>- 15 -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EBC9C3E">
          <w:pPr>
            <w:rPr>
              <w:b/>
            </w:rPr>
          </w:pPr>
          <w:r>
            <w:rPr>
              <w:rFonts w:hint="eastAsia" w:ascii="仿宋" w:hAnsi="仿宋" w:eastAsia="仿宋" w:cs="仿宋"/>
              <w:b/>
              <w:sz w:val="28"/>
              <w:szCs w:val="28"/>
            </w:rPr>
            <w:fldChar w:fldCharType="end"/>
          </w:r>
        </w:p>
      </w:sdtContent>
    </w:sdt>
    <w:p w14:paraId="54FACAA2">
      <w:pPr>
        <w:pStyle w:val="3"/>
        <w:jc w:val="center"/>
        <w:rPr>
          <w:rFonts w:hint="eastAsia" w:ascii="黑体" w:hAnsi="黑体" w:eastAsia="黑体"/>
          <w:b w:val="0"/>
          <w:color w:val="auto"/>
          <w:highlight w:val="none"/>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bookmarkStart w:id="0" w:name="_Toc28991"/>
    </w:p>
    <w:p w14:paraId="3C6BB9BE">
      <w:pPr>
        <w:pStyle w:val="3"/>
        <w:jc w:val="center"/>
        <w:rPr>
          <w:rStyle w:val="15"/>
          <w:rFonts w:ascii="黑体" w:hAnsi="黑体" w:eastAsia="黑体"/>
          <w:b/>
          <w:bCs w:val="0"/>
          <w:color w:val="auto"/>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5"/>
          <w:rFonts w:hint="eastAsia" w:ascii="黑体" w:hAnsi="黑体" w:eastAsia="黑体"/>
          <w:b w:val="0"/>
          <w:bCs w:val="0"/>
          <w:color w:val="auto"/>
          <w:highlight w:val="none"/>
        </w:rPr>
        <w:t>概况</w:t>
      </w:r>
      <w:bookmarkEnd w:id="0"/>
    </w:p>
    <w:p w14:paraId="65793B32">
      <w:pPr>
        <w:widowControl/>
        <w:jc w:val="left"/>
        <w:rPr>
          <w:rFonts w:ascii="黑体" w:eastAsia="黑体"/>
          <w:color w:val="auto"/>
          <w:sz w:val="32"/>
          <w:szCs w:val="32"/>
          <w:highlight w:val="none"/>
        </w:rPr>
      </w:pPr>
    </w:p>
    <w:p w14:paraId="4F739CBC">
      <w:pPr>
        <w:pStyle w:val="4"/>
        <w:numPr>
          <w:ilvl w:val="0"/>
          <w:numId w:val="1"/>
        </w:numPr>
        <w:rPr>
          <w:rStyle w:val="16"/>
          <w:rFonts w:hint="eastAsia" w:ascii="黑体" w:hAnsi="黑体" w:eastAsia="黑体"/>
          <w:b w:val="0"/>
          <w:bCs w:val="0"/>
          <w:color w:val="auto"/>
          <w:highlight w:val="none"/>
          <w:lang w:eastAsia="zh-CN"/>
        </w:rPr>
      </w:pPr>
      <w:bookmarkStart w:id="1" w:name="_Toc19700"/>
      <w:r>
        <w:rPr>
          <w:rStyle w:val="16"/>
          <w:rFonts w:hint="eastAsia" w:ascii="黑体" w:hAnsi="黑体" w:eastAsia="黑体"/>
          <w:b w:val="0"/>
          <w:bCs w:val="0"/>
          <w:color w:val="auto"/>
          <w:highlight w:val="none"/>
          <w:lang w:eastAsia="zh-CN"/>
        </w:rPr>
        <w:t>主要职责</w:t>
      </w:r>
      <w:bookmarkEnd w:id="1"/>
    </w:p>
    <w:p w14:paraId="50AF386A">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阿坝州公路隧道管理处前身为四川省交通运输厅鹧鸪山隧道管理处，2016年1月经阿坝州人民政府与四川省交通运输厅达成整体划转移交协议，将原鹧鸪山隧道管理处划转移交给阿坝州人民政府。根据《中共阿坝州委机构编制委员会关于设立阿坝州公路隧道管理处请示的批复》（阿编发〔2016〕5号）文件精神，撤销了省交通运输厅下划的鹧鸪山隧道管理处，设立阿坝州</w:t>
      </w:r>
      <w:r>
        <w:rPr>
          <w:rFonts w:hint="eastAsia" w:ascii="仿宋" w:hAnsi="仿宋" w:eastAsia="仿宋"/>
          <w:color w:val="auto"/>
          <w:sz w:val="32"/>
          <w:szCs w:val="32"/>
          <w:highlight w:val="none"/>
          <w:lang w:val="en-US" w:eastAsia="zh-CN"/>
        </w:rPr>
        <w:t>公路</w:t>
      </w:r>
      <w:r>
        <w:rPr>
          <w:rFonts w:hint="eastAsia" w:ascii="仿宋" w:hAnsi="仿宋" w:eastAsia="仿宋"/>
          <w:color w:val="auto"/>
          <w:sz w:val="32"/>
          <w:szCs w:val="32"/>
          <w:highlight w:val="none"/>
          <w:lang w:eastAsia="zh-CN"/>
        </w:rPr>
        <w:t>隧道管理处，隶属于阿坝州公路管理局，为副县级公益一类事业单位，在州公路局的统筹安排下指导全州隧道管理工作。</w:t>
      </w:r>
    </w:p>
    <w:p w14:paraId="22CD887C">
      <w:pPr>
        <w:pStyle w:val="4"/>
        <w:numPr>
          <w:ilvl w:val="0"/>
          <w:numId w:val="0"/>
        </w:numPr>
        <w:rPr>
          <w:rFonts w:hint="eastAsia" w:ascii="黑体" w:hAnsi="黑体" w:eastAsia="黑体"/>
          <w:b w:val="0"/>
          <w:color w:val="auto"/>
          <w:highlight w:val="none"/>
          <w:lang w:val="en-US" w:eastAsia="zh-CN"/>
        </w:rPr>
      </w:pPr>
      <w:bookmarkStart w:id="2" w:name="_Toc26297"/>
      <w:r>
        <w:rPr>
          <w:rFonts w:hint="eastAsia" w:ascii="黑体" w:hAnsi="黑体" w:eastAsia="黑体"/>
          <w:b w:val="0"/>
          <w:color w:val="auto"/>
          <w:highlight w:val="none"/>
          <w:lang w:val="en-US" w:eastAsia="zh-CN"/>
        </w:rPr>
        <w:t>二、机构设置</w:t>
      </w:r>
      <w:bookmarkEnd w:id="2"/>
    </w:p>
    <w:p w14:paraId="754A07C6">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隧道管理处机关下设办公室、财务科、人事科、安全科、维护科、机料科6个科室。</w:t>
      </w:r>
    </w:p>
    <w:p w14:paraId="677678F2">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27BB3E99">
      <w:pPr>
        <w:pStyle w:val="3"/>
        <w:ind w:right="440"/>
        <w:jc w:val="center"/>
        <w:rPr>
          <w:rStyle w:val="15"/>
          <w:rFonts w:ascii="黑体" w:hAnsi="黑体" w:eastAsia="黑体"/>
          <w:b w:val="0"/>
          <w:bCs/>
          <w:color w:val="auto"/>
          <w:highlight w:val="none"/>
        </w:rPr>
      </w:pPr>
      <w:bookmarkStart w:id="3" w:name="_Toc14952"/>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5"/>
          <w:rFonts w:hint="eastAsia" w:ascii="黑体" w:hAnsi="黑体" w:eastAsia="黑体"/>
          <w:b w:val="0"/>
          <w:bCs/>
          <w:color w:val="auto"/>
          <w:highlight w:val="none"/>
          <w:lang w:eastAsia="zh-CN"/>
        </w:rPr>
        <w:t>单位</w:t>
      </w:r>
      <w:r>
        <w:rPr>
          <w:rStyle w:val="15"/>
          <w:rFonts w:hint="eastAsia" w:ascii="黑体" w:hAnsi="黑体" w:eastAsia="黑体"/>
          <w:b w:val="0"/>
          <w:bCs/>
          <w:color w:val="auto"/>
          <w:highlight w:val="none"/>
        </w:rPr>
        <w:t>决算情况说明</w:t>
      </w:r>
      <w:bookmarkEnd w:id="3"/>
    </w:p>
    <w:p w14:paraId="411F3006">
      <w:pPr>
        <w:rPr>
          <w:color w:val="auto"/>
          <w:highlight w:val="none"/>
        </w:rPr>
      </w:pPr>
    </w:p>
    <w:p w14:paraId="617008D5">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4" w:name="_Toc9554"/>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入支出决算总体情况说明</w:t>
      </w:r>
      <w:bookmarkEnd w:id="4"/>
    </w:p>
    <w:p w14:paraId="5FE624F1">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均为1,704.7</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相比，收、支总计各增加239.94万元，增长16.</w:t>
      </w:r>
      <w:r>
        <w:rPr>
          <w:rFonts w:hint="eastAsia" w:ascii="仿宋" w:hAnsi="仿宋" w:eastAsia="仿宋"/>
          <w:color w:val="auto"/>
          <w:sz w:val="32"/>
          <w:szCs w:val="32"/>
          <w:highlight w:val="none"/>
          <w:lang w:val="en-US" w:eastAsia="zh-CN"/>
        </w:rPr>
        <w:t>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本单位</w:t>
      </w:r>
      <w:r>
        <w:rPr>
          <w:rFonts w:hint="eastAsia" w:ascii="仿宋" w:hAnsi="仿宋" w:eastAsia="仿宋"/>
          <w:color w:val="auto"/>
          <w:sz w:val="32"/>
          <w:szCs w:val="32"/>
          <w:highlight w:val="none"/>
        </w:rPr>
        <w:t>2022年4月开始使用预算一体化平台，1-3月部分经费由州公路局代付</w:t>
      </w:r>
      <w:r>
        <w:rPr>
          <w:rFonts w:hint="eastAsia" w:ascii="仿宋" w:hAnsi="仿宋" w:eastAsia="仿宋"/>
          <w:color w:val="auto"/>
          <w:sz w:val="32"/>
          <w:szCs w:val="32"/>
          <w:highlight w:val="none"/>
          <w:lang w:eastAsia="zh-CN"/>
        </w:rPr>
        <w:t>。</w:t>
      </w:r>
    </w:p>
    <w:p w14:paraId="794E4557">
      <w:pPr>
        <w:pStyle w:val="10"/>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90A32D1">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168FB59C">
      <w:pPr>
        <w:spacing w:line="600" w:lineRule="exact"/>
        <w:ind w:firstLine="640" w:firstLineChars="200"/>
        <w:jc w:val="left"/>
        <w:rPr>
          <w:rFonts w:ascii="仿宋_GB2312" w:eastAsia="仿宋_GB2312"/>
          <w:color w:val="auto"/>
          <w:sz w:val="32"/>
          <w:szCs w:val="32"/>
          <w:highlight w:val="none"/>
        </w:rPr>
      </w:pPr>
    </w:p>
    <w:p w14:paraId="2FBCA6E0">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5" w:name="_Toc6109"/>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6"/>
          <w:rFonts w:hint="eastAsia" w:ascii="黑体" w:hAnsi="黑体" w:eastAsia="黑体"/>
          <w:b w:val="0"/>
          <w:color w:val="auto"/>
          <w:highlight w:val="none"/>
        </w:rPr>
        <w:t>入决算情况说明</w:t>
      </w:r>
      <w:bookmarkEnd w:id="5"/>
    </w:p>
    <w:p w14:paraId="16CDBE13">
      <w:pPr>
        <w:spacing w:line="600" w:lineRule="exact"/>
        <w:ind w:firstLine="640" w:firstLineChars="200"/>
        <w:outlineLvl w:val="1"/>
        <w:rPr>
          <w:rFonts w:ascii="仿宋" w:hAnsi="仿宋" w:eastAsia="仿宋"/>
          <w:color w:val="auto"/>
          <w:sz w:val="32"/>
          <w:szCs w:val="32"/>
          <w:highlight w:val="none"/>
        </w:rPr>
      </w:pPr>
      <w:bookmarkStart w:id="6" w:name="_Toc14033"/>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本年收入合计1,704.7万元，其中：一般公共预算财政拨款收入1,704.7万元，占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4D940813">
      <w:pPr>
        <w:spacing w:line="240" w:lineRule="auto"/>
        <w:ind w:firstLine="0" w:firstLineChars="0"/>
        <w:outlineLvl w:val="9"/>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2612B9F">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390B2AD4">
      <w:pPr>
        <w:spacing w:line="600" w:lineRule="exact"/>
        <w:ind w:firstLine="640" w:firstLineChars="200"/>
        <w:rPr>
          <w:rFonts w:ascii="仿宋_GB2312" w:eastAsia="仿宋_GB2312"/>
          <w:color w:val="auto"/>
          <w:sz w:val="32"/>
          <w:szCs w:val="32"/>
          <w:highlight w:val="none"/>
        </w:rPr>
      </w:pPr>
    </w:p>
    <w:p w14:paraId="55203FAC">
      <w:pPr>
        <w:pStyle w:val="17"/>
        <w:numPr>
          <w:ilvl w:val="0"/>
          <w:numId w:val="0"/>
        </w:numPr>
        <w:spacing w:line="600" w:lineRule="exact"/>
        <w:ind w:left="640" w:leftChars="0"/>
        <w:outlineLvl w:val="1"/>
        <w:rPr>
          <w:rStyle w:val="16"/>
          <w:rFonts w:ascii="黑体" w:hAnsi="黑体" w:eastAsia="黑体"/>
          <w:b w:val="0"/>
          <w:color w:val="auto"/>
          <w:highlight w:val="none"/>
        </w:rPr>
      </w:pPr>
      <w:bookmarkStart w:id="7" w:name="_Toc1259"/>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6"/>
          <w:rFonts w:hint="eastAsia" w:ascii="黑体" w:hAnsi="黑体" w:eastAsia="黑体"/>
          <w:b w:val="0"/>
          <w:color w:val="auto"/>
          <w:highlight w:val="none"/>
        </w:rPr>
        <w:t>出决算情况说明</w:t>
      </w:r>
      <w:bookmarkEnd w:id="7"/>
    </w:p>
    <w:p w14:paraId="401F4439">
      <w:pPr>
        <w:spacing w:line="600" w:lineRule="exact"/>
        <w:ind w:firstLine="640" w:firstLineChars="200"/>
        <w:outlineLvl w:val="1"/>
        <w:rPr>
          <w:rFonts w:ascii="仿宋" w:hAnsi="仿宋" w:eastAsia="仿宋"/>
          <w:color w:val="auto"/>
          <w:sz w:val="32"/>
          <w:szCs w:val="32"/>
          <w:highlight w:val="none"/>
        </w:rPr>
      </w:pPr>
      <w:bookmarkStart w:id="8" w:name="_Toc11696"/>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eastAsia="zh-CN"/>
        </w:rPr>
        <w:t>1,704.7</w:t>
      </w:r>
      <w:r>
        <w:rPr>
          <w:rFonts w:hint="eastAsia" w:ascii="仿宋" w:hAnsi="仿宋" w:eastAsia="仿宋"/>
          <w:color w:val="auto"/>
          <w:sz w:val="32"/>
          <w:szCs w:val="32"/>
          <w:highlight w:val="none"/>
        </w:rPr>
        <w:t>万元，其中：基本支出953.86万元，占</w:t>
      </w:r>
      <w:r>
        <w:rPr>
          <w:rFonts w:hint="eastAsia" w:ascii="仿宋" w:hAnsi="仿宋" w:eastAsia="仿宋"/>
          <w:color w:val="auto"/>
          <w:sz w:val="32"/>
          <w:szCs w:val="32"/>
          <w:highlight w:val="none"/>
          <w:lang w:val="en-US" w:eastAsia="zh-CN"/>
        </w:rPr>
        <w:t>56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；项目支出750.84万元，占</w:t>
      </w:r>
      <w:r>
        <w:rPr>
          <w:rFonts w:hint="eastAsia" w:ascii="仿宋" w:hAnsi="仿宋" w:eastAsia="仿宋"/>
          <w:color w:val="auto"/>
          <w:sz w:val="32"/>
          <w:szCs w:val="32"/>
          <w:highlight w:val="none"/>
          <w:lang w:val="en-US" w:eastAsia="zh-CN"/>
        </w:rPr>
        <w:t>44.1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5D68C36C">
      <w:pPr>
        <w:spacing w:line="240" w:lineRule="auto"/>
        <w:ind w:firstLine="0"/>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3AA16FF">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55179AA2">
      <w:pPr>
        <w:spacing w:line="600" w:lineRule="exact"/>
        <w:ind w:firstLine="640" w:firstLineChars="200"/>
        <w:rPr>
          <w:rFonts w:ascii="仿宋_GB2312" w:eastAsia="仿宋_GB2312"/>
          <w:color w:val="auto"/>
          <w:sz w:val="32"/>
          <w:szCs w:val="32"/>
          <w:highlight w:val="none"/>
        </w:rPr>
      </w:pPr>
    </w:p>
    <w:p w14:paraId="21B5303B">
      <w:pPr>
        <w:spacing w:line="600" w:lineRule="exact"/>
        <w:ind w:firstLine="640" w:firstLineChars="200"/>
        <w:outlineLvl w:val="1"/>
        <w:rPr>
          <w:rStyle w:val="16"/>
          <w:rFonts w:ascii="黑体" w:hAnsi="黑体" w:eastAsia="黑体"/>
          <w:b w:val="0"/>
          <w:color w:val="auto"/>
          <w:highlight w:val="none"/>
        </w:rPr>
      </w:pPr>
      <w:bookmarkStart w:id="9" w:name="_Toc32344"/>
      <w:r>
        <w:rPr>
          <w:rFonts w:hint="eastAsia" w:ascii="黑体" w:hAnsi="黑体" w:eastAsia="黑体"/>
          <w:color w:val="auto"/>
          <w:sz w:val="32"/>
          <w:szCs w:val="32"/>
          <w:highlight w:val="none"/>
        </w:rPr>
        <w:t>四、财</w:t>
      </w:r>
      <w:r>
        <w:rPr>
          <w:rStyle w:val="16"/>
          <w:rFonts w:hint="eastAsia" w:ascii="黑体" w:hAnsi="黑体" w:eastAsia="黑体"/>
          <w:b w:val="0"/>
          <w:color w:val="auto"/>
          <w:highlight w:val="none"/>
        </w:rPr>
        <w:t>政拨款收入支出决算总体情况说明</w:t>
      </w:r>
      <w:bookmarkEnd w:id="9"/>
    </w:p>
    <w:p w14:paraId="205C284D">
      <w:pPr>
        <w:spacing w:line="600" w:lineRule="exact"/>
        <w:ind w:firstLine="640"/>
        <w:rPr>
          <w:rFonts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rPr>
        <w:t>1,704.7万元。与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相比，财政拨款收、支总计各增加239.94万元，增长16.</w:t>
      </w:r>
      <w:r>
        <w:rPr>
          <w:rFonts w:hint="eastAsia" w:ascii="仿宋" w:hAnsi="仿宋" w:eastAsia="仿宋"/>
          <w:color w:val="auto"/>
          <w:sz w:val="32"/>
          <w:szCs w:val="32"/>
          <w:highlight w:val="none"/>
          <w:lang w:val="en-US" w:eastAsia="zh-CN"/>
        </w:rPr>
        <w:t>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本单位</w:t>
      </w:r>
      <w:r>
        <w:rPr>
          <w:rFonts w:hint="eastAsia" w:ascii="仿宋" w:hAnsi="仿宋" w:eastAsia="仿宋"/>
          <w:color w:val="auto"/>
          <w:sz w:val="32"/>
          <w:szCs w:val="32"/>
          <w:highlight w:val="none"/>
        </w:rPr>
        <w:t>2022年4月开始使用预算一体化平台，1-3月部分经费由州公路局代付</w:t>
      </w:r>
      <w:r>
        <w:rPr>
          <w:rFonts w:hint="eastAsia" w:ascii="仿宋" w:hAnsi="仿宋" w:eastAsia="仿宋"/>
          <w:color w:val="auto"/>
          <w:sz w:val="32"/>
          <w:szCs w:val="32"/>
          <w:highlight w:val="none"/>
          <w:lang w:eastAsia="zh-CN"/>
        </w:rPr>
        <w:t>。</w:t>
      </w:r>
    </w:p>
    <w:p w14:paraId="66663FFE">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1A18D39">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416FD4CE">
      <w:pPr>
        <w:spacing w:line="600" w:lineRule="exact"/>
        <w:ind w:firstLine="640"/>
        <w:rPr>
          <w:rFonts w:ascii="仿宋" w:hAnsi="仿宋" w:eastAsia="仿宋"/>
          <w:b/>
          <w:color w:val="auto"/>
          <w:sz w:val="32"/>
          <w:szCs w:val="32"/>
          <w:highlight w:val="none"/>
        </w:rPr>
      </w:pPr>
    </w:p>
    <w:p w14:paraId="76F091A7">
      <w:pPr>
        <w:spacing w:line="600" w:lineRule="exact"/>
        <w:ind w:firstLine="640" w:firstLineChars="200"/>
        <w:outlineLvl w:val="1"/>
        <w:rPr>
          <w:rStyle w:val="16"/>
          <w:rFonts w:ascii="黑体" w:hAnsi="黑体" w:eastAsia="黑体"/>
          <w:b w:val="0"/>
          <w:color w:val="auto"/>
          <w:highlight w:val="none"/>
        </w:rPr>
      </w:pPr>
      <w:bookmarkStart w:id="10" w:name="_Toc2430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般公共预算财政拨款支出决算情况说明</w:t>
      </w:r>
      <w:bookmarkEnd w:id="10"/>
    </w:p>
    <w:p w14:paraId="17622BF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0BE3DC9B">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一般公共预算财政拨款支出1,704.7万元，占本年支出合计的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增加239.94万元，增长16.</w:t>
      </w:r>
      <w:r>
        <w:rPr>
          <w:rFonts w:hint="eastAsia" w:ascii="仿宋" w:hAnsi="仿宋" w:eastAsia="仿宋"/>
          <w:color w:val="auto"/>
          <w:sz w:val="32"/>
          <w:szCs w:val="32"/>
          <w:highlight w:val="none"/>
          <w:lang w:val="en-US" w:eastAsia="zh-CN"/>
        </w:rPr>
        <w:t>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本单位</w:t>
      </w:r>
      <w:r>
        <w:rPr>
          <w:rFonts w:hint="eastAsia" w:ascii="仿宋" w:hAnsi="仿宋" w:eastAsia="仿宋"/>
          <w:color w:val="auto"/>
          <w:sz w:val="32"/>
          <w:szCs w:val="32"/>
          <w:highlight w:val="none"/>
        </w:rPr>
        <w:t>2022年4月开始使用预算一体化平台，1-3月部分经费由州公路局代付</w:t>
      </w:r>
      <w:r>
        <w:rPr>
          <w:rFonts w:hint="eastAsia" w:ascii="仿宋" w:hAnsi="仿宋" w:eastAsia="仿宋"/>
          <w:color w:val="auto"/>
          <w:sz w:val="32"/>
          <w:szCs w:val="32"/>
          <w:highlight w:val="none"/>
          <w:lang w:eastAsia="zh-CN"/>
        </w:rPr>
        <w:t>。</w:t>
      </w:r>
    </w:p>
    <w:p w14:paraId="39AF7D69">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971AEE0">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414C64BA">
      <w:pPr>
        <w:spacing w:line="600" w:lineRule="exact"/>
        <w:ind w:firstLine="640" w:firstLineChars="200"/>
        <w:rPr>
          <w:rFonts w:ascii="仿宋" w:hAnsi="仿宋" w:eastAsia="仿宋"/>
          <w:color w:val="auto"/>
          <w:sz w:val="32"/>
          <w:szCs w:val="32"/>
          <w:highlight w:val="none"/>
        </w:rPr>
      </w:pPr>
    </w:p>
    <w:p w14:paraId="08212E29">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0AC86C97">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一般公共预算财政拨款支出1,704.7万元，主要用于以下方面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社会保障和就业支出118.4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卫生健康支出42.63</w:t>
      </w:r>
      <w:r>
        <w:rPr>
          <w:rFonts w:hint="eastAsia" w:ascii="仿宋" w:hAnsi="仿宋" w:eastAsia="仿宋"/>
          <w:color w:val="auto"/>
          <w:sz w:val="32"/>
          <w:szCs w:val="32"/>
          <w:highlight w:val="none"/>
        </w:rPr>
        <w:t>万元，占2.5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交通运输支出1,481.2</w:t>
      </w:r>
      <w:r>
        <w:rPr>
          <w:rFonts w:hint="eastAsia" w:ascii="仿宋" w:hAnsi="仿宋" w:eastAsia="仿宋"/>
          <w:color w:val="auto"/>
          <w:sz w:val="32"/>
          <w:szCs w:val="32"/>
          <w:highlight w:val="none"/>
        </w:rPr>
        <w:t>万元，占86.</w:t>
      </w:r>
      <w:r>
        <w:rPr>
          <w:rFonts w:hint="eastAsia" w:ascii="仿宋" w:hAnsi="仿宋" w:eastAsia="仿宋"/>
          <w:color w:val="auto"/>
          <w:sz w:val="32"/>
          <w:szCs w:val="32"/>
          <w:highlight w:val="none"/>
          <w:lang w:val="en-US" w:eastAsia="zh-CN"/>
        </w:rPr>
        <w:t>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住房保障支出62.48</w:t>
      </w:r>
      <w:r>
        <w:rPr>
          <w:rFonts w:hint="eastAsia" w:ascii="仿宋" w:hAnsi="仿宋" w:eastAsia="仿宋"/>
          <w:color w:val="auto"/>
          <w:sz w:val="32"/>
          <w:szCs w:val="32"/>
          <w:highlight w:val="none"/>
        </w:rPr>
        <w:t>万元，占3.</w:t>
      </w:r>
      <w:r>
        <w:rPr>
          <w:rFonts w:hint="eastAsia" w:ascii="仿宋" w:hAnsi="仿宋" w:eastAsia="仿宋"/>
          <w:color w:val="auto"/>
          <w:sz w:val="32"/>
          <w:szCs w:val="32"/>
          <w:highlight w:val="none"/>
          <w:lang w:val="en-US" w:eastAsia="zh-CN"/>
        </w:rPr>
        <w:t>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399D3E70">
      <w:pPr>
        <w:spacing w:line="240" w:lineRule="auto"/>
        <w:ind w:firstLine="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D413676">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1D890FDE">
      <w:pPr>
        <w:spacing w:line="600" w:lineRule="exact"/>
        <w:ind w:firstLine="640" w:firstLineChars="200"/>
        <w:rPr>
          <w:rFonts w:ascii="仿宋" w:hAnsi="仿宋" w:eastAsia="仿宋"/>
          <w:color w:val="auto"/>
          <w:sz w:val="32"/>
          <w:szCs w:val="32"/>
          <w:highlight w:val="none"/>
        </w:rPr>
      </w:pPr>
    </w:p>
    <w:p w14:paraId="0D93C5E5">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09D08988">
      <w:pPr>
        <w:spacing w:line="600" w:lineRule="exact"/>
        <w:ind w:firstLine="643" w:firstLineChars="200"/>
        <w:outlineLvl w:val="1"/>
        <w:rPr>
          <w:rFonts w:ascii="仿宋" w:hAnsi="仿宋" w:eastAsia="仿宋"/>
          <w:color w:val="auto"/>
          <w:sz w:val="32"/>
          <w:szCs w:val="32"/>
          <w:highlight w:val="none"/>
        </w:rPr>
      </w:pPr>
      <w:bookmarkStart w:id="11" w:name="_Toc27444"/>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般公共预算支出决算数为1,704.7</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4"/>
          <w:rFonts w:hint="eastAsia" w:ascii="仿宋" w:hAnsi="仿宋" w:eastAsia="仿宋"/>
          <w:bCs/>
          <w:color w:val="auto"/>
          <w:sz w:val="32"/>
          <w:szCs w:val="32"/>
          <w:highlight w:val="none"/>
        </w:rPr>
        <w:t>完成预算</w:t>
      </w:r>
      <w:r>
        <w:rPr>
          <w:rStyle w:val="14"/>
          <w:rFonts w:hint="eastAsia" w:ascii="仿宋" w:hAnsi="仿宋" w:eastAsia="仿宋"/>
          <w:bCs/>
          <w:color w:val="auto"/>
          <w:sz w:val="32"/>
          <w:szCs w:val="32"/>
          <w:highlight w:val="none"/>
          <w:lang w:val="en-US" w:eastAsia="zh-CN"/>
        </w:rPr>
        <w:t>100</w:t>
      </w:r>
      <w:r>
        <w:rPr>
          <w:rStyle w:val="14"/>
          <w:rFonts w:ascii="仿宋" w:hAnsi="仿宋" w:eastAsia="仿宋"/>
          <w:bCs/>
          <w:color w:val="auto"/>
          <w:sz w:val="32"/>
          <w:szCs w:val="32"/>
          <w:highlight w:val="none"/>
        </w:rPr>
        <w:t>%</w:t>
      </w:r>
      <w:r>
        <w:rPr>
          <w:rStyle w:val="14"/>
          <w:rFonts w:hint="eastAsia" w:ascii="仿宋" w:hAnsi="仿宋" w:eastAsia="仿宋"/>
          <w:bCs/>
          <w:color w:val="auto"/>
          <w:sz w:val="32"/>
          <w:szCs w:val="32"/>
          <w:highlight w:val="none"/>
        </w:rPr>
        <w:t>。其中：</w:t>
      </w:r>
      <w:bookmarkEnd w:id="11"/>
    </w:p>
    <w:p w14:paraId="70DAE47E">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1.</w:t>
      </w:r>
      <w:r>
        <w:rPr>
          <w:rStyle w:val="14"/>
          <w:rFonts w:hint="eastAsia" w:ascii="仿宋" w:hAnsi="仿宋" w:eastAsia="仿宋"/>
          <w:bCs/>
          <w:color w:val="auto"/>
          <w:sz w:val="32"/>
          <w:szCs w:val="32"/>
          <w:highlight w:val="none"/>
        </w:rPr>
        <w:t>社会保障和就业支出（类）行政事业单位养老支出（款）机关事业单位基本养老保险缴费支出（项）</w:t>
      </w:r>
      <w:r>
        <w:rPr>
          <w:rStyle w:val="14"/>
          <w:rFonts w:hint="eastAsia" w:ascii="仿宋" w:hAnsi="仿宋" w:eastAsia="仿宋"/>
          <w:bCs/>
          <w:color w:val="auto"/>
          <w:sz w:val="32"/>
          <w:szCs w:val="32"/>
          <w:highlight w:val="none"/>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支出决算为78.93万元，完成预算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2.</w:t>
      </w:r>
      <w:r>
        <w:rPr>
          <w:rStyle w:val="14"/>
          <w:rFonts w:hint="eastAsia" w:ascii="仿宋" w:hAnsi="仿宋" w:eastAsia="仿宋"/>
          <w:bCs/>
          <w:color w:val="auto"/>
          <w:sz w:val="32"/>
          <w:szCs w:val="32"/>
          <w:highlight w:val="none"/>
        </w:rPr>
        <w:t>社会保障和就业支出（类）行政事业单位养老支出（款）机关事业单位职业年金缴费支出（项）</w:t>
      </w:r>
      <w:r>
        <w:rPr>
          <w:rStyle w:val="14"/>
          <w:rFonts w:hint="eastAsia" w:ascii="仿宋" w:hAnsi="仿宋" w:eastAsia="仿宋"/>
          <w:bCs/>
          <w:color w:val="auto"/>
          <w:sz w:val="32"/>
          <w:szCs w:val="32"/>
          <w:highlight w:val="none"/>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支出决算为39.47万元，完成预算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3.</w:t>
      </w:r>
      <w:r>
        <w:rPr>
          <w:rStyle w:val="14"/>
          <w:rFonts w:hint="eastAsia" w:ascii="仿宋" w:hAnsi="仿宋" w:eastAsia="仿宋"/>
          <w:bCs/>
          <w:color w:val="auto"/>
          <w:sz w:val="32"/>
          <w:szCs w:val="32"/>
          <w:highlight w:val="none"/>
        </w:rPr>
        <w:t>卫生健康支出（类）行政事业单位医疗（款）事业单位医疗（项）</w:t>
      </w:r>
      <w:r>
        <w:rPr>
          <w:rStyle w:val="14"/>
          <w:rFonts w:hint="eastAsia" w:ascii="仿宋" w:hAnsi="仿宋" w:eastAsia="仿宋"/>
          <w:bCs/>
          <w:color w:val="auto"/>
          <w:sz w:val="32"/>
          <w:szCs w:val="32"/>
          <w:highlight w:val="none"/>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支出决算为34.37万元，完成预算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4.</w:t>
      </w:r>
      <w:r>
        <w:rPr>
          <w:rStyle w:val="14"/>
          <w:rFonts w:hint="eastAsia" w:ascii="仿宋" w:hAnsi="仿宋" w:eastAsia="仿宋"/>
          <w:bCs/>
          <w:color w:val="auto"/>
          <w:sz w:val="32"/>
          <w:szCs w:val="32"/>
          <w:highlight w:val="none"/>
        </w:rPr>
        <w:t>卫生健康支出（类）行政事业单位医疗（款）其他行政事业单位医疗支出（项）</w:t>
      </w:r>
      <w:r>
        <w:rPr>
          <w:rStyle w:val="14"/>
          <w:rFonts w:hint="eastAsia" w:ascii="仿宋" w:hAnsi="仿宋" w:eastAsia="仿宋"/>
          <w:bCs/>
          <w:color w:val="auto"/>
          <w:sz w:val="32"/>
          <w:szCs w:val="32"/>
          <w:highlight w:val="none"/>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支出决算为8.26万元，完成预算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3690878A">
      <w:pPr>
        <w:spacing w:line="600" w:lineRule="exact"/>
        <w:ind w:firstLine="643" w:firstLineChars="200"/>
        <w:rPr>
          <w:rFonts w:ascii="仿宋" w:hAnsi="仿宋" w:eastAsia="仿宋"/>
          <w:b/>
          <w:color w:val="auto"/>
          <w:sz w:val="32"/>
          <w:szCs w:val="32"/>
          <w:highlight w:val="none"/>
        </w:rPr>
      </w:pPr>
      <w:r>
        <w:rPr>
          <w:rStyle w:val="14"/>
          <w:rFonts w:ascii="仿宋" w:hAnsi="仿宋" w:eastAsia="仿宋"/>
          <w:bCs/>
          <w:color w:val="auto"/>
          <w:sz w:val="32"/>
          <w:szCs w:val="32"/>
          <w:highlight w:val="none"/>
        </w:rPr>
        <w:t>5.</w:t>
      </w:r>
      <w:r>
        <w:rPr>
          <w:rStyle w:val="14"/>
          <w:rFonts w:hint="eastAsia" w:ascii="仿宋" w:hAnsi="仿宋" w:eastAsia="仿宋"/>
          <w:bCs/>
          <w:color w:val="auto"/>
          <w:sz w:val="32"/>
          <w:szCs w:val="32"/>
          <w:highlight w:val="none"/>
        </w:rPr>
        <w:t>交通运输支出（类）公路水路运输（款）公路养护（项）</w:t>
      </w:r>
      <w:r>
        <w:rPr>
          <w:rStyle w:val="14"/>
          <w:rFonts w:hint="eastAsia" w:ascii="仿宋" w:hAnsi="仿宋" w:eastAsia="仿宋"/>
          <w:bCs/>
          <w:color w:val="auto"/>
          <w:sz w:val="32"/>
          <w:szCs w:val="32"/>
          <w:highlight w:val="none"/>
          <w:lang w:eastAsia="zh-CN"/>
        </w:rPr>
        <w:t>：</w:t>
      </w:r>
      <w:r>
        <w:rPr>
          <w:rStyle w:val="14"/>
          <w:rFonts w:ascii="仿宋" w:hAnsi="仿宋" w:eastAsia="仿宋"/>
          <w:b w:val="0"/>
          <w:bCs/>
          <w:color w:val="auto"/>
          <w:sz w:val="32"/>
          <w:szCs w:val="32"/>
          <w:highlight w:val="none"/>
        </w:rPr>
        <w:t xml:space="preserve"> </w:t>
      </w:r>
      <w:r>
        <w:rPr>
          <w:rStyle w:val="14"/>
          <w:rFonts w:hint="eastAsia" w:ascii="仿宋" w:hAnsi="仿宋" w:eastAsia="仿宋"/>
          <w:b w:val="0"/>
          <w:bCs/>
          <w:color w:val="auto"/>
          <w:sz w:val="32"/>
          <w:szCs w:val="32"/>
          <w:highlight w:val="none"/>
        </w:rPr>
        <w:t>支出决算为1,481.2万元，完成预算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p>
    <w:p w14:paraId="4C922803">
      <w:pPr>
        <w:spacing w:line="600" w:lineRule="exact"/>
        <w:ind w:firstLine="643" w:firstLineChars="200"/>
        <w:rPr>
          <w:rFonts w:hint="eastAsia" w:ascii="仿宋" w:hAnsi="仿宋" w:eastAsia="仿宋"/>
          <w:color w:val="auto"/>
          <w:sz w:val="32"/>
          <w:szCs w:val="32"/>
          <w:highlight w:val="none"/>
          <w:lang w:eastAsia="zh-CN"/>
        </w:rPr>
      </w:pPr>
      <w:r>
        <w:rPr>
          <w:rStyle w:val="14"/>
          <w:rFonts w:hint="eastAsia" w:ascii="仿宋" w:hAnsi="仿宋" w:eastAsia="仿宋" w:cs="Times New Roman"/>
          <w:bCs/>
          <w:color w:val="auto"/>
          <w:sz w:val="32"/>
          <w:szCs w:val="32"/>
          <w:highlight w:val="none"/>
          <w:lang w:val="en-US" w:eastAsia="zh-CN"/>
        </w:rPr>
        <w:t>6.</w:t>
      </w:r>
      <w:r>
        <w:rPr>
          <w:rStyle w:val="14"/>
          <w:rFonts w:hint="eastAsia" w:ascii="仿宋" w:hAnsi="仿宋" w:eastAsia="仿宋" w:cs="Times New Roman"/>
          <w:bCs/>
          <w:color w:val="auto"/>
          <w:sz w:val="32"/>
          <w:szCs w:val="32"/>
          <w:highlight w:val="none"/>
        </w:rPr>
        <w:t>住房保障支出</w:t>
      </w:r>
      <w:r>
        <w:rPr>
          <w:rStyle w:val="14"/>
          <w:rFonts w:hint="eastAsia" w:ascii="仿宋" w:hAnsi="仿宋" w:eastAsia="仿宋"/>
          <w:bCs/>
          <w:color w:val="auto"/>
          <w:sz w:val="32"/>
          <w:szCs w:val="32"/>
          <w:highlight w:val="none"/>
        </w:rPr>
        <w:t>（类）住房改革支出（款）住房公积金（项）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支出决算为61.48万元，完成预算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6AEF670A">
      <w:pPr>
        <w:spacing w:line="600" w:lineRule="exact"/>
        <w:ind w:firstLine="643" w:firstLineChars="200"/>
        <w:rPr>
          <w:rFonts w:hint="eastAsia" w:ascii="仿宋" w:hAnsi="仿宋" w:eastAsia="仿宋"/>
          <w:color w:val="auto"/>
          <w:sz w:val="32"/>
          <w:szCs w:val="32"/>
          <w:highlight w:val="none"/>
          <w:lang w:eastAsia="zh-CN"/>
        </w:rPr>
      </w:pPr>
      <w:r>
        <w:rPr>
          <w:rStyle w:val="14"/>
          <w:rFonts w:hint="eastAsia" w:ascii="仿宋" w:hAnsi="仿宋" w:eastAsia="仿宋" w:cs="Times New Roman"/>
          <w:bCs/>
          <w:color w:val="auto"/>
          <w:kern w:val="2"/>
          <w:sz w:val="32"/>
          <w:szCs w:val="32"/>
          <w:highlight w:val="none"/>
          <w:lang w:val="en-US" w:eastAsia="zh-CN" w:bidi="ar-SA"/>
        </w:rPr>
        <w:t>7.</w:t>
      </w:r>
      <w:r>
        <w:rPr>
          <w:rStyle w:val="14"/>
          <w:rFonts w:hint="eastAsia" w:ascii="仿宋" w:hAnsi="仿宋" w:eastAsia="仿宋" w:cs="Times New Roman"/>
          <w:bCs/>
          <w:color w:val="auto"/>
          <w:sz w:val="32"/>
          <w:szCs w:val="32"/>
          <w:highlight w:val="none"/>
        </w:rPr>
        <w:t>住房保障支出</w:t>
      </w:r>
      <w:r>
        <w:rPr>
          <w:rStyle w:val="14"/>
          <w:rFonts w:hint="eastAsia" w:ascii="仿宋" w:hAnsi="仿宋" w:eastAsia="仿宋"/>
          <w:bCs/>
          <w:color w:val="auto"/>
          <w:sz w:val="32"/>
          <w:szCs w:val="32"/>
          <w:highlight w:val="none"/>
        </w:rPr>
        <w:t>（类）住房改革支出（款）购房补贴（项）</w:t>
      </w:r>
      <w:r>
        <w:rPr>
          <w:rStyle w:val="14"/>
          <w:rFonts w:hint="eastAsia" w:ascii="仿宋" w:hAnsi="仿宋" w:eastAsia="仿宋"/>
          <w:bCs/>
          <w:color w:val="auto"/>
          <w:sz w:val="32"/>
          <w:szCs w:val="32"/>
          <w:highlight w:val="none"/>
          <w:lang w:eastAsia="zh-CN"/>
        </w:rPr>
        <w:t>：</w:t>
      </w:r>
      <w:r>
        <w:rPr>
          <w:rStyle w:val="14"/>
          <w:rFonts w:hint="eastAsia" w:ascii="仿宋" w:hAnsi="仿宋" w:eastAsia="仿宋"/>
          <w:b w:val="0"/>
          <w:bCs/>
          <w:color w:val="auto"/>
          <w:sz w:val="32"/>
          <w:szCs w:val="32"/>
          <w:highlight w:val="none"/>
        </w:rPr>
        <w:t>支出决算为1万元，完成预算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lang w:eastAsia="zh-CN"/>
        </w:rPr>
        <w:t>，</w:t>
      </w:r>
      <w:r>
        <w:rPr>
          <w:rStyle w:val="14"/>
          <w:rFonts w:hint="eastAsia" w:ascii="仿宋" w:hAnsi="仿宋" w:eastAsia="仿宋"/>
          <w:b w:val="0"/>
          <w:bCs/>
          <w:color w:val="auto"/>
          <w:sz w:val="32"/>
          <w:szCs w:val="32"/>
          <w:highlight w:val="none"/>
        </w:rPr>
        <w:t>决算数等于预算数</w:t>
      </w:r>
      <w:r>
        <w:rPr>
          <w:rStyle w:val="14"/>
          <w:rFonts w:hint="eastAsia" w:ascii="仿宋" w:hAnsi="仿宋" w:eastAsia="仿宋"/>
          <w:b w:val="0"/>
          <w:bCs/>
          <w:color w:val="auto"/>
          <w:sz w:val="32"/>
          <w:szCs w:val="32"/>
          <w:highlight w:val="none"/>
          <w:lang w:eastAsia="zh-CN"/>
        </w:rPr>
        <w:t>。</w:t>
      </w:r>
    </w:p>
    <w:p w14:paraId="1E0321E6">
      <w:pPr>
        <w:spacing w:line="600" w:lineRule="exact"/>
        <w:ind w:firstLine="640"/>
        <w:rPr>
          <w:rFonts w:ascii="仿宋" w:hAnsi="仿宋" w:eastAsia="仿宋"/>
          <w:b/>
          <w:color w:val="auto"/>
          <w:sz w:val="32"/>
          <w:szCs w:val="32"/>
          <w:highlight w:val="none"/>
        </w:rPr>
      </w:pPr>
    </w:p>
    <w:p w14:paraId="4D646C1C">
      <w:pPr>
        <w:tabs>
          <w:tab w:val="right" w:pos="8306"/>
        </w:tabs>
        <w:spacing w:line="600" w:lineRule="exact"/>
        <w:ind w:firstLine="640"/>
        <w:outlineLvl w:val="1"/>
        <w:rPr>
          <w:rStyle w:val="16"/>
          <w:color w:val="auto"/>
          <w:highlight w:val="none"/>
        </w:rPr>
      </w:pPr>
      <w:bookmarkStart w:id="12" w:name="_Toc2875"/>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6"/>
          <w:rFonts w:hint="eastAsia" w:ascii="黑体" w:hAnsi="黑体" w:eastAsia="黑体"/>
          <w:b w:val="0"/>
          <w:color w:val="auto"/>
          <w:highlight w:val="none"/>
        </w:rPr>
        <w:t>般公共预算财政拨款基本支出决算情况说明</w:t>
      </w:r>
      <w:bookmarkEnd w:id="12"/>
      <w:r>
        <w:rPr>
          <w:rStyle w:val="16"/>
          <w:rFonts w:ascii="黑体" w:hAnsi="黑体" w:eastAsia="黑体"/>
          <w:b w:val="0"/>
          <w:color w:val="auto"/>
          <w:highlight w:val="none"/>
        </w:rPr>
        <w:tab/>
      </w:r>
    </w:p>
    <w:p w14:paraId="504278DF">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一般公共预算财政拨款基本支出953.86万元，其中：</w:t>
      </w:r>
    </w:p>
    <w:p w14:paraId="44B056F4">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人员经费943.12万元，主要包括：基本工资、津贴补贴、奖金、绩效工资、机关事业单位基本养老保险缴费、职业年金缴费、职工基本医疗保险缴费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其他社会保障缴费、住房公积金、其他工资福利支出、生活补助、奖励金等。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公用经费10.74万元，主要包括：办公费、印刷费、咨询费、电费、邮电费、差旅费、维修（护）费、培训费、专用材料费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劳务费、工会经费、福利费、公务用车运行维护费、其他交通费、其他商品和服务支出、办公设备购置、专用设备购置等。</w:t>
      </w:r>
    </w:p>
    <w:p w14:paraId="3F26C438">
      <w:pPr>
        <w:spacing w:line="600" w:lineRule="exact"/>
        <w:ind w:firstLine="640"/>
        <w:rPr>
          <w:rFonts w:ascii="仿宋" w:hAnsi="仿宋" w:eastAsia="仿宋"/>
          <w:b/>
          <w:color w:val="auto"/>
          <w:sz w:val="32"/>
          <w:szCs w:val="32"/>
          <w:highlight w:val="none"/>
        </w:rPr>
      </w:pPr>
    </w:p>
    <w:p w14:paraId="13BDB73E">
      <w:pPr>
        <w:spacing w:line="600" w:lineRule="exact"/>
        <w:ind w:firstLine="640"/>
        <w:outlineLvl w:val="1"/>
        <w:rPr>
          <w:rStyle w:val="16"/>
          <w:rFonts w:ascii="黑体" w:hAnsi="黑体" w:eastAsia="黑体"/>
          <w:b w:val="0"/>
          <w:color w:val="auto"/>
          <w:highlight w:val="none"/>
        </w:rPr>
      </w:pPr>
      <w:bookmarkStart w:id="13" w:name="_Toc12227"/>
      <w:r>
        <w:rPr>
          <w:rFonts w:hint="eastAsia" w:ascii="黑体" w:eastAsia="黑体"/>
          <w:color w:val="auto"/>
          <w:sz w:val="32"/>
          <w:szCs w:val="32"/>
          <w:highlight w:val="none"/>
        </w:rPr>
        <w:t>七、</w:t>
      </w:r>
      <w:r>
        <w:rPr>
          <w:rStyle w:val="16"/>
          <w:rFonts w:hint="eastAsia" w:ascii="黑体" w:hAnsi="黑体" w:eastAsia="黑体"/>
          <w:b w:val="0"/>
          <w:color w:val="auto"/>
          <w:highlight w:val="none"/>
        </w:rPr>
        <w:t>财政拨款</w:t>
      </w:r>
      <w:r>
        <w:rPr>
          <w:rStyle w:val="16"/>
          <w:rFonts w:hint="eastAsia" w:ascii="黑体" w:hAnsi="黑体" w:eastAsia="黑体"/>
          <w:color w:val="auto"/>
          <w:highlight w:val="none"/>
        </w:rPr>
        <w:t>“</w:t>
      </w:r>
      <w:r>
        <w:rPr>
          <w:rStyle w:val="16"/>
          <w:rFonts w:hint="eastAsia" w:ascii="黑体" w:hAnsi="黑体" w:eastAsia="黑体"/>
          <w:b w:val="0"/>
          <w:color w:val="auto"/>
          <w:highlight w:val="none"/>
        </w:rPr>
        <w:t>三公”经费支出决算情况说明</w:t>
      </w:r>
      <w:bookmarkEnd w:id="13"/>
    </w:p>
    <w:p w14:paraId="2B06500D">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1F187CF7">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“三公”经费财政拨款支出决算为44.94万元，完成预算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较上年度增加14.95</w:t>
      </w:r>
      <w:r>
        <w:rPr>
          <w:rFonts w:hint="eastAsia" w:ascii="仿宋" w:hAnsi="仿宋" w:eastAsia="仿宋"/>
          <w:color w:val="auto"/>
          <w:sz w:val="32"/>
          <w:szCs w:val="32"/>
          <w:highlight w:val="none"/>
          <w:lang w:val="en-US" w:eastAsia="zh-CN"/>
        </w:rPr>
        <w:t>万元，增长49.8%。</w:t>
      </w:r>
      <w:r>
        <w:rPr>
          <w:rFonts w:hint="eastAsia" w:ascii="仿宋" w:hAnsi="仿宋" w:eastAsia="仿宋"/>
          <w:color w:val="auto"/>
          <w:sz w:val="32"/>
          <w:szCs w:val="32"/>
          <w:highlight w:val="none"/>
        </w:rPr>
        <w:t>决算数与预算数持平。</w:t>
      </w:r>
    </w:p>
    <w:p w14:paraId="2BA744F3">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7FFD823A">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；公务用车购置及运行维护费支出决算44.94万元，占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472B7B11">
      <w:pPr>
        <w:pStyle w:val="2"/>
        <w:rPr>
          <w:rFonts w:hint="eastAsia" w:eastAsia="仿宋"/>
          <w:lang w:eastAsia="zh-CN"/>
        </w:rPr>
      </w:pPr>
      <w:r>
        <w:rPr>
          <w:rFonts w:hint="eastAsia" w:eastAsia="仿宋"/>
          <w:lang w:eastAsia="zh-CN"/>
        </w:rPr>
        <w:drawing>
          <wp:inline distT="0" distB="0" distL="114300" distR="114300">
            <wp:extent cx="5256530" cy="2988310"/>
            <wp:effectExtent l="5080" t="4445" r="889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B9F0A1D">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395303CD">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57EE6D00">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公务用车购置及运行维护费支出44.94</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100</w:t>
      </w:r>
      <w:r>
        <w:rPr>
          <w:rStyle w:val="14"/>
          <w:rFonts w:ascii="仿宋" w:hAnsi="仿宋" w:eastAsia="仿宋"/>
          <w:b w:val="0"/>
          <w:bCs/>
          <w:color w:val="auto"/>
          <w:sz w:val="32"/>
          <w:szCs w:val="32"/>
          <w:highlight w:val="none"/>
        </w:rPr>
        <w:t>%</w:t>
      </w:r>
      <w:r>
        <w:rPr>
          <w:rStyle w:val="14"/>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增加14.95万元，增长49.8</w:t>
      </w:r>
      <w:bookmarkStart w:id="36" w:name="_GoBack"/>
      <w:bookmarkEnd w:id="36"/>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。主要原因是2023年度900万隧道专项资金下拨为一个整体项目经费指标，未分解本年度公务用车运行维护费，公车费用使用科目”其他交通费用”。</w:t>
      </w:r>
    </w:p>
    <w:p w14:paraId="3A0AB8BD">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辆、中型客车和大型客车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、其他车型</w:t>
      </w:r>
      <w:r>
        <w:rPr>
          <w:rFonts w:hint="eastAsia" w:ascii="仿宋_GB2312" w:eastAsia="仿宋_GB2312"/>
          <w:color w:val="auto"/>
          <w:sz w:val="32"/>
          <w:szCs w:val="32"/>
          <w:highlight w:val="none"/>
          <w:lang w:val="en-US" w:eastAsia="zh-CN"/>
        </w:rPr>
        <w:t>13辆</w:t>
      </w:r>
      <w:r>
        <w:rPr>
          <w:rFonts w:hint="eastAsia" w:ascii="仿宋_GB2312" w:eastAsia="仿宋_GB2312"/>
          <w:color w:val="auto"/>
          <w:sz w:val="32"/>
          <w:szCs w:val="32"/>
          <w:highlight w:val="none"/>
        </w:rPr>
        <w:t>。</w:t>
      </w:r>
    </w:p>
    <w:p w14:paraId="1F43A7B3">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公务用车运行维护费支出44.94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5B887682">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4"/>
          <w:rFonts w:hint="eastAsia" w:ascii="仿宋" w:hAnsi="仿宋" w:eastAsia="仿宋"/>
          <w:b w:val="0"/>
          <w:bCs/>
          <w:color w:val="auto"/>
          <w:sz w:val="32"/>
          <w:szCs w:val="32"/>
          <w:highlight w:val="none"/>
        </w:rPr>
        <w:t>完成预算</w:t>
      </w:r>
      <w:r>
        <w:rPr>
          <w:rStyle w:val="14"/>
          <w:rFonts w:hint="eastAsia" w:ascii="仿宋" w:hAnsi="仿宋" w:eastAsia="仿宋"/>
          <w:b w:val="0"/>
          <w:bCs/>
          <w:color w:val="auto"/>
          <w:sz w:val="32"/>
          <w:szCs w:val="32"/>
          <w:highlight w:val="none"/>
          <w:lang w:val="en-US" w:eastAsia="zh-CN"/>
        </w:rPr>
        <w:t>0</w:t>
      </w:r>
      <w:r>
        <w:rPr>
          <w:rStyle w:val="14"/>
          <w:rFonts w:ascii="仿宋" w:hAnsi="仿宋" w:eastAsia="仿宋"/>
          <w:b w:val="0"/>
          <w:bCs/>
          <w:color w:val="auto"/>
          <w:sz w:val="32"/>
          <w:szCs w:val="32"/>
          <w:highlight w:val="none"/>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p>
    <w:p w14:paraId="1FFF7A18">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万元。国内公务接待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0F57B37">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7E3E03D">
      <w:pPr>
        <w:spacing w:line="600" w:lineRule="exact"/>
        <w:ind w:firstLine="640"/>
        <w:outlineLvl w:val="9"/>
        <w:rPr>
          <w:rFonts w:ascii="黑体" w:eastAsia="黑体"/>
          <w:color w:val="auto"/>
          <w:sz w:val="32"/>
          <w:szCs w:val="32"/>
          <w:highlight w:val="none"/>
        </w:rPr>
      </w:pPr>
    </w:p>
    <w:p w14:paraId="200F5EFE">
      <w:pPr>
        <w:spacing w:line="600" w:lineRule="exact"/>
        <w:ind w:firstLine="640"/>
        <w:outlineLvl w:val="1"/>
        <w:rPr>
          <w:rStyle w:val="16"/>
          <w:rFonts w:ascii="黑体" w:hAnsi="黑体" w:eastAsia="黑体"/>
          <w:color w:val="auto"/>
          <w:highlight w:val="none"/>
        </w:rPr>
      </w:pPr>
      <w:bookmarkStart w:id="14" w:name="_Toc31422"/>
      <w:r>
        <w:rPr>
          <w:rFonts w:hint="eastAsia" w:ascii="黑体" w:eastAsia="黑体"/>
          <w:color w:val="auto"/>
          <w:sz w:val="32"/>
          <w:szCs w:val="32"/>
          <w:highlight w:val="none"/>
        </w:rPr>
        <w:t>八、</w:t>
      </w:r>
      <w:r>
        <w:rPr>
          <w:rStyle w:val="16"/>
          <w:rFonts w:hint="eastAsia" w:ascii="黑体" w:hAnsi="黑体" w:eastAsia="黑体"/>
          <w:b w:val="0"/>
          <w:color w:val="auto"/>
          <w:highlight w:val="none"/>
        </w:rPr>
        <w:t>政府性基金预算支出决算情况说明</w:t>
      </w:r>
      <w:bookmarkEnd w:id="14"/>
    </w:p>
    <w:p w14:paraId="38D6E34F">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C29093E">
      <w:pPr>
        <w:spacing w:line="600" w:lineRule="exact"/>
        <w:ind w:firstLine="640"/>
        <w:rPr>
          <w:rFonts w:ascii="仿宋_GB2312" w:eastAsia="仿宋_GB2312"/>
          <w:color w:val="auto"/>
          <w:sz w:val="32"/>
          <w:szCs w:val="32"/>
          <w:highlight w:val="none"/>
        </w:rPr>
      </w:pPr>
    </w:p>
    <w:p w14:paraId="111CCA9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6"/>
          <w:rFonts w:ascii="黑体" w:hAnsi="黑体" w:eastAsia="黑体"/>
          <w:b w:val="0"/>
          <w:color w:val="auto"/>
          <w:highlight w:val="none"/>
        </w:rPr>
      </w:pPr>
      <w:bookmarkStart w:id="15" w:name="_Toc23748"/>
      <w:r>
        <w:rPr>
          <w:rStyle w:val="16"/>
          <w:rFonts w:hint="eastAsia" w:ascii="黑体" w:hAnsi="黑体" w:eastAsia="黑体"/>
          <w:b w:val="0"/>
          <w:color w:val="auto"/>
          <w:highlight w:val="none"/>
          <w:lang w:eastAsia="zh-CN"/>
        </w:rPr>
        <w:t>九、</w:t>
      </w:r>
      <w:r>
        <w:rPr>
          <w:rStyle w:val="16"/>
          <w:rFonts w:hint="eastAsia" w:ascii="黑体" w:hAnsi="黑体" w:eastAsia="黑体"/>
          <w:b w:val="0"/>
          <w:color w:val="auto"/>
          <w:highlight w:val="none"/>
        </w:rPr>
        <w:t>国有资本经营预算支出决算情况说明</w:t>
      </w:r>
      <w:bookmarkEnd w:id="15"/>
    </w:p>
    <w:p w14:paraId="6CA047B8">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327F6AF">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02A701B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6"/>
          <w:rFonts w:hint="eastAsia" w:ascii="黑体" w:hAnsi="黑体" w:eastAsia="黑体"/>
          <w:b w:val="0"/>
          <w:color w:val="auto"/>
          <w:highlight w:val="none"/>
        </w:rPr>
      </w:pPr>
      <w:bookmarkStart w:id="16" w:name="_Toc26560"/>
      <w:r>
        <w:rPr>
          <w:rStyle w:val="16"/>
          <w:rFonts w:hint="eastAsia" w:ascii="黑体" w:hAnsi="黑体" w:eastAsia="黑体"/>
          <w:b w:val="0"/>
          <w:color w:val="auto"/>
          <w:highlight w:val="none"/>
          <w:lang w:eastAsia="zh-CN"/>
        </w:rPr>
        <w:t>十、</w:t>
      </w:r>
      <w:r>
        <w:rPr>
          <w:rStyle w:val="16"/>
          <w:rFonts w:hint="eastAsia" w:ascii="黑体" w:hAnsi="黑体" w:eastAsia="黑体"/>
          <w:b w:val="0"/>
          <w:color w:val="auto"/>
          <w:highlight w:val="none"/>
        </w:rPr>
        <w:t>其他重要事项的情况说明</w:t>
      </w:r>
      <w:bookmarkEnd w:id="16"/>
    </w:p>
    <w:p w14:paraId="43F331D9">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1D8D2D51">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40356855">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2B678B4A">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83.3</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83.3</w:t>
      </w:r>
      <w:r>
        <w:rPr>
          <w:rFonts w:hint="eastAsia" w:ascii="仿宋_GB2312" w:eastAsia="仿宋_GB2312"/>
          <w:color w:val="auto"/>
          <w:sz w:val="32"/>
          <w:szCs w:val="32"/>
          <w:highlight w:val="none"/>
        </w:rPr>
        <w:t>万元。主要用于2023年阿坝州普通国省干线公路隧道土建机电定期检测。授予中小企业合同金额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140A970F">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4A4B2E7E">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470B84E9">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40E66236">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2023年本单位完成整体绩效自评，并撰写自评报告，自评得分87.02。不涉及项目绩效自评，故无项目绩效自评表</w:t>
      </w:r>
      <w:r>
        <w:rPr>
          <w:rFonts w:hint="eastAsia" w:ascii="仿宋_GB2312" w:hAnsi="Times New Roman" w:eastAsia="仿宋_GB2312" w:cs="Times New Roman"/>
          <w:color w:val="auto"/>
          <w:sz w:val="32"/>
          <w:szCs w:val="32"/>
          <w:highlight w:val="none"/>
          <w:lang w:val="en-US" w:eastAsia="zh-CN"/>
        </w:rPr>
        <w:t>。</w:t>
      </w:r>
    </w:p>
    <w:p w14:paraId="1CAFD6F2">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48361287">
      <w:pPr>
        <w:numPr>
          <w:ilvl w:val="0"/>
          <w:numId w:val="0"/>
        </w:numPr>
        <w:spacing w:line="600" w:lineRule="exact"/>
        <w:jc w:val="center"/>
        <w:outlineLvl w:val="0"/>
        <w:rPr>
          <w:rStyle w:val="15"/>
          <w:rFonts w:ascii="黑体" w:hAnsi="黑体" w:eastAsia="黑体"/>
          <w:b w:val="0"/>
          <w:color w:val="auto"/>
          <w:highlight w:val="none"/>
        </w:rPr>
      </w:pPr>
      <w:bookmarkStart w:id="17" w:name="_Toc1489"/>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5"/>
          <w:rFonts w:hint="eastAsia" w:ascii="黑体" w:hAnsi="黑体" w:eastAsia="黑体"/>
          <w:b w:val="0"/>
          <w:color w:val="auto"/>
          <w:highlight w:val="none"/>
        </w:rPr>
        <w:t>词解释</w:t>
      </w:r>
      <w:bookmarkEnd w:id="17"/>
    </w:p>
    <w:p w14:paraId="58A9F6A9">
      <w:pPr>
        <w:spacing w:line="600" w:lineRule="exact"/>
        <w:jc w:val="left"/>
        <w:rPr>
          <w:rFonts w:ascii="宋体"/>
          <w:b/>
          <w:color w:val="auto"/>
          <w:sz w:val="44"/>
          <w:szCs w:val="44"/>
          <w:highlight w:val="none"/>
        </w:rPr>
      </w:pPr>
    </w:p>
    <w:p w14:paraId="2F7712B6">
      <w:pPr>
        <w:pStyle w:val="18"/>
        <w:spacing w:line="560" w:lineRule="exact"/>
        <w:ind w:firstLine="640" w:firstLineChars="200"/>
        <w:outlineLvl w:val="1"/>
        <w:rPr>
          <w:rFonts w:ascii="仿宋_GB2312" w:eastAsia="仿宋_GB2312"/>
          <w:color w:val="auto"/>
          <w:sz w:val="32"/>
          <w:szCs w:val="32"/>
          <w:highlight w:val="none"/>
        </w:rPr>
      </w:pPr>
      <w:bookmarkStart w:id="18" w:name="_Toc14338"/>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8"/>
    </w:p>
    <w:p w14:paraId="789619BA">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7B6E5FE0">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3718F950">
      <w:pPr>
        <w:pStyle w:val="18"/>
        <w:spacing w:line="560" w:lineRule="exact"/>
        <w:ind w:firstLine="640" w:firstLineChars="200"/>
        <w:outlineLvl w:val="1"/>
        <w:rPr>
          <w:rFonts w:ascii="仿宋_GB2312" w:eastAsia="仿宋_GB2312"/>
          <w:color w:val="auto"/>
          <w:sz w:val="32"/>
          <w:szCs w:val="32"/>
          <w:highlight w:val="none"/>
        </w:rPr>
      </w:pPr>
      <w:bookmarkStart w:id="19" w:name="_Toc24561"/>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19"/>
      <w:r>
        <w:rPr>
          <w:rFonts w:ascii="仿宋_GB2312" w:eastAsia="仿宋_GB2312"/>
          <w:color w:val="auto"/>
          <w:sz w:val="32"/>
          <w:szCs w:val="32"/>
          <w:highlight w:val="none"/>
        </w:rPr>
        <w:t xml:space="preserve"> </w:t>
      </w:r>
    </w:p>
    <w:p w14:paraId="21A00075">
      <w:pPr>
        <w:pStyle w:val="18"/>
        <w:spacing w:line="56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w:t>
      </w:r>
      <w:r>
        <w:rPr>
          <w:rFonts w:hint="eastAsia" w:ascii="仿宋_GB2312" w:eastAsia="仿宋_GB2312"/>
          <w:color w:val="auto"/>
          <w:sz w:val="32"/>
          <w:szCs w:val="32"/>
          <w:highlight w:val="none"/>
          <w:lang w:val="en-US" w:eastAsia="zh-CN"/>
        </w:rPr>
        <w:t>金额</w:t>
      </w:r>
      <w:r>
        <w:rPr>
          <w:rFonts w:hint="eastAsia" w:ascii="仿宋_GB2312" w:eastAsia="仿宋_GB2312"/>
          <w:color w:val="auto"/>
          <w:sz w:val="32"/>
          <w:szCs w:val="32"/>
          <w:highlight w:val="none"/>
          <w:lang w:eastAsia="zh-CN"/>
        </w:rPr>
        <w:t xml:space="preserve">。 </w:t>
      </w:r>
    </w:p>
    <w:p w14:paraId="670C699C">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29B99F2E">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717233AE">
      <w:pPr>
        <w:pStyle w:val="18"/>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54C5DC8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20B94BC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反映行政事业单位按人力资源和社会保障部、财政部规定的基本工资和津贴补贴以及规定比例为职工缴纳的住房公积金。</w:t>
      </w:r>
    </w:p>
    <w:p w14:paraId="52A885D6">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3A660474">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16</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74AA0F3F">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6966507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4AD88623">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3BD5856">
      <w:pPr>
        <w:pStyle w:val="18"/>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43CC7BC">
      <w:pPr>
        <w:pStyle w:val="18"/>
        <w:spacing w:line="560" w:lineRule="exact"/>
        <w:ind w:firstLine="640" w:firstLineChars="200"/>
        <w:rPr>
          <w:rFonts w:ascii="仿宋_GB2312" w:eastAsia="仿宋_GB2312" w:cs="黑体"/>
          <w:color w:val="auto"/>
          <w:sz w:val="32"/>
          <w:szCs w:val="32"/>
          <w:highlight w:val="none"/>
        </w:rPr>
      </w:pPr>
    </w:p>
    <w:p w14:paraId="016BFE75">
      <w:pPr>
        <w:spacing w:line="600" w:lineRule="exact"/>
        <w:jc w:val="center"/>
        <w:outlineLvl w:val="0"/>
        <w:rPr>
          <w:rStyle w:val="15"/>
          <w:rFonts w:ascii="黑体" w:hAnsi="黑体" w:eastAsia="黑体"/>
          <w:b w:val="0"/>
          <w:color w:val="auto"/>
          <w:highlight w:val="none"/>
        </w:rPr>
      </w:pPr>
      <w:r>
        <w:rPr>
          <w:rFonts w:ascii="宋体"/>
          <w:b/>
          <w:color w:val="auto"/>
          <w:sz w:val="44"/>
          <w:szCs w:val="44"/>
          <w:highlight w:val="none"/>
        </w:rPr>
        <w:br w:type="page"/>
      </w:r>
      <w:bookmarkStart w:id="20" w:name="_Toc16785"/>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四部分 附件</w:t>
      </w:r>
      <w:bookmarkEnd w:id="20"/>
    </w:p>
    <w:p w14:paraId="7679E5DC">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69A9BF14">
      <w:pPr>
        <w:spacing w:line="600" w:lineRule="exact"/>
        <w:ind w:firstLine="640" w:firstLineChars="200"/>
        <w:jc w:val="left"/>
        <w:outlineLvl w:val="1"/>
        <w:rPr>
          <w:rFonts w:hint="eastAsia" w:ascii="黑体" w:hAnsi="黑体" w:eastAsia="黑体"/>
          <w:color w:val="FF0000"/>
          <w:sz w:val="44"/>
          <w:szCs w:val="44"/>
          <w:highlight w:val="none"/>
        </w:rPr>
      </w:pPr>
      <w:bookmarkStart w:id="21" w:name="_Toc4502"/>
      <w:r>
        <w:rPr>
          <w:rFonts w:hint="eastAsia" w:cs="Times New Roman"/>
          <w:sz w:val="32"/>
          <w:szCs w:val="32"/>
          <w:highlight w:val="none"/>
          <w:lang w:val="en-US" w:eastAsia="zh-CN"/>
        </w:rPr>
        <w:t>2023年阿坝藏族羌族自治州公路隧道管理处无单位</w:t>
      </w:r>
      <w:r>
        <w:rPr>
          <w:rFonts w:hint="eastAsia" w:hAnsi="Times New Roman" w:cs="Times New Roman"/>
          <w:sz w:val="32"/>
          <w:szCs w:val="32"/>
          <w:highlight w:val="none"/>
          <w:lang w:val="en-US" w:eastAsia="zh-CN"/>
        </w:rPr>
        <w:t>预算项目支出绩效自评表。</w:t>
      </w:r>
      <w:bookmarkEnd w:id="21"/>
    </w:p>
    <w:p w14:paraId="387EC5ED">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p>
    <w:p w14:paraId="3E97039D">
      <w:pPr>
        <w:pStyle w:val="2"/>
        <w:rPr>
          <w:rFonts w:hint="eastAsia" w:ascii="仿宋_GB2312" w:hAnsi="Calibri" w:eastAsia="仿宋_GB2312" w:cs="仿宋"/>
          <w:color w:val="auto"/>
          <w:kern w:val="0"/>
          <w:sz w:val="32"/>
          <w:szCs w:val="32"/>
          <w:highlight w:val="none"/>
          <w:lang w:val="en-US" w:eastAsia="zh-CN" w:bidi="ar-SA"/>
        </w:rPr>
      </w:pPr>
    </w:p>
    <w:p w14:paraId="2D90952F">
      <w:pPr>
        <w:pStyle w:val="2"/>
        <w:rPr>
          <w:rFonts w:hint="eastAsia" w:ascii="仿宋_GB2312" w:hAnsi="Calibri" w:eastAsia="仿宋_GB2312" w:cs="仿宋"/>
          <w:color w:val="auto"/>
          <w:kern w:val="0"/>
          <w:sz w:val="32"/>
          <w:szCs w:val="32"/>
          <w:highlight w:val="none"/>
          <w:lang w:val="en-US" w:eastAsia="zh-CN" w:bidi="ar-SA"/>
        </w:rPr>
      </w:pPr>
    </w:p>
    <w:p w14:paraId="69C7C5E4">
      <w:pPr>
        <w:pStyle w:val="2"/>
        <w:rPr>
          <w:rFonts w:hint="eastAsia" w:ascii="仿宋_GB2312" w:hAnsi="Calibri" w:eastAsia="仿宋_GB2312" w:cs="仿宋"/>
          <w:color w:val="auto"/>
          <w:kern w:val="0"/>
          <w:sz w:val="32"/>
          <w:szCs w:val="32"/>
          <w:highlight w:val="none"/>
          <w:lang w:val="en-US" w:eastAsia="zh-CN" w:bidi="ar-SA"/>
        </w:rPr>
      </w:pPr>
    </w:p>
    <w:p w14:paraId="5A453B86">
      <w:pPr>
        <w:pStyle w:val="2"/>
        <w:rPr>
          <w:rFonts w:hint="eastAsia" w:ascii="仿宋_GB2312" w:hAnsi="Calibri" w:eastAsia="仿宋_GB2312" w:cs="仿宋"/>
          <w:color w:val="auto"/>
          <w:kern w:val="0"/>
          <w:sz w:val="32"/>
          <w:szCs w:val="32"/>
          <w:highlight w:val="none"/>
          <w:lang w:val="en-US" w:eastAsia="zh-CN" w:bidi="ar-SA"/>
        </w:rPr>
      </w:pPr>
    </w:p>
    <w:p w14:paraId="1688142C">
      <w:pPr>
        <w:pStyle w:val="2"/>
        <w:rPr>
          <w:rFonts w:hint="eastAsia" w:ascii="仿宋_GB2312" w:hAnsi="Calibri" w:eastAsia="仿宋_GB2312" w:cs="仿宋"/>
          <w:color w:val="auto"/>
          <w:kern w:val="0"/>
          <w:sz w:val="32"/>
          <w:szCs w:val="32"/>
          <w:highlight w:val="none"/>
          <w:lang w:val="en-US" w:eastAsia="zh-CN" w:bidi="ar-SA"/>
        </w:rPr>
      </w:pPr>
    </w:p>
    <w:p w14:paraId="60BCCB68">
      <w:pPr>
        <w:pStyle w:val="2"/>
        <w:rPr>
          <w:rFonts w:hint="eastAsia" w:ascii="仿宋_GB2312" w:hAnsi="Calibri" w:eastAsia="仿宋_GB2312" w:cs="仿宋"/>
          <w:color w:val="auto"/>
          <w:kern w:val="0"/>
          <w:sz w:val="32"/>
          <w:szCs w:val="32"/>
          <w:highlight w:val="none"/>
          <w:lang w:val="en-US" w:eastAsia="zh-CN" w:bidi="ar-SA"/>
        </w:rPr>
      </w:pPr>
    </w:p>
    <w:p w14:paraId="4751E734">
      <w:pPr>
        <w:pStyle w:val="2"/>
        <w:rPr>
          <w:rFonts w:hint="eastAsia" w:ascii="仿宋_GB2312" w:hAnsi="Calibri" w:eastAsia="仿宋_GB2312" w:cs="仿宋"/>
          <w:color w:val="auto"/>
          <w:kern w:val="0"/>
          <w:sz w:val="32"/>
          <w:szCs w:val="32"/>
          <w:highlight w:val="none"/>
          <w:lang w:val="en-US" w:eastAsia="zh-CN" w:bidi="ar-SA"/>
        </w:rPr>
      </w:pPr>
    </w:p>
    <w:p w14:paraId="680884CC">
      <w:pPr>
        <w:pStyle w:val="2"/>
        <w:rPr>
          <w:rFonts w:hint="eastAsia" w:ascii="仿宋_GB2312" w:hAnsi="Calibri" w:eastAsia="仿宋_GB2312" w:cs="仿宋"/>
          <w:color w:val="auto"/>
          <w:kern w:val="0"/>
          <w:sz w:val="32"/>
          <w:szCs w:val="32"/>
          <w:highlight w:val="none"/>
          <w:lang w:val="en-US" w:eastAsia="zh-CN" w:bidi="ar-SA"/>
        </w:rPr>
      </w:pPr>
    </w:p>
    <w:p w14:paraId="033E3FEF">
      <w:pPr>
        <w:pStyle w:val="2"/>
        <w:rPr>
          <w:rFonts w:hint="eastAsia" w:ascii="仿宋_GB2312" w:hAnsi="Calibri" w:eastAsia="仿宋_GB2312" w:cs="仿宋"/>
          <w:color w:val="auto"/>
          <w:kern w:val="0"/>
          <w:sz w:val="32"/>
          <w:szCs w:val="32"/>
          <w:highlight w:val="none"/>
          <w:lang w:val="en-US" w:eastAsia="zh-CN" w:bidi="ar-SA"/>
        </w:rPr>
      </w:pPr>
    </w:p>
    <w:p w14:paraId="439C6A17">
      <w:pPr>
        <w:pStyle w:val="2"/>
        <w:rPr>
          <w:rFonts w:hint="eastAsia" w:ascii="仿宋_GB2312" w:hAnsi="Calibri" w:eastAsia="仿宋_GB2312" w:cs="仿宋"/>
          <w:color w:val="auto"/>
          <w:kern w:val="0"/>
          <w:sz w:val="32"/>
          <w:szCs w:val="32"/>
          <w:highlight w:val="none"/>
          <w:lang w:val="en-US" w:eastAsia="zh-CN" w:bidi="ar-SA"/>
        </w:rPr>
      </w:pPr>
    </w:p>
    <w:p w14:paraId="4CE70D33">
      <w:pPr>
        <w:pStyle w:val="2"/>
        <w:rPr>
          <w:rFonts w:hint="eastAsia" w:ascii="仿宋_GB2312" w:hAnsi="Calibri" w:eastAsia="仿宋_GB2312" w:cs="仿宋"/>
          <w:color w:val="auto"/>
          <w:kern w:val="0"/>
          <w:sz w:val="32"/>
          <w:szCs w:val="32"/>
          <w:highlight w:val="none"/>
          <w:lang w:val="en-US" w:eastAsia="zh-CN" w:bidi="ar-SA"/>
        </w:rPr>
      </w:pPr>
    </w:p>
    <w:p w14:paraId="4A38ECE3">
      <w:pPr>
        <w:pStyle w:val="2"/>
        <w:rPr>
          <w:rFonts w:hint="eastAsia" w:ascii="仿宋_GB2312" w:hAnsi="Calibri" w:eastAsia="仿宋_GB2312" w:cs="仿宋"/>
          <w:color w:val="auto"/>
          <w:kern w:val="0"/>
          <w:sz w:val="32"/>
          <w:szCs w:val="32"/>
          <w:highlight w:val="none"/>
          <w:lang w:val="en-US" w:eastAsia="zh-CN" w:bidi="ar-SA"/>
        </w:rPr>
      </w:pPr>
    </w:p>
    <w:p w14:paraId="45F6CEC0">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31F6754D">
      <w:pPr>
        <w:spacing w:line="600" w:lineRule="exact"/>
        <w:jc w:val="center"/>
        <w:outlineLvl w:val="0"/>
        <w:rPr>
          <w:rFonts w:hint="eastAsia" w:ascii="仿宋" w:hAnsi="仿宋" w:eastAsia="仿宋"/>
          <w:b w:val="0"/>
          <w:color w:val="auto"/>
          <w:highlight w:val="none"/>
        </w:rPr>
      </w:pPr>
      <w:bookmarkStart w:id="22" w:name="_Toc32586"/>
      <w:r>
        <w:rPr>
          <w:rFonts w:hint="eastAsia" w:ascii="黑体" w:hAnsi="黑体" w:eastAsia="黑体"/>
          <w:color w:val="auto"/>
          <w:sz w:val="44"/>
          <w:szCs w:val="44"/>
          <w:highlight w:val="none"/>
        </w:rPr>
        <w:t>第</w:t>
      </w:r>
      <w:r>
        <w:rPr>
          <w:rStyle w:val="15"/>
          <w:rFonts w:hint="eastAsia" w:ascii="黑体" w:hAnsi="黑体" w:eastAsia="黑体"/>
          <w:b w:val="0"/>
          <w:color w:val="auto"/>
          <w:highlight w:val="none"/>
        </w:rPr>
        <w:t>五部分 附表</w:t>
      </w:r>
      <w:bookmarkEnd w:id="22"/>
    </w:p>
    <w:p w14:paraId="7E8BC0C4">
      <w:pPr>
        <w:pStyle w:val="4"/>
        <w:rPr>
          <w:rFonts w:ascii="仿宋" w:hAnsi="仿宋" w:eastAsia="仿宋"/>
          <w:color w:val="auto"/>
          <w:highlight w:val="none"/>
        </w:rPr>
      </w:pPr>
      <w:bookmarkStart w:id="23" w:name="_Toc10132"/>
      <w:r>
        <w:rPr>
          <w:rFonts w:hint="eastAsia" w:ascii="仿宋" w:hAnsi="仿宋" w:eastAsia="仿宋"/>
          <w:b w:val="0"/>
          <w:color w:val="auto"/>
          <w:highlight w:val="none"/>
        </w:rPr>
        <w:t>一、收</w:t>
      </w:r>
      <w:r>
        <w:rPr>
          <w:rStyle w:val="16"/>
          <w:rFonts w:hint="eastAsia" w:ascii="仿宋" w:hAnsi="仿宋" w:eastAsia="仿宋"/>
          <w:b w:val="0"/>
          <w:bCs w:val="0"/>
          <w:color w:val="auto"/>
          <w:highlight w:val="none"/>
        </w:rPr>
        <w:t>入支出决算总表</w:t>
      </w:r>
      <w:bookmarkEnd w:id="23"/>
    </w:p>
    <w:p w14:paraId="5CB69404">
      <w:pPr>
        <w:pStyle w:val="4"/>
        <w:rPr>
          <w:rFonts w:ascii="仿宋" w:hAnsi="仿宋" w:eastAsia="仿宋"/>
          <w:color w:val="auto"/>
          <w:highlight w:val="none"/>
        </w:rPr>
      </w:pPr>
      <w:bookmarkStart w:id="24" w:name="_Toc31344"/>
      <w:r>
        <w:rPr>
          <w:rFonts w:hint="eastAsia" w:ascii="仿宋" w:hAnsi="仿宋" w:eastAsia="仿宋"/>
          <w:b w:val="0"/>
          <w:color w:val="auto"/>
          <w:highlight w:val="none"/>
        </w:rPr>
        <w:t>二、收</w:t>
      </w:r>
      <w:r>
        <w:rPr>
          <w:rStyle w:val="16"/>
          <w:rFonts w:hint="eastAsia" w:ascii="仿宋" w:hAnsi="仿宋" w:eastAsia="仿宋"/>
          <w:b w:val="0"/>
          <w:bCs w:val="0"/>
          <w:color w:val="auto"/>
          <w:highlight w:val="none"/>
        </w:rPr>
        <w:t>入决算表</w:t>
      </w:r>
      <w:bookmarkEnd w:id="24"/>
    </w:p>
    <w:p w14:paraId="5E7CDC89">
      <w:pPr>
        <w:pStyle w:val="4"/>
        <w:rPr>
          <w:rFonts w:ascii="仿宋" w:hAnsi="仿宋" w:eastAsia="仿宋"/>
          <w:color w:val="auto"/>
          <w:highlight w:val="none"/>
        </w:rPr>
      </w:pPr>
      <w:bookmarkStart w:id="25" w:name="_Toc32478"/>
      <w:r>
        <w:rPr>
          <w:rStyle w:val="16"/>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6"/>
          <w:rFonts w:hint="eastAsia" w:ascii="仿宋" w:hAnsi="仿宋" w:eastAsia="仿宋"/>
          <w:b w:val="0"/>
          <w:bCs w:val="0"/>
          <w:color w:val="auto"/>
          <w:highlight w:val="none"/>
        </w:rPr>
        <w:t>出决算表</w:t>
      </w:r>
      <w:bookmarkEnd w:id="25"/>
    </w:p>
    <w:p w14:paraId="1344821E">
      <w:pPr>
        <w:pStyle w:val="4"/>
        <w:rPr>
          <w:rFonts w:ascii="仿宋" w:hAnsi="仿宋" w:eastAsia="仿宋"/>
          <w:b w:val="0"/>
          <w:color w:val="auto"/>
          <w:highlight w:val="none"/>
        </w:rPr>
      </w:pPr>
      <w:bookmarkStart w:id="26" w:name="_Toc6657"/>
      <w:r>
        <w:rPr>
          <w:rStyle w:val="16"/>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政拨款收入支出决算总表</w:t>
      </w:r>
      <w:bookmarkEnd w:id="26"/>
    </w:p>
    <w:p w14:paraId="1BC49A13">
      <w:pPr>
        <w:pStyle w:val="4"/>
        <w:rPr>
          <w:rStyle w:val="16"/>
          <w:rFonts w:ascii="仿宋" w:hAnsi="仿宋" w:eastAsia="仿宋"/>
          <w:b w:val="0"/>
          <w:bCs w:val="0"/>
          <w:color w:val="auto"/>
          <w:highlight w:val="none"/>
        </w:rPr>
      </w:pPr>
      <w:bookmarkStart w:id="27" w:name="_Toc12547"/>
      <w:r>
        <w:rPr>
          <w:rStyle w:val="16"/>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6"/>
          <w:rFonts w:hint="eastAsia" w:ascii="仿宋" w:hAnsi="仿宋" w:eastAsia="仿宋"/>
          <w:b w:val="0"/>
          <w:bCs w:val="0"/>
          <w:color w:val="auto"/>
          <w:highlight w:val="none"/>
        </w:rPr>
        <w:t>政拨款支出决算明细表</w:t>
      </w:r>
      <w:bookmarkEnd w:id="27"/>
    </w:p>
    <w:p w14:paraId="4C92D170">
      <w:pPr>
        <w:pStyle w:val="4"/>
        <w:rPr>
          <w:rFonts w:ascii="仿宋" w:hAnsi="仿宋" w:eastAsia="仿宋"/>
          <w:color w:val="auto"/>
          <w:highlight w:val="none"/>
        </w:rPr>
      </w:pPr>
      <w:bookmarkStart w:id="28" w:name="_Toc19887"/>
      <w:r>
        <w:rPr>
          <w:rStyle w:val="16"/>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般公共预算财政拨款支出决算表</w:t>
      </w:r>
      <w:bookmarkEnd w:id="28"/>
    </w:p>
    <w:p w14:paraId="4D79417F">
      <w:pPr>
        <w:pStyle w:val="4"/>
        <w:rPr>
          <w:rFonts w:ascii="仿宋" w:hAnsi="仿宋" w:eastAsia="仿宋"/>
          <w:color w:val="auto"/>
          <w:highlight w:val="none"/>
        </w:rPr>
      </w:pPr>
      <w:bookmarkStart w:id="29" w:name="_Toc16835"/>
      <w:r>
        <w:rPr>
          <w:rStyle w:val="16"/>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般公共预算财政拨款支出决算明细表</w:t>
      </w:r>
      <w:bookmarkEnd w:id="29"/>
    </w:p>
    <w:p w14:paraId="419CD061">
      <w:pPr>
        <w:pStyle w:val="4"/>
        <w:rPr>
          <w:rFonts w:ascii="仿宋" w:hAnsi="仿宋" w:eastAsia="仿宋"/>
          <w:color w:val="auto"/>
          <w:highlight w:val="none"/>
        </w:rPr>
      </w:pPr>
      <w:bookmarkStart w:id="30" w:name="_Toc31146"/>
      <w:r>
        <w:rPr>
          <w:rStyle w:val="16"/>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般公共预算财政拨款基本支出决算表</w:t>
      </w:r>
      <w:bookmarkEnd w:id="30"/>
    </w:p>
    <w:p w14:paraId="70D4AF67">
      <w:pPr>
        <w:pStyle w:val="4"/>
        <w:rPr>
          <w:rFonts w:ascii="仿宋" w:hAnsi="仿宋" w:eastAsia="仿宋"/>
          <w:color w:val="auto"/>
          <w:highlight w:val="none"/>
        </w:rPr>
      </w:pPr>
      <w:bookmarkStart w:id="31" w:name="_Toc32319"/>
      <w:r>
        <w:rPr>
          <w:rStyle w:val="16"/>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6"/>
          <w:rFonts w:hint="eastAsia" w:ascii="仿宋" w:hAnsi="仿宋" w:eastAsia="仿宋"/>
          <w:b w:val="0"/>
          <w:bCs w:val="0"/>
          <w:color w:val="auto"/>
          <w:highlight w:val="none"/>
        </w:rPr>
        <w:t>般公共预算财政拨款项目支出决算表</w:t>
      </w:r>
      <w:bookmarkEnd w:id="31"/>
    </w:p>
    <w:p w14:paraId="19A60B0D">
      <w:pPr>
        <w:pStyle w:val="4"/>
        <w:rPr>
          <w:rFonts w:ascii="仿宋" w:hAnsi="仿宋" w:eastAsia="仿宋"/>
          <w:color w:val="auto"/>
          <w:highlight w:val="none"/>
        </w:rPr>
      </w:pPr>
      <w:bookmarkStart w:id="32" w:name="_Toc29078"/>
      <w:r>
        <w:rPr>
          <w:rStyle w:val="16"/>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6"/>
          <w:rFonts w:hint="eastAsia" w:ascii="仿宋" w:hAnsi="仿宋" w:eastAsia="仿宋"/>
          <w:b w:val="0"/>
          <w:bCs w:val="0"/>
          <w:color w:val="auto"/>
          <w:highlight w:val="none"/>
        </w:rPr>
        <w:t>府性基金预算财政拨款收入支出决算表</w:t>
      </w:r>
      <w:bookmarkEnd w:id="32"/>
    </w:p>
    <w:p w14:paraId="2AE5C361">
      <w:pPr>
        <w:pStyle w:val="4"/>
        <w:rPr>
          <w:rFonts w:ascii="仿宋" w:hAnsi="仿宋" w:eastAsia="仿宋"/>
          <w:color w:val="auto"/>
          <w:highlight w:val="none"/>
        </w:rPr>
      </w:pPr>
      <w:bookmarkStart w:id="33" w:name="_Toc17023"/>
      <w:r>
        <w:rPr>
          <w:rStyle w:val="16"/>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6"/>
          <w:rFonts w:hint="eastAsia" w:ascii="仿宋" w:hAnsi="仿宋" w:eastAsia="仿宋"/>
          <w:b w:val="0"/>
          <w:bCs w:val="0"/>
          <w:color w:val="auto"/>
          <w:highlight w:val="none"/>
        </w:rPr>
        <w:t>有资本经营预算</w:t>
      </w:r>
      <w:r>
        <w:rPr>
          <w:rStyle w:val="16"/>
          <w:rFonts w:hint="eastAsia" w:ascii="仿宋" w:hAnsi="仿宋" w:eastAsia="仿宋"/>
          <w:b w:val="0"/>
          <w:bCs w:val="0"/>
          <w:color w:val="auto"/>
          <w:highlight w:val="none"/>
          <w:lang w:eastAsia="zh-CN"/>
        </w:rPr>
        <w:t>财政拨款收入</w:t>
      </w:r>
      <w:r>
        <w:rPr>
          <w:rStyle w:val="16"/>
          <w:rFonts w:hint="eastAsia" w:ascii="仿宋" w:hAnsi="仿宋" w:eastAsia="仿宋"/>
          <w:b w:val="0"/>
          <w:bCs w:val="0"/>
          <w:color w:val="auto"/>
          <w:highlight w:val="none"/>
        </w:rPr>
        <w:t>支出决算表</w:t>
      </w:r>
      <w:bookmarkEnd w:id="33"/>
    </w:p>
    <w:p w14:paraId="6340E73D">
      <w:pPr>
        <w:pStyle w:val="4"/>
        <w:rPr>
          <w:rFonts w:ascii="仿宋" w:hAnsi="仿宋" w:eastAsia="仿宋"/>
          <w:color w:val="auto"/>
          <w:highlight w:val="none"/>
        </w:rPr>
      </w:pPr>
      <w:bookmarkStart w:id="34" w:name="_Toc1129"/>
      <w:r>
        <w:rPr>
          <w:rStyle w:val="16"/>
          <w:rFonts w:hint="eastAsia" w:ascii="仿宋" w:hAnsi="仿宋" w:eastAsia="仿宋"/>
          <w:b w:val="0"/>
          <w:bCs w:val="0"/>
          <w:color w:val="auto"/>
          <w:highlight w:val="none"/>
        </w:rPr>
        <w:t>十二、</w:t>
      </w:r>
      <w:r>
        <w:rPr>
          <w:rStyle w:val="16"/>
          <w:rFonts w:hint="eastAsia" w:ascii="仿宋" w:hAnsi="仿宋" w:eastAsia="仿宋"/>
          <w:b w:val="0"/>
          <w:bCs w:val="0"/>
          <w:color w:val="auto"/>
          <w:highlight w:val="none"/>
          <w:lang w:eastAsia="zh-CN"/>
        </w:rPr>
        <w:t>国有资本经营预算财政拨款支出决算表</w:t>
      </w:r>
      <w:bookmarkEnd w:id="34"/>
    </w:p>
    <w:p w14:paraId="7C7517B2">
      <w:pPr>
        <w:pStyle w:val="4"/>
        <w:rPr>
          <w:rFonts w:hint="eastAsia" w:eastAsia="仿宋"/>
          <w:color w:val="auto"/>
          <w:highlight w:val="none"/>
          <w:lang w:eastAsia="zh-CN"/>
        </w:rPr>
      </w:pPr>
      <w:bookmarkStart w:id="35" w:name="_Toc16494"/>
      <w:r>
        <w:rPr>
          <w:rStyle w:val="16"/>
          <w:rFonts w:hint="eastAsia" w:ascii="仿宋" w:hAnsi="仿宋" w:eastAsia="仿宋"/>
          <w:b w:val="0"/>
          <w:bCs w:val="0"/>
          <w:color w:val="auto"/>
          <w:highlight w:val="none"/>
        </w:rPr>
        <w:t>十三、</w:t>
      </w:r>
      <w:r>
        <w:rPr>
          <w:rStyle w:val="16"/>
          <w:rFonts w:hint="eastAsia" w:ascii="仿宋" w:hAnsi="仿宋" w:eastAsia="仿宋"/>
          <w:b w:val="0"/>
          <w:bCs w:val="0"/>
          <w:color w:val="auto"/>
          <w:highlight w:val="none"/>
          <w:lang w:eastAsia="zh-CN"/>
        </w:rPr>
        <w:t>财政拨款“三公”经费支出决算表</w:t>
      </w:r>
      <w:bookmarkEnd w:id="35"/>
    </w:p>
    <w:p w14:paraId="21E88C48">
      <w:pPr>
        <w:rPr>
          <w:rFonts w:hint="eastAsia"/>
          <w:lang w:eastAsia="zh-CN"/>
        </w:rPr>
      </w:pPr>
    </w:p>
    <w:p w14:paraId="1B26E915"/>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2DA62">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739CD3AC">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72835347">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739CD3AC">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72835347">
                    <w:pPr>
                      <w:pStyle w:val="10"/>
                    </w:pPr>
                  </w:p>
                </w:txbxContent>
              </v:textbox>
            </v:shape>
          </w:pict>
        </mc:Fallback>
      </mc:AlternateContent>
    </w:r>
  </w:p>
  <w:p w14:paraId="4E136E69">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5CA78">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043721">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2E043721">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52FDA">
    <w:pPr>
      <w:pStyle w:val="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114"/>
                          </w:sdtPr>
                          <w:sdtContent>
                            <w:p w14:paraId="0F1B7CAE">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9EE7E2C">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sdt>
                    <w:sdtPr>
                      <w:id w:val="147481114"/>
                    </w:sdtPr>
                    <w:sdtContent>
                      <w:p w14:paraId="0F1B7CAE">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9EE7E2C">
                    <w:pPr>
                      <w:pStyle w:val="10"/>
                    </w:pPr>
                  </w:p>
                </w:txbxContent>
              </v:textbox>
            </v:shape>
          </w:pict>
        </mc:Fallback>
      </mc:AlternateContent>
    </w:r>
  </w:p>
  <w:p w14:paraId="32FEF07F">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62106">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73C9A">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0D73C9A">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264E69"/>
    <w:rsid w:val="01E86121"/>
    <w:rsid w:val="09297778"/>
    <w:rsid w:val="162467CB"/>
    <w:rsid w:val="2D611200"/>
    <w:rsid w:val="374F6319"/>
    <w:rsid w:val="3A3B7187"/>
    <w:rsid w:val="428E1E1E"/>
    <w:rsid w:val="4326474D"/>
    <w:rsid w:val="43DF474F"/>
    <w:rsid w:val="4EEE4370"/>
    <w:rsid w:val="63B53257"/>
    <w:rsid w:val="69B0084D"/>
    <w:rsid w:val="6B2B454C"/>
    <w:rsid w:val="71D46F9E"/>
    <w:rsid w:val="7FB421BD"/>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0">
    <w:name w:val="footnote text"/>
    <w:basedOn w:val="1"/>
    <w:next w:val="6"/>
    <w:semiHidden/>
    <w:qFormat/>
    <w:uiPriority w:val="0"/>
    <w:pPr>
      <w:snapToGrid w:val="0"/>
      <w:jc w:val="left"/>
    </w:pPr>
    <w:rPr>
      <w:sz w:val="18"/>
      <w:szCs w:val="1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customStyle="1" w:styleId="15">
    <w:name w:val="标题 1 Char"/>
    <w:basedOn w:val="13"/>
    <w:link w:val="3"/>
    <w:qFormat/>
    <w:uiPriority w:val="9"/>
    <w:rPr>
      <w:b/>
      <w:bCs/>
      <w:kern w:val="44"/>
      <w:sz w:val="44"/>
      <w:szCs w:val="44"/>
    </w:rPr>
  </w:style>
  <w:style w:type="character" w:customStyle="1" w:styleId="16">
    <w:name w:val="标题 2 Char"/>
    <w:basedOn w:val="13"/>
    <w:link w:val="4"/>
    <w:qFormat/>
    <w:uiPriority w:val="9"/>
    <w:rPr>
      <w:rFonts w:asciiTheme="majorHAnsi" w:hAnsiTheme="majorHAnsi" w:eastAsiaTheme="majorEastAsia" w:cstheme="majorBidi"/>
      <w:b/>
      <w:bCs/>
      <w:sz w:val="32"/>
      <w:szCs w:val="32"/>
    </w:rPr>
  </w:style>
  <w:style w:type="paragraph" w:styleId="17">
    <w:name w:val="List Paragraph"/>
    <w:basedOn w:val="1"/>
    <w:qFormat/>
    <w:uiPriority w:val="34"/>
    <w:pPr>
      <w:ind w:firstLine="420" w:firstLineChars="200"/>
    </w:pPr>
  </w:style>
  <w:style w:type="paragraph" w:customStyle="1" w:styleId="1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_ * #,##0.00_ ;_ * \-#,##0.00_ ;_ * "-"??_ ;_ @_ </c:formatCode>
                <c:ptCount val="2"/>
                <c:pt idx="0">
                  <c:v>1704.704468</c:v>
                </c:pt>
                <c:pt idx="1">
                  <c:v>1704.704468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1464.765957</c:v>
                </c:pt>
                <c:pt idx="1">
                  <c:v>1464.765957</c:v>
                </c:pt>
              </c:numCache>
            </c:numRef>
          </c:val>
        </c:ser>
        <c:dLbls>
          <c:showLegendKey val="0"/>
          <c:showVal val="1"/>
          <c:showCatName val="0"/>
          <c:showSerName val="0"/>
          <c:showPercent val="0"/>
          <c:showBubbleSize val="0"/>
        </c:dLbls>
        <c:gapWidth val="246"/>
        <c:overlap val="-28"/>
        <c:axId val="930704550"/>
        <c:axId val="390958834"/>
      </c:barChart>
      <c:catAx>
        <c:axId val="93070455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958834"/>
        <c:crosses val="autoZero"/>
        <c:auto val="1"/>
        <c:lblAlgn val="ctr"/>
        <c:lblOffset val="100"/>
        <c:noMultiLvlLbl val="0"/>
      </c:catAx>
      <c:valAx>
        <c:axId val="390958834"/>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070455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一般公共预算财政拨款收入</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1704.70,</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100%</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1704.7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a:t>
            </a:r>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953.86,</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5</a:t>
                    </a:r>
                    <a:r>
                      <a:rPr lang="en-US" altLang="zh-CN"/>
                      <a:t>6</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750.84,</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44</a:t>
                    </a:r>
                    <a:r>
                      <a:rPr lang="en-US" altLang="zh-CN"/>
                      <a:t>.1</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953.86</c:v>
                </c:pt>
                <c:pt idx="1">
                  <c:v>750.84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_ * #,##0.00_ ;_ * \-#,##0.00_ ;_ * "-"??_ ;_ @_ </c:formatCode>
                <c:ptCount val="2"/>
                <c:pt idx="0">
                  <c:v>1704.704468</c:v>
                </c:pt>
                <c:pt idx="1">
                  <c:v>1704.704468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_ * #,##0.00_ ;_ * \-#,##0.00_ ;_ * "-"??_ ;_ @_ </c:formatCode>
                <c:ptCount val="2"/>
                <c:pt idx="0">
                  <c:v>1464.765957</c:v>
                </c:pt>
                <c:pt idx="1">
                  <c:v>1464.765957</c:v>
                </c:pt>
              </c:numCache>
            </c:numRef>
          </c:val>
        </c:ser>
        <c:dLbls>
          <c:showLegendKey val="0"/>
          <c:showVal val="1"/>
          <c:showCatName val="0"/>
          <c:showSerName val="0"/>
          <c:showPercent val="0"/>
          <c:showBubbleSize val="0"/>
        </c:dLbls>
        <c:gapWidth val="246"/>
        <c:overlap val="-28"/>
        <c:axId val="930704550"/>
        <c:axId val="390958834"/>
      </c:barChart>
      <c:catAx>
        <c:axId val="93070455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958834"/>
        <c:crosses val="autoZero"/>
        <c:auto val="1"/>
        <c:lblAlgn val="ctr"/>
        <c:lblOffset val="100"/>
        <c:noMultiLvlLbl val="0"/>
      </c:catAx>
      <c:valAx>
        <c:axId val="390958834"/>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070455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c:v>
                </c:pt>
              </c:strCache>
            </c:strRef>
          </c:cat>
          <c:val>
            <c:numRef>
              <c:extLst>
                <c:ext xmlns:c15="http://schemas.microsoft.com/office/drawing/2012/chart" uri="{02D57815-91ED-43cb-92C2-25804820EDAC}">
                  <c15:fullRef>
                    <c15:sqref>Sheet1!$B$2:$B$3</c15:sqref>
                  </c15:fullRef>
                </c:ext>
              </c:extLst>
              <c:f>Sheet1!$B$3</c:f>
              <c:numCache>
                <c:formatCode>_ * #,##0.00_ ;_ * \-#,##0.00_ ;_ * "-"??_ ;_ @_ </c:formatCode>
                <c:ptCount val="1"/>
                <c:pt idx="0">
                  <c:v>1704.704468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c:v>
                </c:pt>
              </c:strCache>
            </c:strRef>
          </c:cat>
          <c:val>
            <c:numRef>
              <c:extLst>
                <c:ext xmlns:c15="http://schemas.microsoft.com/office/drawing/2012/chart" uri="{02D57815-91ED-43cb-92C2-25804820EDAC}">
                  <c15:fullRef>
                    <c15:sqref>Sheet1!$C$2:$C$3</c15:sqref>
                  </c15:fullRef>
                </c:ext>
              </c:extLst>
              <c:f>Sheet1!$C$3</c:f>
              <c:numCache>
                <c:formatCode>_ * #,##0.00_ ;_ * \-#,##0.00_ ;_ * "-"??_ ;_ @_ </c:formatCode>
                <c:ptCount val="1"/>
                <c:pt idx="0">
                  <c:v>1464.765957</c:v>
                </c:pt>
              </c:numCache>
            </c:numRef>
          </c:val>
        </c:ser>
        <c:dLbls>
          <c:showLegendKey val="0"/>
          <c:showVal val="1"/>
          <c:showCatName val="0"/>
          <c:showSerName val="0"/>
          <c:showPercent val="0"/>
          <c:showBubbleSize val="0"/>
        </c:dLbls>
        <c:gapWidth val="246"/>
        <c:overlap val="-28"/>
        <c:axId val="930704550"/>
        <c:axId val="390958834"/>
      </c:barChart>
      <c:catAx>
        <c:axId val="93070455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0958834"/>
        <c:crosses val="autoZero"/>
        <c:auto val="1"/>
        <c:lblAlgn val="ctr"/>
        <c:lblOffset val="100"/>
        <c:noMultiLvlLbl val="0"/>
      </c:catAx>
      <c:valAx>
        <c:axId val="390958834"/>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3070455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118.4</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7</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42.63,</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2.50</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1481.20,</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8</a:t>
                    </a:r>
                    <a:r>
                      <a:rPr lang="en-US" altLang="zh-CN"/>
                      <a:t>6.9</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62.48,</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3.7</a:t>
                    </a:r>
                    <a:r>
                      <a:t>%</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118.4</c:v>
                </c:pt>
                <c:pt idx="1">
                  <c:v>42.63</c:v>
                </c:pt>
                <c:pt idx="2" c:formatCode="#,##0.00">
                  <c:v>1481.2</c:v>
                </c:pt>
                <c:pt idx="3">
                  <c:v>62.48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44.94,</a:t>
                    </a:r>
                    <a:endParaRPr lang="en-US" altLang="zh-CN"/>
                  </a:p>
                  <a:p>
                    <a:pPr defTabSz="914400">
                      <a:defRPr lang="zh-CN" sz="1000" b="0" i="0" u="none" strike="noStrike" kern="1200" baseline="0">
                        <a:solidFill>
                          <a:schemeClr val="tx1">
                            <a:lumMod val="75000"/>
                            <a:lumOff val="25000"/>
                          </a:schemeClr>
                        </a:solidFill>
                        <a:latin typeface="+mn-lt"/>
                        <a:ea typeface="+mn-ea"/>
                        <a:cs typeface="+mn-cs"/>
                      </a:defRPr>
                    </a:pPr>
                    <a:r>
                      <a:t>100%</a:t>
                    </a:r>
                  </a:p>
                </c:rich>
              </c:tx>
              <c:dLblPos val="out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44.94</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4785</Words>
  <Characters>5231</Characters>
  <Lines>0</Lines>
  <Paragraphs>0</Paragraphs>
  <TotalTime>2</TotalTime>
  <ScaleCrop>false</ScaleCrop>
  <LinksUpToDate>false</LinksUpToDate>
  <CharactersWithSpaces>5411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2024-09-18T03:11:53Z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DAA569684BB244C9B83C97E92B96ED25_13</vt:lpwstr>
  </property>
</Properties>
</file>