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1BE19">
      <w:pPr>
        <w:pStyle w:val="7"/>
        <w:spacing w:before="93"/>
        <w:jc w:val="center"/>
        <w:rPr>
          <w:rFonts w:hint="eastAsia" w:ascii="方正小标宋简体" w:hAnsi="宋体" w:eastAsia="方正小标宋简体"/>
          <w:kern w:val="2"/>
          <w:sz w:val="44"/>
          <w:szCs w:val="44"/>
        </w:rPr>
      </w:pPr>
    </w:p>
    <w:p w14:paraId="6A26D11F">
      <w:pPr>
        <w:pStyle w:val="7"/>
        <w:spacing w:before="93"/>
        <w:jc w:val="center"/>
        <w:rPr>
          <w:rFonts w:hint="eastAsia" w:ascii="方正小标宋简体" w:hAnsi="宋体" w:eastAsia="方正小标宋简体"/>
          <w:kern w:val="2"/>
          <w:sz w:val="44"/>
          <w:szCs w:val="44"/>
        </w:rPr>
      </w:pPr>
      <w:r>
        <w:rPr>
          <w:rFonts w:hint="eastAsia" w:ascii="方正小标宋简体" w:hAnsi="宋体" w:eastAsia="方正小标宋简体"/>
          <w:kern w:val="2"/>
          <w:sz w:val="44"/>
          <w:szCs w:val="44"/>
        </w:rPr>
        <w:t>2023年度阿坝藏族羌族自治州公路管理局汶川公路管理分局单位决算</w:t>
      </w:r>
    </w:p>
    <w:p w14:paraId="13F4AAD4">
      <w:pPr>
        <w:widowControl/>
        <w:spacing w:line="440" w:lineRule="exact"/>
        <w:jc w:val="left"/>
        <w:rPr>
          <w:rFonts w:hint="eastAsia" w:ascii="仿宋" w:hAnsi="仿宋" w:eastAsia="仿宋"/>
          <w:bCs/>
          <w:kern w:val="44"/>
          <w:sz w:val="24"/>
        </w:rPr>
      </w:pPr>
      <w:r>
        <w:rPr>
          <w:rFonts w:ascii="方正小标宋简体" w:hAnsi="宋体" w:eastAsia="方正小标宋简体"/>
          <w:sz w:val="36"/>
          <w:szCs w:val="36"/>
        </w:rPr>
        <w:br w:type="page"/>
      </w:r>
    </w:p>
    <w:sdt>
      <w:sdtPr>
        <w:rPr>
          <w:rFonts w:ascii="Times New Roman" w:hAnsi="Times New Roman" w:eastAsia="宋体" w:cs="Times New Roman"/>
          <w:color w:val="auto"/>
          <w:kern w:val="2"/>
          <w:sz w:val="21"/>
          <w:szCs w:val="24"/>
          <w:lang w:val="zh-CN"/>
        </w:rPr>
        <w:id w:val="84341082"/>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14:paraId="23023191">
          <w:pPr>
            <w:pStyle w:val="22"/>
            <w:jc w:val="center"/>
            <w:rPr>
              <w:rFonts w:hint="eastAsia" w:ascii="黑体" w:hAnsi="黑体" w:eastAsia="黑体"/>
              <w:color w:val="auto"/>
              <w:sz w:val="48"/>
              <w:szCs w:val="48"/>
              <w:lang w:val="zh-CN"/>
            </w:rPr>
          </w:pPr>
          <w:r>
            <w:rPr>
              <w:rFonts w:ascii="黑体" w:hAnsi="黑体" w:eastAsia="黑体"/>
              <w:color w:val="auto"/>
              <w:sz w:val="48"/>
              <w:szCs w:val="48"/>
              <w:lang w:val="zh-CN"/>
            </w:rPr>
            <w:t>目录</w:t>
          </w:r>
        </w:p>
        <w:p w14:paraId="17B38D1F">
          <w:pPr>
            <w:pStyle w:val="11"/>
            <w:rPr>
              <w:rFonts w:hint="eastAsia"/>
            </w:rPr>
          </w:pPr>
          <w:r>
            <w:rPr>
              <w:rFonts w:hint="eastAsia"/>
            </w:rPr>
            <w:t>公开时间：2024年9月</w:t>
          </w:r>
          <w:r>
            <w:rPr>
              <w:rFonts w:hint="eastAsia"/>
              <w:lang w:val="en-US" w:eastAsia="zh-CN"/>
            </w:rPr>
            <w:t>18</w:t>
          </w:r>
          <w:r>
            <w:rPr>
              <w:rFonts w:hint="eastAsia"/>
            </w:rPr>
            <w:t>日</w:t>
          </w:r>
        </w:p>
        <w:p w14:paraId="2B824B45">
          <w:pPr>
            <w:pStyle w:val="11"/>
            <w:rPr>
              <w:rFonts w:hint="eastAsia" w:cstheme="minorBidi"/>
              <w14:ligatures w14:val="standardContextual"/>
            </w:rPr>
          </w:pPr>
          <w:r>
            <w:fldChar w:fldCharType="begin"/>
          </w:r>
          <w:r>
            <w:instrText xml:space="preserve"> TOC \o "1-3" \h \z \u </w:instrText>
          </w:r>
          <w:r>
            <w:fldChar w:fldCharType="separate"/>
          </w:r>
          <w:r>
            <w:fldChar w:fldCharType="begin"/>
          </w:r>
          <w:r>
            <w:instrText xml:space="preserve"> HYPERLINK \l "_Toc176437669" </w:instrText>
          </w:r>
          <w:r>
            <w:fldChar w:fldCharType="separate"/>
          </w:r>
          <w:r>
            <w:rPr>
              <w:rStyle w:val="16"/>
              <w:rFonts w:hint="eastAsia"/>
            </w:rPr>
            <w:t>第一部分 单位概况</w:t>
          </w:r>
          <w:r>
            <w:rPr>
              <w:rFonts w:hint="eastAsia"/>
            </w:rPr>
            <w:tab/>
          </w:r>
          <w:r>
            <w:rPr>
              <w:rFonts w:hint="eastAsia"/>
            </w:rPr>
            <w:fldChar w:fldCharType="begin"/>
          </w:r>
          <w:r>
            <w:rPr>
              <w:rFonts w:hint="eastAsia"/>
            </w:rPr>
            <w:instrText xml:space="preserve"> </w:instrText>
          </w:r>
          <w:r>
            <w:instrText xml:space="preserve">PAGEREF _Toc176437669 \h</w:instrText>
          </w:r>
          <w:r>
            <w:rPr>
              <w:rFonts w:hint="eastAsia"/>
            </w:rPr>
            <w:instrText xml:space="preserve"> </w:instrText>
          </w:r>
          <w:r>
            <w:rPr>
              <w:rFonts w:hint="eastAsia"/>
            </w:rPr>
            <w:fldChar w:fldCharType="separate"/>
          </w:r>
          <w:r>
            <w:rPr>
              <w:rFonts w:hint="eastAsia"/>
            </w:rPr>
            <w:t>- 1 -</w:t>
          </w:r>
          <w:r>
            <w:rPr>
              <w:rFonts w:hint="eastAsia"/>
            </w:rPr>
            <w:fldChar w:fldCharType="end"/>
          </w:r>
          <w:r>
            <w:rPr>
              <w:rFonts w:hint="eastAsia"/>
            </w:rPr>
            <w:fldChar w:fldCharType="end"/>
          </w:r>
        </w:p>
        <w:p w14:paraId="408E69B0">
          <w:pPr>
            <w:pStyle w:val="12"/>
            <w:rPr>
              <w:rFonts w:hint="eastAsia" w:ascii="仿宋" w:hAnsi="仿宋" w:eastAsia="仿宋" w:cstheme="minorBidi"/>
              <w:sz w:val="28"/>
              <w:szCs w:val="28"/>
              <w14:ligatures w14:val="standardContextual"/>
            </w:rPr>
          </w:pPr>
          <w:r>
            <w:fldChar w:fldCharType="begin"/>
          </w:r>
          <w:r>
            <w:instrText xml:space="preserve"> HYPERLINK \l "_Toc176437670" </w:instrText>
          </w:r>
          <w:r>
            <w:fldChar w:fldCharType="separate"/>
          </w:r>
          <w:r>
            <w:rPr>
              <w:rStyle w:val="16"/>
              <w:rFonts w:hint="eastAsia" w:ascii="仿宋" w:hAnsi="仿宋" w:eastAsia="仿宋"/>
              <w:sz w:val="28"/>
              <w:szCs w:val="28"/>
            </w:rPr>
            <w:t>一、主要职责</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_Toc176437670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327953B0">
          <w:pPr>
            <w:pStyle w:val="12"/>
            <w:rPr>
              <w:rFonts w:hint="eastAsia" w:ascii="仿宋" w:hAnsi="仿宋" w:eastAsia="仿宋" w:cstheme="minorBidi"/>
              <w:sz w:val="28"/>
              <w:szCs w:val="28"/>
              <w14:ligatures w14:val="standardContextual"/>
            </w:rPr>
          </w:pPr>
          <w:r>
            <w:fldChar w:fldCharType="begin"/>
          </w:r>
          <w:r>
            <w:instrText xml:space="preserve"> HYPERLINK \l "_Toc176437671" </w:instrText>
          </w:r>
          <w:r>
            <w:fldChar w:fldCharType="separate"/>
          </w:r>
          <w:r>
            <w:rPr>
              <w:rStyle w:val="16"/>
              <w:rFonts w:hint="eastAsia" w:ascii="仿宋" w:hAnsi="仿宋" w:eastAsia="仿宋"/>
              <w:sz w:val="28"/>
              <w:szCs w:val="28"/>
            </w:rPr>
            <w:t>二、机构设置</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_Toc176437671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38C5D1A">
          <w:pPr>
            <w:pStyle w:val="11"/>
            <w:rPr>
              <w:rFonts w:hint="eastAsia" w:cstheme="minorBidi"/>
              <w14:ligatures w14:val="standardContextual"/>
            </w:rPr>
          </w:pPr>
          <w:r>
            <w:fldChar w:fldCharType="begin"/>
          </w:r>
          <w:r>
            <w:instrText xml:space="preserve"> HYPERLINK \l "_Toc176437672" </w:instrText>
          </w:r>
          <w:r>
            <w:fldChar w:fldCharType="separate"/>
          </w:r>
          <w:r>
            <w:rPr>
              <w:rStyle w:val="16"/>
              <w:rFonts w:hint="eastAsia"/>
            </w:rPr>
            <w:t>第二部分 2023年度单位决算情况说明</w:t>
          </w:r>
          <w:r>
            <w:rPr>
              <w:rFonts w:hint="eastAsia"/>
            </w:rPr>
            <w:tab/>
          </w:r>
          <w:r>
            <w:rPr>
              <w:rFonts w:hint="eastAsia"/>
            </w:rPr>
            <w:fldChar w:fldCharType="begin"/>
          </w:r>
          <w:r>
            <w:rPr>
              <w:rFonts w:hint="eastAsia"/>
            </w:rPr>
            <w:instrText xml:space="preserve"> </w:instrText>
          </w:r>
          <w:r>
            <w:instrText xml:space="preserve">PAGEREF _Toc176437672 \h</w:instrText>
          </w:r>
          <w:r>
            <w:rPr>
              <w:rFonts w:hint="eastAsia"/>
            </w:rPr>
            <w:instrText xml:space="preserve"> </w:instrText>
          </w:r>
          <w:r>
            <w:rPr>
              <w:rFonts w:hint="eastAsia"/>
            </w:rPr>
            <w:fldChar w:fldCharType="separate"/>
          </w:r>
          <w:r>
            <w:rPr>
              <w:rFonts w:hint="eastAsia"/>
            </w:rPr>
            <w:t>- 2 -</w:t>
          </w:r>
          <w:r>
            <w:rPr>
              <w:rFonts w:hint="eastAsia"/>
            </w:rPr>
            <w:fldChar w:fldCharType="end"/>
          </w:r>
          <w:r>
            <w:rPr>
              <w:rFonts w:hint="eastAsia"/>
            </w:rPr>
            <w:fldChar w:fldCharType="end"/>
          </w:r>
        </w:p>
        <w:p w14:paraId="6ADCAA4D">
          <w:pPr>
            <w:pStyle w:val="12"/>
            <w:rPr>
              <w:rFonts w:hint="eastAsia" w:ascii="仿宋" w:hAnsi="仿宋" w:eastAsia="仿宋" w:cstheme="minorBidi"/>
              <w:sz w:val="28"/>
              <w:szCs w:val="28"/>
              <w14:ligatures w14:val="standardContextual"/>
            </w:rPr>
          </w:pPr>
          <w:r>
            <w:fldChar w:fldCharType="begin"/>
          </w:r>
          <w:r>
            <w:instrText xml:space="preserve"> HYPERLINK \l "_Toc176437673" </w:instrText>
          </w:r>
          <w:r>
            <w:fldChar w:fldCharType="separate"/>
          </w:r>
          <w:r>
            <w:rPr>
              <w:rStyle w:val="16"/>
              <w:rFonts w:hint="eastAsia" w:ascii="仿宋" w:hAnsi="仿宋" w:eastAsia="仿宋"/>
              <w:sz w:val="28"/>
              <w:szCs w:val="28"/>
            </w:rPr>
            <w:t>一、收</w:t>
          </w:r>
          <w:r>
            <w:rPr>
              <w:rStyle w:val="16"/>
              <w:rFonts w:hint="eastAsia" w:ascii="仿宋" w:hAnsi="仿宋" w:eastAsia="仿宋" w:cstheme="majorBidi"/>
              <w:bCs/>
              <w:sz w:val="28"/>
              <w:szCs w:val="28"/>
            </w:rPr>
            <w:t>入支出决算总体情况说明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_Toc176437673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- 2 -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E7E2F8E">
          <w:pPr>
            <w:pStyle w:val="12"/>
            <w:rPr>
              <w:rFonts w:hint="eastAsia" w:ascii="仿宋" w:hAnsi="仿宋" w:eastAsia="仿宋" w:cstheme="minorBidi"/>
              <w:sz w:val="28"/>
              <w:szCs w:val="28"/>
              <w14:ligatures w14:val="standardContextual"/>
            </w:rPr>
          </w:pPr>
          <w:r>
            <w:fldChar w:fldCharType="begin"/>
          </w:r>
          <w:r>
            <w:instrText xml:space="preserve"> HYPERLINK \l "_Toc176437674" </w:instrText>
          </w:r>
          <w:r>
            <w:fldChar w:fldCharType="separate"/>
          </w:r>
          <w:r>
            <w:rPr>
              <w:rStyle w:val="16"/>
              <w:rFonts w:hint="eastAsia" w:ascii="仿宋" w:hAnsi="仿宋" w:eastAsia="仿宋"/>
              <w:sz w:val="28"/>
              <w:szCs w:val="28"/>
            </w:rPr>
            <w:t>二、收</w:t>
          </w:r>
          <w:r>
            <w:rPr>
              <w:rStyle w:val="16"/>
              <w:rFonts w:hint="eastAsia" w:ascii="仿宋" w:hAnsi="仿宋" w:eastAsia="仿宋" w:cstheme="majorBidi"/>
              <w:bCs/>
              <w:sz w:val="28"/>
              <w:szCs w:val="28"/>
            </w:rPr>
            <w:t>入决算情况说明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_Toc176437674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- 2 -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39F31D7F">
          <w:pPr>
            <w:pStyle w:val="12"/>
            <w:rPr>
              <w:rFonts w:hint="eastAsia" w:ascii="仿宋" w:hAnsi="仿宋" w:eastAsia="仿宋" w:cstheme="minorBidi"/>
              <w:sz w:val="28"/>
              <w:szCs w:val="28"/>
              <w14:ligatures w14:val="standardContextual"/>
            </w:rPr>
          </w:pPr>
          <w:r>
            <w:fldChar w:fldCharType="begin"/>
          </w:r>
          <w:r>
            <w:instrText xml:space="preserve"> HYPERLINK \l "_Toc176437675" </w:instrText>
          </w:r>
          <w:r>
            <w:fldChar w:fldCharType="separate"/>
          </w:r>
          <w:r>
            <w:rPr>
              <w:rStyle w:val="16"/>
              <w:rFonts w:hint="eastAsia" w:ascii="仿宋" w:hAnsi="仿宋" w:eastAsia="仿宋"/>
              <w:sz w:val="28"/>
              <w:szCs w:val="28"/>
            </w:rPr>
            <w:t>三、支</w:t>
          </w:r>
          <w:r>
            <w:rPr>
              <w:rStyle w:val="16"/>
              <w:rFonts w:hint="eastAsia" w:ascii="仿宋" w:hAnsi="仿宋" w:eastAsia="仿宋" w:cstheme="majorBidi"/>
              <w:bCs/>
              <w:sz w:val="28"/>
              <w:szCs w:val="28"/>
            </w:rPr>
            <w:t>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_Toc176437675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- 3 -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3EBF72D8">
          <w:pPr>
            <w:pStyle w:val="12"/>
            <w:rPr>
              <w:rFonts w:hint="eastAsia" w:ascii="仿宋" w:hAnsi="仿宋" w:eastAsia="仿宋" w:cstheme="minorBidi"/>
              <w:sz w:val="28"/>
              <w:szCs w:val="28"/>
              <w14:ligatures w14:val="standardContextual"/>
            </w:rPr>
          </w:pPr>
          <w:r>
            <w:fldChar w:fldCharType="begin"/>
          </w:r>
          <w:r>
            <w:instrText xml:space="preserve"> HYPERLINK \l "_Toc176437676" </w:instrText>
          </w:r>
          <w:r>
            <w:fldChar w:fldCharType="separate"/>
          </w:r>
          <w:r>
            <w:rPr>
              <w:rStyle w:val="16"/>
              <w:rFonts w:hint="eastAsia" w:ascii="仿宋" w:hAnsi="仿宋" w:eastAsia="仿宋"/>
              <w:sz w:val="28"/>
              <w:szCs w:val="28"/>
            </w:rPr>
            <w:t>四、财</w:t>
          </w:r>
          <w:r>
            <w:rPr>
              <w:rStyle w:val="16"/>
              <w:rFonts w:hint="eastAsia" w:ascii="仿宋" w:hAnsi="仿宋" w:eastAsia="仿宋" w:cstheme="majorBidi"/>
              <w:bCs/>
              <w:sz w:val="28"/>
              <w:szCs w:val="28"/>
            </w:rPr>
            <w:t>政拨款收入支出决算总体情况说明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_Toc176437676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- 3 -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51A59CEA">
          <w:pPr>
            <w:pStyle w:val="12"/>
            <w:rPr>
              <w:rFonts w:hint="eastAsia" w:ascii="仿宋" w:hAnsi="仿宋" w:eastAsia="仿宋" w:cstheme="minorBidi"/>
              <w:sz w:val="28"/>
              <w:szCs w:val="28"/>
              <w14:ligatures w14:val="standardContextual"/>
            </w:rPr>
          </w:pPr>
          <w:r>
            <w:fldChar w:fldCharType="begin"/>
          </w:r>
          <w:r>
            <w:instrText xml:space="preserve"> HYPERLINK \l "_Toc176437677" </w:instrText>
          </w:r>
          <w:r>
            <w:fldChar w:fldCharType="separate"/>
          </w:r>
          <w:r>
            <w:rPr>
              <w:rStyle w:val="16"/>
              <w:rFonts w:hint="eastAsia" w:ascii="仿宋" w:hAnsi="仿宋" w:eastAsia="仿宋"/>
              <w:sz w:val="28"/>
              <w:szCs w:val="28"/>
            </w:rPr>
            <w:t>五、</w:t>
          </w:r>
          <w:r>
            <w:rPr>
              <w:rStyle w:val="16"/>
              <w:rFonts w:hint="eastAsia" w:ascii="仿宋" w:hAnsi="仿宋" w:eastAsia="仿宋"/>
              <w:b/>
              <w:sz w:val="28"/>
              <w:szCs w:val="28"/>
            </w:rPr>
            <w:t>一</w:t>
          </w:r>
          <w:r>
            <w:rPr>
              <w:rStyle w:val="16"/>
              <w:rFonts w:hint="eastAsia" w:ascii="仿宋" w:hAnsi="仿宋" w:eastAsia="仿宋" w:cstheme="majorBidi"/>
              <w:bCs/>
              <w:sz w:val="28"/>
              <w:szCs w:val="28"/>
            </w:rPr>
            <w:t>般公共预算财政拨款支出决算情况说明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_Toc176437677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- 4 -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68FF07A0">
          <w:pPr>
            <w:pStyle w:val="12"/>
            <w:rPr>
              <w:rFonts w:hint="eastAsia" w:ascii="仿宋" w:hAnsi="仿宋" w:eastAsia="仿宋" w:cstheme="minorBidi"/>
              <w:sz w:val="28"/>
              <w:szCs w:val="28"/>
              <w14:ligatures w14:val="standardContextual"/>
            </w:rPr>
          </w:pPr>
          <w:r>
            <w:fldChar w:fldCharType="begin"/>
          </w:r>
          <w:r>
            <w:instrText xml:space="preserve"> HYPERLINK \l "_Toc176437681" </w:instrText>
          </w:r>
          <w:r>
            <w:fldChar w:fldCharType="separate"/>
          </w:r>
          <w:r>
            <w:rPr>
              <w:rStyle w:val="16"/>
              <w:rFonts w:hint="eastAsia" w:ascii="仿宋" w:hAnsi="仿宋" w:eastAsia="仿宋"/>
              <w:sz w:val="28"/>
              <w:szCs w:val="28"/>
            </w:rPr>
            <w:t>六</w:t>
          </w:r>
          <w:r>
            <w:rPr>
              <w:rStyle w:val="16"/>
              <w:rFonts w:hint="eastAsia" w:ascii="仿宋" w:hAnsi="仿宋" w:eastAsia="仿宋"/>
              <w:b/>
              <w:sz w:val="28"/>
              <w:szCs w:val="28"/>
            </w:rPr>
            <w:t>、一</w:t>
          </w:r>
          <w:r>
            <w:rPr>
              <w:rStyle w:val="16"/>
              <w:rFonts w:hint="eastAsia" w:ascii="仿宋" w:hAnsi="仿宋" w:eastAsia="仿宋" w:cstheme="majorBidi"/>
              <w:bCs/>
              <w:sz w:val="28"/>
              <w:szCs w:val="28"/>
            </w:rPr>
            <w:t>般公共预算财政拨款基本支出决算情况说明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_Toc176437681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- 7 -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1AD46AE1">
          <w:pPr>
            <w:pStyle w:val="12"/>
            <w:rPr>
              <w:rFonts w:hint="eastAsia" w:ascii="仿宋" w:hAnsi="仿宋" w:eastAsia="仿宋" w:cstheme="minorBidi"/>
              <w:sz w:val="28"/>
              <w:szCs w:val="28"/>
              <w14:ligatures w14:val="standardContextual"/>
            </w:rPr>
          </w:pPr>
          <w:r>
            <w:fldChar w:fldCharType="begin"/>
          </w:r>
          <w:r>
            <w:instrText xml:space="preserve"> HYPERLINK \l "_Toc176437682" </w:instrText>
          </w:r>
          <w:r>
            <w:fldChar w:fldCharType="separate"/>
          </w:r>
          <w:r>
            <w:rPr>
              <w:rStyle w:val="16"/>
              <w:rFonts w:hint="eastAsia" w:ascii="仿宋" w:hAnsi="仿宋" w:eastAsia="仿宋"/>
              <w:sz w:val="28"/>
              <w:szCs w:val="28"/>
            </w:rPr>
            <w:t>七、</w:t>
          </w:r>
          <w:r>
            <w:rPr>
              <w:rStyle w:val="16"/>
              <w:rFonts w:hint="eastAsia" w:ascii="仿宋" w:hAnsi="仿宋" w:eastAsia="仿宋" w:cstheme="majorBidi"/>
              <w:bCs/>
              <w:sz w:val="28"/>
              <w:szCs w:val="28"/>
            </w:rPr>
            <w:t>财政拨款</w:t>
          </w:r>
          <w:r>
            <w:rPr>
              <w:rStyle w:val="16"/>
              <w:rFonts w:hint="eastAsia" w:ascii="仿宋" w:hAnsi="仿宋" w:eastAsia="仿宋" w:cstheme="majorBidi"/>
              <w:b w:val="0"/>
              <w:bCs w:val="0"/>
              <w:sz w:val="28"/>
              <w:szCs w:val="28"/>
            </w:rPr>
            <w:t>“三</w:t>
          </w:r>
          <w:r>
            <w:rPr>
              <w:rStyle w:val="16"/>
              <w:rFonts w:hint="eastAsia" w:ascii="仿宋" w:hAnsi="仿宋" w:eastAsia="仿宋" w:cstheme="majorBidi"/>
              <w:bCs/>
              <w:sz w:val="28"/>
              <w:szCs w:val="28"/>
            </w:rPr>
            <w:t>公”经费支出决算情况说明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_Toc176437682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- 8 -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C7EDEAA">
          <w:pPr>
            <w:pStyle w:val="12"/>
            <w:rPr>
              <w:rFonts w:hint="eastAsia" w:ascii="仿宋" w:hAnsi="仿宋" w:eastAsia="仿宋" w:cstheme="minorBidi"/>
              <w:sz w:val="28"/>
              <w:szCs w:val="28"/>
              <w14:ligatures w14:val="standardContextual"/>
            </w:rPr>
          </w:pPr>
          <w:r>
            <w:fldChar w:fldCharType="begin"/>
          </w:r>
          <w:r>
            <w:instrText xml:space="preserve"> HYPERLINK \l "_Toc176437685" </w:instrText>
          </w:r>
          <w:r>
            <w:fldChar w:fldCharType="separate"/>
          </w:r>
          <w:r>
            <w:rPr>
              <w:rStyle w:val="16"/>
              <w:rFonts w:hint="eastAsia" w:ascii="仿宋" w:hAnsi="仿宋" w:eastAsia="仿宋"/>
              <w:sz w:val="28"/>
              <w:szCs w:val="28"/>
            </w:rPr>
            <w:t>八、</w:t>
          </w:r>
          <w:r>
            <w:rPr>
              <w:rStyle w:val="16"/>
              <w:rFonts w:hint="eastAsia" w:ascii="仿宋" w:hAnsi="仿宋" w:eastAsia="仿宋" w:cstheme="majorBidi"/>
              <w:bCs/>
              <w:sz w:val="28"/>
              <w:szCs w:val="28"/>
            </w:rPr>
            <w:t>政府性基金预算支出决算情况说明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_Toc176437685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- 10 -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1A30FB06">
          <w:pPr>
            <w:pStyle w:val="12"/>
            <w:rPr>
              <w:rFonts w:hint="eastAsia" w:ascii="仿宋" w:hAnsi="仿宋" w:eastAsia="仿宋" w:cstheme="minorBidi"/>
              <w:sz w:val="28"/>
              <w:szCs w:val="28"/>
              <w14:ligatures w14:val="standardContextual"/>
            </w:rPr>
          </w:pPr>
          <w:r>
            <w:fldChar w:fldCharType="begin"/>
          </w:r>
          <w:r>
            <w:instrText xml:space="preserve"> HYPERLINK \l "_Toc176437686" </w:instrText>
          </w:r>
          <w:r>
            <w:fldChar w:fldCharType="separate"/>
          </w:r>
          <w:r>
            <w:rPr>
              <w:rStyle w:val="16"/>
              <w:rFonts w:hint="eastAsia" w:ascii="仿宋" w:hAnsi="仿宋" w:eastAsia="仿宋" w:cstheme="majorBidi"/>
              <w:bCs/>
              <w:sz w:val="28"/>
              <w:szCs w:val="28"/>
            </w:rPr>
            <w:t>九、国有资本经营预算支出决算情况说明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_Toc176437686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- 10 -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641AD1CB">
          <w:pPr>
            <w:pStyle w:val="12"/>
            <w:rPr>
              <w:rFonts w:hint="eastAsia" w:ascii="仿宋" w:hAnsi="仿宋" w:eastAsia="仿宋" w:cstheme="minorBidi"/>
              <w:sz w:val="28"/>
              <w:szCs w:val="28"/>
              <w14:ligatures w14:val="standardContextual"/>
            </w:rPr>
          </w:pPr>
          <w:r>
            <w:fldChar w:fldCharType="begin"/>
          </w:r>
          <w:r>
            <w:instrText xml:space="preserve"> HYPERLINK \l "_Toc176437687" </w:instrText>
          </w:r>
          <w:r>
            <w:fldChar w:fldCharType="separate"/>
          </w:r>
          <w:r>
            <w:rPr>
              <w:rStyle w:val="16"/>
              <w:rFonts w:hint="eastAsia" w:ascii="仿宋" w:hAnsi="仿宋" w:eastAsia="仿宋" w:cstheme="majorBidi"/>
              <w:bCs/>
              <w:sz w:val="28"/>
              <w:szCs w:val="28"/>
            </w:rPr>
            <w:t>十、其他重要事项的情况说明</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_Toc176437687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- 10 -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EB56504">
          <w:pPr>
            <w:pStyle w:val="11"/>
            <w:rPr>
              <w:rFonts w:hint="eastAsia" w:cstheme="minorBidi"/>
              <w14:ligatures w14:val="standardContextual"/>
            </w:rPr>
          </w:pPr>
          <w:r>
            <w:fldChar w:fldCharType="begin"/>
          </w:r>
          <w:r>
            <w:instrText xml:space="preserve"> HYPERLINK \l "_Toc176437692" </w:instrText>
          </w:r>
          <w:r>
            <w:fldChar w:fldCharType="separate"/>
          </w:r>
          <w:r>
            <w:rPr>
              <w:rStyle w:val="16"/>
              <w:rFonts w:hint="eastAsia"/>
            </w:rPr>
            <w:t>第三部分 名</w:t>
          </w:r>
          <w:r>
            <w:rPr>
              <w:rStyle w:val="16"/>
              <w:rFonts w:hint="eastAsia"/>
              <w:bCs/>
              <w:kern w:val="44"/>
            </w:rPr>
            <w:t>词解释</w:t>
          </w:r>
          <w:r>
            <w:rPr>
              <w:rFonts w:hint="eastAsia"/>
            </w:rPr>
            <w:tab/>
          </w:r>
          <w:r>
            <w:rPr>
              <w:rFonts w:hint="eastAsia"/>
            </w:rPr>
            <w:fldChar w:fldCharType="begin"/>
          </w:r>
          <w:r>
            <w:rPr>
              <w:rFonts w:hint="eastAsia"/>
            </w:rPr>
            <w:instrText xml:space="preserve"> </w:instrText>
          </w:r>
          <w:r>
            <w:instrText xml:space="preserve">PAGEREF _Toc176437692 \h</w:instrText>
          </w:r>
          <w:r>
            <w:rPr>
              <w:rFonts w:hint="eastAsia"/>
            </w:rPr>
            <w:instrText xml:space="preserve"> </w:instrText>
          </w:r>
          <w:r>
            <w:rPr>
              <w:rFonts w:hint="eastAsia"/>
            </w:rPr>
            <w:fldChar w:fldCharType="separate"/>
          </w:r>
          <w:r>
            <w:rPr>
              <w:rFonts w:hint="eastAsia"/>
            </w:rPr>
            <w:t>- 12 -</w:t>
          </w:r>
          <w:r>
            <w:rPr>
              <w:rFonts w:hint="eastAsia"/>
            </w:rPr>
            <w:fldChar w:fldCharType="end"/>
          </w:r>
          <w:r>
            <w:rPr>
              <w:rFonts w:hint="eastAsia"/>
            </w:rPr>
            <w:fldChar w:fldCharType="end"/>
          </w:r>
        </w:p>
        <w:p w14:paraId="7FF103C5">
          <w:pPr>
            <w:pStyle w:val="11"/>
            <w:rPr>
              <w:rFonts w:hint="eastAsia" w:cstheme="minorBidi"/>
              <w14:ligatures w14:val="standardContextual"/>
            </w:rPr>
          </w:pPr>
          <w:r>
            <w:fldChar w:fldCharType="begin"/>
          </w:r>
          <w:r>
            <w:instrText xml:space="preserve"> HYPERLINK \l "_Toc176437693" </w:instrText>
          </w:r>
          <w:r>
            <w:fldChar w:fldCharType="separate"/>
          </w:r>
          <w:r>
            <w:rPr>
              <w:rStyle w:val="16"/>
              <w:rFonts w:hint="eastAsia"/>
            </w:rPr>
            <w:t>第</w:t>
          </w:r>
          <w:r>
            <w:rPr>
              <w:rStyle w:val="16"/>
              <w:rFonts w:hint="eastAsia"/>
              <w:bCs/>
              <w:kern w:val="44"/>
            </w:rPr>
            <w:t>四部分 附件</w:t>
          </w:r>
          <w:r>
            <w:rPr>
              <w:rFonts w:hint="eastAsia"/>
            </w:rPr>
            <w:tab/>
          </w:r>
          <w:r>
            <w:rPr>
              <w:rFonts w:hint="eastAsia"/>
            </w:rPr>
            <w:fldChar w:fldCharType="begin"/>
          </w:r>
          <w:r>
            <w:rPr>
              <w:rFonts w:hint="eastAsia"/>
            </w:rPr>
            <w:instrText xml:space="preserve"> </w:instrText>
          </w:r>
          <w:r>
            <w:instrText xml:space="preserve">PAGEREF _Toc176437693 \h</w:instrText>
          </w:r>
          <w:r>
            <w:rPr>
              <w:rFonts w:hint="eastAsia"/>
            </w:rPr>
            <w:instrText xml:space="preserve"> </w:instrText>
          </w:r>
          <w:r>
            <w:rPr>
              <w:rFonts w:hint="eastAsia"/>
            </w:rPr>
            <w:fldChar w:fldCharType="separate"/>
          </w:r>
          <w:r>
            <w:rPr>
              <w:rFonts w:hint="eastAsia"/>
            </w:rPr>
            <w:t>- 15 -</w:t>
          </w:r>
          <w:r>
            <w:rPr>
              <w:rFonts w:hint="eastAsia"/>
            </w:rPr>
            <w:fldChar w:fldCharType="end"/>
          </w:r>
          <w:r>
            <w:rPr>
              <w:rFonts w:hint="eastAsia"/>
            </w:rPr>
            <w:fldChar w:fldCharType="end"/>
          </w:r>
        </w:p>
        <w:p w14:paraId="5C2A9B0B">
          <w:pPr>
            <w:pStyle w:val="11"/>
            <w:rPr>
              <w:rFonts w:hint="eastAsia" w:cstheme="minorBidi"/>
              <w14:ligatures w14:val="standardContextual"/>
            </w:rPr>
          </w:pPr>
          <w:r>
            <w:fldChar w:fldCharType="begin"/>
          </w:r>
          <w:r>
            <w:instrText xml:space="preserve"> HYPERLINK \l "_Toc176437694" </w:instrText>
          </w:r>
          <w:r>
            <w:fldChar w:fldCharType="separate"/>
          </w:r>
          <w:r>
            <w:rPr>
              <w:rStyle w:val="16"/>
              <w:rFonts w:hint="eastAsia"/>
            </w:rPr>
            <w:t>第</w:t>
          </w:r>
          <w:r>
            <w:rPr>
              <w:rStyle w:val="16"/>
              <w:rFonts w:hint="eastAsia"/>
              <w:bCs/>
              <w:kern w:val="44"/>
            </w:rPr>
            <w:t>五部分 附表</w:t>
          </w:r>
          <w:r>
            <w:rPr>
              <w:rFonts w:hint="eastAsia"/>
            </w:rPr>
            <w:tab/>
          </w:r>
          <w:r>
            <w:rPr>
              <w:rFonts w:hint="eastAsia"/>
            </w:rPr>
            <w:fldChar w:fldCharType="begin"/>
          </w:r>
          <w:r>
            <w:rPr>
              <w:rFonts w:hint="eastAsia"/>
            </w:rPr>
            <w:instrText xml:space="preserve"> </w:instrText>
          </w:r>
          <w:r>
            <w:instrText xml:space="preserve">PAGEREF _Toc176437694 \h</w:instrText>
          </w:r>
          <w:r>
            <w:rPr>
              <w:rFonts w:hint="eastAsia"/>
            </w:rPr>
            <w:instrText xml:space="preserve"> </w:instrText>
          </w:r>
          <w:r>
            <w:rPr>
              <w:rFonts w:hint="eastAsia"/>
            </w:rPr>
            <w:fldChar w:fldCharType="separate"/>
          </w:r>
          <w:r>
            <w:rPr>
              <w:rFonts w:hint="eastAsia"/>
            </w:rPr>
            <w:t>- 16 -</w:t>
          </w:r>
          <w:r>
            <w:rPr>
              <w:rFonts w:hint="eastAsia"/>
            </w:rPr>
            <w:fldChar w:fldCharType="end"/>
          </w:r>
          <w:r>
            <w:rPr>
              <w:rFonts w:hint="eastAsia"/>
            </w:rPr>
            <w:fldChar w:fldCharType="end"/>
          </w:r>
        </w:p>
        <w:p w14:paraId="698AE636">
          <w:pPr>
            <w:pStyle w:val="12"/>
            <w:rPr>
              <w:rFonts w:hint="eastAsia" w:ascii="仿宋" w:hAnsi="仿宋" w:eastAsia="仿宋" w:cstheme="minorBidi"/>
              <w:sz w:val="28"/>
              <w:szCs w:val="28"/>
              <w14:ligatures w14:val="standardContextual"/>
            </w:rPr>
          </w:pPr>
          <w:r>
            <w:fldChar w:fldCharType="begin"/>
          </w:r>
          <w:r>
            <w:instrText xml:space="preserve"> HYPERLINK \l "_Toc176437695" </w:instrText>
          </w:r>
          <w:r>
            <w:fldChar w:fldCharType="separate"/>
          </w:r>
          <w:r>
            <w:rPr>
              <w:rStyle w:val="16"/>
              <w:rFonts w:hint="eastAsia" w:ascii="仿宋" w:hAnsi="仿宋" w:eastAsia="仿宋"/>
              <w:sz w:val="28"/>
              <w:szCs w:val="28"/>
            </w:rPr>
            <w:t>一、收入支出决算总表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_Toc176437695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10AE9111">
          <w:pPr>
            <w:pStyle w:val="12"/>
            <w:rPr>
              <w:rFonts w:hint="eastAsia" w:ascii="仿宋" w:hAnsi="仿宋" w:eastAsia="仿宋" w:cstheme="minorBidi"/>
              <w:sz w:val="28"/>
              <w:szCs w:val="28"/>
              <w14:ligatures w14:val="standardContextual"/>
            </w:rPr>
          </w:pPr>
          <w:r>
            <w:fldChar w:fldCharType="begin"/>
          </w:r>
          <w:r>
            <w:instrText xml:space="preserve"> HYPERLINK \l "_Toc176437696" </w:instrText>
          </w:r>
          <w:r>
            <w:fldChar w:fldCharType="separate"/>
          </w:r>
          <w:r>
            <w:rPr>
              <w:rStyle w:val="16"/>
              <w:rFonts w:hint="eastAsia" w:ascii="仿宋" w:hAnsi="仿宋" w:eastAsia="仿宋"/>
              <w:sz w:val="28"/>
              <w:szCs w:val="28"/>
            </w:rPr>
            <w:t>二、收入决算表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_Toc176437696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13FFFECA">
          <w:pPr>
            <w:pStyle w:val="12"/>
            <w:rPr>
              <w:rFonts w:hint="eastAsia" w:ascii="仿宋" w:hAnsi="仿宋" w:eastAsia="仿宋" w:cstheme="minorBidi"/>
              <w:sz w:val="28"/>
              <w:szCs w:val="28"/>
              <w14:ligatures w14:val="standardContextual"/>
            </w:rPr>
          </w:pPr>
          <w:r>
            <w:fldChar w:fldCharType="begin"/>
          </w:r>
          <w:r>
            <w:instrText xml:space="preserve"> HYPERLINK \l "_Toc176437697" </w:instrText>
          </w:r>
          <w:r>
            <w:fldChar w:fldCharType="separate"/>
          </w:r>
          <w:r>
            <w:rPr>
              <w:rStyle w:val="16"/>
              <w:rFonts w:hint="eastAsia" w:ascii="仿宋" w:hAnsi="仿宋" w:eastAsia="仿宋"/>
              <w:sz w:val="28"/>
              <w:szCs w:val="28"/>
            </w:rPr>
            <w:t>三、支出决算表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_Toc176437697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5EDE350B">
          <w:pPr>
            <w:pStyle w:val="12"/>
            <w:rPr>
              <w:rFonts w:hint="eastAsia" w:ascii="仿宋" w:hAnsi="仿宋" w:eastAsia="仿宋" w:cstheme="minorBidi"/>
              <w:sz w:val="28"/>
              <w:szCs w:val="28"/>
              <w14:ligatures w14:val="standardContextual"/>
            </w:rPr>
          </w:pPr>
          <w:r>
            <w:fldChar w:fldCharType="begin"/>
          </w:r>
          <w:r>
            <w:instrText xml:space="preserve"> HYPERLINK \l "_Toc176437698" </w:instrText>
          </w:r>
          <w:r>
            <w:fldChar w:fldCharType="separate"/>
          </w:r>
          <w:r>
            <w:rPr>
              <w:rStyle w:val="16"/>
              <w:rFonts w:hint="eastAsia" w:ascii="仿宋" w:hAnsi="仿宋" w:eastAsia="仿宋"/>
              <w:sz w:val="28"/>
              <w:szCs w:val="28"/>
            </w:rPr>
            <w:t>四、财政拨款收入支出决算总表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_Toc176437698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0DA5C08A">
          <w:pPr>
            <w:pStyle w:val="12"/>
            <w:rPr>
              <w:rFonts w:hint="eastAsia" w:ascii="仿宋" w:hAnsi="仿宋" w:eastAsia="仿宋" w:cstheme="minorBidi"/>
              <w:sz w:val="28"/>
              <w:szCs w:val="28"/>
              <w14:ligatures w14:val="standardContextual"/>
            </w:rPr>
          </w:pPr>
          <w:r>
            <w:fldChar w:fldCharType="begin"/>
          </w:r>
          <w:r>
            <w:instrText xml:space="preserve"> HYPERLINK \l "_Toc176437699" </w:instrText>
          </w:r>
          <w:r>
            <w:fldChar w:fldCharType="separate"/>
          </w:r>
          <w:r>
            <w:rPr>
              <w:rStyle w:val="16"/>
              <w:rFonts w:hint="eastAsia" w:ascii="仿宋" w:hAnsi="仿宋" w:eastAsia="仿宋"/>
              <w:sz w:val="28"/>
              <w:szCs w:val="28"/>
            </w:rPr>
            <w:t>五、财政拨款支出决算明细表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_Toc176437699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AD823EF">
          <w:pPr>
            <w:pStyle w:val="12"/>
            <w:rPr>
              <w:rFonts w:hint="eastAsia" w:ascii="仿宋" w:hAnsi="仿宋" w:eastAsia="仿宋" w:cstheme="minorBidi"/>
              <w:sz w:val="28"/>
              <w:szCs w:val="28"/>
              <w14:ligatures w14:val="standardContextual"/>
            </w:rPr>
          </w:pPr>
          <w:r>
            <w:fldChar w:fldCharType="begin"/>
          </w:r>
          <w:r>
            <w:instrText xml:space="preserve"> HYPERLINK \l "_Toc176437700" </w:instrText>
          </w:r>
          <w:r>
            <w:fldChar w:fldCharType="separate"/>
          </w:r>
          <w:r>
            <w:rPr>
              <w:rStyle w:val="16"/>
              <w:rFonts w:hint="eastAsia" w:ascii="仿宋" w:hAnsi="仿宋" w:eastAsia="仿宋"/>
              <w:sz w:val="28"/>
              <w:szCs w:val="28"/>
            </w:rPr>
            <w:t>六、一般公共预算财政拨款支出决算表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_Toc176437700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40E74B56">
          <w:pPr>
            <w:pStyle w:val="12"/>
            <w:rPr>
              <w:rFonts w:hint="eastAsia" w:ascii="仿宋" w:hAnsi="仿宋" w:eastAsia="仿宋" w:cstheme="minorBidi"/>
              <w:sz w:val="28"/>
              <w:szCs w:val="28"/>
              <w14:ligatures w14:val="standardContextual"/>
            </w:rPr>
          </w:pPr>
          <w:r>
            <w:fldChar w:fldCharType="begin"/>
          </w:r>
          <w:r>
            <w:instrText xml:space="preserve"> HYPERLINK \l "_Toc176437701" </w:instrText>
          </w:r>
          <w:r>
            <w:fldChar w:fldCharType="separate"/>
          </w:r>
          <w:r>
            <w:rPr>
              <w:rStyle w:val="16"/>
              <w:rFonts w:hint="eastAsia" w:ascii="仿宋" w:hAnsi="仿宋" w:eastAsia="仿宋"/>
              <w:sz w:val="28"/>
              <w:szCs w:val="28"/>
            </w:rPr>
            <w:t>七、一般公共预算财政拨款支出决算明细表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_Toc176437701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0441EEF9">
          <w:pPr>
            <w:pStyle w:val="12"/>
            <w:rPr>
              <w:rFonts w:hint="eastAsia" w:ascii="仿宋" w:hAnsi="仿宋" w:eastAsia="仿宋" w:cstheme="minorBidi"/>
              <w:sz w:val="28"/>
              <w:szCs w:val="28"/>
              <w14:ligatures w14:val="standardContextual"/>
            </w:rPr>
          </w:pPr>
          <w:r>
            <w:fldChar w:fldCharType="begin"/>
          </w:r>
          <w:r>
            <w:instrText xml:space="preserve"> HYPERLINK \l "_Toc176437702" </w:instrText>
          </w:r>
          <w:r>
            <w:fldChar w:fldCharType="separate"/>
          </w:r>
          <w:r>
            <w:rPr>
              <w:rStyle w:val="16"/>
              <w:rFonts w:hint="eastAsia" w:ascii="仿宋" w:hAnsi="仿宋" w:eastAsia="仿宋"/>
              <w:sz w:val="28"/>
              <w:szCs w:val="28"/>
            </w:rPr>
            <w:t>八、一般公共预算财政拨款基本支出决算表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_Toc176437702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07979EE">
          <w:pPr>
            <w:pStyle w:val="12"/>
            <w:rPr>
              <w:rFonts w:hint="eastAsia" w:ascii="仿宋" w:hAnsi="仿宋" w:eastAsia="仿宋" w:cstheme="minorBidi"/>
              <w:sz w:val="28"/>
              <w:szCs w:val="28"/>
              <w14:ligatures w14:val="standardContextual"/>
            </w:rPr>
          </w:pPr>
          <w:r>
            <w:fldChar w:fldCharType="begin"/>
          </w:r>
          <w:r>
            <w:instrText xml:space="preserve"> HYPERLINK \l "_Toc176437703" </w:instrText>
          </w:r>
          <w:r>
            <w:fldChar w:fldCharType="separate"/>
          </w:r>
          <w:r>
            <w:rPr>
              <w:rStyle w:val="16"/>
              <w:rFonts w:hint="eastAsia" w:ascii="仿宋" w:hAnsi="仿宋" w:eastAsia="仿宋"/>
              <w:sz w:val="28"/>
              <w:szCs w:val="28"/>
            </w:rPr>
            <w:t>九、一般公共预算财政拨款项目支出决算表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_Toc176437703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F47977E">
          <w:pPr>
            <w:pStyle w:val="12"/>
            <w:rPr>
              <w:rFonts w:hint="eastAsia" w:ascii="仿宋" w:hAnsi="仿宋" w:eastAsia="仿宋" w:cstheme="minorBidi"/>
              <w:sz w:val="28"/>
              <w:szCs w:val="28"/>
              <w14:ligatures w14:val="standardContextual"/>
            </w:rPr>
          </w:pPr>
          <w:r>
            <w:fldChar w:fldCharType="begin"/>
          </w:r>
          <w:r>
            <w:instrText xml:space="preserve"> HYPERLINK \l "_Toc176437704" </w:instrText>
          </w:r>
          <w:r>
            <w:fldChar w:fldCharType="separate"/>
          </w:r>
          <w:r>
            <w:rPr>
              <w:rStyle w:val="16"/>
              <w:rFonts w:hint="eastAsia" w:ascii="仿宋" w:hAnsi="仿宋" w:eastAsia="仿宋"/>
              <w:sz w:val="28"/>
              <w:szCs w:val="28"/>
            </w:rPr>
            <w:t>十、政府性基金预算财政拨款收入支出决算表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_Toc176437704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788BBCAC">
          <w:pPr>
            <w:pStyle w:val="12"/>
            <w:rPr>
              <w:rFonts w:hint="eastAsia" w:ascii="仿宋" w:hAnsi="仿宋" w:eastAsia="仿宋" w:cstheme="minorBidi"/>
              <w:sz w:val="28"/>
              <w:szCs w:val="28"/>
              <w14:ligatures w14:val="standardContextual"/>
            </w:rPr>
          </w:pPr>
          <w:r>
            <w:fldChar w:fldCharType="begin"/>
          </w:r>
          <w:r>
            <w:instrText xml:space="preserve"> HYPERLINK \l "_Toc176437705" </w:instrText>
          </w:r>
          <w:r>
            <w:fldChar w:fldCharType="separate"/>
          </w:r>
          <w:r>
            <w:rPr>
              <w:rStyle w:val="16"/>
              <w:rFonts w:hint="eastAsia" w:ascii="仿宋" w:hAnsi="仿宋" w:eastAsia="仿宋"/>
              <w:sz w:val="28"/>
              <w:szCs w:val="28"/>
            </w:rPr>
            <w:t>十一、国有资本经营预算财政拨款收入支出决算表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_Toc176437705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23D21516">
          <w:pPr>
            <w:pStyle w:val="12"/>
            <w:rPr>
              <w:rFonts w:hint="eastAsia" w:ascii="仿宋" w:hAnsi="仿宋" w:eastAsia="仿宋" w:cstheme="minorBidi"/>
              <w:sz w:val="28"/>
              <w:szCs w:val="28"/>
              <w14:ligatures w14:val="standardContextual"/>
            </w:rPr>
          </w:pPr>
          <w:r>
            <w:fldChar w:fldCharType="begin"/>
          </w:r>
          <w:r>
            <w:instrText xml:space="preserve"> HYPERLINK \l "_Toc176437706" </w:instrText>
          </w:r>
          <w:r>
            <w:fldChar w:fldCharType="separate"/>
          </w:r>
          <w:r>
            <w:rPr>
              <w:rStyle w:val="16"/>
              <w:rFonts w:hint="eastAsia" w:ascii="仿宋" w:hAnsi="仿宋" w:eastAsia="仿宋"/>
              <w:sz w:val="28"/>
              <w:szCs w:val="28"/>
            </w:rPr>
            <w:t>十二、国有资本经营预算财政拨款支出决算表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_Toc176437706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4D7FB78C">
          <w:pPr>
            <w:pStyle w:val="12"/>
            <w:rPr>
              <w:rFonts w:asciiTheme="minorHAnsi" w:hAnsiTheme="minorHAnsi" w:eastAsiaTheme="minorEastAsia" w:cstheme="minorBidi"/>
              <w:szCs w:val="22"/>
              <w14:ligatures w14:val="standardContextual"/>
            </w:rPr>
          </w:pPr>
          <w:r>
            <w:fldChar w:fldCharType="begin"/>
          </w:r>
          <w:r>
            <w:instrText xml:space="preserve"> HYPERLINK \l "_Toc176437707" </w:instrText>
          </w:r>
          <w:r>
            <w:fldChar w:fldCharType="separate"/>
          </w:r>
          <w:r>
            <w:rPr>
              <w:rStyle w:val="16"/>
              <w:rFonts w:hint="eastAsia" w:ascii="仿宋" w:hAnsi="仿宋" w:eastAsia="仿宋"/>
              <w:sz w:val="28"/>
              <w:szCs w:val="28"/>
            </w:rPr>
            <w:t>十三、财政拨款“三公”经费支出决算表</w:t>
          </w:r>
          <w:r>
            <w:rPr>
              <w:rFonts w:hint="eastAsia" w:ascii="仿宋" w:hAnsi="仿宋" w:eastAsia="仿宋"/>
              <w:sz w:val="28"/>
              <w:szCs w:val="28"/>
            </w:rPr>
            <w:tab/>
          </w:r>
          <w:r>
            <w:rPr>
              <w:rFonts w:hint="eastAsia" w:ascii="仿宋" w:hAnsi="仿宋" w:eastAsia="仿宋"/>
              <w:sz w:val="28"/>
              <w:szCs w:val="28"/>
            </w:rPr>
            <w:fldChar w:fldCharType="begin"/>
          </w:r>
          <w:r>
            <w:rPr>
              <w:rFonts w:hint="eastAsia" w:ascii="仿宋" w:hAnsi="仿宋" w:eastAsia="仿宋"/>
              <w:sz w:val="28"/>
              <w:szCs w:val="28"/>
            </w:rPr>
            <w:instrText xml:space="preserve"> </w:instrText>
          </w:r>
          <w:r>
            <w:rPr>
              <w:rFonts w:ascii="仿宋" w:hAnsi="仿宋" w:eastAsia="仿宋"/>
              <w:sz w:val="28"/>
              <w:szCs w:val="28"/>
            </w:rPr>
            <w:instrText xml:space="preserve">PAGEREF _Toc176437707 \h</w:instrText>
          </w:r>
          <w:r>
            <w:rPr>
              <w:rFonts w:hint="eastAsia" w:ascii="仿宋" w:hAnsi="仿宋" w:eastAsia="仿宋"/>
              <w:sz w:val="28"/>
              <w:szCs w:val="28"/>
            </w:rPr>
            <w:instrText xml:space="preserve"> </w:instrText>
          </w:r>
          <w:r>
            <w:rPr>
              <w:rFonts w:hint="eastAsia" w:ascii="仿宋" w:hAnsi="仿宋" w:eastAsia="仿宋"/>
              <w:sz w:val="28"/>
              <w:szCs w:val="28"/>
            </w:rPr>
            <w:fldChar w:fldCharType="separate"/>
          </w:r>
          <w:r>
            <w:rPr>
              <w:rFonts w:hint="eastAsia" w:ascii="仿宋" w:hAnsi="仿宋" w:eastAsia="仿宋"/>
              <w:sz w:val="28"/>
              <w:szCs w:val="28"/>
            </w:rPr>
            <w:t>- 16 -</w:t>
          </w:r>
          <w:r>
            <w:rPr>
              <w:rFonts w:hint="eastAsia" w:ascii="仿宋" w:hAnsi="仿宋" w:eastAsia="仿宋"/>
              <w:sz w:val="28"/>
              <w:szCs w:val="28"/>
            </w:rPr>
            <w:fldChar w:fldCharType="end"/>
          </w:r>
          <w:r>
            <w:rPr>
              <w:rFonts w:hint="eastAsia" w:ascii="仿宋" w:hAnsi="仿宋" w:eastAsia="仿宋"/>
              <w:sz w:val="28"/>
              <w:szCs w:val="28"/>
            </w:rPr>
            <w:fldChar w:fldCharType="end"/>
          </w:r>
        </w:p>
        <w:p w14:paraId="0597B26D">
          <w:pPr>
            <w:rPr>
              <w:b/>
              <w:bCs/>
              <w:lang w:val="zh-CN"/>
            </w:rPr>
          </w:pPr>
          <w:r>
            <w:rPr>
              <w:b/>
              <w:bCs/>
              <w:lang w:val="zh-CN"/>
            </w:rPr>
            <w:fldChar w:fldCharType="end"/>
          </w:r>
        </w:p>
      </w:sdtContent>
    </w:sdt>
    <w:p w14:paraId="6341DD58">
      <w:pPr>
        <w:widowControl/>
        <w:spacing w:line="440" w:lineRule="exact"/>
        <w:jc w:val="left"/>
        <w:rPr>
          <w:rFonts w:hint="eastAsia" w:ascii="仿宋" w:hAnsi="仿宋" w:eastAsia="仿宋"/>
          <w:bCs/>
          <w:kern w:val="44"/>
          <w:sz w:val="24"/>
        </w:rPr>
      </w:pPr>
      <w:r>
        <w:rPr>
          <w:rFonts w:ascii="仿宋" w:hAnsi="仿宋" w:eastAsia="仿宋"/>
          <w:b/>
          <w:sz w:val="24"/>
        </w:rPr>
        <w:br w:type="page"/>
      </w:r>
    </w:p>
    <w:p w14:paraId="14B3F31D">
      <w:pPr>
        <w:pStyle w:val="5"/>
        <w:jc w:val="center"/>
        <w:rPr>
          <w:rFonts w:hint="eastAsia" w:ascii="黑体" w:hAnsi="黑体" w:eastAsia="黑体"/>
          <w:b w:val="0"/>
        </w:rPr>
        <w:sectPr>
          <w:footerReference r:id="rId3" w:type="default"/>
          <w:pgSz w:w="11906" w:h="16838"/>
          <w:pgMar w:top="1440" w:right="1800" w:bottom="1440" w:left="1800" w:header="851" w:footer="992" w:gutter="0"/>
          <w:pgNumType w:fmt="numberInDash" w:start="1"/>
          <w:cols w:space="425" w:num="1"/>
          <w:docGrid w:type="lines" w:linePitch="312" w:charSpace="0"/>
        </w:sectPr>
      </w:pPr>
      <w:bookmarkStart w:id="0" w:name="_Toc176437669"/>
    </w:p>
    <w:p w14:paraId="70D55E7E">
      <w:pPr>
        <w:pStyle w:val="5"/>
        <w:jc w:val="center"/>
        <w:rPr>
          <w:rStyle w:val="17"/>
          <w:rFonts w:hint="eastAsia" w:ascii="黑体" w:hAnsi="黑体" w:eastAsia="黑体"/>
          <w:b/>
          <w:bCs w:val="0"/>
        </w:rPr>
      </w:pPr>
      <w:r>
        <w:rPr>
          <w:rFonts w:hint="eastAsia" w:ascii="黑体" w:hAnsi="黑体" w:eastAsia="黑体"/>
          <w:b w:val="0"/>
        </w:rPr>
        <w:t>第一部分 单位</w:t>
      </w:r>
      <w:r>
        <w:rPr>
          <w:rStyle w:val="17"/>
          <w:rFonts w:hint="eastAsia" w:ascii="黑体" w:hAnsi="黑体" w:eastAsia="黑体"/>
          <w:b w:val="0"/>
          <w:bCs w:val="0"/>
        </w:rPr>
        <w:t>概况</w:t>
      </w:r>
      <w:bookmarkEnd w:id="0"/>
    </w:p>
    <w:p w14:paraId="44970CB2">
      <w:pPr>
        <w:widowControl/>
        <w:jc w:val="left"/>
        <w:rPr>
          <w:rFonts w:ascii="黑体" w:eastAsia="黑体"/>
          <w:sz w:val="32"/>
          <w:szCs w:val="32"/>
        </w:rPr>
      </w:pPr>
    </w:p>
    <w:p w14:paraId="71CEEB7E">
      <w:pPr>
        <w:pStyle w:val="6"/>
        <w:numPr>
          <w:ilvl w:val="0"/>
          <w:numId w:val="1"/>
        </w:numPr>
        <w:rPr>
          <w:rStyle w:val="18"/>
          <w:rFonts w:hint="eastAsia" w:ascii="黑体" w:hAnsi="黑体" w:eastAsia="黑体"/>
          <w:b w:val="0"/>
          <w:bCs w:val="0"/>
        </w:rPr>
      </w:pPr>
      <w:bookmarkStart w:id="1" w:name="_Toc176437670"/>
      <w:r>
        <w:rPr>
          <w:rStyle w:val="18"/>
          <w:rFonts w:hint="eastAsia" w:ascii="黑体" w:hAnsi="黑体" w:eastAsia="黑体"/>
          <w:b w:val="0"/>
          <w:bCs w:val="0"/>
        </w:rPr>
        <w:t>主要职责</w:t>
      </w:r>
      <w:bookmarkEnd w:id="1"/>
    </w:p>
    <w:p w14:paraId="3B8E69AA">
      <w:pPr>
        <w:snapToGrid w:val="0"/>
        <w:spacing w:line="520" w:lineRule="exact"/>
        <w:ind w:firstLine="640" w:firstLineChars="200"/>
        <w:rPr>
          <w:rFonts w:hint="eastAsia" w:ascii="仿宋" w:hAnsi="仿宋" w:eastAsia="仿宋"/>
          <w:sz w:val="32"/>
          <w:szCs w:val="32"/>
        </w:rPr>
      </w:pPr>
      <w:r>
        <w:rPr>
          <w:rFonts w:hint="eastAsia" w:ascii="仿宋" w:hAnsi="仿宋" w:eastAsia="仿宋"/>
          <w:sz w:val="32"/>
          <w:szCs w:val="32"/>
        </w:rPr>
        <w:t>汶川公路管理分局，其性质为事业性，直属于阿坝州公路管理局，在州公路管理局的领导下，负责辖区内国省干线公路养护、管理；按照州公路管理局下达的经费和要求，编制年度实施计划；负责组织实施公路遭受自然灾害的抢修恢复、保障公路安全畅通；指导各养护站的公路养护管理工作；完成州公路管理局交办的其他工作任务。</w:t>
      </w:r>
    </w:p>
    <w:p w14:paraId="64416361"/>
    <w:p w14:paraId="2A2D3105">
      <w:pPr>
        <w:pStyle w:val="6"/>
        <w:rPr>
          <w:rFonts w:hint="eastAsia" w:ascii="黑体" w:hAnsi="黑体" w:eastAsia="黑体"/>
          <w:b w:val="0"/>
        </w:rPr>
      </w:pPr>
      <w:bookmarkStart w:id="2" w:name="_Toc176437671"/>
      <w:r>
        <w:rPr>
          <w:rFonts w:hint="eastAsia" w:ascii="黑体" w:hAnsi="黑体" w:eastAsia="黑体"/>
          <w:b w:val="0"/>
        </w:rPr>
        <w:t>二、机构设置</w:t>
      </w:r>
      <w:bookmarkEnd w:id="2"/>
    </w:p>
    <w:p w14:paraId="19B93161">
      <w:pPr>
        <w:pStyle w:val="19"/>
        <w:spacing w:line="480" w:lineRule="exact"/>
        <w:ind w:firstLine="640"/>
        <w:jc w:val="left"/>
        <w:rPr>
          <w:rFonts w:hint="eastAsia" w:ascii="仿宋" w:hAnsi="仿宋" w:eastAsia="仿宋"/>
          <w:sz w:val="32"/>
          <w:szCs w:val="32"/>
        </w:rPr>
      </w:pPr>
      <w:r>
        <w:rPr>
          <w:rFonts w:hint="eastAsia" w:ascii="仿宋" w:hAnsi="仿宋" w:eastAsia="仿宋"/>
          <w:sz w:val="32"/>
          <w:szCs w:val="32"/>
        </w:rPr>
        <w:t>阿坝藏族羌族自治州公路管理局汶川公路管理分局，内设党支部办公室、行政办公室、工程股、财务股、机料股、劳人股、安全股 ，以及绵虒养护站、威州养护站、兴文坪养护站、映秀养护站4个养护站以及1个隧道管理站和1个公路养护和应急保通中心。</w:t>
      </w:r>
    </w:p>
    <w:p w14:paraId="0F1452CD"/>
    <w:p w14:paraId="22BE4431">
      <w:pPr>
        <w:widowControl/>
        <w:jc w:val="left"/>
        <w:rPr>
          <w:rFonts w:hint="eastAsia" w:ascii="仿宋" w:hAnsi="仿宋" w:eastAsia="仿宋"/>
          <w:kern w:val="0"/>
          <w:sz w:val="32"/>
          <w:szCs w:val="32"/>
        </w:rPr>
      </w:pPr>
      <w:r>
        <w:rPr>
          <w:rFonts w:ascii="仿宋" w:hAnsi="仿宋" w:eastAsia="仿宋"/>
          <w:sz w:val="32"/>
          <w:szCs w:val="32"/>
        </w:rPr>
        <w:br w:type="page"/>
      </w:r>
    </w:p>
    <w:p w14:paraId="784AC831">
      <w:pPr>
        <w:pStyle w:val="5"/>
        <w:ind w:right="440"/>
        <w:jc w:val="center"/>
        <w:rPr>
          <w:rStyle w:val="17"/>
          <w:rFonts w:hint="eastAsia" w:ascii="黑体" w:hAnsi="黑体" w:eastAsia="黑体"/>
          <w:b w:val="0"/>
          <w:bCs/>
        </w:rPr>
      </w:pPr>
      <w:bookmarkStart w:id="3" w:name="_Toc176437672"/>
      <w:r>
        <w:rPr>
          <w:rFonts w:hint="eastAsia" w:ascii="黑体" w:hAnsi="黑体" w:eastAsia="黑体"/>
          <w:b w:val="0"/>
        </w:rPr>
        <w:t>第二部分 2023年度</w:t>
      </w:r>
      <w:r>
        <w:rPr>
          <w:rStyle w:val="17"/>
          <w:rFonts w:hint="eastAsia" w:ascii="黑体" w:hAnsi="黑体" w:eastAsia="黑体"/>
          <w:b w:val="0"/>
          <w:bCs/>
        </w:rPr>
        <w:t>单位决算情况说明</w:t>
      </w:r>
      <w:bookmarkEnd w:id="3"/>
    </w:p>
    <w:p w14:paraId="67EEE913"/>
    <w:p w14:paraId="53705FAF">
      <w:pPr>
        <w:pStyle w:val="19"/>
        <w:spacing w:line="600" w:lineRule="exact"/>
        <w:ind w:left="640" w:firstLine="0" w:firstLineChars="0"/>
        <w:outlineLvl w:val="1"/>
        <w:rPr>
          <w:rStyle w:val="18"/>
          <w:rFonts w:hint="eastAsia" w:ascii="黑体" w:hAnsi="黑体" w:eastAsia="黑体"/>
          <w:b w:val="0"/>
        </w:rPr>
      </w:pPr>
      <w:bookmarkStart w:id="4" w:name="_Toc176437673"/>
      <w:r>
        <w:rPr>
          <w:rFonts w:hint="eastAsia" w:ascii="黑体" w:hAnsi="黑体" w:eastAsia="黑体"/>
          <w:sz w:val="32"/>
          <w:szCs w:val="32"/>
        </w:rPr>
        <w:t>一、收</w:t>
      </w:r>
      <w:r>
        <w:rPr>
          <w:rStyle w:val="18"/>
          <w:rFonts w:hint="eastAsia" w:ascii="黑体" w:hAnsi="黑体" w:eastAsia="黑体"/>
          <w:b w:val="0"/>
        </w:rPr>
        <w:t>入支出决算总体情况说明</w:t>
      </w:r>
      <w:bookmarkEnd w:id="4"/>
    </w:p>
    <w:p w14:paraId="191397FD">
      <w:pPr>
        <w:spacing w:line="600" w:lineRule="exact"/>
        <w:ind w:firstLine="420" w:firstLineChars="200"/>
        <w:rPr>
          <w:rFonts w:hint="eastAsia" w:ascii="仿宋" w:hAnsi="仿宋" w:eastAsia="仿宋"/>
          <w:sz w:val="32"/>
          <w:szCs w:val="32"/>
        </w:rPr>
      </w:pPr>
      <w:r>
        <w:rPr>
          <w:rFonts w:hint="eastAsia"/>
        </w:rPr>
        <w:drawing>
          <wp:anchor distT="0" distB="0" distL="114300" distR="114300" simplePos="0" relativeHeight="251660288" behindDoc="0" locked="0" layoutInCell="1" allowOverlap="1">
            <wp:simplePos x="0" y="0"/>
            <wp:positionH relativeFrom="column">
              <wp:posOffset>0</wp:posOffset>
            </wp:positionH>
            <wp:positionV relativeFrom="paragraph">
              <wp:posOffset>1704340</wp:posOffset>
            </wp:positionV>
            <wp:extent cx="5256530" cy="2988310"/>
            <wp:effectExtent l="0" t="0" r="1270" b="2540"/>
            <wp:wrapThrough wrapText="bothSides">
              <wp:wrapPolygon>
                <wp:start x="0" y="0"/>
                <wp:lineTo x="0" y="21481"/>
                <wp:lineTo x="21527" y="21481"/>
                <wp:lineTo x="21527" y="0"/>
                <wp:lineTo x="0" y="0"/>
              </wp:wrapPolygon>
            </wp:wrapThrough>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sz w:val="32"/>
          <w:szCs w:val="32"/>
        </w:rPr>
        <w:t>2023年度收、支总计均为</w:t>
      </w:r>
      <w:r>
        <w:rPr>
          <w:rFonts w:ascii="仿宋" w:hAnsi="仿宋" w:eastAsia="仿宋"/>
          <w:sz w:val="32"/>
          <w:szCs w:val="32"/>
        </w:rPr>
        <w:t>4,190.7</w:t>
      </w:r>
      <w:r>
        <w:rPr>
          <w:rFonts w:hint="eastAsia" w:ascii="仿宋" w:hAnsi="仿宋" w:eastAsia="仿宋"/>
          <w:sz w:val="32"/>
          <w:szCs w:val="32"/>
        </w:rPr>
        <w:t>万元。与2022年度相比，收、支总计各增加</w:t>
      </w:r>
      <w:r>
        <w:rPr>
          <w:rFonts w:ascii="仿宋" w:hAnsi="仿宋" w:eastAsia="仿宋"/>
          <w:sz w:val="32"/>
          <w:szCs w:val="32"/>
        </w:rPr>
        <w:t>1,296.64</w:t>
      </w:r>
      <w:r>
        <w:rPr>
          <w:rFonts w:hint="eastAsia" w:ascii="仿宋" w:hAnsi="仿宋" w:eastAsia="仿宋"/>
          <w:sz w:val="32"/>
          <w:szCs w:val="32"/>
        </w:rPr>
        <w:t>万元，增长</w:t>
      </w:r>
      <w:r>
        <w:rPr>
          <w:rFonts w:ascii="仿宋" w:hAnsi="仿宋" w:eastAsia="仿宋"/>
          <w:sz w:val="32"/>
          <w:szCs w:val="32"/>
        </w:rPr>
        <w:t>44.8%</w:t>
      </w:r>
      <w:r>
        <w:rPr>
          <w:rFonts w:hint="eastAsia" w:ascii="仿宋" w:hAnsi="仿宋" w:eastAsia="仿宋"/>
          <w:sz w:val="32"/>
          <w:szCs w:val="32"/>
        </w:rPr>
        <w:t>。主要变动原因是人员经费，日常公用经费，桥隧、畅安工程等项目经费增加。</w:t>
      </w:r>
    </w:p>
    <w:p w14:paraId="1FBA8F77">
      <w:pPr>
        <w:spacing w:line="600" w:lineRule="exact"/>
        <w:jc w:val="center"/>
        <w:rPr>
          <w:rFonts w:hint="eastAsia"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14:paraId="531E97CE">
      <w:pPr>
        <w:spacing w:line="600" w:lineRule="exact"/>
        <w:ind w:firstLine="640" w:firstLineChars="200"/>
        <w:jc w:val="left"/>
        <w:rPr>
          <w:rFonts w:ascii="仿宋_GB2312" w:eastAsia="仿宋_GB2312"/>
          <w:sz w:val="32"/>
          <w:szCs w:val="32"/>
        </w:rPr>
      </w:pPr>
    </w:p>
    <w:p w14:paraId="57B28FED">
      <w:pPr>
        <w:pStyle w:val="19"/>
        <w:spacing w:line="600" w:lineRule="exact"/>
        <w:ind w:left="640" w:firstLine="0" w:firstLineChars="0"/>
        <w:outlineLvl w:val="1"/>
        <w:rPr>
          <w:rStyle w:val="18"/>
          <w:rFonts w:hint="eastAsia" w:ascii="黑体" w:hAnsi="黑体" w:eastAsia="黑体"/>
          <w:b w:val="0"/>
        </w:rPr>
      </w:pPr>
      <w:bookmarkStart w:id="5" w:name="_Toc176437674"/>
      <w:r>
        <w:rPr>
          <w:rFonts w:hint="eastAsia" w:ascii="黑体" w:hAnsi="黑体" w:eastAsia="黑体"/>
          <w:sz w:val="32"/>
          <w:szCs w:val="32"/>
        </w:rPr>
        <w:t>二、收</w:t>
      </w:r>
      <w:r>
        <w:rPr>
          <w:rStyle w:val="18"/>
          <w:rFonts w:hint="eastAsia" w:ascii="黑体" w:hAnsi="黑体" w:eastAsia="黑体"/>
          <w:b w:val="0"/>
        </w:rPr>
        <w:t>入决算情况说明</w:t>
      </w:r>
      <w:bookmarkEnd w:id="5"/>
    </w:p>
    <w:p w14:paraId="78486BFC">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2023年度本年收入合计</w:t>
      </w:r>
      <w:r>
        <w:rPr>
          <w:rFonts w:ascii="仿宋" w:hAnsi="仿宋" w:eastAsia="仿宋"/>
          <w:sz w:val="32"/>
          <w:szCs w:val="32"/>
        </w:rPr>
        <w:t>4,190.7</w:t>
      </w:r>
      <w:r>
        <w:rPr>
          <w:rFonts w:hint="eastAsia" w:ascii="仿宋" w:hAnsi="仿宋" w:eastAsia="仿宋"/>
          <w:sz w:val="32"/>
          <w:szCs w:val="32"/>
        </w:rPr>
        <w:t>万元，其中：一般公共预算财政拨款收入</w:t>
      </w:r>
      <w:r>
        <w:rPr>
          <w:rFonts w:ascii="仿宋" w:hAnsi="仿宋" w:eastAsia="仿宋"/>
          <w:sz w:val="32"/>
          <w:szCs w:val="32"/>
        </w:rPr>
        <w:t>4,190.7</w:t>
      </w:r>
      <w:r>
        <w:rPr>
          <w:rFonts w:hint="eastAsia" w:ascii="仿宋" w:hAnsi="仿宋" w:eastAsia="仿宋"/>
          <w:sz w:val="32"/>
          <w:szCs w:val="32"/>
        </w:rPr>
        <w:t>万元，占100%。</w:t>
      </w:r>
    </w:p>
    <w:p w14:paraId="35D0591E">
      <w:pPr>
        <w:pStyle w:val="2"/>
      </w:pPr>
    </w:p>
    <w:p w14:paraId="4B42495B">
      <w:pPr>
        <w:pStyle w:val="3"/>
        <w:spacing w:after="0" w:line="600" w:lineRule="exact"/>
        <w:ind w:left="0" w:leftChars="0" w:firstLine="0" w:firstLineChars="0"/>
        <w:jc w:val="center"/>
        <w:rPr>
          <w:rFonts w:hint="eastAsia" w:ascii="仿宋" w:hAnsi="仿宋" w:eastAsia="仿宋"/>
          <w:sz w:val="32"/>
        </w:rPr>
      </w:pPr>
      <w:r>
        <w:rPr>
          <w:rFonts w:hint="eastAsia" w:ascii="仿宋" w:hAnsi="仿宋" w:eastAsia="仿宋"/>
          <w:sz w:val="32"/>
        </w:rPr>
        <w:drawing>
          <wp:anchor distT="0" distB="0" distL="114300" distR="114300" simplePos="0" relativeHeight="251659264" behindDoc="0" locked="0" layoutInCell="1" allowOverlap="1">
            <wp:simplePos x="0" y="0"/>
            <wp:positionH relativeFrom="column">
              <wp:posOffset>-13335</wp:posOffset>
            </wp:positionH>
            <wp:positionV relativeFrom="paragraph">
              <wp:posOffset>0</wp:posOffset>
            </wp:positionV>
            <wp:extent cx="5256530" cy="2988310"/>
            <wp:effectExtent l="0" t="0" r="1270" b="2540"/>
            <wp:wrapThrough wrapText="bothSides">
              <wp:wrapPolygon>
                <wp:start x="0" y="0"/>
                <wp:lineTo x="0" y="21481"/>
                <wp:lineTo x="21527" y="21481"/>
                <wp:lineTo x="21527" y="0"/>
                <wp:lineTo x="0" y="0"/>
              </wp:wrapPolygon>
            </wp:wrapThrough>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sz w:val="32"/>
        </w:rPr>
        <w:t>（图2：收入决算结构图）</w:t>
      </w:r>
    </w:p>
    <w:p w14:paraId="490510BC">
      <w:pPr>
        <w:spacing w:line="600" w:lineRule="exact"/>
        <w:ind w:firstLine="640" w:firstLineChars="200"/>
        <w:rPr>
          <w:rFonts w:ascii="仿宋_GB2312" w:eastAsia="仿宋_GB2312"/>
          <w:sz w:val="32"/>
          <w:szCs w:val="32"/>
        </w:rPr>
      </w:pPr>
    </w:p>
    <w:p w14:paraId="625FCC9E">
      <w:pPr>
        <w:pStyle w:val="19"/>
        <w:spacing w:line="600" w:lineRule="exact"/>
        <w:ind w:left="640" w:firstLine="0" w:firstLineChars="0"/>
        <w:outlineLvl w:val="1"/>
        <w:rPr>
          <w:rStyle w:val="18"/>
          <w:rFonts w:hint="eastAsia" w:ascii="黑体" w:hAnsi="黑体" w:eastAsia="黑体"/>
          <w:b w:val="0"/>
        </w:rPr>
      </w:pPr>
      <w:bookmarkStart w:id="6" w:name="_Toc176437675"/>
      <w:r>
        <w:rPr>
          <w:rFonts w:hint="eastAsia" w:ascii="黑体" w:hAnsi="黑体" w:eastAsia="黑体"/>
          <w:sz w:val="32"/>
          <w:szCs w:val="32"/>
        </w:rPr>
        <w:t>三、支</w:t>
      </w:r>
      <w:r>
        <w:rPr>
          <w:rStyle w:val="18"/>
          <w:rFonts w:hint="eastAsia" w:ascii="黑体" w:hAnsi="黑体" w:eastAsia="黑体"/>
          <w:b w:val="0"/>
        </w:rPr>
        <w:t>出决算情况说明</w:t>
      </w:r>
      <w:bookmarkEnd w:id="6"/>
    </w:p>
    <w:p w14:paraId="54457E89">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2023年度本年支出合计</w:t>
      </w:r>
      <w:r>
        <w:rPr>
          <w:rFonts w:ascii="仿宋" w:hAnsi="仿宋" w:eastAsia="仿宋"/>
          <w:sz w:val="32"/>
          <w:szCs w:val="32"/>
        </w:rPr>
        <w:t>4,190.7</w:t>
      </w:r>
      <w:r>
        <w:rPr>
          <w:rFonts w:hint="eastAsia" w:ascii="仿宋" w:hAnsi="仿宋" w:eastAsia="仿宋"/>
          <w:sz w:val="32"/>
          <w:szCs w:val="32"/>
        </w:rPr>
        <w:t>万元，其中：基本支出</w:t>
      </w:r>
      <w:r>
        <w:rPr>
          <w:rFonts w:ascii="仿宋" w:hAnsi="仿宋" w:eastAsia="仿宋"/>
          <w:sz w:val="32"/>
          <w:szCs w:val="32"/>
        </w:rPr>
        <w:t>3,450.12</w:t>
      </w:r>
      <w:r>
        <w:rPr>
          <w:rFonts w:hint="eastAsia" w:ascii="仿宋" w:hAnsi="仿宋" w:eastAsia="仿宋"/>
          <w:sz w:val="32"/>
          <w:szCs w:val="32"/>
        </w:rPr>
        <w:t>万元，占</w:t>
      </w:r>
      <w:r>
        <w:rPr>
          <w:rFonts w:ascii="仿宋" w:hAnsi="仿宋" w:eastAsia="仿宋"/>
          <w:sz w:val="32"/>
          <w:szCs w:val="32"/>
        </w:rPr>
        <w:t>82.3%</w:t>
      </w:r>
      <w:r>
        <w:rPr>
          <w:rFonts w:hint="eastAsia" w:ascii="仿宋" w:hAnsi="仿宋" w:eastAsia="仿宋"/>
          <w:sz w:val="32"/>
          <w:szCs w:val="32"/>
        </w:rPr>
        <w:t>；项目支出</w:t>
      </w:r>
      <w:r>
        <w:rPr>
          <w:rFonts w:ascii="仿宋" w:hAnsi="仿宋" w:eastAsia="仿宋"/>
          <w:sz w:val="32"/>
          <w:szCs w:val="32"/>
        </w:rPr>
        <w:t>740.59</w:t>
      </w:r>
      <w:r>
        <w:rPr>
          <w:rFonts w:hint="eastAsia" w:ascii="仿宋" w:hAnsi="仿宋" w:eastAsia="仿宋"/>
          <w:sz w:val="32"/>
          <w:szCs w:val="32"/>
        </w:rPr>
        <w:t>万元，占</w:t>
      </w:r>
      <w:r>
        <w:rPr>
          <w:rFonts w:ascii="仿宋" w:hAnsi="仿宋" w:eastAsia="仿宋"/>
          <w:sz w:val="32"/>
          <w:szCs w:val="32"/>
        </w:rPr>
        <w:t>17.</w:t>
      </w:r>
      <w:r>
        <w:rPr>
          <w:rFonts w:hint="eastAsia" w:ascii="仿宋" w:hAnsi="仿宋" w:eastAsia="仿宋"/>
          <w:sz w:val="32"/>
          <w:szCs w:val="32"/>
          <w:lang w:val="en-US" w:eastAsia="zh-CN"/>
        </w:rPr>
        <w:t>7</w:t>
      </w:r>
      <w:r>
        <w:rPr>
          <w:rFonts w:ascii="仿宋" w:hAnsi="仿宋" w:eastAsia="仿宋"/>
          <w:sz w:val="32"/>
          <w:szCs w:val="32"/>
        </w:rPr>
        <w:t>%</w:t>
      </w:r>
      <w:r>
        <w:rPr>
          <w:rFonts w:hint="eastAsia" w:ascii="仿宋" w:hAnsi="仿宋" w:eastAsia="仿宋"/>
          <w:sz w:val="32"/>
          <w:szCs w:val="32"/>
        </w:rPr>
        <w:t>。</w:t>
      </w:r>
    </w:p>
    <w:p w14:paraId="5565B64A">
      <w:pPr>
        <w:spacing w:line="600" w:lineRule="exact"/>
        <w:jc w:val="center"/>
        <w:rPr>
          <w:rFonts w:ascii="仿宋_GB2312" w:eastAsia="仿宋_GB2312"/>
          <w:sz w:val="32"/>
          <w:szCs w:val="32"/>
        </w:rPr>
      </w:pPr>
      <w:r>
        <w:rPr>
          <w:rFonts w:hint="eastAsia" w:ascii="仿宋" w:hAnsi="仿宋" w:eastAsia="仿宋"/>
          <w:sz w:val="32"/>
          <w:szCs w:val="32"/>
          <w:shd w:val="pct10" w:color="auto" w:fill="FFFFFF"/>
        </w:rPr>
        <w:drawing>
          <wp:anchor distT="0" distB="0" distL="114300" distR="114300" simplePos="0" relativeHeight="251664384" behindDoc="0" locked="0" layoutInCell="1" allowOverlap="1">
            <wp:simplePos x="0" y="0"/>
            <wp:positionH relativeFrom="column">
              <wp:posOffset>-43815</wp:posOffset>
            </wp:positionH>
            <wp:positionV relativeFrom="paragraph">
              <wp:posOffset>219075</wp:posOffset>
            </wp:positionV>
            <wp:extent cx="5256530" cy="2740025"/>
            <wp:effectExtent l="0" t="0" r="1270" b="3175"/>
            <wp:wrapThrough wrapText="bothSides">
              <wp:wrapPolygon>
                <wp:start x="0" y="0"/>
                <wp:lineTo x="0" y="21475"/>
                <wp:lineTo x="21527" y="21475"/>
                <wp:lineTo x="21527" y="0"/>
                <wp:lineTo x="0" y="0"/>
              </wp:wrapPolygon>
            </wp:wrapThrough>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sz w:val="32"/>
          <w:szCs w:val="32"/>
        </w:rPr>
        <w:t>（图3：支出决算结构图）</w:t>
      </w:r>
    </w:p>
    <w:p w14:paraId="3A0F0E0C">
      <w:pPr>
        <w:spacing w:line="600" w:lineRule="exact"/>
        <w:ind w:firstLine="640" w:firstLineChars="200"/>
        <w:outlineLvl w:val="1"/>
        <w:rPr>
          <w:rStyle w:val="18"/>
          <w:rFonts w:hint="eastAsia" w:ascii="黑体" w:hAnsi="黑体" w:eastAsia="黑体"/>
          <w:b w:val="0"/>
        </w:rPr>
      </w:pPr>
      <w:bookmarkStart w:id="7" w:name="_Toc176437676"/>
      <w:r>
        <w:rPr>
          <w:rFonts w:hint="eastAsia" w:ascii="黑体" w:hAnsi="黑体" w:eastAsia="黑体"/>
          <w:sz w:val="32"/>
          <w:szCs w:val="32"/>
        </w:rPr>
        <w:t>四、财</w:t>
      </w:r>
      <w:r>
        <w:rPr>
          <w:rStyle w:val="18"/>
          <w:rFonts w:hint="eastAsia" w:ascii="黑体" w:hAnsi="黑体" w:eastAsia="黑体"/>
          <w:b w:val="0"/>
        </w:rPr>
        <w:t>政拨款收入支出决算总体情况说明</w:t>
      </w:r>
      <w:bookmarkEnd w:id="7"/>
    </w:p>
    <w:p w14:paraId="6E9AC20A">
      <w:pPr>
        <w:spacing w:line="600" w:lineRule="exact"/>
        <w:ind w:firstLine="640"/>
        <w:rPr>
          <w:rFonts w:hint="eastAsia" w:ascii="仿宋" w:hAnsi="仿宋" w:eastAsia="仿宋"/>
          <w:sz w:val="32"/>
          <w:szCs w:val="32"/>
        </w:rPr>
      </w:pPr>
      <w:r>
        <w:rPr>
          <w:rFonts w:hint="eastAsia"/>
        </w:rPr>
        <w:drawing>
          <wp:anchor distT="0" distB="0" distL="114300" distR="114300" simplePos="0" relativeHeight="251662336" behindDoc="0" locked="0" layoutInCell="1" allowOverlap="1">
            <wp:simplePos x="0" y="0"/>
            <wp:positionH relativeFrom="column">
              <wp:posOffset>0</wp:posOffset>
            </wp:positionH>
            <wp:positionV relativeFrom="paragraph">
              <wp:posOffset>1804670</wp:posOffset>
            </wp:positionV>
            <wp:extent cx="5256530" cy="2988310"/>
            <wp:effectExtent l="0" t="0" r="1270" b="2540"/>
            <wp:wrapThrough wrapText="bothSides">
              <wp:wrapPolygon>
                <wp:start x="0" y="0"/>
                <wp:lineTo x="0" y="21481"/>
                <wp:lineTo x="21527" y="21481"/>
                <wp:lineTo x="21527" y="0"/>
                <wp:lineTo x="0" y="0"/>
              </wp:wrapPolygon>
            </wp:wrapThrough>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sz w:val="32"/>
          <w:szCs w:val="32"/>
        </w:rPr>
        <w:t>2023年度财政拨款收、支总计均为</w:t>
      </w:r>
      <w:r>
        <w:rPr>
          <w:rFonts w:ascii="仿宋" w:hAnsi="仿宋" w:eastAsia="仿宋"/>
          <w:sz w:val="32"/>
          <w:szCs w:val="32"/>
        </w:rPr>
        <w:t>4,190.7</w:t>
      </w:r>
      <w:r>
        <w:rPr>
          <w:rFonts w:hint="eastAsia" w:ascii="仿宋" w:hAnsi="仿宋" w:eastAsia="仿宋"/>
          <w:sz w:val="32"/>
          <w:szCs w:val="32"/>
        </w:rPr>
        <w:t>万元。与2022年度相比，财政拨款收、支总计各增加</w:t>
      </w:r>
      <w:r>
        <w:rPr>
          <w:rFonts w:ascii="仿宋" w:hAnsi="仿宋" w:eastAsia="仿宋"/>
          <w:sz w:val="32"/>
          <w:szCs w:val="32"/>
        </w:rPr>
        <w:t>1,296.64</w:t>
      </w:r>
      <w:r>
        <w:rPr>
          <w:rFonts w:hint="eastAsia" w:ascii="仿宋" w:hAnsi="仿宋" w:eastAsia="仿宋"/>
          <w:sz w:val="32"/>
          <w:szCs w:val="32"/>
        </w:rPr>
        <w:t>万元，增长</w:t>
      </w:r>
      <w:r>
        <w:rPr>
          <w:rFonts w:ascii="仿宋" w:hAnsi="仿宋" w:eastAsia="仿宋"/>
          <w:sz w:val="32"/>
          <w:szCs w:val="32"/>
        </w:rPr>
        <w:t>44.8%</w:t>
      </w:r>
      <w:r>
        <w:rPr>
          <w:rFonts w:hint="eastAsia" w:ascii="仿宋" w:hAnsi="仿宋" w:eastAsia="仿宋"/>
          <w:sz w:val="32"/>
          <w:szCs w:val="32"/>
        </w:rPr>
        <w:t>。主要变动原因是人员经费，日常公用经费，桥隧、畅安工程等项目经费增加。</w:t>
      </w:r>
    </w:p>
    <w:p w14:paraId="65843069">
      <w:pPr>
        <w:spacing w:line="600" w:lineRule="exact"/>
        <w:jc w:val="center"/>
        <w:rPr>
          <w:rFonts w:hint="eastAsia" w:ascii="仿宋" w:hAnsi="仿宋" w:eastAsia="仿宋"/>
          <w:sz w:val="32"/>
          <w:szCs w:val="32"/>
        </w:rPr>
      </w:pPr>
      <w:r>
        <w:rPr>
          <w:rFonts w:hint="eastAsia" w:ascii="仿宋" w:hAnsi="仿宋" w:eastAsia="仿宋"/>
          <w:sz w:val="32"/>
          <w:szCs w:val="32"/>
        </w:rPr>
        <w:t>（图4：财政拨款收、支决算总计变动情况）</w:t>
      </w:r>
    </w:p>
    <w:p w14:paraId="1B421845">
      <w:pPr>
        <w:spacing w:line="600" w:lineRule="exact"/>
        <w:ind w:firstLine="640"/>
        <w:rPr>
          <w:rFonts w:hint="eastAsia" w:ascii="仿宋" w:hAnsi="仿宋" w:eastAsia="仿宋"/>
          <w:b/>
          <w:sz w:val="32"/>
          <w:szCs w:val="32"/>
        </w:rPr>
      </w:pPr>
    </w:p>
    <w:p w14:paraId="51A9C6AA">
      <w:pPr>
        <w:spacing w:line="600" w:lineRule="exact"/>
        <w:ind w:firstLine="640" w:firstLineChars="200"/>
        <w:outlineLvl w:val="1"/>
        <w:rPr>
          <w:rStyle w:val="18"/>
          <w:rFonts w:hint="eastAsia" w:ascii="黑体" w:hAnsi="黑体" w:eastAsia="黑体"/>
          <w:b w:val="0"/>
        </w:rPr>
      </w:pPr>
      <w:bookmarkStart w:id="8" w:name="_Toc176437677"/>
      <w:r>
        <w:rPr>
          <w:rFonts w:hint="eastAsia" w:ascii="黑体" w:hAnsi="黑体" w:eastAsia="黑体"/>
          <w:sz w:val="32"/>
          <w:szCs w:val="32"/>
        </w:rPr>
        <w:t>五、</w:t>
      </w:r>
      <w:r>
        <w:rPr>
          <w:rFonts w:hint="eastAsia" w:ascii="黑体" w:hAnsi="黑体" w:eastAsia="黑体"/>
          <w:b/>
          <w:sz w:val="32"/>
          <w:szCs w:val="32"/>
        </w:rPr>
        <w:t>一</w:t>
      </w:r>
      <w:r>
        <w:rPr>
          <w:rStyle w:val="18"/>
          <w:rFonts w:hint="eastAsia" w:ascii="黑体" w:hAnsi="黑体" w:eastAsia="黑体"/>
          <w:b w:val="0"/>
        </w:rPr>
        <w:t>般公共预算财政拨款支出决算情况说明</w:t>
      </w:r>
      <w:bookmarkEnd w:id="8"/>
    </w:p>
    <w:p w14:paraId="7937390D">
      <w:pPr>
        <w:spacing w:line="600" w:lineRule="exact"/>
        <w:ind w:firstLine="643" w:firstLineChars="200"/>
        <w:outlineLvl w:val="2"/>
        <w:rPr>
          <w:rFonts w:hint="eastAsia" w:ascii="仿宋" w:hAnsi="仿宋" w:eastAsia="仿宋"/>
          <w:b/>
          <w:sz w:val="32"/>
          <w:szCs w:val="32"/>
        </w:rPr>
      </w:pPr>
      <w:bookmarkStart w:id="9" w:name="_Toc176437453"/>
      <w:bookmarkStart w:id="10" w:name="_Toc176437678"/>
      <w:r>
        <w:rPr>
          <w:rFonts w:hint="eastAsia" w:ascii="仿宋" w:hAnsi="仿宋" w:eastAsia="仿宋"/>
          <w:b/>
          <w:sz w:val="32"/>
          <w:szCs w:val="32"/>
        </w:rPr>
        <w:t>（一）一般公共预算财政拨款支出决算总体情况</w:t>
      </w:r>
      <w:bookmarkEnd w:id="9"/>
      <w:bookmarkEnd w:id="10"/>
    </w:p>
    <w:p w14:paraId="5694AAF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sz w:val="32"/>
          <w:szCs w:val="32"/>
        </w:rPr>
        <w:t>4,190.7</w:t>
      </w:r>
      <w:r>
        <w:rPr>
          <w:rFonts w:hint="eastAsia" w:ascii="仿宋" w:hAnsi="仿宋" w:eastAsia="仿宋"/>
          <w:sz w:val="32"/>
          <w:szCs w:val="32"/>
        </w:rPr>
        <w:t>万元，占本年支出合计的100%。与2022年度相比，一般公共预算财政拨款支出增加</w:t>
      </w:r>
      <w:r>
        <w:rPr>
          <w:rFonts w:ascii="仿宋" w:hAnsi="仿宋" w:eastAsia="仿宋"/>
          <w:sz w:val="32"/>
          <w:szCs w:val="32"/>
        </w:rPr>
        <w:t>1,296.64</w:t>
      </w:r>
      <w:r>
        <w:rPr>
          <w:rFonts w:hint="eastAsia" w:ascii="仿宋" w:hAnsi="仿宋" w:eastAsia="仿宋"/>
          <w:sz w:val="32"/>
          <w:szCs w:val="32"/>
        </w:rPr>
        <w:t>万元，增长</w:t>
      </w:r>
      <w:r>
        <w:rPr>
          <w:rFonts w:ascii="仿宋" w:hAnsi="仿宋" w:eastAsia="仿宋"/>
          <w:sz w:val="32"/>
          <w:szCs w:val="32"/>
        </w:rPr>
        <w:t>44.8%</w:t>
      </w:r>
      <w:r>
        <w:rPr>
          <w:rFonts w:hint="eastAsia" w:ascii="仿宋" w:hAnsi="仿宋" w:eastAsia="仿宋"/>
          <w:sz w:val="32"/>
          <w:szCs w:val="32"/>
        </w:rPr>
        <w:t>。主要变动原因是人员经费，日常公用经费，桥隧、畅安工程等项目经费增加。</w:t>
      </w:r>
    </w:p>
    <w:p w14:paraId="24A0547A">
      <w:pPr>
        <w:spacing w:line="600" w:lineRule="exact"/>
        <w:jc w:val="center"/>
        <w:rPr>
          <w:rFonts w:hint="eastAsia" w:ascii="仿宋" w:hAnsi="仿宋" w:eastAsia="仿宋"/>
          <w:sz w:val="32"/>
          <w:szCs w:val="32"/>
        </w:rPr>
      </w:pPr>
      <w:r>
        <w:rPr>
          <w:rFonts w:hint="eastAsia"/>
        </w:rPr>
        <w:drawing>
          <wp:anchor distT="0" distB="0" distL="114300" distR="114300" simplePos="0" relativeHeight="251661312" behindDoc="0" locked="0" layoutInCell="1" allowOverlap="1">
            <wp:simplePos x="0" y="0"/>
            <wp:positionH relativeFrom="column">
              <wp:posOffset>62230</wp:posOffset>
            </wp:positionH>
            <wp:positionV relativeFrom="page">
              <wp:posOffset>0</wp:posOffset>
            </wp:positionV>
            <wp:extent cx="5256530" cy="2988310"/>
            <wp:effectExtent l="0" t="0" r="1270" b="2540"/>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sz w:val="32"/>
          <w:szCs w:val="32"/>
        </w:rPr>
        <w:t>（图5：一般公共预算财政拨款支出决算变动情况）</w:t>
      </w:r>
    </w:p>
    <w:p w14:paraId="35D5838B">
      <w:pPr>
        <w:spacing w:line="600" w:lineRule="exact"/>
        <w:ind w:firstLine="640" w:firstLineChars="200"/>
        <w:rPr>
          <w:rFonts w:hint="eastAsia" w:ascii="仿宋" w:hAnsi="仿宋" w:eastAsia="仿宋"/>
          <w:sz w:val="32"/>
          <w:szCs w:val="32"/>
        </w:rPr>
      </w:pPr>
    </w:p>
    <w:p w14:paraId="5B244050">
      <w:pPr>
        <w:spacing w:line="600" w:lineRule="exact"/>
        <w:ind w:firstLine="643" w:firstLineChars="200"/>
        <w:outlineLvl w:val="2"/>
        <w:rPr>
          <w:rFonts w:hint="eastAsia" w:ascii="仿宋" w:hAnsi="仿宋" w:eastAsia="仿宋"/>
          <w:b/>
          <w:sz w:val="32"/>
          <w:szCs w:val="32"/>
        </w:rPr>
      </w:pPr>
      <w:bookmarkStart w:id="11" w:name="_Toc176437679"/>
      <w:bookmarkStart w:id="12" w:name="_Toc176437454"/>
      <w:r>
        <w:rPr>
          <w:rFonts w:hint="eastAsia" w:ascii="仿宋" w:hAnsi="仿宋" w:eastAsia="仿宋"/>
          <w:b/>
          <w:sz w:val="32"/>
          <w:szCs w:val="32"/>
        </w:rPr>
        <w:t>（二）一般公共预算财政拨款支出决算结构情况</w:t>
      </w:r>
      <w:bookmarkEnd w:id="11"/>
      <w:bookmarkEnd w:id="12"/>
    </w:p>
    <w:p w14:paraId="18C42E95">
      <w:pPr>
        <w:spacing w:line="600" w:lineRule="exact"/>
        <w:ind w:firstLine="640"/>
        <w:rPr>
          <w:rFonts w:hint="eastAsia" w:ascii="仿宋" w:hAnsi="仿宋" w:eastAsia="仿宋"/>
          <w:b/>
          <w:sz w:val="32"/>
          <w:szCs w:val="32"/>
        </w:rPr>
      </w:pPr>
      <w:r>
        <w:rPr>
          <w:rFonts w:hint="eastAsia" w:ascii="仿宋" w:hAnsi="仿宋" w:eastAsia="仿宋"/>
          <w:sz w:val="32"/>
          <w:szCs w:val="32"/>
        </w:rPr>
        <w:t>2023年度一般公共预算财政拨款支出</w:t>
      </w:r>
      <w:r>
        <w:rPr>
          <w:rFonts w:ascii="仿宋" w:hAnsi="仿宋" w:eastAsia="仿宋"/>
          <w:sz w:val="32"/>
          <w:szCs w:val="32"/>
        </w:rPr>
        <w:t>4190.7</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ascii="仿宋" w:hAnsi="仿宋" w:eastAsia="仿宋"/>
          <w:sz w:val="32"/>
          <w:szCs w:val="32"/>
        </w:rPr>
        <w:t>301.61</w:t>
      </w:r>
      <w:r>
        <w:rPr>
          <w:rFonts w:hint="eastAsia" w:ascii="仿宋" w:hAnsi="仿宋" w:eastAsia="仿宋"/>
          <w:sz w:val="32"/>
          <w:szCs w:val="32"/>
        </w:rPr>
        <w:t>万元，占</w:t>
      </w:r>
      <w:r>
        <w:rPr>
          <w:rFonts w:ascii="仿宋" w:hAnsi="仿宋" w:eastAsia="仿宋"/>
          <w:sz w:val="32"/>
          <w:szCs w:val="32"/>
        </w:rPr>
        <w:t>7.2%</w:t>
      </w:r>
      <w:r>
        <w:rPr>
          <w:rFonts w:hint="eastAsia" w:ascii="仿宋" w:hAnsi="仿宋" w:eastAsia="仿宋"/>
          <w:sz w:val="32"/>
          <w:szCs w:val="32"/>
        </w:rPr>
        <w:t>；</w:t>
      </w:r>
      <w:r>
        <w:rPr>
          <w:rFonts w:hint="eastAsia" w:ascii="仿宋" w:hAnsi="仿宋" w:eastAsia="仿宋"/>
          <w:b/>
          <w:bCs/>
          <w:sz w:val="32"/>
          <w:szCs w:val="32"/>
        </w:rPr>
        <w:t>卫生健康支出</w:t>
      </w:r>
      <w:r>
        <w:rPr>
          <w:rFonts w:ascii="仿宋" w:hAnsi="仿宋" w:eastAsia="仿宋"/>
          <w:sz w:val="32"/>
          <w:szCs w:val="32"/>
        </w:rPr>
        <w:t>169.94</w:t>
      </w:r>
      <w:r>
        <w:rPr>
          <w:rFonts w:hint="eastAsia" w:ascii="仿宋" w:hAnsi="仿宋" w:eastAsia="仿宋"/>
          <w:sz w:val="32"/>
          <w:szCs w:val="32"/>
        </w:rPr>
        <w:t>万元，占</w:t>
      </w:r>
      <w:r>
        <w:rPr>
          <w:rFonts w:ascii="仿宋" w:hAnsi="仿宋" w:eastAsia="仿宋"/>
          <w:sz w:val="32"/>
          <w:szCs w:val="32"/>
        </w:rPr>
        <w:t>4.</w:t>
      </w:r>
      <w:r>
        <w:rPr>
          <w:rFonts w:hint="eastAsia" w:ascii="仿宋" w:hAnsi="仿宋" w:eastAsia="仿宋"/>
          <w:sz w:val="32"/>
          <w:szCs w:val="32"/>
          <w:lang w:val="en-US" w:eastAsia="zh-CN"/>
        </w:rPr>
        <w:t>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交通运输支出</w:t>
      </w:r>
      <w:r>
        <w:rPr>
          <w:rFonts w:ascii="仿宋" w:hAnsi="仿宋" w:eastAsia="仿宋"/>
          <w:sz w:val="32"/>
          <w:szCs w:val="32"/>
        </w:rPr>
        <w:t>3547</w:t>
      </w:r>
      <w:r>
        <w:rPr>
          <w:rFonts w:hint="eastAsia" w:ascii="仿宋" w:hAnsi="仿宋" w:eastAsia="仿宋"/>
          <w:sz w:val="32"/>
          <w:szCs w:val="32"/>
        </w:rPr>
        <w:t>万元，占</w:t>
      </w:r>
      <w:r>
        <w:rPr>
          <w:rFonts w:ascii="仿宋" w:hAnsi="仿宋" w:eastAsia="仿宋"/>
          <w:sz w:val="32"/>
          <w:szCs w:val="32"/>
        </w:rPr>
        <w:t>84.6%</w:t>
      </w:r>
      <w:r>
        <w:rPr>
          <w:rFonts w:hint="eastAsia" w:ascii="仿宋" w:hAnsi="仿宋" w:eastAsia="仿宋"/>
          <w:sz w:val="32"/>
          <w:szCs w:val="32"/>
        </w:rPr>
        <w:t>；</w:t>
      </w:r>
      <w:r>
        <w:rPr>
          <w:rFonts w:hint="eastAsia" w:ascii="仿宋" w:hAnsi="仿宋" w:eastAsia="仿宋"/>
          <w:b/>
          <w:bCs/>
          <w:sz w:val="32"/>
          <w:szCs w:val="32"/>
        </w:rPr>
        <w:t>住房保障支出</w:t>
      </w:r>
      <w:r>
        <w:rPr>
          <w:rFonts w:ascii="仿宋" w:hAnsi="仿宋" w:eastAsia="仿宋"/>
          <w:sz w:val="32"/>
          <w:szCs w:val="32"/>
        </w:rPr>
        <w:t>172.15</w:t>
      </w:r>
      <w:r>
        <w:rPr>
          <w:rFonts w:hint="eastAsia" w:ascii="仿宋" w:hAnsi="仿宋" w:eastAsia="仿宋"/>
          <w:sz w:val="32"/>
          <w:szCs w:val="32"/>
        </w:rPr>
        <w:t>万元，占</w:t>
      </w:r>
      <w:r>
        <w:rPr>
          <w:rFonts w:ascii="仿宋" w:hAnsi="仿宋" w:eastAsia="仿宋"/>
          <w:sz w:val="32"/>
          <w:szCs w:val="32"/>
        </w:rPr>
        <w:t>4.1%</w:t>
      </w:r>
      <w:r>
        <w:rPr>
          <w:rFonts w:hint="eastAsia" w:ascii="仿宋" w:hAnsi="仿宋" w:eastAsia="仿宋"/>
          <w:sz w:val="32"/>
          <w:szCs w:val="32"/>
        </w:rPr>
        <w:t>。</w:t>
      </w:r>
    </w:p>
    <w:p w14:paraId="4A7E2630">
      <w:pPr>
        <w:spacing w:line="600" w:lineRule="exact"/>
        <w:jc w:val="center"/>
        <w:rPr>
          <w:rFonts w:hint="eastAsia" w:ascii="仿宋" w:hAnsi="仿宋" w:eastAsia="仿宋"/>
          <w:sz w:val="32"/>
          <w:szCs w:val="32"/>
        </w:rPr>
      </w:pPr>
      <w:r>
        <w:rPr>
          <w:rFonts w:hint="eastAsia" w:ascii="仿宋" w:hAnsi="仿宋" w:eastAsia="仿宋"/>
          <w:b/>
          <w:sz w:val="32"/>
          <w:szCs w:val="32"/>
        </w:rPr>
        <w:br w:type="column"/>
      </w:r>
      <w:r>
        <w:drawing>
          <wp:anchor distT="0" distB="0" distL="114300" distR="114300" simplePos="0" relativeHeight="251663360" behindDoc="0" locked="0" layoutInCell="1" allowOverlap="1">
            <wp:simplePos x="0" y="0"/>
            <wp:positionH relativeFrom="column">
              <wp:posOffset>-9525</wp:posOffset>
            </wp:positionH>
            <wp:positionV relativeFrom="paragraph">
              <wp:posOffset>194945</wp:posOffset>
            </wp:positionV>
            <wp:extent cx="5229225" cy="3067050"/>
            <wp:effectExtent l="0" t="0" r="9525" b="0"/>
            <wp:wrapThrough wrapText="bothSides">
              <wp:wrapPolygon>
                <wp:start x="0" y="0"/>
                <wp:lineTo x="0" y="21466"/>
                <wp:lineTo x="21561" y="21466"/>
                <wp:lineTo x="21561" y="0"/>
                <wp:lineTo x="0" y="0"/>
              </wp:wrapPolygon>
            </wp:wrapThrough>
            <wp:docPr id="145766131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sz w:val="32"/>
          <w:szCs w:val="32"/>
        </w:rPr>
        <w:t>（图6：一般公共预算财政拨款支出决算结构）</w:t>
      </w:r>
    </w:p>
    <w:p w14:paraId="648BCAE3">
      <w:pPr>
        <w:spacing w:line="600" w:lineRule="exact"/>
        <w:ind w:firstLine="640" w:firstLineChars="200"/>
        <w:rPr>
          <w:rFonts w:hint="eastAsia" w:ascii="仿宋" w:hAnsi="仿宋" w:eastAsia="仿宋"/>
          <w:sz w:val="32"/>
          <w:szCs w:val="32"/>
        </w:rPr>
      </w:pPr>
    </w:p>
    <w:p w14:paraId="61F3634B">
      <w:pPr>
        <w:spacing w:line="600" w:lineRule="exact"/>
        <w:ind w:firstLine="643" w:firstLineChars="200"/>
        <w:outlineLvl w:val="2"/>
        <w:rPr>
          <w:rFonts w:hint="eastAsia" w:ascii="仿宋" w:hAnsi="仿宋" w:eastAsia="仿宋"/>
          <w:b/>
          <w:sz w:val="32"/>
          <w:szCs w:val="32"/>
        </w:rPr>
      </w:pPr>
      <w:bookmarkStart w:id="13" w:name="_Toc176437455"/>
      <w:bookmarkStart w:id="14" w:name="_Toc176437680"/>
      <w:r>
        <w:rPr>
          <w:rFonts w:hint="eastAsia" w:ascii="仿宋" w:hAnsi="仿宋" w:eastAsia="仿宋"/>
          <w:b/>
          <w:sz w:val="32"/>
          <w:szCs w:val="32"/>
        </w:rPr>
        <w:t>（三）一般公共预算财政拨款支出决算具体情况</w:t>
      </w:r>
      <w:bookmarkEnd w:id="13"/>
      <w:bookmarkEnd w:id="14"/>
    </w:p>
    <w:p w14:paraId="5135259D">
      <w:pPr>
        <w:spacing w:line="600" w:lineRule="exact"/>
        <w:ind w:firstLine="643" w:firstLineChars="200"/>
        <w:rPr>
          <w:rFonts w:hint="eastAsia" w:ascii="仿宋" w:hAnsi="仿宋" w:eastAsia="仿宋"/>
          <w:sz w:val="32"/>
          <w:szCs w:val="32"/>
        </w:rPr>
      </w:pPr>
      <w:r>
        <w:rPr>
          <w:rFonts w:hint="eastAsia" w:ascii="仿宋" w:hAnsi="仿宋" w:eastAsia="仿宋"/>
          <w:b/>
          <w:sz w:val="32"/>
          <w:szCs w:val="32"/>
        </w:rPr>
        <w:t>2023年度一般公共预算支出决算数为</w:t>
      </w:r>
      <w:r>
        <w:rPr>
          <w:rFonts w:ascii="仿宋" w:hAnsi="仿宋" w:eastAsia="仿宋"/>
          <w:b/>
          <w:sz w:val="32"/>
          <w:szCs w:val="32"/>
        </w:rPr>
        <w:t>4190.7</w:t>
      </w:r>
      <w:r>
        <w:rPr>
          <w:rFonts w:hint="eastAsia" w:ascii="仿宋" w:hAnsi="仿宋" w:eastAsia="仿宋"/>
          <w:b/>
          <w:sz w:val="32"/>
          <w:szCs w:val="32"/>
        </w:rPr>
        <w:t>万元</w:t>
      </w:r>
      <w:r>
        <w:rPr>
          <w:rFonts w:hint="eastAsia" w:ascii="仿宋" w:hAnsi="仿宋" w:eastAsia="仿宋"/>
          <w:bCs/>
          <w:sz w:val="32"/>
          <w:szCs w:val="32"/>
        </w:rPr>
        <w:t>，</w:t>
      </w:r>
      <w:r>
        <w:rPr>
          <w:rStyle w:val="15"/>
          <w:rFonts w:hint="eastAsia" w:ascii="仿宋" w:hAnsi="仿宋" w:eastAsia="仿宋"/>
          <w:bCs/>
          <w:sz w:val="32"/>
          <w:szCs w:val="32"/>
        </w:rPr>
        <w:t>完成预算100%。其中：</w:t>
      </w:r>
    </w:p>
    <w:p w14:paraId="7EF0CB0D">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1.</w:t>
      </w:r>
      <w:r>
        <w:rPr>
          <w:rStyle w:val="15"/>
          <w:rFonts w:hint="eastAsia" w:ascii="仿宋" w:hAnsi="仿宋" w:eastAsia="仿宋"/>
          <w:bCs/>
          <w:sz w:val="32"/>
          <w:szCs w:val="32"/>
        </w:rPr>
        <w:t>社会保障和就业支出（类）行政事业单位养老支出（款）机关事业单位基本养老保险缴费支出（项）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201.08</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76AABBD0">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2.</w:t>
      </w:r>
      <w:r>
        <w:rPr>
          <w:rStyle w:val="15"/>
          <w:rFonts w:hint="eastAsia" w:ascii="仿宋" w:hAnsi="仿宋" w:eastAsia="仿宋"/>
          <w:bCs/>
          <w:sz w:val="32"/>
          <w:szCs w:val="32"/>
        </w:rPr>
        <w:t>社会保障和就业支出（类）行政事业单位养老支出（款）机关事业单位职业年金缴费支出（项）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100.54</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0EF411C7">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3.</w:t>
      </w:r>
      <w:r>
        <w:rPr>
          <w:rStyle w:val="15"/>
          <w:rFonts w:hint="eastAsia" w:ascii="仿宋" w:hAnsi="仿宋" w:eastAsia="仿宋"/>
          <w:bCs/>
          <w:sz w:val="32"/>
          <w:szCs w:val="32"/>
        </w:rPr>
        <w:t>卫生健康支出（类）行政事业单位医疗（款）事业单位医疗（项）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88.16</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445AB278">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4.</w:t>
      </w:r>
      <w:r>
        <w:rPr>
          <w:rStyle w:val="15"/>
          <w:rFonts w:hint="eastAsia" w:ascii="仿宋" w:hAnsi="仿宋" w:eastAsia="仿宋"/>
          <w:bCs/>
          <w:sz w:val="32"/>
          <w:szCs w:val="32"/>
        </w:rPr>
        <w:t>卫生健康支出（类）行政事业单位医疗（款）其他行政事业单位医疗支出（项）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ascii="仿宋" w:hAnsi="仿宋" w:eastAsia="仿宋"/>
          <w:b w:val="0"/>
          <w:bCs/>
          <w:sz w:val="32"/>
          <w:szCs w:val="32"/>
        </w:rPr>
        <w:t>81.78</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667D81C1">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5.</w:t>
      </w:r>
      <w:r>
        <w:rPr>
          <w:rStyle w:val="15"/>
          <w:rFonts w:hint="eastAsia" w:ascii="仿宋" w:hAnsi="仿宋" w:eastAsia="仿宋"/>
          <w:bCs/>
          <w:sz w:val="32"/>
          <w:szCs w:val="32"/>
        </w:rPr>
        <w:t>交通运输支出（类）公路水路运输（款）公路养护（项）</w:t>
      </w:r>
      <w:r>
        <w:rPr>
          <w:rStyle w:val="15"/>
          <w:rFonts w:ascii="仿宋" w:hAnsi="仿宋" w:eastAsia="仿宋"/>
          <w:bCs/>
          <w:sz w:val="32"/>
          <w:szCs w:val="32"/>
        </w:rPr>
        <w:t>:</w:t>
      </w:r>
      <w:r>
        <w:rPr>
          <w:rStyle w:val="15"/>
          <w:rFonts w:ascii="仿宋" w:hAnsi="仿宋" w:eastAsia="仿宋"/>
          <w:b w:val="0"/>
          <w:bCs/>
          <w:sz w:val="32"/>
          <w:szCs w:val="32"/>
        </w:rPr>
        <w:t xml:space="preserve"> </w:t>
      </w:r>
      <w:r>
        <w:rPr>
          <w:rStyle w:val="15"/>
          <w:rFonts w:hint="eastAsia" w:ascii="仿宋" w:hAnsi="仿宋" w:eastAsia="仿宋"/>
          <w:b w:val="0"/>
          <w:bCs/>
          <w:sz w:val="32"/>
          <w:szCs w:val="32"/>
        </w:rPr>
        <w:t>支出决算为</w:t>
      </w:r>
      <w:r>
        <w:rPr>
          <w:rStyle w:val="15"/>
          <w:rFonts w:ascii="仿宋" w:hAnsi="仿宋" w:eastAsia="仿宋"/>
          <w:b w:val="0"/>
          <w:bCs/>
          <w:sz w:val="32"/>
          <w:szCs w:val="32"/>
        </w:rPr>
        <w:t>3362.66</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77E7B2FC">
      <w:pPr>
        <w:spacing w:line="600" w:lineRule="exact"/>
        <w:ind w:firstLine="643" w:firstLineChars="200"/>
        <w:rPr>
          <w:rFonts w:hint="eastAsia" w:ascii="仿宋" w:hAnsi="仿宋" w:eastAsia="仿宋"/>
          <w:b/>
          <w:sz w:val="32"/>
          <w:szCs w:val="32"/>
        </w:rPr>
      </w:pPr>
      <w:r>
        <w:rPr>
          <w:rStyle w:val="15"/>
          <w:rFonts w:ascii="仿宋" w:hAnsi="仿宋" w:eastAsia="仿宋"/>
          <w:bCs/>
          <w:sz w:val="32"/>
          <w:szCs w:val="32"/>
        </w:rPr>
        <w:t>6.</w:t>
      </w:r>
      <w:r>
        <w:rPr>
          <w:rStyle w:val="15"/>
          <w:rFonts w:hint="eastAsia" w:ascii="仿宋" w:hAnsi="仿宋" w:eastAsia="仿宋"/>
          <w:bCs/>
          <w:sz w:val="32"/>
          <w:szCs w:val="32"/>
        </w:rPr>
        <w:t>交通运输支出（类）公路水路运输（款）其他公路水路运输支出（项）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ascii="仿宋" w:hAnsi="仿宋" w:eastAsia="仿宋"/>
          <w:b w:val="0"/>
          <w:bCs/>
          <w:sz w:val="32"/>
          <w:szCs w:val="32"/>
        </w:rPr>
        <w:t>184.34</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054FB8CD">
      <w:pPr>
        <w:spacing w:line="600" w:lineRule="exact"/>
        <w:ind w:firstLine="643" w:firstLineChars="200"/>
        <w:rPr>
          <w:rStyle w:val="15"/>
          <w:rFonts w:hint="eastAsia" w:ascii="仿宋" w:hAnsi="仿宋" w:eastAsia="仿宋"/>
          <w:b w:val="0"/>
          <w:bCs/>
          <w:sz w:val="32"/>
          <w:szCs w:val="32"/>
        </w:rPr>
      </w:pPr>
      <w:r>
        <w:rPr>
          <w:rStyle w:val="15"/>
          <w:rFonts w:hint="eastAsia" w:ascii="仿宋" w:hAnsi="仿宋" w:eastAsia="仿宋"/>
          <w:bCs/>
          <w:sz w:val="32"/>
          <w:szCs w:val="32"/>
        </w:rPr>
        <w:t>7.住房保障支出（类）住房改革支出（款）住房公积金（项）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ascii="仿宋" w:hAnsi="仿宋" w:eastAsia="仿宋"/>
          <w:b w:val="0"/>
          <w:bCs/>
          <w:sz w:val="32"/>
          <w:szCs w:val="32"/>
        </w:rPr>
        <w:t>162.95</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0ECA60A4">
      <w:pPr>
        <w:spacing w:line="600" w:lineRule="exact"/>
        <w:ind w:firstLine="643" w:firstLineChars="200"/>
        <w:rPr>
          <w:rFonts w:hint="eastAsia" w:ascii="仿宋" w:hAnsi="仿宋" w:eastAsia="仿宋"/>
          <w:sz w:val="32"/>
          <w:szCs w:val="32"/>
        </w:rPr>
      </w:pPr>
      <w:r>
        <w:rPr>
          <w:rStyle w:val="15"/>
          <w:rFonts w:hint="eastAsia" w:ascii="仿宋" w:hAnsi="仿宋" w:eastAsia="仿宋"/>
          <w:bCs/>
          <w:sz w:val="32"/>
          <w:szCs w:val="32"/>
        </w:rPr>
        <w:t>8.住房保障支出（类）住房改革支出（款）购房补贴（项）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ascii="仿宋" w:hAnsi="仿宋" w:eastAsia="仿宋"/>
          <w:b w:val="0"/>
          <w:bCs/>
          <w:sz w:val="32"/>
          <w:szCs w:val="32"/>
        </w:rPr>
        <w:t>9.2</w:t>
      </w:r>
      <w:r>
        <w:rPr>
          <w:rStyle w:val="15"/>
          <w:rFonts w:hint="eastAsia" w:ascii="仿宋" w:hAnsi="仿宋" w:eastAsia="仿宋"/>
          <w:b w:val="0"/>
          <w:bCs/>
          <w:sz w:val="32"/>
          <w:szCs w:val="32"/>
        </w:rPr>
        <w:t>万元，完成预算100%</w:t>
      </w:r>
      <w:r>
        <w:rPr>
          <w:rStyle w:val="15"/>
          <w:rFonts w:hint="eastAsia" w:ascii="仿宋" w:hAnsi="仿宋" w:eastAsia="仿宋"/>
          <w:b w:val="0"/>
          <w:bCs/>
          <w:sz w:val="32"/>
          <w:szCs w:val="32"/>
          <w:lang w:eastAsia="zh-CN"/>
        </w:rPr>
        <w:t>，</w:t>
      </w:r>
      <w:r>
        <w:rPr>
          <w:rStyle w:val="15"/>
          <w:rFonts w:hint="eastAsia" w:ascii="仿宋" w:hAnsi="仿宋" w:eastAsia="仿宋"/>
          <w:b w:val="0"/>
          <w:bCs/>
          <w:color w:val="auto"/>
          <w:sz w:val="32"/>
          <w:szCs w:val="32"/>
          <w:highlight w:val="none"/>
        </w:rPr>
        <w:t>决算数等于预算数</w:t>
      </w:r>
      <w:r>
        <w:rPr>
          <w:rStyle w:val="15"/>
          <w:rFonts w:hint="eastAsia" w:ascii="仿宋" w:hAnsi="仿宋" w:eastAsia="仿宋"/>
          <w:b w:val="0"/>
          <w:bCs/>
          <w:sz w:val="32"/>
          <w:szCs w:val="32"/>
        </w:rPr>
        <w:t>。</w:t>
      </w:r>
    </w:p>
    <w:p w14:paraId="25E915C2">
      <w:pPr>
        <w:spacing w:line="600" w:lineRule="exact"/>
        <w:ind w:firstLine="640"/>
        <w:rPr>
          <w:rFonts w:hint="eastAsia" w:ascii="仿宋" w:hAnsi="仿宋" w:eastAsia="仿宋"/>
          <w:b/>
          <w:sz w:val="32"/>
          <w:szCs w:val="32"/>
        </w:rPr>
      </w:pPr>
    </w:p>
    <w:p w14:paraId="79F48CDD">
      <w:pPr>
        <w:tabs>
          <w:tab w:val="right" w:pos="8306"/>
        </w:tabs>
        <w:spacing w:line="600" w:lineRule="exact"/>
        <w:ind w:firstLine="640"/>
        <w:outlineLvl w:val="1"/>
        <w:rPr>
          <w:rStyle w:val="18"/>
        </w:rPr>
      </w:pPr>
      <w:bookmarkStart w:id="15" w:name="_Toc176437681"/>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18"/>
          <w:rFonts w:hint="eastAsia" w:ascii="黑体" w:hAnsi="黑体" w:eastAsia="黑体"/>
          <w:b w:val="0"/>
        </w:rPr>
        <w:t>般公共预算财政拨款基本支出决算情况说明</w:t>
      </w:r>
      <w:bookmarkEnd w:id="15"/>
      <w:r>
        <w:rPr>
          <w:rStyle w:val="18"/>
          <w:rFonts w:ascii="黑体" w:hAnsi="黑体" w:eastAsia="黑体"/>
          <w:b w:val="0"/>
        </w:rPr>
        <w:tab/>
      </w:r>
    </w:p>
    <w:p w14:paraId="35CCEEE0">
      <w:pPr>
        <w:spacing w:line="600" w:lineRule="exact"/>
        <w:ind w:firstLine="645"/>
        <w:rPr>
          <w:rFonts w:hint="eastAsia"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sz w:val="32"/>
          <w:szCs w:val="32"/>
        </w:rPr>
        <w:t>3,450.12</w:t>
      </w:r>
      <w:r>
        <w:rPr>
          <w:rFonts w:hint="eastAsia" w:ascii="仿宋" w:hAnsi="仿宋" w:eastAsia="仿宋"/>
          <w:sz w:val="32"/>
          <w:szCs w:val="32"/>
        </w:rPr>
        <w:t>万元，其中：</w:t>
      </w:r>
    </w:p>
    <w:p w14:paraId="11F4D321">
      <w:pPr>
        <w:spacing w:line="600" w:lineRule="exact"/>
        <w:ind w:firstLine="645"/>
        <w:rPr>
          <w:rFonts w:hint="eastAsia" w:ascii="仿宋" w:hAnsi="仿宋" w:eastAsia="仿宋"/>
          <w:sz w:val="32"/>
          <w:szCs w:val="32"/>
        </w:rPr>
      </w:pPr>
      <w:r>
        <w:rPr>
          <w:rFonts w:hint="eastAsia" w:ascii="仿宋" w:hAnsi="仿宋" w:eastAsia="仿宋"/>
          <w:sz w:val="32"/>
          <w:szCs w:val="32"/>
        </w:rPr>
        <w:t>人员经费</w:t>
      </w:r>
      <w:r>
        <w:rPr>
          <w:rFonts w:ascii="仿宋" w:hAnsi="仿宋" w:eastAsia="仿宋"/>
          <w:sz w:val="32"/>
          <w:szCs w:val="32"/>
        </w:rPr>
        <w:t>3,210.89</w:t>
      </w:r>
      <w:r>
        <w:rPr>
          <w:rFonts w:hint="eastAsia" w:ascii="仿宋" w:hAnsi="仿宋" w:eastAsia="仿宋"/>
          <w:sz w:val="32"/>
          <w:szCs w:val="32"/>
        </w:rPr>
        <w:t>万元，主要包括：基本工资、津贴补贴、奖金、绩效工资、机关事业单位基本养老保险缴费、职业年金缴费、职工基本医疗保险缴费、其他社会保障缴费、住房公积金、其他工资福利支出、离休费、抚恤金、生活补助、奖励金等。</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sz w:val="32"/>
          <w:szCs w:val="32"/>
        </w:rPr>
        <w:t>239.23</w:t>
      </w:r>
      <w:r>
        <w:rPr>
          <w:rFonts w:hint="eastAsia" w:ascii="仿宋" w:hAnsi="仿宋" w:eastAsia="仿宋"/>
          <w:sz w:val="32"/>
          <w:szCs w:val="32"/>
        </w:rPr>
        <w:t>万元，主要包括：办公费、咨询费、水费、电费、邮电费、物业管理费、差旅费、维修（护）费、租赁费、培训费、公务接待费、专用材料费、专用燃料费、劳务费、福利费、公务用车运行维护费、其他交通费、其他商品和服务支出、基础设施建设等。</w:t>
      </w:r>
    </w:p>
    <w:p w14:paraId="58B2389D">
      <w:pPr>
        <w:spacing w:line="600" w:lineRule="exact"/>
        <w:ind w:firstLine="640"/>
        <w:rPr>
          <w:rFonts w:hint="eastAsia" w:ascii="仿宋" w:hAnsi="仿宋" w:eastAsia="仿宋"/>
          <w:b/>
          <w:sz w:val="32"/>
          <w:szCs w:val="32"/>
        </w:rPr>
      </w:pPr>
    </w:p>
    <w:p w14:paraId="4832B3A1">
      <w:pPr>
        <w:spacing w:line="600" w:lineRule="exact"/>
        <w:ind w:firstLine="640"/>
        <w:outlineLvl w:val="1"/>
        <w:rPr>
          <w:rStyle w:val="18"/>
          <w:rFonts w:hint="eastAsia" w:ascii="黑体" w:hAnsi="黑体" w:eastAsia="黑体"/>
          <w:b w:val="0"/>
        </w:rPr>
      </w:pPr>
      <w:bookmarkStart w:id="16" w:name="_Toc176437682"/>
      <w:r>
        <w:rPr>
          <w:rFonts w:hint="eastAsia" w:ascii="黑体" w:eastAsia="黑体"/>
          <w:sz w:val="32"/>
          <w:szCs w:val="32"/>
        </w:rPr>
        <w:t>七、</w:t>
      </w:r>
      <w:r>
        <w:rPr>
          <w:rStyle w:val="18"/>
          <w:rFonts w:hint="eastAsia" w:ascii="黑体" w:hAnsi="黑体" w:eastAsia="黑体"/>
          <w:b w:val="0"/>
        </w:rPr>
        <w:t>财政拨款</w:t>
      </w:r>
      <w:r>
        <w:rPr>
          <w:rStyle w:val="18"/>
          <w:rFonts w:hint="eastAsia" w:ascii="黑体" w:hAnsi="黑体" w:eastAsia="黑体"/>
        </w:rPr>
        <w:t>“</w:t>
      </w:r>
      <w:r>
        <w:rPr>
          <w:rStyle w:val="18"/>
          <w:rFonts w:hint="eastAsia" w:ascii="黑体" w:hAnsi="黑体" w:eastAsia="黑体"/>
          <w:b w:val="0"/>
        </w:rPr>
        <w:t>三公”经费支出决算情况说明</w:t>
      </w:r>
      <w:bookmarkEnd w:id="16"/>
    </w:p>
    <w:p w14:paraId="5C220419">
      <w:pPr>
        <w:spacing w:line="600" w:lineRule="exact"/>
        <w:ind w:firstLine="640"/>
        <w:outlineLvl w:val="2"/>
        <w:rPr>
          <w:rFonts w:hint="eastAsia" w:ascii="仿宋" w:hAnsi="仿宋" w:eastAsia="仿宋"/>
          <w:b/>
          <w:sz w:val="32"/>
          <w:szCs w:val="32"/>
        </w:rPr>
      </w:pPr>
      <w:bookmarkStart w:id="17" w:name="_Toc176437683"/>
      <w:bookmarkStart w:id="18" w:name="_Toc176437458"/>
      <w:r>
        <w:rPr>
          <w:rFonts w:hint="eastAsia" w:ascii="仿宋" w:hAnsi="仿宋" w:eastAsia="仿宋"/>
          <w:b/>
          <w:sz w:val="32"/>
          <w:szCs w:val="32"/>
        </w:rPr>
        <w:t>（一）“三公”经费财政拨款支出决算总体情况说明</w:t>
      </w:r>
      <w:bookmarkEnd w:id="17"/>
      <w:bookmarkEnd w:id="18"/>
    </w:p>
    <w:p w14:paraId="595BE9C8">
      <w:pPr>
        <w:spacing w:line="600" w:lineRule="exact"/>
        <w:ind w:firstLine="640"/>
        <w:rPr>
          <w:rFonts w:hint="eastAsia" w:ascii="仿宋" w:hAnsi="仿宋" w:eastAsia="仿宋"/>
          <w:b/>
          <w:sz w:val="32"/>
          <w:szCs w:val="32"/>
        </w:rPr>
      </w:pPr>
      <w:r>
        <w:rPr>
          <w:rFonts w:hint="eastAsia" w:ascii="仿宋" w:hAnsi="仿宋" w:eastAsia="仿宋"/>
          <w:sz w:val="32"/>
          <w:szCs w:val="32"/>
        </w:rPr>
        <w:t>2023年度“三公”经费财政拨款支出决算为</w:t>
      </w:r>
      <w:r>
        <w:rPr>
          <w:rFonts w:ascii="仿宋" w:hAnsi="仿宋" w:eastAsia="仿宋"/>
          <w:sz w:val="32"/>
          <w:szCs w:val="32"/>
        </w:rPr>
        <w:t>20.1</w:t>
      </w:r>
      <w:r>
        <w:rPr>
          <w:rFonts w:hint="eastAsia" w:ascii="仿宋" w:hAnsi="仿宋" w:eastAsia="仿宋"/>
          <w:sz w:val="32"/>
          <w:szCs w:val="32"/>
        </w:rPr>
        <w:t>万元，完成预算</w:t>
      </w:r>
      <w:r>
        <w:rPr>
          <w:rFonts w:ascii="仿宋" w:hAnsi="仿宋" w:eastAsia="仿宋"/>
          <w:sz w:val="32"/>
          <w:szCs w:val="32"/>
        </w:rPr>
        <w:t>82%</w:t>
      </w:r>
      <w:r>
        <w:rPr>
          <w:rFonts w:hint="eastAsia" w:ascii="仿宋" w:hAnsi="仿宋" w:eastAsia="仿宋"/>
          <w:sz w:val="32"/>
          <w:szCs w:val="32"/>
        </w:rPr>
        <w:t>，较上年度减少</w:t>
      </w:r>
      <w:r>
        <w:rPr>
          <w:rFonts w:ascii="仿宋" w:hAnsi="仿宋" w:eastAsia="仿宋"/>
          <w:sz w:val="32"/>
          <w:szCs w:val="32"/>
        </w:rPr>
        <w:t>3.79</w:t>
      </w:r>
      <w:r>
        <w:rPr>
          <w:rFonts w:hint="eastAsia" w:ascii="仿宋" w:hAnsi="仿宋" w:eastAsia="仿宋"/>
          <w:sz w:val="32"/>
          <w:szCs w:val="32"/>
        </w:rPr>
        <w:t>万元，下降</w:t>
      </w:r>
      <w:r>
        <w:rPr>
          <w:rFonts w:ascii="仿宋" w:hAnsi="仿宋" w:eastAsia="仿宋"/>
          <w:sz w:val="32"/>
          <w:szCs w:val="32"/>
        </w:rPr>
        <w:t>15.</w:t>
      </w:r>
      <w:r>
        <w:rPr>
          <w:rFonts w:hint="eastAsia" w:ascii="仿宋" w:hAnsi="仿宋" w:eastAsia="仿宋"/>
          <w:sz w:val="32"/>
          <w:szCs w:val="32"/>
          <w:lang w:val="en-US" w:eastAsia="zh-CN"/>
        </w:rPr>
        <w:t>9</w:t>
      </w:r>
      <w:r>
        <w:rPr>
          <w:rFonts w:hint="eastAsia" w:ascii="仿宋" w:hAnsi="仿宋" w:eastAsia="仿宋"/>
          <w:sz w:val="32"/>
          <w:szCs w:val="32"/>
        </w:rPr>
        <w:t>%。决算数小于预算数的主要原因是本年度厉行节约，缩减三公经费支出。</w:t>
      </w:r>
    </w:p>
    <w:p w14:paraId="362479BE">
      <w:pPr>
        <w:spacing w:line="600" w:lineRule="exact"/>
        <w:ind w:firstLine="640"/>
        <w:outlineLvl w:val="2"/>
        <w:rPr>
          <w:rFonts w:hint="eastAsia" w:ascii="仿宋" w:hAnsi="仿宋" w:eastAsia="仿宋"/>
          <w:b/>
          <w:sz w:val="32"/>
          <w:szCs w:val="32"/>
        </w:rPr>
      </w:pPr>
      <w:bookmarkStart w:id="19" w:name="_Toc176437459"/>
      <w:bookmarkStart w:id="20" w:name="_Toc176437684"/>
      <w:r>
        <w:rPr>
          <w:rFonts w:hint="eastAsia" w:ascii="仿宋" w:hAnsi="仿宋" w:eastAsia="仿宋"/>
          <w:b/>
          <w:sz w:val="32"/>
          <w:szCs w:val="32"/>
        </w:rPr>
        <w:t>（二）“三公”经费财政拨款支出决算具体情况说明</w:t>
      </w:r>
      <w:bookmarkEnd w:id="19"/>
      <w:bookmarkEnd w:id="20"/>
    </w:p>
    <w:p w14:paraId="305F50EE">
      <w:pPr>
        <w:spacing w:line="600" w:lineRule="exact"/>
        <w:ind w:firstLine="640"/>
        <w:rPr>
          <w:rFonts w:hint="eastAsia" w:ascii="仿宋" w:hAnsi="仿宋" w:eastAsia="仿宋"/>
          <w:sz w:val="32"/>
          <w:szCs w:val="32"/>
        </w:rPr>
      </w:pPr>
      <w:r>
        <w:rPr>
          <w:rFonts w:hint="eastAsia" w:ascii="仿宋" w:hAnsi="仿宋" w:eastAsia="仿宋"/>
          <w:sz w:val="32"/>
          <w:szCs w:val="32"/>
        </w:rPr>
        <w:t>2023年度“三公”经费财政拨款支出决算中，因公出国（境）费支出决算0万元，占0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sz w:val="32"/>
          <w:szCs w:val="32"/>
        </w:rPr>
        <w:t>20</w:t>
      </w:r>
      <w:r>
        <w:rPr>
          <w:rFonts w:hint="eastAsia" w:ascii="仿宋" w:hAnsi="仿宋" w:eastAsia="仿宋"/>
          <w:sz w:val="32"/>
          <w:szCs w:val="32"/>
        </w:rPr>
        <w:t>万元，占</w:t>
      </w:r>
      <w:r>
        <w:rPr>
          <w:rFonts w:ascii="仿宋" w:hAnsi="仿宋" w:eastAsia="仿宋"/>
          <w:sz w:val="32"/>
          <w:szCs w:val="32"/>
        </w:rPr>
        <w:t>99.5%</w:t>
      </w:r>
      <w:r>
        <w:rPr>
          <w:rFonts w:hint="eastAsia" w:ascii="仿宋" w:hAnsi="仿宋" w:eastAsia="仿宋"/>
          <w:sz w:val="32"/>
          <w:szCs w:val="32"/>
        </w:rPr>
        <w:t>；公务接待费支出决算</w:t>
      </w:r>
      <w:r>
        <w:rPr>
          <w:rFonts w:ascii="仿宋" w:hAnsi="仿宋" w:eastAsia="仿宋"/>
          <w:sz w:val="32"/>
          <w:szCs w:val="32"/>
        </w:rPr>
        <w:t>0.1</w:t>
      </w:r>
      <w:r>
        <w:rPr>
          <w:rFonts w:hint="eastAsia" w:ascii="仿宋" w:hAnsi="仿宋" w:eastAsia="仿宋"/>
          <w:sz w:val="32"/>
          <w:szCs w:val="32"/>
        </w:rPr>
        <w:t>万元，占</w:t>
      </w:r>
      <w:r>
        <w:rPr>
          <w:rFonts w:ascii="仿宋" w:hAnsi="仿宋" w:eastAsia="仿宋"/>
          <w:sz w:val="32"/>
          <w:szCs w:val="32"/>
        </w:rPr>
        <w:t>0.5%</w:t>
      </w:r>
      <w:r>
        <w:rPr>
          <w:rFonts w:hint="eastAsia" w:ascii="仿宋" w:hAnsi="仿宋" w:eastAsia="仿宋"/>
          <w:sz w:val="32"/>
          <w:szCs w:val="32"/>
        </w:rPr>
        <w:t>。具体情况如下：</w:t>
      </w:r>
    </w:p>
    <w:p w14:paraId="6CE2A9CB">
      <w:pPr>
        <w:spacing w:line="600" w:lineRule="exact"/>
        <w:jc w:val="center"/>
        <w:rPr>
          <w:rFonts w:hint="eastAsia" w:ascii="仿宋" w:hAnsi="仿宋" w:eastAsia="仿宋"/>
          <w:sz w:val="32"/>
          <w:szCs w:val="32"/>
        </w:rPr>
      </w:pPr>
    </w:p>
    <w:p w14:paraId="7DFAF339">
      <w:pPr>
        <w:spacing w:line="600" w:lineRule="exact"/>
        <w:jc w:val="center"/>
        <w:rPr>
          <w:rFonts w:hint="eastAsia" w:ascii="仿宋" w:hAnsi="仿宋" w:eastAsia="仿宋"/>
          <w:sz w:val="32"/>
          <w:szCs w:val="32"/>
        </w:rPr>
      </w:pPr>
    </w:p>
    <w:p w14:paraId="38C0A129">
      <w:pPr>
        <w:spacing w:line="600" w:lineRule="exact"/>
        <w:jc w:val="center"/>
        <w:rPr>
          <w:rFonts w:hint="eastAsia" w:ascii="仿宋" w:hAnsi="仿宋" w:eastAsia="仿宋"/>
          <w:sz w:val="32"/>
          <w:szCs w:val="32"/>
        </w:rPr>
      </w:pPr>
    </w:p>
    <w:p w14:paraId="5A38BD37">
      <w:pPr>
        <w:spacing w:line="600" w:lineRule="exact"/>
        <w:jc w:val="center"/>
        <w:rPr>
          <w:rFonts w:hint="eastAsia" w:ascii="仿宋" w:hAnsi="仿宋" w:eastAsia="仿宋"/>
          <w:sz w:val="32"/>
          <w:szCs w:val="32"/>
        </w:rPr>
      </w:pPr>
    </w:p>
    <w:p w14:paraId="03A2AC09">
      <w:pPr>
        <w:spacing w:line="600" w:lineRule="exact"/>
        <w:jc w:val="center"/>
        <w:rPr>
          <w:rFonts w:hint="eastAsia" w:ascii="仿宋" w:hAnsi="仿宋" w:eastAsia="仿宋"/>
          <w:sz w:val="32"/>
          <w:szCs w:val="32"/>
        </w:rPr>
      </w:pPr>
    </w:p>
    <w:p w14:paraId="25A9E352">
      <w:pPr>
        <w:spacing w:line="600" w:lineRule="exact"/>
        <w:jc w:val="center"/>
      </w:pPr>
      <w:r>
        <w:rPr>
          <w:rFonts w:hint="eastAsia" w:ascii="仿宋" w:hAnsi="仿宋" w:eastAsia="仿宋"/>
          <w:sz w:val="32"/>
          <w:szCs w:val="32"/>
        </w:rPr>
        <w:t>（图7：“三公”经费财政拨款支出结构）</w:t>
      </w:r>
    </w:p>
    <w:p w14:paraId="5E673373">
      <w:pPr>
        <w:spacing w:line="600" w:lineRule="exact"/>
        <w:ind w:firstLine="640"/>
        <w:rPr>
          <w:rFonts w:ascii="仿宋_GB2312" w:eastAsia="仿宋_GB2312"/>
          <w:b/>
          <w:sz w:val="32"/>
          <w:szCs w:val="32"/>
        </w:rPr>
      </w:pPr>
      <w:r>
        <w:rPr>
          <w:rFonts w:hint="eastAsia" w:ascii="仿宋" w:hAnsi="仿宋" w:eastAsia="仿宋"/>
          <w:sz w:val="32"/>
          <w:szCs w:val="32"/>
          <w:lang w:val="zh-CN"/>
        </w:rPr>
        <w:drawing>
          <wp:anchor distT="0" distB="0" distL="114300" distR="114300" simplePos="0" relativeHeight="251662336" behindDoc="0" locked="0" layoutInCell="1" allowOverlap="1">
            <wp:simplePos x="0" y="0"/>
            <wp:positionH relativeFrom="column">
              <wp:posOffset>-17780</wp:posOffset>
            </wp:positionH>
            <wp:positionV relativeFrom="page">
              <wp:posOffset>0</wp:posOffset>
            </wp:positionV>
            <wp:extent cx="5274310" cy="3076575"/>
            <wp:effectExtent l="0" t="0" r="2540" b="9525"/>
            <wp:wrapTopAndBottom/>
            <wp:docPr id="1416973288"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rPr>
        <w:t>0万元，</w:t>
      </w:r>
      <w:r>
        <w:rPr>
          <w:rStyle w:val="15"/>
          <w:rFonts w:hint="eastAsia" w:ascii="仿宋" w:hAnsi="仿宋" w:eastAsia="仿宋"/>
          <w:b w:val="0"/>
          <w:bCs/>
          <w:sz w:val="32"/>
          <w:szCs w:val="32"/>
        </w:rPr>
        <w:t>完成预算0</w:t>
      </w:r>
      <w:r>
        <w:rPr>
          <w:rStyle w:val="15"/>
          <w:rFonts w:ascii="仿宋" w:hAnsi="仿宋" w:eastAsia="仿宋"/>
          <w:b w:val="0"/>
          <w:bCs/>
          <w:sz w:val="32"/>
          <w:szCs w:val="32"/>
        </w:rPr>
        <w:t>%</w:t>
      </w:r>
      <w:r>
        <w:rPr>
          <w:rStyle w:val="15"/>
          <w:rFonts w:hint="eastAsia" w:ascii="仿宋" w:hAnsi="仿宋" w:eastAsia="仿宋"/>
          <w:b w:val="0"/>
          <w:bCs/>
          <w:sz w:val="32"/>
          <w:szCs w:val="32"/>
        </w:rPr>
        <w:t>。</w:t>
      </w:r>
      <w:r>
        <w:rPr>
          <w:rFonts w:hint="eastAsia" w:ascii="仿宋_GB2312" w:eastAsia="仿宋_GB2312"/>
          <w:sz w:val="32"/>
          <w:szCs w:val="32"/>
        </w:rPr>
        <w:t>全年安排因公出国（境）团组0次，出国（境）0人。与2022年度决算数持平。</w:t>
      </w:r>
    </w:p>
    <w:p w14:paraId="382DB0C6">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_GB2312" w:eastAsia="仿宋_GB2312"/>
          <w:sz w:val="32"/>
          <w:szCs w:val="32"/>
        </w:rPr>
        <w:t>20</w:t>
      </w:r>
      <w:r>
        <w:rPr>
          <w:rFonts w:hint="eastAsia" w:ascii="仿宋_GB2312" w:eastAsia="仿宋_GB2312"/>
          <w:sz w:val="32"/>
          <w:szCs w:val="32"/>
        </w:rPr>
        <w:t>万元,</w:t>
      </w:r>
      <w:r>
        <w:rPr>
          <w:rStyle w:val="15"/>
          <w:rFonts w:hint="eastAsia" w:ascii="仿宋" w:hAnsi="仿宋" w:eastAsia="仿宋"/>
          <w:b w:val="0"/>
          <w:bCs/>
          <w:sz w:val="32"/>
          <w:szCs w:val="32"/>
        </w:rPr>
        <w:t>完成预算100%。</w:t>
      </w:r>
      <w:r>
        <w:rPr>
          <w:rFonts w:hint="eastAsia" w:ascii="仿宋_GB2312" w:eastAsia="仿宋_GB2312"/>
          <w:sz w:val="32"/>
          <w:szCs w:val="32"/>
        </w:rPr>
        <w:t>公务用车购置及运行维护费支出决算比2022年度减少3万元，下降</w:t>
      </w:r>
      <w:r>
        <w:rPr>
          <w:rFonts w:ascii="仿宋_GB2312" w:eastAsia="仿宋_GB2312"/>
          <w:sz w:val="32"/>
          <w:szCs w:val="32"/>
        </w:rPr>
        <w:t>13%</w:t>
      </w:r>
      <w:r>
        <w:rPr>
          <w:rFonts w:hint="eastAsia" w:ascii="仿宋_GB2312" w:eastAsia="仿宋_GB2312"/>
          <w:sz w:val="32"/>
          <w:szCs w:val="32"/>
        </w:rPr>
        <w:t>。主要原因是本年度厉行节约，缩减三公经费支出。</w:t>
      </w:r>
    </w:p>
    <w:p w14:paraId="4BE36848">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rPr>
        <w:t>0万元。全年按规定更新购置公务用车0辆，其中：轿车0辆、金额0万元，越野车0辆、金额0万元，载客汽车0辆、金额0万元。截至2023年</w:t>
      </w:r>
      <w:r>
        <w:rPr>
          <w:rFonts w:ascii="仿宋_GB2312" w:eastAsia="仿宋_GB2312"/>
          <w:sz w:val="32"/>
          <w:szCs w:val="32"/>
        </w:rPr>
        <w:t>12</w:t>
      </w:r>
      <w:r>
        <w:rPr>
          <w:rFonts w:hint="eastAsia" w:ascii="仿宋_GB2312" w:eastAsia="仿宋_GB2312"/>
          <w:sz w:val="32"/>
          <w:szCs w:val="32"/>
        </w:rPr>
        <w:t>月31日，单位共有公务用车8辆，其中：轿车3辆、越野车1辆、其他车型4辆。</w:t>
      </w:r>
    </w:p>
    <w:p w14:paraId="6E246F84">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ascii="仿宋_GB2312" w:eastAsia="仿宋_GB2312"/>
          <w:sz w:val="32"/>
          <w:szCs w:val="32"/>
        </w:rPr>
        <w:t>20</w:t>
      </w:r>
      <w:r>
        <w:rPr>
          <w:rFonts w:hint="eastAsia" w:ascii="仿宋_GB2312" w:eastAsia="仿宋_GB2312"/>
          <w:sz w:val="32"/>
          <w:szCs w:val="32"/>
        </w:rPr>
        <w:t>万元。主要用于公路养护等所需的公务用车燃料费、维修费、过路过桥费、保险费等支出。</w:t>
      </w:r>
    </w:p>
    <w:p w14:paraId="06D7013C">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_GB2312" w:eastAsia="仿宋_GB2312"/>
          <w:sz w:val="32"/>
          <w:szCs w:val="32"/>
        </w:rPr>
        <w:t>0.1</w:t>
      </w:r>
      <w:r>
        <w:rPr>
          <w:rFonts w:hint="eastAsia" w:ascii="仿宋_GB2312" w:eastAsia="仿宋_GB2312"/>
          <w:sz w:val="32"/>
          <w:szCs w:val="32"/>
        </w:rPr>
        <w:t>万元，</w:t>
      </w:r>
      <w:r>
        <w:rPr>
          <w:rStyle w:val="15"/>
          <w:rFonts w:hint="eastAsia" w:ascii="仿宋" w:hAnsi="仿宋" w:eastAsia="仿宋"/>
          <w:b w:val="0"/>
          <w:bCs/>
          <w:sz w:val="32"/>
          <w:szCs w:val="32"/>
        </w:rPr>
        <w:t>完成预算</w:t>
      </w:r>
      <w:r>
        <w:rPr>
          <w:rStyle w:val="15"/>
          <w:rFonts w:ascii="仿宋" w:hAnsi="仿宋" w:eastAsia="仿宋"/>
          <w:b w:val="0"/>
          <w:bCs/>
          <w:sz w:val="32"/>
          <w:szCs w:val="32"/>
        </w:rPr>
        <w:t>2.2</w:t>
      </w:r>
      <w:bookmarkStart w:id="48" w:name="_GoBack"/>
      <w:bookmarkEnd w:id="48"/>
      <w:r>
        <w:rPr>
          <w:rStyle w:val="15"/>
          <w:rFonts w:ascii="仿宋" w:hAnsi="仿宋" w:eastAsia="仿宋"/>
          <w:b w:val="0"/>
          <w:bCs/>
          <w:sz w:val="32"/>
          <w:szCs w:val="32"/>
        </w:rPr>
        <w:t>%</w:t>
      </w:r>
      <w:r>
        <w:rPr>
          <w:rStyle w:val="15"/>
          <w:rFonts w:hint="eastAsia" w:ascii="仿宋" w:hAnsi="仿宋" w:eastAsia="仿宋"/>
          <w:b w:val="0"/>
          <w:bCs/>
          <w:sz w:val="32"/>
          <w:szCs w:val="32"/>
        </w:rPr>
        <w:t>。</w:t>
      </w:r>
      <w:r>
        <w:rPr>
          <w:rFonts w:hint="eastAsia" w:ascii="仿宋_GB2312" w:eastAsia="仿宋_GB2312"/>
          <w:sz w:val="32"/>
          <w:szCs w:val="32"/>
        </w:rPr>
        <w:t>公务接待费支出决算比2022年度减少</w:t>
      </w:r>
      <w:r>
        <w:rPr>
          <w:rFonts w:ascii="仿宋_GB2312" w:eastAsia="仿宋_GB2312"/>
          <w:sz w:val="32"/>
          <w:szCs w:val="32"/>
        </w:rPr>
        <w:t>0.79</w:t>
      </w:r>
      <w:r>
        <w:rPr>
          <w:rFonts w:hint="eastAsia" w:ascii="仿宋_GB2312" w:eastAsia="仿宋_GB2312"/>
          <w:sz w:val="32"/>
          <w:szCs w:val="32"/>
        </w:rPr>
        <w:t>万元，减少</w:t>
      </w:r>
      <w:r>
        <w:rPr>
          <w:rFonts w:ascii="仿宋_GB2312" w:eastAsia="仿宋_GB2312"/>
          <w:sz w:val="32"/>
          <w:szCs w:val="32"/>
        </w:rPr>
        <w:t>88.7%</w:t>
      </w:r>
      <w:r>
        <w:rPr>
          <w:rFonts w:hint="eastAsia" w:ascii="仿宋_GB2312" w:eastAsia="仿宋_GB2312"/>
          <w:sz w:val="32"/>
          <w:szCs w:val="32"/>
        </w:rPr>
        <w:t>。主要原因是本年度厉行节约，缩减三公经费支出。其中：</w:t>
      </w:r>
    </w:p>
    <w:p w14:paraId="01570C07">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rPr>
        <w:t>0.1</w:t>
      </w:r>
      <w:r>
        <w:rPr>
          <w:rFonts w:hint="eastAsia" w:ascii="仿宋_GB2312" w:eastAsia="仿宋_GB2312"/>
          <w:sz w:val="32"/>
          <w:szCs w:val="32"/>
        </w:rPr>
        <w:t>万元，主要用于阿坝州公路管理局关于开展全州国省干线公路养护第二季度考核工作等。国内公务接待2批次，16人次（不包括陪同人员），共计支出0.1万元，具体内容包括：阿坝州公路管理局关于开展全州国省干线公路养护第二季度考核工作500元等。</w:t>
      </w:r>
    </w:p>
    <w:p w14:paraId="037528FC">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rPr>
        <w:t>0</w:t>
      </w:r>
      <w:r>
        <w:rPr>
          <w:rFonts w:hint="eastAsia" w:ascii="仿宋_GB2312" w:eastAsia="仿宋_GB2312"/>
          <w:sz w:val="32"/>
          <w:szCs w:val="32"/>
        </w:rPr>
        <w:t>万元。</w:t>
      </w:r>
    </w:p>
    <w:p w14:paraId="40B2071E">
      <w:pPr>
        <w:spacing w:line="600" w:lineRule="exact"/>
        <w:ind w:firstLine="641"/>
        <w:rPr>
          <w:rFonts w:ascii="黑体" w:eastAsia="黑体"/>
          <w:sz w:val="32"/>
          <w:szCs w:val="32"/>
        </w:rPr>
      </w:pPr>
    </w:p>
    <w:p w14:paraId="08C7D863">
      <w:pPr>
        <w:spacing w:line="600" w:lineRule="exact"/>
        <w:ind w:firstLine="640"/>
        <w:outlineLvl w:val="1"/>
        <w:rPr>
          <w:rStyle w:val="18"/>
          <w:rFonts w:hint="eastAsia" w:ascii="黑体" w:hAnsi="黑体" w:eastAsia="黑体"/>
        </w:rPr>
      </w:pPr>
      <w:bookmarkStart w:id="21" w:name="_Toc176437685"/>
      <w:r>
        <w:rPr>
          <w:rFonts w:hint="eastAsia" w:ascii="黑体" w:eastAsia="黑体"/>
          <w:sz w:val="32"/>
          <w:szCs w:val="32"/>
        </w:rPr>
        <w:t>八、</w:t>
      </w:r>
      <w:r>
        <w:rPr>
          <w:rStyle w:val="18"/>
          <w:rFonts w:hint="eastAsia" w:ascii="黑体" w:hAnsi="黑体" w:eastAsia="黑体"/>
          <w:b w:val="0"/>
        </w:rPr>
        <w:t>政府性基金预算支出决算情况说明</w:t>
      </w:r>
      <w:bookmarkEnd w:id="21"/>
    </w:p>
    <w:p w14:paraId="75C4F0F4">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2023年度政府性基金预算财政拨款支出0万元。</w:t>
      </w:r>
    </w:p>
    <w:p w14:paraId="1F5CBA2D">
      <w:pPr>
        <w:spacing w:line="600" w:lineRule="exact"/>
        <w:ind w:firstLine="640"/>
        <w:rPr>
          <w:rFonts w:ascii="仿宋_GB2312" w:eastAsia="仿宋_GB2312"/>
          <w:sz w:val="32"/>
          <w:szCs w:val="32"/>
        </w:rPr>
      </w:pPr>
    </w:p>
    <w:p w14:paraId="435F1BCD">
      <w:pPr>
        <w:spacing w:line="600" w:lineRule="exact"/>
        <w:ind w:firstLine="640" w:firstLineChars="200"/>
        <w:outlineLvl w:val="1"/>
        <w:rPr>
          <w:rStyle w:val="18"/>
          <w:rFonts w:hint="eastAsia" w:ascii="黑体" w:hAnsi="黑体" w:eastAsia="黑体"/>
          <w:b w:val="0"/>
        </w:rPr>
      </w:pPr>
      <w:bookmarkStart w:id="22" w:name="_Toc176437686"/>
      <w:r>
        <w:rPr>
          <w:rStyle w:val="18"/>
          <w:rFonts w:hint="eastAsia" w:ascii="黑体" w:hAnsi="黑体" w:eastAsia="黑体"/>
          <w:b w:val="0"/>
        </w:rPr>
        <w:t>九、国有资本经营预算支出决算情况说明</w:t>
      </w:r>
      <w:bookmarkEnd w:id="22"/>
    </w:p>
    <w:p w14:paraId="32BA5DF1">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2023年度国有资本经营预算财政拨款支出0万元。</w:t>
      </w:r>
    </w:p>
    <w:p w14:paraId="32B2B18E">
      <w:pPr>
        <w:spacing w:line="580" w:lineRule="exact"/>
        <w:ind w:firstLine="880" w:firstLineChars="200"/>
        <w:jc w:val="center"/>
        <w:rPr>
          <w:rFonts w:hint="eastAsia" w:ascii="方正小标宋简体" w:hAnsi="方正小标宋简体" w:eastAsia="方正小标宋简体" w:cs="方正小标宋简体"/>
          <w:sz w:val="44"/>
          <w:szCs w:val="44"/>
        </w:rPr>
      </w:pPr>
    </w:p>
    <w:p w14:paraId="0C52679C">
      <w:pPr>
        <w:spacing w:line="600" w:lineRule="exact"/>
        <w:ind w:firstLine="640" w:firstLineChars="200"/>
        <w:outlineLvl w:val="1"/>
        <w:rPr>
          <w:rStyle w:val="18"/>
          <w:rFonts w:hint="eastAsia" w:ascii="黑体" w:hAnsi="黑体" w:eastAsia="黑体"/>
          <w:b w:val="0"/>
        </w:rPr>
      </w:pPr>
      <w:bookmarkStart w:id="23" w:name="_Toc176437687"/>
      <w:r>
        <w:rPr>
          <w:rStyle w:val="18"/>
          <w:rFonts w:hint="eastAsia" w:ascii="黑体" w:hAnsi="黑体" w:eastAsia="黑体"/>
          <w:b w:val="0"/>
        </w:rPr>
        <w:t>十、其他重要事项的情况说明</w:t>
      </w:r>
      <w:bookmarkEnd w:id="23"/>
    </w:p>
    <w:p w14:paraId="505D890A">
      <w:pPr>
        <w:spacing w:line="600" w:lineRule="exact"/>
        <w:ind w:firstLine="643" w:firstLineChars="200"/>
        <w:outlineLvl w:val="2"/>
        <w:rPr>
          <w:rFonts w:hint="eastAsia" w:ascii="仿宋" w:hAnsi="仿宋" w:eastAsia="仿宋"/>
          <w:sz w:val="32"/>
          <w:szCs w:val="32"/>
        </w:rPr>
      </w:pPr>
      <w:bookmarkStart w:id="24" w:name="_Toc176437688"/>
      <w:bookmarkStart w:id="25" w:name="_Toc176437463"/>
      <w:r>
        <w:rPr>
          <w:rFonts w:hint="eastAsia" w:ascii="仿宋" w:hAnsi="仿宋" w:eastAsia="仿宋"/>
          <w:b/>
          <w:sz w:val="32"/>
          <w:szCs w:val="32"/>
        </w:rPr>
        <w:t>（一）机关运行经费支出情况</w:t>
      </w:r>
      <w:bookmarkEnd w:id="24"/>
      <w:bookmarkEnd w:id="25"/>
    </w:p>
    <w:p w14:paraId="6DC50946">
      <w:pPr>
        <w:spacing w:line="600" w:lineRule="exact"/>
        <w:ind w:firstLine="640" w:firstLineChars="200"/>
        <w:rPr>
          <w:rFonts w:hint="eastAsia" w:ascii="仿宋" w:hAnsi="仿宋" w:eastAsia="仿宋"/>
          <w:b/>
          <w:sz w:val="32"/>
          <w:szCs w:val="32"/>
        </w:rPr>
      </w:pPr>
      <w:r>
        <w:rPr>
          <w:rFonts w:hint="eastAsia" w:ascii="仿宋_GB2312" w:eastAsia="仿宋_GB2312"/>
          <w:sz w:val="32"/>
          <w:szCs w:val="32"/>
        </w:rPr>
        <w:t>2023年度，阿坝藏族羌族自治州公路管理局汶川公路管理分局机关运行经费支出0万元，与2022年度决算数持平。</w:t>
      </w:r>
    </w:p>
    <w:p w14:paraId="3B01C21C">
      <w:pPr>
        <w:autoSpaceDE w:val="0"/>
        <w:autoSpaceDN w:val="0"/>
        <w:adjustRightInd w:val="0"/>
        <w:spacing w:line="600" w:lineRule="exact"/>
        <w:ind w:firstLine="643" w:firstLineChars="200"/>
        <w:jc w:val="left"/>
        <w:outlineLvl w:val="2"/>
        <w:rPr>
          <w:rFonts w:hint="eastAsia" w:ascii="仿宋" w:hAnsi="仿宋" w:eastAsia="仿宋"/>
          <w:b/>
          <w:sz w:val="32"/>
          <w:szCs w:val="32"/>
        </w:rPr>
      </w:pPr>
      <w:bookmarkStart w:id="26" w:name="_Toc176437689"/>
      <w:bookmarkStart w:id="27" w:name="_Toc176437464"/>
      <w:r>
        <w:rPr>
          <w:rFonts w:hint="eastAsia" w:ascii="仿宋" w:hAnsi="仿宋" w:eastAsia="仿宋"/>
          <w:b/>
          <w:sz w:val="32"/>
          <w:szCs w:val="32"/>
        </w:rPr>
        <w:t>（二）政府采购支出情况</w:t>
      </w:r>
      <w:bookmarkEnd w:id="26"/>
      <w:bookmarkEnd w:id="27"/>
    </w:p>
    <w:p w14:paraId="4D80736E">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2023年度，阿坝藏族羌族自治州公路管理局汶川公路管理分局政府采购支出总额</w:t>
      </w:r>
      <w:r>
        <w:rPr>
          <w:rFonts w:ascii="仿宋_GB2312" w:eastAsia="仿宋_GB2312"/>
          <w:sz w:val="32"/>
          <w:szCs w:val="32"/>
        </w:rPr>
        <w:t>179.94</w:t>
      </w:r>
      <w:r>
        <w:rPr>
          <w:rFonts w:hint="eastAsia" w:ascii="仿宋_GB2312" w:eastAsia="仿宋_GB2312"/>
          <w:sz w:val="32"/>
          <w:szCs w:val="32"/>
        </w:rPr>
        <w:t>万元，其中：政府采购货物支出0万元、政府采购工程支出</w:t>
      </w:r>
      <w:r>
        <w:rPr>
          <w:rFonts w:ascii="仿宋_GB2312" w:eastAsia="仿宋_GB2312"/>
          <w:sz w:val="32"/>
          <w:szCs w:val="32"/>
        </w:rPr>
        <w:t>179.94</w:t>
      </w:r>
      <w:r>
        <w:rPr>
          <w:rFonts w:hint="eastAsia" w:ascii="仿宋_GB2312" w:eastAsia="仿宋_GB2312"/>
          <w:sz w:val="32"/>
          <w:szCs w:val="32"/>
        </w:rPr>
        <w:t>万元、政府采购服务支出0万元。主要用于交通安全设施购置。授予中小企业合同金额0万元，占政府采购支出总额的0</w:t>
      </w:r>
      <w:r>
        <w:rPr>
          <w:rFonts w:ascii="仿宋_GB2312" w:eastAsia="仿宋_GB2312"/>
          <w:sz w:val="32"/>
          <w:szCs w:val="32"/>
        </w:rPr>
        <w:t>%</w:t>
      </w:r>
      <w:r>
        <w:rPr>
          <w:rFonts w:hint="eastAsia" w:ascii="仿宋_GB2312" w:eastAsia="仿宋_GB2312"/>
          <w:sz w:val="32"/>
          <w:szCs w:val="32"/>
        </w:rPr>
        <w:t>，其中：授予小微企业合同金额0万元，占政府采购支出总额的0</w:t>
      </w:r>
      <w:r>
        <w:rPr>
          <w:rFonts w:ascii="仿宋_GB2312" w:eastAsia="仿宋_GB2312"/>
          <w:sz w:val="32"/>
          <w:szCs w:val="32"/>
        </w:rPr>
        <w:t>%</w:t>
      </w:r>
      <w:r>
        <w:rPr>
          <w:rFonts w:hint="eastAsia" w:ascii="仿宋_GB2312" w:eastAsia="仿宋_GB2312"/>
          <w:sz w:val="32"/>
          <w:szCs w:val="32"/>
        </w:rPr>
        <w:t>。</w:t>
      </w:r>
    </w:p>
    <w:p w14:paraId="49B46758">
      <w:pPr>
        <w:autoSpaceDE w:val="0"/>
        <w:autoSpaceDN w:val="0"/>
        <w:adjustRightInd w:val="0"/>
        <w:spacing w:line="600" w:lineRule="exact"/>
        <w:ind w:firstLine="643" w:firstLineChars="200"/>
        <w:jc w:val="left"/>
        <w:outlineLvl w:val="2"/>
        <w:rPr>
          <w:rFonts w:hint="eastAsia" w:ascii="仿宋" w:hAnsi="仿宋" w:eastAsia="仿宋"/>
          <w:b/>
          <w:sz w:val="32"/>
          <w:szCs w:val="32"/>
        </w:rPr>
      </w:pPr>
      <w:bookmarkStart w:id="28" w:name="_Toc176437465"/>
      <w:bookmarkStart w:id="29" w:name="_Toc176437690"/>
      <w:r>
        <w:rPr>
          <w:rFonts w:hint="eastAsia" w:ascii="仿宋" w:hAnsi="仿宋" w:eastAsia="仿宋"/>
          <w:b/>
          <w:sz w:val="32"/>
          <w:szCs w:val="32"/>
        </w:rPr>
        <w:t>（三）国有资产占有使用情况</w:t>
      </w:r>
      <w:bookmarkEnd w:id="28"/>
      <w:bookmarkEnd w:id="29"/>
    </w:p>
    <w:p w14:paraId="28ED7F60">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日，阿坝藏族羌族自治州公路管理局汶川公路管理分局共有车辆8辆，其中：主要领导干部用车0辆、机要通信用车0辆、应急保障用车4辆、其他用车4辆，其他用车主要是用于公路养护。单价</w:t>
      </w:r>
      <w:r>
        <w:rPr>
          <w:rFonts w:ascii="仿宋_GB2312" w:eastAsia="仿宋_GB2312"/>
          <w:sz w:val="32"/>
          <w:szCs w:val="32"/>
        </w:rPr>
        <w:t>50</w:t>
      </w:r>
      <w:r>
        <w:rPr>
          <w:rFonts w:hint="eastAsia" w:ascii="仿宋_GB2312" w:eastAsia="仿宋_GB2312"/>
          <w:sz w:val="32"/>
          <w:szCs w:val="32"/>
        </w:rPr>
        <w:t>万元以上通用设备0台（套），单价</w:t>
      </w:r>
      <w:r>
        <w:rPr>
          <w:rFonts w:ascii="仿宋_GB2312" w:eastAsia="仿宋_GB2312"/>
          <w:sz w:val="32"/>
          <w:szCs w:val="32"/>
        </w:rPr>
        <w:t>100</w:t>
      </w:r>
      <w:r>
        <w:rPr>
          <w:rFonts w:hint="eastAsia" w:ascii="仿宋_GB2312" w:eastAsia="仿宋_GB2312"/>
          <w:sz w:val="32"/>
          <w:szCs w:val="32"/>
        </w:rPr>
        <w:t>万元以上专用设备（不含车辆）0台（套）。</w:t>
      </w:r>
    </w:p>
    <w:p w14:paraId="3A3C48A3">
      <w:pPr>
        <w:autoSpaceDE w:val="0"/>
        <w:autoSpaceDN w:val="0"/>
        <w:adjustRightInd w:val="0"/>
        <w:spacing w:line="600" w:lineRule="exact"/>
        <w:jc w:val="left"/>
        <w:rPr>
          <w:rFonts w:hint="eastAsia" w:ascii="仿宋" w:hAnsi="仿宋" w:eastAsia="仿宋"/>
          <w:b/>
          <w:sz w:val="32"/>
          <w:szCs w:val="32"/>
        </w:rPr>
      </w:pPr>
    </w:p>
    <w:p w14:paraId="35BB68FC">
      <w:pPr>
        <w:autoSpaceDE w:val="0"/>
        <w:autoSpaceDN w:val="0"/>
        <w:adjustRightInd w:val="0"/>
        <w:spacing w:line="600" w:lineRule="exact"/>
        <w:ind w:firstLine="643" w:firstLineChars="200"/>
        <w:jc w:val="left"/>
        <w:outlineLvl w:val="2"/>
        <w:rPr>
          <w:rFonts w:hint="eastAsia" w:ascii="仿宋" w:hAnsi="仿宋" w:eastAsia="仿宋"/>
          <w:b/>
          <w:sz w:val="32"/>
          <w:szCs w:val="32"/>
        </w:rPr>
      </w:pPr>
      <w:bookmarkStart w:id="30" w:name="_Toc176437466"/>
      <w:bookmarkStart w:id="31" w:name="_Toc176437691"/>
      <w:r>
        <w:rPr>
          <w:rFonts w:hint="eastAsia" w:ascii="仿宋" w:hAnsi="仿宋" w:eastAsia="仿宋"/>
          <w:b/>
          <w:sz w:val="32"/>
          <w:szCs w:val="32"/>
        </w:rPr>
        <w:t>（四）预算绩效管理情况</w:t>
      </w:r>
      <w:bookmarkEnd w:id="30"/>
      <w:bookmarkEnd w:id="31"/>
    </w:p>
    <w:p w14:paraId="71B7683B">
      <w:pPr>
        <w:spacing w:line="600" w:lineRule="exact"/>
        <w:ind w:firstLine="640" w:firstLineChars="200"/>
        <w:rPr>
          <w:rFonts w:ascii="仿宋_GB2312" w:eastAsia="仿宋_GB2312"/>
          <w:sz w:val="32"/>
          <w:szCs w:val="32"/>
        </w:rPr>
      </w:pPr>
      <w:r>
        <w:rPr>
          <w:rFonts w:hint="eastAsia" w:ascii="仿宋_GB2312" w:eastAsia="仿宋_GB2312"/>
          <w:sz w:val="32"/>
          <w:szCs w:val="32"/>
        </w:rPr>
        <w:t>2023年本单位完成整体绩效自评，并撰写自评报告，自评得分88.41分。不涉及项目绩效自评，故无项目绩效自评表。</w:t>
      </w:r>
    </w:p>
    <w:p w14:paraId="242693B9">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14:paraId="76FDF672">
      <w:pPr>
        <w:spacing w:line="600" w:lineRule="exact"/>
        <w:jc w:val="center"/>
        <w:outlineLvl w:val="0"/>
        <w:rPr>
          <w:rStyle w:val="17"/>
          <w:rFonts w:hint="eastAsia" w:ascii="黑体" w:hAnsi="黑体" w:eastAsia="黑体"/>
          <w:b w:val="0"/>
        </w:rPr>
      </w:pPr>
      <w:bookmarkStart w:id="32" w:name="_Toc176437692"/>
      <w:r>
        <w:rPr>
          <w:rFonts w:hint="eastAsia" w:ascii="黑体" w:hAnsi="黑体" w:eastAsia="黑体"/>
          <w:sz w:val="44"/>
          <w:szCs w:val="44"/>
        </w:rPr>
        <w:t>第三部分  名</w:t>
      </w:r>
      <w:r>
        <w:rPr>
          <w:rStyle w:val="17"/>
          <w:rFonts w:hint="eastAsia" w:ascii="黑体" w:hAnsi="黑体" w:eastAsia="黑体"/>
          <w:b w:val="0"/>
        </w:rPr>
        <w:t>词解释</w:t>
      </w:r>
      <w:bookmarkEnd w:id="32"/>
    </w:p>
    <w:p w14:paraId="07E4763E">
      <w:pPr>
        <w:spacing w:line="600" w:lineRule="exact"/>
        <w:jc w:val="left"/>
        <w:rPr>
          <w:rFonts w:ascii="宋体"/>
          <w:b/>
          <w:sz w:val="44"/>
          <w:szCs w:val="44"/>
        </w:rPr>
      </w:pPr>
    </w:p>
    <w:p w14:paraId="6298E1B1">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财政拨款收入：指单位从同级财政单位取得的财政预算资金。</w:t>
      </w:r>
    </w:p>
    <w:p w14:paraId="1E1733D8">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14:paraId="7B2CB890">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14:paraId="7DB15702">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14:paraId="1763DABF">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p>
    <w:p w14:paraId="6CCB7DF7">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p>
    <w:p w14:paraId="55AC6FDB">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534BF99A">
      <w:pPr>
        <w:pStyle w:val="20"/>
        <w:spacing w:line="60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63949AB7">
      <w:pPr>
        <w:spacing w:line="600" w:lineRule="exact"/>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社会保障和就业支出（类）行政事业单位养老支出（款）机关事业单位基本养老保险缴费支出（项）：指反映机关事业单位实施养老保险制度由单位缴纳的基本养老保险费支出。</w:t>
      </w:r>
    </w:p>
    <w:p w14:paraId="24B36901">
      <w:pPr>
        <w:spacing w:line="600" w:lineRule="exact"/>
        <w:ind w:firstLine="640" w:firstLineChars="200"/>
        <w:rPr>
          <w:rFonts w:ascii="仿宋_GB2312" w:eastAsia="仿宋_GB2312"/>
          <w:sz w:val="32"/>
          <w:szCs w:val="32"/>
        </w:rPr>
      </w:pPr>
      <w:r>
        <w:rPr>
          <w:rFonts w:hint="eastAsia" w:ascii="仿宋_GB2312" w:eastAsia="仿宋_GB2312"/>
          <w:sz w:val="32"/>
          <w:szCs w:val="32"/>
        </w:rPr>
        <w:t>10.社会保障和就业支出（类）行政事业单位养老支出（款）机关事业单位职业年金缴费支出（项）：指反映机关事业单位实施养老保险制度由单位实际缴纳的职业年金支出。</w:t>
      </w:r>
    </w:p>
    <w:p w14:paraId="6AB3A36E">
      <w:pPr>
        <w:spacing w:line="600" w:lineRule="exact"/>
        <w:ind w:firstLine="640" w:firstLineChars="200"/>
        <w:rPr>
          <w:rFonts w:ascii="仿宋_GB2312" w:eastAsia="仿宋_GB2312"/>
          <w:sz w:val="32"/>
          <w:szCs w:val="32"/>
        </w:rPr>
      </w:pPr>
      <w:r>
        <w:rPr>
          <w:rFonts w:hint="eastAsia" w:ascii="仿宋_GB2312" w:eastAsia="仿宋_GB2312"/>
          <w:sz w:val="32"/>
          <w:szCs w:val="32"/>
        </w:rPr>
        <w:t>11.卫生健康支出（类）行政事业单位医疗（款）事业单位医疗（项）：指反映财政部门安排的事业单位基本医疗保险缴费经费，未参加医疗保险的事业单位的公费医疗经费，按国家规定享受离休人员待遇的医疗经费。</w:t>
      </w:r>
    </w:p>
    <w:p w14:paraId="08919EF0">
      <w:pPr>
        <w:spacing w:line="600" w:lineRule="exact"/>
        <w:ind w:firstLine="640" w:firstLineChars="200"/>
        <w:rPr>
          <w:rFonts w:ascii="仿宋_GB2312" w:eastAsia="仿宋_GB2312"/>
          <w:sz w:val="32"/>
          <w:szCs w:val="32"/>
        </w:rPr>
      </w:pPr>
      <w:r>
        <w:rPr>
          <w:rFonts w:hint="eastAsia" w:ascii="仿宋_GB2312" w:eastAsia="仿宋_GB2312"/>
          <w:sz w:val="32"/>
          <w:szCs w:val="32"/>
        </w:rPr>
        <w:t>12.卫生健康支出（类）行政事业单位医疗（款）其他行政事业单位医疗支出（项）：指反映除上述项目以外的其他用于行政事业单位医疗方面的支出。</w:t>
      </w:r>
    </w:p>
    <w:p w14:paraId="558B06D9">
      <w:pPr>
        <w:spacing w:line="600" w:lineRule="exact"/>
        <w:ind w:firstLine="640" w:firstLineChars="200"/>
        <w:rPr>
          <w:rFonts w:ascii="仿宋_GB2312" w:eastAsia="仿宋_GB2312"/>
          <w:sz w:val="32"/>
          <w:szCs w:val="32"/>
        </w:rPr>
      </w:pPr>
      <w:r>
        <w:rPr>
          <w:rFonts w:hint="eastAsia" w:ascii="仿宋_GB2312" w:eastAsia="仿宋_GB2312"/>
          <w:sz w:val="32"/>
          <w:szCs w:val="32"/>
        </w:rPr>
        <w:t>13.交通运输支出（类）公路水路运输（款）公路养护（项）：指反映公路养护支出。</w:t>
      </w:r>
    </w:p>
    <w:p w14:paraId="51928C5F">
      <w:pPr>
        <w:spacing w:line="600" w:lineRule="exact"/>
        <w:ind w:firstLine="640" w:firstLineChars="200"/>
        <w:rPr>
          <w:rFonts w:ascii="仿宋_GB2312" w:eastAsia="仿宋_GB2312"/>
          <w:sz w:val="32"/>
          <w:szCs w:val="32"/>
        </w:rPr>
      </w:pPr>
      <w:r>
        <w:rPr>
          <w:rFonts w:hint="eastAsia" w:ascii="仿宋_GB2312" w:eastAsia="仿宋_GB2312"/>
          <w:sz w:val="32"/>
          <w:szCs w:val="32"/>
        </w:rPr>
        <w:t>14.交通运输支出（类）公路水路运输（款）其他公路水路运输支出（项）：指反映除上述项目以外其他用于公路水路运输方面的支出。</w:t>
      </w:r>
    </w:p>
    <w:p w14:paraId="7E1FF4AC">
      <w:pPr>
        <w:spacing w:line="600" w:lineRule="exact"/>
        <w:ind w:firstLine="640" w:firstLineChars="200"/>
        <w:rPr>
          <w:rFonts w:ascii="仿宋_GB2312" w:eastAsia="仿宋_GB2312"/>
          <w:sz w:val="32"/>
          <w:szCs w:val="32"/>
        </w:rPr>
      </w:pPr>
      <w:r>
        <w:rPr>
          <w:rFonts w:hint="eastAsia" w:ascii="仿宋_GB2312" w:eastAsia="仿宋_GB2312"/>
          <w:sz w:val="32"/>
          <w:szCs w:val="32"/>
        </w:rPr>
        <w:t>15.住房保障支出（类）住房改革支出（款）住房公积金（项）：指反映行政事业单位按人力资源和社会保障部、财政部规定的基本工资和津贴补贴以及规定比例为职工缴纳的住房公积金。</w:t>
      </w:r>
    </w:p>
    <w:p w14:paraId="2AFA545C">
      <w:pPr>
        <w:spacing w:line="600" w:lineRule="exact"/>
        <w:ind w:firstLine="640" w:firstLineChars="200"/>
        <w:rPr>
          <w:rFonts w:ascii="仿宋_GB2312" w:eastAsia="仿宋_GB2312"/>
          <w:sz w:val="32"/>
          <w:szCs w:val="32"/>
        </w:rPr>
      </w:pPr>
      <w:r>
        <w:rPr>
          <w:rFonts w:hint="eastAsia" w:ascii="仿宋_GB2312" w:eastAsia="仿宋_GB2312"/>
          <w:sz w:val="32"/>
          <w:szCs w:val="32"/>
        </w:rPr>
        <w:t>16.住房保障支出（类）住房改革支出（款）购房补贴（项）：指反映按房改政策规定，行政事业单位向符合条件职工（含离退休人员）、军队（含武警）向转役复员离退休人员发放的用于购买住房的补贴。</w:t>
      </w:r>
    </w:p>
    <w:p w14:paraId="63E917FD">
      <w:pPr>
        <w:spacing w:line="600"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7.</w:t>
      </w:r>
      <w:r>
        <w:rPr>
          <w:rFonts w:hint="eastAsia" w:ascii="仿宋_GB2312" w:eastAsia="仿宋_GB2312"/>
          <w:sz w:val="32"/>
          <w:szCs w:val="32"/>
        </w:rPr>
        <w:t>基本支出：指为保障机构正常运转、完成日常工作任务而发生的人员支出和公用支出。</w:t>
      </w:r>
    </w:p>
    <w:p w14:paraId="004A1F94">
      <w:pPr>
        <w:spacing w:line="600"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8.</w:t>
      </w:r>
      <w:r>
        <w:rPr>
          <w:rFonts w:hint="eastAsia" w:ascii="仿宋_GB2312" w:eastAsia="仿宋_GB2312"/>
          <w:sz w:val="32"/>
          <w:szCs w:val="32"/>
        </w:rPr>
        <w:t>项目支出：指在基本支出之外为完成特定行政任务和事业发展目标所发生的支出。</w:t>
      </w:r>
    </w:p>
    <w:p w14:paraId="36AA1C00">
      <w:pPr>
        <w:spacing w:line="600" w:lineRule="exact"/>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9.</w:t>
      </w:r>
      <w:r>
        <w:rPr>
          <w:rFonts w:hint="eastAsia" w:ascii="仿宋_GB2312" w:eastAsia="仿宋_GB2312"/>
          <w:sz w:val="32"/>
          <w:szCs w:val="32"/>
        </w:rPr>
        <w:t>经营支出：指事业单位在专业业务活动及其辅助活动之外开展非独立核算经营活动发生的支出。</w:t>
      </w:r>
    </w:p>
    <w:p w14:paraId="3700FE6C">
      <w:pPr>
        <w:pStyle w:val="20"/>
        <w:spacing w:line="60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0E2313D">
      <w:pPr>
        <w:pStyle w:val="20"/>
        <w:spacing w:line="600" w:lineRule="exact"/>
        <w:ind w:firstLine="640" w:firstLineChars="200"/>
        <w:rPr>
          <w:rFonts w:hint="eastAsia" w:hAnsi="仿宋"/>
          <w:b/>
          <w:sz w:val="32"/>
          <w:szCs w:val="32"/>
        </w:rPr>
      </w:pPr>
      <w:r>
        <w:rPr>
          <w:rFonts w:hint="eastAsia" w:ascii="仿宋_GB2312" w:eastAsia="仿宋_GB2312"/>
          <w:color w:val="auto"/>
          <w:sz w:val="32"/>
          <w:szCs w:val="32"/>
        </w:rPr>
        <w:t>2</w:t>
      </w:r>
      <w:r>
        <w:rPr>
          <w:rFonts w:ascii="仿宋_GB2312" w:eastAsia="仿宋_GB2312"/>
          <w:color w:val="auto"/>
          <w:sz w:val="32"/>
          <w:szCs w:val="32"/>
        </w:rPr>
        <w:t>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087A670">
      <w:pPr>
        <w:spacing w:line="600" w:lineRule="exact"/>
        <w:jc w:val="center"/>
        <w:outlineLvl w:val="0"/>
        <w:rPr>
          <w:rStyle w:val="17"/>
          <w:rFonts w:hint="eastAsia" w:ascii="黑体" w:hAnsi="黑体" w:eastAsia="黑体"/>
          <w:b w:val="0"/>
        </w:rPr>
      </w:pPr>
      <w:r>
        <w:rPr>
          <w:rFonts w:ascii="宋体"/>
          <w:b/>
          <w:sz w:val="44"/>
          <w:szCs w:val="44"/>
        </w:rPr>
        <w:br w:type="page"/>
      </w:r>
      <w:bookmarkStart w:id="33" w:name="_Toc176437693"/>
      <w:r>
        <w:rPr>
          <w:rFonts w:hint="eastAsia" w:ascii="黑体" w:hAnsi="黑体" w:eastAsia="黑体"/>
          <w:sz w:val="44"/>
          <w:szCs w:val="44"/>
        </w:rPr>
        <w:t>第</w:t>
      </w:r>
      <w:r>
        <w:rPr>
          <w:rStyle w:val="17"/>
          <w:rFonts w:hint="eastAsia" w:ascii="黑体" w:hAnsi="黑体" w:eastAsia="黑体"/>
          <w:b w:val="0"/>
        </w:rPr>
        <w:t>四部分 附件</w:t>
      </w:r>
      <w:bookmarkEnd w:id="33"/>
    </w:p>
    <w:p w14:paraId="0F08CFC9">
      <w:pPr>
        <w:spacing w:line="572" w:lineRule="exact"/>
        <w:jc w:val="left"/>
        <w:rPr>
          <w:rFonts w:hint="eastAsia" w:ascii="仿宋_GB2312" w:hAnsi="仿宋_GB2312" w:eastAsia="仿宋_GB2312" w:cs="仿宋_GB2312"/>
          <w:sz w:val="32"/>
          <w:szCs w:val="32"/>
        </w:rPr>
      </w:pPr>
    </w:p>
    <w:p w14:paraId="35CAEBA3">
      <w:pPr>
        <w:pStyle w:val="3"/>
        <w:spacing w:line="560" w:lineRule="exact"/>
        <w:ind w:left="0" w:leftChars="0" w:firstLine="640"/>
        <w:rPr>
          <w:rFonts w:hint="eastAsia" w:ascii="仿宋" w:hAnsi="仿宋" w:eastAsia="仿宋"/>
          <w:sz w:val="32"/>
        </w:rPr>
      </w:pPr>
      <w:r>
        <w:rPr>
          <w:rFonts w:hint="eastAsia" w:ascii="仿宋" w:hAnsi="仿宋" w:eastAsia="仿宋"/>
          <w:sz w:val="32"/>
        </w:rPr>
        <w:t>2023年阿坝藏族羌族自治州公路管理局汶川公路管理分局无单位预算项目支出绩效自评表。</w:t>
      </w:r>
    </w:p>
    <w:p w14:paraId="2B3759AA">
      <w:pPr>
        <w:pStyle w:val="7"/>
        <w:spacing w:before="93"/>
        <w:rPr>
          <w:rFonts w:hAnsi="Calibri" w:cs="仿宋"/>
          <w:sz w:val="32"/>
          <w:szCs w:val="32"/>
        </w:rPr>
      </w:pPr>
    </w:p>
    <w:p w14:paraId="05778FE0">
      <w:pPr>
        <w:pStyle w:val="7"/>
        <w:spacing w:before="93"/>
        <w:rPr>
          <w:rFonts w:hAnsi="Calibri" w:cs="仿宋"/>
          <w:sz w:val="32"/>
          <w:szCs w:val="32"/>
        </w:rPr>
      </w:pPr>
    </w:p>
    <w:p w14:paraId="56D731EE">
      <w:pPr>
        <w:pStyle w:val="7"/>
        <w:spacing w:before="93"/>
        <w:rPr>
          <w:rFonts w:hAnsi="Calibri" w:cs="仿宋"/>
          <w:sz w:val="32"/>
          <w:szCs w:val="32"/>
        </w:rPr>
      </w:pPr>
    </w:p>
    <w:p w14:paraId="18A36216">
      <w:pPr>
        <w:pStyle w:val="7"/>
        <w:spacing w:before="93"/>
        <w:rPr>
          <w:rFonts w:hAnsi="Calibri" w:cs="仿宋"/>
          <w:sz w:val="32"/>
          <w:szCs w:val="32"/>
        </w:rPr>
      </w:pPr>
    </w:p>
    <w:p w14:paraId="4EF6ABAD">
      <w:pPr>
        <w:pStyle w:val="7"/>
        <w:spacing w:before="93"/>
        <w:rPr>
          <w:rFonts w:hAnsi="Calibri" w:cs="仿宋"/>
          <w:sz w:val="32"/>
          <w:szCs w:val="32"/>
        </w:rPr>
      </w:pPr>
    </w:p>
    <w:p w14:paraId="6824E2D6">
      <w:pPr>
        <w:pStyle w:val="7"/>
        <w:spacing w:before="93"/>
        <w:rPr>
          <w:rFonts w:hAnsi="Calibri" w:cs="仿宋"/>
          <w:sz w:val="32"/>
          <w:szCs w:val="32"/>
        </w:rPr>
      </w:pPr>
    </w:p>
    <w:p w14:paraId="6A1F2785">
      <w:pPr>
        <w:pStyle w:val="7"/>
        <w:spacing w:before="93"/>
        <w:rPr>
          <w:rFonts w:hAnsi="Calibri" w:cs="仿宋"/>
          <w:sz w:val="32"/>
          <w:szCs w:val="32"/>
        </w:rPr>
      </w:pPr>
    </w:p>
    <w:p w14:paraId="483C1C37">
      <w:pPr>
        <w:pStyle w:val="7"/>
        <w:spacing w:before="93"/>
        <w:rPr>
          <w:rFonts w:hAnsi="Calibri" w:cs="仿宋"/>
          <w:sz w:val="32"/>
          <w:szCs w:val="32"/>
        </w:rPr>
      </w:pPr>
    </w:p>
    <w:p w14:paraId="45135055">
      <w:pPr>
        <w:pStyle w:val="7"/>
        <w:spacing w:before="93"/>
        <w:rPr>
          <w:rFonts w:hAnsi="Calibri" w:cs="仿宋"/>
          <w:sz w:val="32"/>
          <w:szCs w:val="32"/>
        </w:rPr>
      </w:pPr>
    </w:p>
    <w:p w14:paraId="10FDAB5E">
      <w:pPr>
        <w:pStyle w:val="7"/>
        <w:spacing w:before="93"/>
        <w:rPr>
          <w:rFonts w:hAnsi="Calibri" w:cs="仿宋"/>
          <w:sz w:val="32"/>
          <w:szCs w:val="32"/>
        </w:rPr>
      </w:pPr>
    </w:p>
    <w:p w14:paraId="6EA3EA7F">
      <w:pPr>
        <w:pStyle w:val="7"/>
        <w:spacing w:before="93"/>
        <w:rPr>
          <w:rFonts w:hAnsi="Calibri" w:cs="仿宋"/>
          <w:sz w:val="32"/>
          <w:szCs w:val="32"/>
        </w:rPr>
      </w:pPr>
    </w:p>
    <w:p w14:paraId="2167F091">
      <w:pPr>
        <w:pStyle w:val="7"/>
        <w:spacing w:before="93"/>
        <w:rPr>
          <w:rFonts w:hAnsi="Calibri" w:cs="仿宋"/>
          <w:sz w:val="32"/>
          <w:szCs w:val="32"/>
        </w:rPr>
      </w:pPr>
    </w:p>
    <w:p w14:paraId="2B84A9D8">
      <w:pPr>
        <w:rPr>
          <w:rFonts w:hint="eastAsia" w:ascii="黑体" w:hAnsi="黑体" w:eastAsia="黑体"/>
          <w:sz w:val="44"/>
          <w:szCs w:val="44"/>
        </w:rPr>
      </w:pPr>
      <w:r>
        <w:rPr>
          <w:rFonts w:hint="eastAsia" w:ascii="黑体" w:hAnsi="黑体" w:eastAsia="黑体"/>
          <w:sz w:val="44"/>
          <w:szCs w:val="44"/>
        </w:rPr>
        <w:br w:type="page"/>
      </w:r>
    </w:p>
    <w:p w14:paraId="1B747BAB">
      <w:pPr>
        <w:spacing w:line="600" w:lineRule="exact"/>
        <w:jc w:val="center"/>
        <w:outlineLvl w:val="0"/>
        <w:rPr>
          <w:rFonts w:hint="eastAsia" w:ascii="仿宋" w:hAnsi="仿宋" w:eastAsia="仿宋"/>
        </w:rPr>
      </w:pPr>
      <w:bookmarkStart w:id="34" w:name="_Toc176437694"/>
      <w:r>
        <w:rPr>
          <w:rFonts w:hint="eastAsia" w:ascii="黑体" w:hAnsi="黑体" w:eastAsia="黑体"/>
          <w:sz w:val="44"/>
          <w:szCs w:val="44"/>
        </w:rPr>
        <w:t>第</w:t>
      </w:r>
      <w:r>
        <w:rPr>
          <w:rStyle w:val="17"/>
          <w:rFonts w:hint="eastAsia" w:ascii="黑体" w:hAnsi="黑体" w:eastAsia="黑体"/>
          <w:b w:val="0"/>
        </w:rPr>
        <w:t>五部分 附表</w:t>
      </w:r>
      <w:bookmarkEnd w:id="34"/>
    </w:p>
    <w:p w14:paraId="5EB90B70">
      <w:pPr>
        <w:pStyle w:val="6"/>
        <w:rPr>
          <w:rFonts w:hint="eastAsia" w:ascii="仿宋" w:hAnsi="仿宋" w:eastAsia="仿宋"/>
        </w:rPr>
      </w:pPr>
      <w:bookmarkStart w:id="35" w:name="_Toc176437695"/>
      <w:r>
        <w:rPr>
          <w:rFonts w:hint="eastAsia" w:ascii="仿宋" w:hAnsi="仿宋" w:eastAsia="仿宋"/>
          <w:b w:val="0"/>
        </w:rPr>
        <w:t>一、收</w:t>
      </w:r>
      <w:r>
        <w:rPr>
          <w:rStyle w:val="18"/>
          <w:rFonts w:hint="eastAsia" w:ascii="仿宋" w:hAnsi="仿宋" w:eastAsia="仿宋"/>
          <w:b w:val="0"/>
          <w:bCs w:val="0"/>
        </w:rPr>
        <w:t>入支出决算总表</w:t>
      </w:r>
      <w:bookmarkEnd w:id="35"/>
    </w:p>
    <w:p w14:paraId="7BF8A9FD">
      <w:pPr>
        <w:pStyle w:val="6"/>
        <w:rPr>
          <w:rFonts w:hint="eastAsia" w:ascii="仿宋" w:hAnsi="仿宋" w:eastAsia="仿宋"/>
        </w:rPr>
      </w:pPr>
      <w:bookmarkStart w:id="36" w:name="_Toc176437696"/>
      <w:r>
        <w:rPr>
          <w:rFonts w:hint="eastAsia" w:ascii="仿宋" w:hAnsi="仿宋" w:eastAsia="仿宋"/>
          <w:b w:val="0"/>
        </w:rPr>
        <w:t>二、收</w:t>
      </w:r>
      <w:r>
        <w:rPr>
          <w:rStyle w:val="18"/>
          <w:rFonts w:hint="eastAsia" w:ascii="仿宋" w:hAnsi="仿宋" w:eastAsia="仿宋"/>
          <w:b w:val="0"/>
          <w:bCs w:val="0"/>
        </w:rPr>
        <w:t>入决算表</w:t>
      </w:r>
      <w:bookmarkEnd w:id="36"/>
    </w:p>
    <w:p w14:paraId="0D9E5B1B">
      <w:pPr>
        <w:pStyle w:val="6"/>
        <w:rPr>
          <w:rFonts w:hint="eastAsia" w:ascii="仿宋" w:hAnsi="仿宋" w:eastAsia="仿宋"/>
        </w:rPr>
      </w:pPr>
      <w:bookmarkStart w:id="37" w:name="_Toc176437697"/>
      <w:r>
        <w:rPr>
          <w:rStyle w:val="18"/>
          <w:rFonts w:hint="eastAsia" w:ascii="仿宋" w:hAnsi="仿宋" w:eastAsia="仿宋"/>
          <w:b w:val="0"/>
          <w:bCs w:val="0"/>
        </w:rPr>
        <w:t>三、</w:t>
      </w:r>
      <w:r>
        <w:rPr>
          <w:rFonts w:hint="eastAsia" w:ascii="仿宋" w:hAnsi="仿宋" w:eastAsia="仿宋"/>
          <w:b w:val="0"/>
        </w:rPr>
        <w:t>支</w:t>
      </w:r>
      <w:r>
        <w:rPr>
          <w:rStyle w:val="18"/>
          <w:rFonts w:hint="eastAsia" w:ascii="仿宋" w:hAnsi="仿宋" w:eastAsia="仿宋"/>
          <w:b w:val="0"/>
          <w:bCs w:val="0"/>
        </w:rPr>
        <w:t>出决算表</w:t>
      </w:r>
      <w:bookmarkEnd w:id="37"/>
    </w:p>
    <w:p w14:paraId="0F19C898">
      <w:pPr>
        <w:pStyle w:val="6"/>
        <w:rPr>
          <w:rFonts w:hint="eastAsia" w:ascii="仿宋" w:hAnsi="仿宋" w:eastAsia="仿宋"/>
          <w:b w:val="0"/>
        </w:rPr>
      </w:pPr>
      <w:bookmarkStart w:id="38" w:name="_Toc176437698"/>
      <w:r>
        <w:rPr>
          <w:rStyle w:val="18"/>
          <w:rFonts w:hint="eastAsia" w:ascii="仿宋" w:hAnsi="仿宋" w:eastAsia="仿宋"/>
          <w:b w:val="0"/>
          <w:bCs w:val="0"/>
        </w:rPr>
        <w:t>四、</w:t>
      </w:r>
      <w:r>
        <w:rPr>
          <w:rFonts w:hint="eastAsia" w:ascii="仿宋" w:hAnsi="仿宋" w:eastAsia="仿宋"/>
          <w:b w:val="0"/>
        </w:rPr>
        <w:t>财</w:t>
      </w:r>
      <w:r>
        <w:rPr>
          <w:rStyle w:val="18"/>
          <w:rFonts w:hint="eastAsia" w:ascii="仿宋" w:hAnsi="仿宋" w:eastAsia="仿宋"/>
          <w:b w:val="0"/>
          <w:bCs w:val="0"/>
        </w:rPr>
        <w:t>政拨款收入支出决算总表</w:t>
      </w:r>
      <w:bookmarkEnd w:id="38"/>
    </w:p>
    <w:p w14:paraId="6B312205">
      <w:pPr>
        <w:pStyle w:val="6"/>
        <w:rPr>
          <w:rStyle w:val="18"/>
          <w:rFonts w:hint="eastAsia" w:ascii="仿宋" w:hAnsi="仿宋" w:eastAsia="仿宋"/>
          <w:b w:val="0"/>
          <w:bCs w:val="0"/>
        </w:rPr>
      </w:pPr>
      <w:bookmarkStart w:id="39" w:name="_Toc176437699"/>
      <w:r>
        <w:rPr>
          <w:rStyle w:val="18"/>
          <w:rFonts w:hint="eastAsia" w:ascii="仿宋" w:hAnsi="仿宋" w:eastAsia="仿宋"/>
          <w:b w:val="0"/>
          <w:bCs w:val="0"/>
        </w:rPr>
        <w:t>五、</w:t>
      </w:r>
      <w:r>
        <w:rPr>
          <w:rFonts w:hint="eastAsia" w:ascii="仿宋" w:hAnsi="仿宋" w:eastAsia="仿宋"/>
          <w:b w:val="0"/>
        </w:rPr>
        <w:t>财</w:t>
      </w:r>
      <w:r>
        <w:rPr>
          <w:rStyle w:val="18"/>
          <w:rFonts w:hint="eastAsia" w:ascii="仿宋" w:hAnsi="仿宋" w:eastAsia="仿宋"/>
          <w:b w:val="0"/>
          <w:bCs w:val="0"/>
        </w:rPr>
        <w:t>政拨款支出决算明细表</w:t>
      </w:r>
      <w:bookmarkEnd w:id="39"/>
    </w:p>
    <w:p w14:paraId="56F2F980">
      <w:pPr>
        <w:pStyle w:val="6"/>
        <w:rPr>
          <w:rFonts w:hint="eastAsia" w:ascii="仿宋" w:hAnsi="仿宋" w:eastAsia="仿宋"/>
        </w:rPr>
      </w:pPr>
      <w:bookmarkStart w:id="40" w:name="_Toc176437700"/>
      <w:r>
        <w:rPr>
          <w:rStyle w:val="18"/>
          <w:rFonts w:hint="eastAsia" w:ascii="仿宋" w:hAnsi="仿宋" w:eastAsia="仿宋"/>
          <w:b w:val="0"/>
          <w:bCs w:val="0"/>
        </w:rPr>
        <w:t>六、</w:t>
      </w:r>
      <w:r>
        <w:rPr>
          <w:rFonts w:hint="eastAsia" w:ascii="仿宋" w:hAnsi="仿宋" w:eastAsia="仿宋"/>
          <w:b w:val="0"/>
        </w:rPr>
        <w:t>一</w:t>
      </w:r>
      <w:r>
        <w:rPr>
          <w:rStyle w:val="18"/>
          <w:rFonts w:hint="eastAsia" w:ascii="仿宋" w:hAnsi="仿宋" w:eastAsia="仿宋"/>
          <w:b w:val="0"/>
          <w:bCs w:val="0"/>
        </w:rPr>
        <w:t>般公共预算财政拨款支出决算表</w:t>
      </w:r>
      <w:bookmarkEnd w:id="40"/>
    </w:p>
    <w:p w14:paraId="425A7BB1">
      <w:pPr>
        <w:pStyle w:val="6"/>
        <w:rPr>
          <w:rFonts w:hint="eastAsia" w:ascii="仿宋" w:hAnsi="仿宋" w:eastAsia="仿宋"/>
        </w:rPr>
      </w:pPr>
      <w:bookmarkStart w:id="41" w:name="_Toc176437701"/>
      <w:r>
        <w:rPr>
          <w:rStyle w:val="18"/>
          <w:rFonts w:hint="eastAsia" w:ascii="仿宋" w:hAnsi="仿宋" w:eastAsia="仿宋"/>
          <w:b w:val="0"/>
          <w:bCs w:val="0"/>
        </w:rPr>
        <w:t>七、</w:t>
      </w:r>
      <w:r>
        <w:rPr>
          <w:rFonts w:hint="eastAsia" w:ascii="仿宋" w:hAnsi="仿宋" w:eastAsia="仿宋"/>
          <w:b w:val="0"/>
        </w:rPr>
        <w:t>一</w:t>
      </w:r>
      <w:r>
        <w:rPr>
          <w:rStyle w:val="18"/>
          <w:rFonts w:hint="eastAsia" w:ascii="仿宋" w:hAnsi="仿宋" w:eastAsia="仿宋"/>
          <w:b w:val="0"/>
          <w:bCs w:val="0"/>
        </w:rPr>
        <w:t>般公共预算财政拨款支出决算明细表</w:t>
      </w:r>
      <w:bookmarkEnd w:id="41"/>
    </w:p>
    <w:p w14:paraId="24480720">
      <w:pPr>
        <w:pStyle w:val="6"/>
        <w:rPr>
          <w:rFonts w:hint="eastAsia" w:ascii="仿宋" w:hAnsi="仿宋" w:eastAsia="仿宋"/>
        </w:rPr>
      </w:pPr>
      <w:bookmarkStart w:id="42" w:name="_Toc176437702"/>
      <w:r>
        <w:rPr>
          <w:rStyle w:val="18"/>
          <w:rFonts w:hint="eastAsia" w:ascii="仿宋" w:hAnsi="仿宋" w:eastAsia="仿宋"/>
          <w:b w:val="0"/>
          <w:bCs w:val="0"/>
        </w:rPr>
        <w:t>八、</w:t>
      </w:r>
      <w:r>
        <w:rPr>
          <w:rFonts w:hint="eastAsia" w:ascii="仿宋" w:hAnsi="仿宋" w:eastAsia="仿宋"/>
          <w:b w:val="0"/>
        </w:rPr>
        <w:t>一</w:t>
      </w:r>
      <w:r>
        <w:rPr>
          <w:rStyle w:val="18"/>
          <w:rFonts w:hint="eastAsia" w:ascii="仿宋" w:hAnsi="仿宋" w:eastAsia="仿宋"/>
          <w:b w:val="0"/>
          <w:bCs w:val="0"/>
        </w:rPr>
        <w:t>般公共预算财政拨款基本支出决算表</w:t>
      </w:r>
      <w:bookmarkEnd w:id="42"/>
    </w:p>
    <w:p w14:paraId="7A461796">
      <w:pPr>
        <w:pStyle w:val="6"/>
        <w:rPr>
          <w:rFonts w:hint="eastAsia" w:ascii="仿宋" w:hAnsi="仿宋" w:eastAsia="仿宋"/>
        </w:rPr>
      </w:pPr>
      <w:bookmarkStart w:id="43" w:name="_Toc176437703"/>
      <w:r>
        <w:rPr>
          <w:rStyle w:val="18"/>
          <w:rFonts w:hint="eastAsia" w:ascii="仿宋" w:hAnsi="仿宋" w:eastAsia="仿宋"/>
          <w:b w:val="0"/>
          <w:bCs w:val="0"/>
        </w:rPr>
        <w:t>九、</w:t>
      </w:r>
      <w:r>
        <w:rPr>
          <w:rFonts w:hint="eastAsia" w:ascii="仿宋" w:hAnsi="仿宋" w:eastAsia="仿宋"/>
          <w:b w:val="0"/>
        </w:rPr>
        <w:t>一</w:t>
      </w:r>
      <w:r>
        <w:rPr>
          <w:rStyle w:val="18"/>
          <w:rFonts w:hint="eastAsia" w:ascii="仿宋" w:hAnsi="仿宋" w:eastAsia="仿宋"/>
          <w:b w:val="0"/>
          <w:bCs w:val="0"/>
        </w:rPr>
        <w:t>般公共预算财政拨款项目支出决算表</w:t>
      </w:r>
      <w:bookmarkEnd w:id="43"/>
    </w:p>
    <w:p w14:paraId="6E03C1D6">
      <w:pPr>
        <w:pStyle w:val="6"/>
        <w:rPr>
          <w:rFonts w:hint="eastAsia" w:ascii="仿宋" w:hAnsi="仿宋" w:eastAsia="仿宋"/>
        </w:rPr>
      </w:pPr>
      <w:bookmarkStart w:id="44" w:name="_Toc176437704"/>
      <w:r>
        <w:rPr>
          <w:rStyle w:val="18"/>
          <w:rFonts w:hint="eastAsia" w:ascii="仿宋" w:hAnsi="仿宋" w:eastAsia="仿宋"/>
          <w:b w:val="0"/>
          <w:bCs w:val="0"/>
        </w:rPr>
        <w:t>十、</w:t>
      </w:r>
      <w:r>
        <w:rPr>
          <w:rFonts w:hint="eastAsia" w:ascii="仿宋" w:hAnsi="仿宋" w:eastAsia="仿宋"/>
          <w:b w:val="0"/>
        </w:rPr>
        <w:t>政</w:t>
      </w:r>
      <w:r>
        <w:rPr>
          <w:rStyle w:val="18"/>
          <w:rFonts w:hint="eastAsia" w:ascii="仿宋" w:hAnsi="仿宋" w:eastAsia="仿宋"/>
          <w:b w:val="0"/>
          <w:bCs w:val="0"/>
        </w:rPr>
        <w:t>府性基金预算财政拨款收入支出决算表</w:t>
      </w:r>
      <w:bookmarkEnd w:id="44"/>
    </w:p>
    <w:p w14:paraId="213021C2">
      <w:pPr>
        <w:pStyle w:val="6"/>
        <w:rPr>
          <w:rFonts w:hint="eastAsia" w:ascii="仿宋" w:hAnsi="仿宋" w:eastAsia="仿宋"/>
        </w:rPr>
      </w:pPr>
      <w:bookmarkStart w:id="45" w:name="_Toc176437705"/>
      <w:r>
        <w:rPr>
          <w:rStyle w:val="18"/>
          <w:rFonts w:hint="eastAsia" w:ascii="仿宋" w:hAnsi="仿宋" w:eastAsia="仿宋"/>
          <w:b w:val="0"/>
          <w:bCs w:val="0"/>
        </w:rPr>
        <w:t>十一、</w:t>
      </w:r>
      <w:r>
        <w:rPr>
          <w:rFonts w:hint="eastAsia" w:ascii="仿宋" w:hAnsi="仿宋" w:eastAsia="仿宋"/>
          <w:b w:val="0"/>
        </w:rPr>
        <w:t>国</w:t>
      </w:r>
      <w:r>
        <w:rPr>
          <w:rStyle w:val="18"/>
          <w:rFonts w:hint="eastAsia" w:ascii="仿宋" w:hAnsi="仿宋" w:eastAsia="仿宋"/>
          <w:b w:val="0"/>
          <w:bCs w:val="0"/>
        </w:rPr>
        <w:t>有资本经营预算财政拨款收入支出决算表</w:t>
      </w:r>
      <w:bookmarkEnd w:id="45"/>
    </w:p>
    <w:p w14:paraId="4E8BE26C">
      <w:pPr>
        <w:pStyle w:val="6"/>
        <w:rPr>
          <w:rFonts w:hint="eastAsia" w:ascii="仿宋" w:hAnsi="仿宋" w:eastAsia="仿宋"/>
        </w:rPr>
      </w:pPr>
      <w:bookmarkStart w:id="46" w:name="_Toc176437706"/>
      <w:r>
        <w:rPr>
          <w:rStyle w:val="18"/>
          <w:rFonts w:hint="eastAsia" w:ascii="仿宋" w:hAnsi="仿宋" w:eastAsia="仿宋"/>
          <w:b w:val="0"/>
          <w:bCs w:val="0"/>
        </w:rPr>
        <w:t>十二、国有资本经营预算财政拨款支出决算表</w:t>
      </w:r>
      <w:bookmarkEnd w:id="46"/>
    </w:p>
    <w:p w14:paraId="677A25FE">
      <w:pPr>
        <w:pStyle w:val="6"/>
        <w:rPr>
          <w:rFonts w:eastAsia="仿宋"/>
        </w:rPr>
      </w:pPr>
      <w:bookmarkStart w:id="47" w:name="_Toc176437707"/>
      <w:r>
        <w:rPr>
          <w:rStyle w:val="18"/>
          <w:rFonts w:hint="eastAsia" w:ascii="仿宋" w:hAnsi="仿宋" w:eastAsia="仿宋"/>
          <w:b w:val="0"/>
          <w:bCs w:val="0"/>
        </w:rPr>
        <w:t>十三、财政拨款“三公”经费支出决算表</w:t>
      </w:r>
      <w:bookmarkEnd w:id="47"/>
    </w:p>
    <w:p w14:paraId="54107C88"/>
    <w:p w14:paraId="17863F88"/>
    <w:sectPr>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BF743">
    <w:pPr>
      <w:pStyle w:val="9"/>
    </w:pPr>
  </w:p>
  <w:p w14:paraId="06B7E96C">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8427653"/>
      <w:docPartObj>
        <w:docPartGallery w:val="autotext"/>
      </w:docPartObj>
    </w:sdtPr>
    <w:sdtEndPr>
      <w:rPr>
        <w:rFonts w:ascii="仿宋" w:hAnsi="仿宋" w:eastAsia="仿宋"/>
        <w:sz w:val="28"/>
        <w:szCs w:val="28"/>
      </w:rPr>
    </w:sdtEndPr>
    <w:sdtContent>
      <w:p w14:paraId="1A89A691">
        <w:pPr>
          <w:pStyle w:val="9"/>
          <w:jc w:val="center"/>
          <w:rPr>
            <w:rFonts w:hint="eastAsia"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2</w:t>
        </w:r>
        <w:r>
          <w:rPr>
            <w:rFonts w:ascii="仿宋" w:hAnsi="仿宋" w:eastAsia="仿宋"/>
            <w:sz w:val="28"/>
            <w:szCs w:val="28"/>
          </w:rPr>
          <w:fldChar w:fldCharType="end"/>
        </w:r>
      </w:p>
    </w:sdtContent>
  </w:sdt>
  <w:p w14:paraId="2DC7D99A">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0047AF8"/>
    <w:rsid w:val="00052B5D"/>
    <w:rsid w:val="00086094"/>
    <w:rsid w:val="00090031"/>
    <w:rsid w:val="000977C2"/>
    <w:rsid w:val="000A545F"/>
    <w:rsid w:val="000B092F"/>
    <w:rsid w:val="000F69E5"/>
    <w:rsid w:val="00112D40"/>
    <w:rsid w:val="00122B64"/>
    <w:rsid w:val="001269FD"/>
    <w:rsid w:val="00141A4E"/>
    <w:rsid w:val="00170558"/>
    <w:rsid w:val="00182507"/>
    <w:rsid w:val="00184E41"/>
    <w:rsid w:val="001B2C67"/>
    <w:rsid w:val="001C394B"/>
    <w:rsid w:val="001C6DDC"/>
    <w:rsid w:val="00221CB7"/>
    <w:rsid w:val="0023222D"/>
    <w:rsid w:val="002860C2"/>
    <w:rsid w:val="002914BE"/>
    <w:rsid w:val="002A1E5F"/>
    <w:rsid w:val="002C3BF8"/>
    <w:rsid w:val="002F281F"/>
    <w:rsid w:val="00300255"/>
    <w:rsid w:val="003025A5"/>
    <w:rsid w:val="00305FE4"/>
    <w:rsid w:val="00306866"/>
    <w:rsid w:val="003241EA"/>
    <w:rsid w:val="00365A25"/>
    <w:rsid w:val="00384D58"/>
    <w:rsid w:val="003B6286"/>
    <w:rsid w:val="003E5335"/>
    <w:rsid w:val="004062D7"/>
    <w:rsid w:val="00406BBC"/>
    <w:rsid w:val="00417144"/>
    <w:rsid w:val="00417704"/>
    <w:rsid w:val="00477057"/>
    <w:rsid w:val="004960F1"/>
    <w:rsid w:val="004C2AE5"/>
    <w:rsid w:val="004E41F2"/>
    <w:rsid w:val="00501CB7"/>
    <w:rsid w:val="00515866"/>
    <w:rsid w:val="005240C7"/>
    <w:rsid w:val="00546BC5"/>
    <w:rsid w:val="00550276"/>
    <w:rsid w:val="00564599"/>
    <w:rsid w:val="00583C9F"/>
    <w:rsid w:val="0059070E"/>
    <w:rsid w:val="00595568"/>
    <w:rsid w:val="005B187F"/>
    <w:rsid w:val="005C118D"/>
    <w:rsid w:val="005D1367"/>
    <w:rsid w:val="005D279A"/>
    <w:rsid w:val="005F01E9"/>
    <w:rsid w:val="005F4563"/>
    <w:rsid w:val="006408B8"/>
    <w:rsid w:val="00652104"/>
    <w:rsid w:val="006879E5"/>
    <w:rsid w:val="00692432"/>
    <w:rsid w:val="006B3C51"/>
    <w:rsid w:val="006C6A90"/>
    <w:rsid w:val="006D10A8"/>
    <w:rsid w:val="006E5E16"/>
    <w:rsid w:val="007069F6"/>
    <w:rsid w:val="007161CC"/>
    <w:rsid w:val="00721A39"/>
    <w:rsid w:val="00772059"/>
    <w:rsid w:val="00772745"/>
    <w:rsid w:val="007C3670"/>
    <w:rsid w:val="007D75DA"/>
    <w:rsid w:val="007F16AE"/>
    <w:rsid w:val="00842D71"/>
    <w:rsid w:val="008540CE"/>
    <w:rsid w:val="00854331"/>
    <w:rsid w:val="00873861"/>
    <w:rsid w:val="008757E4"/>
    <w:rsid w:val="00892927"/>
    <w:rsid w:val="008B18E9"/>
    <w:rsid w:val="008E1370"/>
    <w:rsid w:val="008E1E42"/>
    <w:rsid w:val="0090642B"/>
    <w:rsid w:val="00925501"/>
    <w:rsid w:val="00931713"/>
    <w:rsid w:val="00946447"/>
    <w:rsid w:val="009515A4"/>
    <w:rsid w:val="00952784"/>
    <w:rsid w:val="00953B70"/>
    <w:rsid w:val="00984E4F"/>
    <w:rsid w:val="009A5CED"/>
    <w:rsid w:val="009B2474"/>
    <w:rsid w:val="009C6AE3"/>
    <w:rsid w:val="00A126B3"/>
    <w:rsid w:val="00A24B30"/>
    <w:rsid w:val="00AA10AD"/>
    <w:rsid w:val="00AB1465"/>
    <w:rsid w:val="00AB2D0A"/>
    <w:rsid w:val="00AB525F"/>
    <w:rsid w:val="00AC051D"/>
    <w:rsid w:val="00B011C8"/>
    <w:rsid w:val="00B15316"/>
    <w:rsid w:val="00B16EC0"/>
    <w:rsid w:val="00B276DC"/>
    <w:rsid w:val="00B341BD"/>
    <w:rsid w:val="00B76379"/>
    <w:rsid w:val="00B827DE"/>
    <w:rsid w:val="00B85211"/>
    <w:rsid w:val="00BD79A2"/>
    <w:rsid w:val="00BF309A"/>
    <w:rsid w:val="00BF7C7E"/>
    <w:rsid w:val="00C51558"/>
    <w:rsid w:val="00C56CC9"/>
    <w:rsid w:val="00C70502"/>
    <w:rsid w:val="00C742C9"/>
    <w:rsid w:val="00C744D2"/>
    <w:rsid w:val="00CA1A2A"/>
    <w:rsid w:val="00CD6E3F"/>
    <w:rsid w:val="00CE394C"/>
    <w:rsid w:val="00CE78BF"/>
    <w:rsid w:val="00D05228"/>
    <w:rsid w:val="00D07865"/>
    <w:rsid w:val="00D25A32"/>
    <w:rsid w:val="00D42BED"/>
    <w:rsid w:val="00D63C30"/>
    <w:rsid w:val="00D93ECA"/>
    <w:rsid w:val="00DE50E3"/>
    <w:rsid w:val="00E35DBE"/>
    <w:rsid w:val="00ED2071"/>
    <w:rsid w:val="00ED30BC"/>
    <w:rsid w:val="00EF345B"/>
    <w:rsid w:val="00F32FEE"/>
    <w:rsid w:val="00F33E19"/>
    <w:rsid w:val="00F92620"/>
    <w:rsid w:val="00FA6CC4"/>
    <w:rsid w:val="00FC0FC3"/>
    <w:rsid w:val="00FE3DA3"/>
    <w:rsid w:val="00FF63AF"/>
    <w:rsid w:val="63B70B32"/>
    <w:rsid w:val="6DCA6585"/>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szCs w:val="32"/>
    </w:rPr>
  </w:style>
  <w:style w:type="paragraph" w:styleId="7">
    <w:name w:val="Body Text"/>
    <w:basedOn w:val="1"/>
    <w:qFormat/>
    <w:uiPriority w:val="99"/>
    <w:pPr>
      <w:spacing w:beforeLines="30"/>
    </w:pPr>
    <w:rPr>
      <w:rFonts w:ascii="仿宋_GB2312" w:eastAsia="仿宋_GB2312"/>
      <w:kern w:val="0"/>
      <w:sz w:val="30"/>
    </w:rPr>
  </w:style>
  <w:style w:type="paragraph" w:styleId="8">
    <w:name w:val="toc 3"/>
    <w:basedOn w:val="1"/>
    <w:next w:val="1"/>
    <w:autoRedefine/>
    <w:qFormat/>
    <w:uiPriority w:val="39"/>
    <w:pPr>
      <w:ind w:left="840" w:leftChars="400"/>
    </w:p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qFormat/>
    <w:uiPriority w:val="0"/>
    <w:pPr>
      <w:tabs>
        <w:tab w:val="center" w:pos="4153"/>
        <w:tab w:val="right" w:pos="8306"/>
      </w:tabs>
      <w:snapToGrid w:val="0"/>
      <w:jc w:val="center"/>
    </w:pPr>
    <w:rPr>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标题 1 字符"/>
    <w:basedOn w:val="14"/>
    <w:link w:val="5"/>
    <w:qFormat/>
    <w:uiPriority w:val="9"/>
    <w:rPr>
      <w:b/>
      <w:bCs/>
      <w:kern w:val="44"/>
      <w:sz w:val="44"/>
      <w:szCs w:val="44"/>
    </w:rPr>
  </w:style>
  <w:style w:type="character" w:customStyle="1" w:styleId="18">
    <w:name w:val="标题 2 字符"/>
    <w:basedOn w:val="14"/>
    <w:link w:val="6"/>
    <w:qFormat/>
    <w:uiPriority w:val="9"/>
    <w:rPr>
      <w:rFonts w:asciiTheme="majorHAnsi" w:hAnsiTheme="majorHAnsi" w:eastAsiaTheme="majorEastAsia" w:cstheme="majorBidi"/>
      <w:b/>
      <w:bCs/>
      <w:sz w:val="32"/>
      <w:szCs w:val="32"/>
    </w:rPr>
  </w:style>
  <w:style w:type="paragraph" w:styleId="19">
    <w:name w:val="List Paragraph"/>
    <w:basedOn w:val="1"/>
    <w:qFormat/>
    <w:uiPriority w:val="99"/>
    <w:pPr>
      <w:ind w:firstLine="420" w:firstLineChars="200"/>
    </w:pPr>
  </w:style>
  <w:style w:type="paragraph" w:customStyle="1" w:styleId="2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21">
    <w:name w:val="页眉 字符"/>
    <w:basedOn w:val="14"/>
    <w:link w:val="10"/>
    <w:qFormat/>
    <w:uiPriority w:val="0"/>
    <w:rPr>
      <w:rFonts w:ascii="Times New Roman" w:hAnsi="Times New Roman" w:eastAsia="宋体" w:cs="Times New Roman"/>
      <w:kern w:val="2"/>
      <w:sz w:val="18"/>
      <w:szCs w:val="18"/>
    </w:rPr>
  </w:style>
  <w:style w:type="paragraph" w:customStyle="1" w:styleId="22">
    <w:name w:val="TOC Heading"/>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3">
    <w:name w:val="页脚 字符"/>
    <w:basedOn w:val="14"/>
    <w:link w:val="9"/>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E:\&#24494;&#20449;\WeChat\&#24494;&#20449;&#20648;&#23384;&#20301;&#32622;\WeChat%20Files\wxid_ccds72fs8nry22\FileStorage\File\2024-09\0912&#26356;&#26032;&#65306;&#22270;&#34920;&#29983;&#25104;&#65288;&#21442;&#32771;&#20351;&#29992;&#65289;.XLS"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收、支决算总计变动情况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c:formatCode>
                <c:ptCount val="2"/>
                <c:pt idx="0">
                  <c:v>4190.704843</c:v>
                </c:pt>
                <c:pt idx="1">
                  <c:v>4190.704843</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#,##0.00</c:formatCode>
                <c:ptCount val="2"/>
                <c:pt idx="0">
                  <c:v>2894.069573</c:v>
                </c:pt>
                <c:pt idx="1">
                  <c:v>2894.069573</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收入决算结构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4190.704843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支出决算结构</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1"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82.3%</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manualLayout>
                  <c:x val="0"/>
                  <c:y val="-0.00695249130938586"/>
                </c:manualLayout>
              </c:layout>
              <c:tx>
                <c:rich>
                  <a:bodyPr rot="0" spcFirstLastPara="1"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17.</a:t>
                    </a:r>
                    <a:r>
                      <a:rPr lang="en-US" altLang="zh-CN"/>
                      <a:t>7</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3450.12</c:v>
                </c:pt>
                <c:pt idx="1" c:formatCode="General">
                  <c:v>740.59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财政拨款收、支决算总计变动情况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#,##0.00</c:formatCode>
                <c:ptCount val="2"/>
                <c:pt idx="0">
                  <c:v>4190.704843</c:v>
                </c:pt>
                <c:pt idx="1">
                  <c:v>4190.704843</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#,##0.00</c:formatCode>
                <c:ptCount val="2"/>
                <c:pt idx="0">
                  <c:v>2894.069573</c:v>
                </c:pt>
                <c:pt idx="1">
                  <c:v>2894.069573</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一般公共预算财政拨款支出决算总计变动情况</a:t>
            </a:r>
            <a:endParaRPr lang="zh-CN" altLang="en-US"/>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c:formatCode>
                <c:ptCount val="1"/>
                <c:pt idx="0">
                  <c:v>4190.704843</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#,##0.00</c:formatCode>
                <c:ptCount val="1"/>
                <c:pt idx="0">
                  <c:v>2894.069573</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t>一般公共预算财政拨款支出</a:t>
            </a:r>
            <a:endParaRPr lang="zh-CN"/>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1"/>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4.</a:t>
                    </a:r>
                    <a:r>
                      <a:rPr lang="en-US" altLang="zh-CN"/>
                      <a:t>1</a:t>
                    </a:r>
                    <a:r>
                      <a:t>%</a:t>
                    </a:r>
                  </a:p>
                </c:rich>
              </c:tx>
              <c:dLblPos val="outEnd"/>
              <c:showLegendKey val="0"/>
              <c:showVal val="0"/>
              <c:showCatName val="0"/>
              <c:showSerName val="0"/>
              <c:showPercent val="1"/>
              <c:showBubbleSize val="0"/>
              <c:separator>
</c:separator>
              <c:extLst>
                <c:ext xmlns:c15="http://schemas.microsoft.com/office/drawing/2012/chart" uri="{CE6537A1-D6FC-4f65-9D91-7224C49458BB}"/>
              </c:extLst>
            </c:dLbl>
            <c:dLbl>
              <c:idx val="2"/>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84.6%</a:t>
                    </a:r>
                  </a:p>
                </c:rich>
              </c:tx>
              <c:dLblPos val="outEnd"/>
              <c:showLegendKey val="0"/>
              <c:showVal val="0"/>
              <c:showCatName val="0"/>
              <c:showSerName val="0"/>
              <c:showPercent val="1"/>
              <c:showBubbleSize val="0"/>
              <c:separator>
</c:separator>
              <c:extLst>
                <c:ext xmlns:c15="http://schemas.microsoft.com/office/drawing/2012/chart" uri="{CE6537A1-D6FC-4f65-9D91-7224C49458BB}"/>
              </c:extLst>
            </c:dLbl>
            <c:dLbl>
              <c:idx val="3"/>
              <c:layout/>
              <c:tx>
                <c:rich>
                  <a:bodyPr rot="0" spcFirstLastPara="1"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t>4.1%</a:t>
                    </a:r>
                  </a:p>
                </c:rich>
              </c:tx>
              <c:dLblPos val="outEnd"/>
              <c:showLegendKey val="0"/>
              <c:showVal val="0"/>
              <c:showCatName val="0"/>
              <c:showSerName val="0"/>
              <c:showPercent val="1"/>
              <c:showBubbleSize val="0"/>
              <c:separator>
</c:separator>
              <c:extLst>
                <c:ext xmlns:c15="http://schemas.microsoft.com/office/drawing/2012/chart" uri="{CE6537A1-D6FC-4f65-9D91-7224C49458BB}"/>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eparator>
</c:separator>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'表2 图表生成'!$B$2:$B$12</c:f>
              <c:strCache>
                <c:ptCount val="4"/>
                <c:pt idx="0">
                  <c:v>社会保障和就业支出</c:v>
                </c:pt>
                <c:pt idx="1">
                  <c:v>卫生健康支出</c:v>
                </c:pt>
                <c:pt idx="2">
                  <c:v>交通运输支出</c:v>
                </c:pt>
                <c:pt idx="3">
                  <c:v>住房保障支出</c:v>
                </c:pt>
              </c:strCache>
            </c:strRef>
          </c:cat>
          <c:val>
            <c:numRef>
              <c:f>'表2 图表生成'!$C$2:$C$12</c:f>
              <c:numCache>
                <c:formatCode>0.00</c:formatCode>
                <c:ptCount val="4"/>
                <c:pt idx="0">
                  <c:v>301.613472</c:v>
                </c:pt>
                <c:pt idx="1">
                  <c:v>169.941604</c:v>
                </c:pt>
                <c:pt idx="2">
                  <c:v>3546.998367</c:v>
                </c:pt>
                <c:pt idx="3">
                  <c:v>172.1514</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“三公”经费财政拨款支出</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0481579581025764"/>
                  <c:y val="0"/>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457500601974476"/>
                  <c:y val="0"/>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c:v>
                </c:pt>
                <c:pt idx="1">
                  <c:v> 公务用车购置及运行维护费</c:v>
                </c:pt>
                <c:pt idx="2">
                  <c:v>公务接待费</c:v>
                </c:pt>
              </c:strCache>
            </c:strRef>
          </c:cat>
          <c:val>
            <c:numRef>
              <c:f>Sheet1!$B$2:$B$4</c:f>
              <c:numCache>
                <c:formatCode>General</c:formatCode>
                <c:ptCount val="3"/>
                <c:pt idx="0">
                  <c:v>0</c:v>
                </c:pt>
                <c:pt idx="1" c:formatCode="0.00">
                  <c:v>20</c:v>
                </c:pt>
                <c:pt idx="2">
                  <c:v>0.1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7827F-5943-444C-A6BB-DF4E4B661EB2}">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5079</Words>
  <Characters>5534</Characters>
  <Lines>54</Lines>
  <Paragraphs>15</Paragraphs>
  <TotalTime>24</TotalTime>
  <ScaleCrop>false</ScaleCrop>
  <LinksUpToDate>false</LinksUpToDate>
  <CharactersWithSpaces>5711</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2024-09-18T03:02:22Z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0E23418E62D449B9A016F65D4200E8E0_13</vt:lpwstr>
  </property>
</Properties>
</file>