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4C377">
      <w:pPr>
        <w:pStyle w:val="2"/>
        <w:jc w:val="center"/>
        <w:rPr>
          <w:rFonts w:hint="eastAsia" w:ascii="方正小标宋简体" w:hAnsi="宋体" w:eastAsia="方正小标宋简体" w:cs="Times New Roman"/>
          <w:color w:val="auto"/>
          <w:kern w:val="2"/>
          <w:sz w:val="44"/>
          <w:szCs w:val="44"/>
          <w:highlight w:val="none"/>
          <w:lang w:val="en-US" w:eastAsia="zh-CN" w:bidi="ar-SA"/>
        </w:rPr>
      </w:pPr>
    </w:p>
    <w:p w14:paraId="72F2C93F">
      <w:pPr>
        <w:pStyle w:val="2"/>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2023年度阿坝藏族羌族自治州公路管理局理县公路管理分局单位决算</w:t>
      </w:r>
    </w:p>
    <w:p w14:paraId="03F99EE4">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14:paraId="5DE82035">
      <w:pPr>
        <w:widowControl/>
        <w:jc w:val="center"/>
        <w:rPr>
          <w:rFonts w:ascii="黑体" w:hAnsi="黑体" w:eastAsia="黑体" w:cstheme="minorBidi"/>
          <w:color w:val="auto"/>
          <w:sz w:val="28"/>
          <w:szCs w:val="28"/>
          <w:highlight w:val="none"/>
        </w:rPr>
      </w:pPr>
    </w:p>
    <w:p w14:paraId="62BE4596">
      <w:pPr>
        <w:pStyle w:val="8"/>
        <w:rPr>
          <w:color w:val="auto"/>
          <w:highlight w:val="none"/>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sdt>
      <w:sdtPr>
        <w:rPr>
          <w:rFonts w:ascii="宋体" w:hAnsi="宋体" w:eastAsia="宋体" w:cs="Times New Roman"/>
          <w:kern w:val="2"/>
          <w:sz w:val="21"/>
          <w:szCs w:val="24"/>
          <w:lang w:val="en-US" w:eastAsia="zh-CN" w:bidi="ar-SA"/>
        </w:rPr>
        <w:id w:val="147455290"/>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14:paraId="19942AA0">
          <w:pPr>
            <w:spacing w:before="0" w:beforeLines="0" w:after="0" w:afterLines="0" w:line="240" w:lineRule="auto"/>
            <w:ind w:left="0" w:leftChars="0" w:right="0" w:rightChars="0" w:firstLine="0" w:firstLineChars="0"/>
            <w:jc w:val="center"/>
          </w:pPr>
        </w:p>
        <w:p w14:paraId="65D34496">
          <w:pPr>
            <w:pStyle w:val="18"/>
            <w:tabs>
              <w:tab w:val="right" w:leader="dot" w:pos="8306"/>
            </w:tabs>
            <w:rPr>
              <w:rFonts w:hint="eastAsia" w:ascii="仿宋" w:hAnsi="仿宋" w:eastAsia="仿宋" w:cs="仿宋"/>
              <w:b/>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TOC \o "1-2" \h \u </w:instrText>
          </w:r>
          <w:r>
            <w:rPr>
              <w:rFonts w:hint="eastAsia" w:ascii="仿宋" w:hAnsi="仿宋" w:eastAsia="仿宋" w:cs="仿宋"/>
              <w:sz w:val="28"/>
              <w:szCs w:val="28"/>
            </w:rPr>
            <w:fldChar w:fldCharType="separate"/>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_Toc31476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 xml:space="preserve">第一部分 </w:t>
          </w:r>
          <w:r>
            <w:rPr>
              <w:rFonts w:hint="eastAsia" w:ascii="仿宋" w:hAnsi="仿宋" w:eastAsia="仿宋" w:cs="仿宋"/>
              <w:b/>
              <w:sz w:val="28"/>
              <w:szCs w:val="28"/>
              <w:highlight w:val="none"/>
              <w:lang w:eastAsia="zh-CN"/>
            </w:rPr>
            <w:t>单位</w:t>
          </w:r>
          <w:r>
            <w:rPr>
              <w:rFonts w:hint="eastAsia" w:ascii="仿宋" w:hAnsi="仿宋" w:eastAsia="仿宋" w:cs="仿宋"/>
              <w:b/>
              <w:bCs w:val="0"/>
              <w:sz w:val="28"/>
              <w:szCs w:val="28"/>
              <w:highlight w:val="none"/>
            </w:rPr>
            <w:t>概况</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_Toc31476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0F5E47A1">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_Toc20378 </w:instrText>
          </w:r>
          <w:r>
            <w:rPr>
              <w:rFonts w:hint="eastAsia" w:ascii="仿宋" w:hAnsi="仿宋" w:eastAsia="仿宋" w:cs="仿宋"/>
              <w:sz w:val="28"/>
              <w:szCs w:val="28"/>
            </w:rPr>
            <w:fldChar w:fldCharType="separate"/>
          </w:r>
          <w:r>
            <w:rPr>
              <w:rFonts w:hint="eastAsia" w:ascii="仿宋" w:hAnsi="仿宋" w:eastAsia="仿宋" w:cs="仿宋"/>
              <w:bCs w:val="0"/>
              <w:sz w:val="28"/>
              <w:szCs w:val="28"/>
              <w:lang w:eastAsia="zh-CN"/>
            </w:rPr>
            <w:t>一、</w:t>
          </w:r>
          <w:r>
            <w:rPr>
              <w:rFonts w:hint="eastAsia" w:ascii="仿宋" w:hAnsi="仿宋" w:eastAsia="仿宋" w:cs="仿宋"/>
              <w:bCs w:val="0"/>
              <w:sz w:val="28"/>
              <w:szCs w:val="28"/>
              <w:highlight w:val="none"/>
              <w:lang w:eastAsia="zh-CN"/>
            </w:rPr>
            <w:t>主要职责</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_Toc20378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5F4AF8B6">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_Toc28084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val="en-US" w:eastAsia="zh-CN"/>
            </w:rPr>
            <w:t>二、机构设置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_Toc28084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67576EE">
          <w:pPr>
            <w:pStyle w:val="18"/>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_Toc11762 </w:instrText>
          </w:r>
          <w:r>
            <w:rPr>
              <w:rFonts w:hint="eastAsia" w:ascii="仿宋" w:hAnsi="仿宋" w:eastAsia="仿宋" w:cs="仿宋"/>
              <w:b/>
              <w:sz w:val="28"/>
              <w:szCs w:val="28"/>
            </w:rPr>
            <w:fldChar w:fldCharType="separate"/>
          </w:r>
          <w:r>
            <w:rPr>
              <w:rFonts w:hint="eastAsia" w:ascii="仿宋" w:hAnsi="仿宋" w:eastAsia="仿宋" w:cs="仿宋"/>
              <w:b/>
              <w:bCs/>
              <w:sz w:val="28"/>
              <w:szCs w:val="28"/>
              <w:highlight w:val="none"/>
            </w:rPr>
            <w:t xml:space="preserve">第二部分 </w:t>
          </w:r>
          <w:r>
            <w:rPr>
              <w:rFonts w:hint="eastAsia" w:ascii="仿宋" w:hAnsi="仿宋" w:eastAsia="仿宋" w:cs="仿宋"/>
              <w:b/>
              <w:bCs/>
              <w:sz w:val="28"/>
              <w:szCs w:val="28"/>
              <w:highlight w:val="none"/>
              <w:lang w:val="en-US" w:eastAsia="zh-CN"/>
            </w:rPr>
            <w:t>2023年度</w:t>
          </w:r>
          <w:r>
            <w:rPr>
              <w:rFonts w:hint="eastAsia" w:ascii="仿宋" w:hAnsi="仿宋" w:eastAsia="仿宋" w:cs="仿宋"/>
              <w:b/>
              <w:bCs/>
              <w:sz w:val="28"/>
              <w:szCs w:val="28"/>
              <w:highlight w:val="none"/>
              <w:lang w:eastAsia="zh-CN"/>
            </w:rPr>
            <w:t>单位</w:t>
          </w:r>
          <w:r>
            <w:rPr>
              <w:rFonts w:hint="eastAsia" w:ascii="仿宋" w:hAnsi="仿宋" w:eastAsia="仿宋" w:cs="仿宋"/>
              <w:b/>
              <w:bCs/>
              <w:sz w:val="28"/>
              <w:szCs w:val="28"/>
              <w:highlight w:val="none"/>
            </w:rPr>
            <w:t>决算情况说明</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_Toc11762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- 2 -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619CB752">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_Toc4485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一、</w:t>
          </w:r>
          <w:r>
            <w:rPr>
              <w:rFonts w:hint="eastAsia" w:ascii="仿宋" w:hAnsi="仿宋" w:eastAsia="仿宋" w:cs="仿宋"/>
              <w:sz w:val="28"/>
              <w:szCs w:val="28"/>
              <w:highlight w:val="none"/>
            </w:rPr>
            <w:t>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_Toc4485 \h </w:instrText>
          </w:r>
          <w:r>
            <w:rPr>
              <w:rFonts w:hint="eastAsia" w:ascii="仿宋" w:hAnsi="仿宋" w:eastAsia="仿宋" w:cs="仿宋"/>
              <w:sz w:val="28"/>
              <w:szCs w:val="28"/>
            </w:rPr>
            <w:fldChar w:fldCharType="separate"/>
          </w:r>
          <w:r>
            <w:rPr>
              <w:rFonts w:hint="eastAsia" w:ascii="仿宋" w:hAnsi="仿宋" w:eastAsia="仿宋" w:cs="仿宋"/>
              <w:sz w:val="28"/>
              <w:szCs w:val="28"/>
            </w:rPr>
            <w:t>- 2 -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A842F17">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_Toc24088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二、</w:t>
          </w:r>
          <w:r>
            <w:rPr>
              <w:rFonts w:hint="eastAsia" w:ascii="仿宋" w:hAnsi="仿宋" w:eastAsia="仿宋" w:cs="仿宋"/>
              <w:sz w:val="28"/>
              <w:szCs w:val="28"/>
              <w:highlight w:val="none"/>
            </w:rPr>
            <w:t>收入决算情况说明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_Toc24088 \h </w:instrText>
          </w:r>
          <w:r>
            <w:rPr>
              <w:rFonts w:hint="eastAsia" w:ascii="仿宋" w:hAnsi="仿宋" w:eastAsia="仿宋" w:cs="仿宋"/>
              <w:sz w:val="28"/>
              <w:szCs w:val="28"/>
            </w:rPr>
            <w:fldChar w:fldCharType="separate"/>
          </w:r>
          <w:r>
            <w:rPr>
              <w:rFonts w:hint="eastAsia" w:ascii="仿宋" w:hAnsi="仿宋" w:eastAsia="仿宋" w:cs="仿宋"/>
              <w:sz w:val="28"/>
              <w:szCs w:val="28"/>
            </w:rPr>
            <w:t>- 2 -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97B9154">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_Toc19354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三、</w:t>
          </w:r>
          <w:r>
            <w:rPr>
              <w:rFonts w:hint="eastAsia" w:ascii="仿宋" w:hAnsi="仿宋" w:eastAsia="仿宋" w:cs="仿宋"/>
              <w:sz w:val="28"/>
              <w:szCs w:val="28"/>
              <w:highlight w:val="none"/>
            </w:rPr>
            <w:t>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_Toc19354 \h </w:instrText>
          </w:r>
          <w:r>
            <w:rPr>
              <w:rFonts w:hint="eastAsia" w:ascii="仿宋" w:hAnsi="仿宋" w:eastAsia="仿宋" w:cs="仿宋"/>
              <w:sz w:val="28"/>
              <w:szCs w:val="28"/>
            </w:rPr>
            <w:fldChar w:fldCharType="separate"/>
          </w:r>
          <w:r>
            <w:rPr>
              <w:rFonts w:hint="eastAsia" w:ascii="仿宋" w:hAnsi="仿宋" w:eastAsia="仿宋" w:cs="仿宋"/>
              <w:sz w:val="28"/>
              <w:szCs w:val="28"/>
            </w:rPr>
            <w:t>- 3 -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02C849A">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_Toc19234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四、财政拨款收入支出决算总体情况说明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_Toc19234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BBED165">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_Toc8445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五、一般公共预算财政拨款支出决算情况说明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_Toc8445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5C7DB81">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_Toc26873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六、一般公共预算财政拨款基本支出决算情况说明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_Toc26873 \h </w:instrText>
          </w:r>
          <w:r>
            <w:rPr>
              <w:rFonts w:hint="eastAsia" w:ascii="仿宋" w:hAnsi="仿宋" w:eastAsia="仿宋" w:cs="仿宋"/>
              <w:sz w:val="28"/>
              <w:szCs w:val="28"/>
            </w:rPr>
            <w:fldChar w:fldCharType="separate"/>
          </w:r>
          <w:r>
            <w:rPr>
              <w:rFonts w:hint="eastAsia" w:ascii="仿宋" w:hAnsi="仿宋" w:eastAsia="仿宋" w:cs="仿宋"/>
              <w:sz w:val="28"/>
              <w:szCs w:val="28"/>
            </w:rPr>
            <w:t>- 7 -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FB18ABF">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_Toc3659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七、财政拨款“三公”经费支出决算情况说明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_Toc3659 \h </w:instrText>
          </w:r>
          <w:r>
            <w:rPr>
              <w:rFonts w:hint="eastAsia" w:ascii="仿宋" w:hAnsi="仿宋" w:eastAsia="仿宋" w:cs="仿宋"/>
              <w:sz w:val="28"/>
              <w:szCs w:val="28"/>
            </w:rPr>
            <w:fldChar w:fldCharType="separate"/>
          </w:r>
          <w:r>
            <w:rPr>
              <w:rFonts w:hint="eastAsia" w:ascii="仿宋" w:hAnsi="仿宋" w:eastAsia="仿宋" w:cs="仿宋"/>
              <w:sz w:val="28"/>
              <w:szCs w:val="28"/>
            </w:rPr>
            <w:t>- 8 -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1D52F5D">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_Toc22704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八、政府性基金预算支出决算情况说明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_Toc22704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329D3C70">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_Toc29663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九、</w:t>
          </w:r>
          <w:r>
            <w:rPr>
              <w:rFonts w:hint="eastAsia" w:ascii="仿宋" w:hAnsi="仿宋" w:eastAsia="仿宋" w:cs="仿宋"/>
              <w:sz w:val="28"/>
              <w:szCs w:val="28"/>
              <w:highlight w:val="none"/>
            </w:rPr>
            <w:t>国有资本经营预算支出决算情况说明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_Toc29663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BB6D57A">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_Toc30443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十、</w:t>
          </w:r>
          <w:r>
            <w:rPr>
              <w:rFonts w:hint="eastAsia" w:ascii="仿宋" w:hAnsi="仿宋" w:eastAsia="仿宋" w:cs="仿宋"/>
              <w:sz w:val="28"/>
              <w:szCs w:val="28"/>
              <w:highlight w:val="none"/>
            </w:rPr>
            <w:t>其他重要事项的情况说明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_Toc30443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DDA7450">
          <w:pPr>
            <w:pStyle w:val="18"/>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_Toc25838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lang w:eastAsia="zh-CN"/>
            </w:rPr>
            <w:t>第三部分</w:t>
          </w: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名词解释</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_Toc25838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- 12 -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27F78AAB">
          <w:pPr>
            <w:pStyle w:val="18"/>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_Toc23889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第四部分 附件</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_Toc23889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- 15 -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05048B4D">
          <w:pPr>
            <w:pStyle w:val="18"/>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_Toc30884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第五部分 附表</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_Toc30884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- 16 -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1B64B1FF">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_Toc19974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一、收</w:t>
          </w:r>
          <w:r>
            <w:rPr>
              <w:rFonts w:hint="eastAsia" w:ascii="仿宋" w:hAnsi="仿宋" w:eastAsia="仿宋" w:cs="仿宋"/>
              <w:bCs w:val="0"/>
              <w:sz w:val="28"/>
              <w:szCs w:val="28"/>
              <w:highlight w:val="none"/>
            </w:rPr>
            <w:t>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_Toc19974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0A8E02A">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_Toc22341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二、收</w:t>
          </w:r>
          <w:r>
            <w:rPr>
              <w:rFonts w:hint="eastAsia" w:ascii="仿宋" w:hAnsi="仿宋" w:eastAsia="仿宋" w:cs="仿宋"/>
              <w:bCs w:val="0"/>
              <w:sz w:val="28"/>
              <w:szCs w:val="28"/>
              <w:highlight w:val="none"/>
            </w:rPr>
            <w:t>入决算表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_Toc22341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2763BB6">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_Toc24841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三、</w:t>
          </w:r>
          <w:r>
            <w:rPr>
              <w:rFonts w:hint="eastAsia" w:ascii="仿宋" w:hAnsi="仿宋" w:eastAsia="仿宋" w:cs="仿宋"/>
              <w:sz w:val="28"/>
              <w:szCs w:val="28"/>
              <w:highlight w:val="none"/>
            </w:rPr>
            <w:t>支</w:t>
          </w:r>
          <w:r>
            <w:rPr>
              <w:rFonts w:hint="eastAsia" w:ascii="仿宋" w:hAnsi="仿宋" w:eastAsia="仿宋" w:cs="仿宋"/>
              <w:bCs w:val="0"/>
              <w:sz w:val="28"/>
              <w:szCs w:val="28"/>
              <w:highlight w:val="none"/>
            </w:rPr>
            <w:t>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_Toc24841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4AF7FBC">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_Toc20006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四、</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政拨款收入支出决算总表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_Toc20006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CC476E0">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_Toc14019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五、</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_Toc14019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CED1E7F">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_Toc16262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六、</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_Toc16262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0C8C871">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_Toc9758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七、</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_Toc9758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FD3643B">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_Toc21923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八、</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般公共预算财政拨款基本支出决算表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_Toc21923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B1D0905">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_Toc11097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九、</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般公共预算财政拨款项目支出决算表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_Toc11097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64CA564">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_Toc4821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w:t>
          </w:r>
          <w:r>
            <w:rPr>
              <w:rFonts w:hint="eastAsia" w:ascii="仿宋" w:hAnsi="仿宋" w:eastAsia="仿宋" w:cs="仿宋"/>
              <w:sz w:val="28"/>
              <w:szCs w:val="28"/>
              <w:highlight w:val="none"/>
            </w:rPr>
            <w:t>政</w:t>
          </w:r>
          <w:r>
            <w:rPr>
              <w:rFonts w:hint="eastAsia" w:ascii="仿宋" w:hAnsi="仿宋" w:eastAsia="仿宋" w:cs="仿宋"/>
              <w:bCs w:val="0"/>
              <w:sz w:val="28"/>
              <w:szCs w:val="28"/>
              <w:highlight w:val="none"/>
            </w:rPr>
            <w:t>府性基金预算财政拨款收入支出决算表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_Toc4821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80C69D7">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_Toc8763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十一、</w:t>
          </w:r>
          <w:r>
            <w:rPr>
              <w:rFonts w:hint="eastAsia" w:ascii="仿宋" w:hAnsi="仿宋" w:eastAsia="仿宋" w:cs="仿宋"/>
              <w:sz w:val="28"/>
              <w:szCs w:val="28"/>
              <w:highlight w:val="none"/>
            </w:rPr>
            <w:t>国</w:t>
          </w:r>
          <w:r>
            <w:rPr>
              <w:rFonts w:hint="eastAsia" w:ascii="仿宋" w:hAnsi="仿宋" w:eastAsia="仿宋" w:cs="仿宋"/>
              <w:bCs w:val="0"/>
              <w:sz w:val="28"/>
              <w:szCs w:val="28"/>
              <w:highlight w:val="none"/>
            </w:rPr>
            <w:t>有资本经营预算</w:t>
          </w:r>
          <w:r>
            <w:rPr>
              <w:rFonts w:hint="eastAsia" w:ascii="仿宋" w:hAnsi="仿宋" w:eastAsia="仿宋" w:cs="仿宋"/>
              <w:bCs w:val="0"/>
              <w:sz w:val="28"/>
              <w:szCs w:val="28"/>
              <w:highlight w:val="none"/>
              <w:lang w:eastAsia="zh-CN"/>
            </w:rPr>
            <w:t>财政拨款收入</w:t>
          </w:r>
          <w:r>
            <w:rPr>
              <w:rFonts w:hint="eastAsia" w:ascii="仿宋" w:hAnsi="仿宋" w:eastAsia="仿宋" w:cs="仿宋"/>
              <w:bCs w:val="0"/>
              <w:sz w:val="28"/>
              <w:szCs w:val="28"/>
              <w:highlight w:val="none"/>
            </w:rPr>
            <w:t>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_Toc8763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5AF971C4">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_Toc25446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十二、</w:t>
          </w:r>
          <w:r>
            <w:rPr>
              <w:rFonts w:hint="eastAsia" w:ascii="仿宋" w:hAnsi="仿宋" w:eastAsia="仿宋" w:cs="仿宋"/>
              <w:bCs w:val="0"/>
              <w:sz w:val="28"/>
              <w:szCs w:val="28"/>
              <w:highlight w:val="none"/>
              <w:lang w:eastAsia="zh-CN"/>
            </w:rPr>
            <w:t>国有资本经营预算财政拨款支出决算表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_Toc25446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FDF53B5">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_Toc20221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十三、</w:t>
          </w:r>
          <w:r>
            <w:rPr>
              <w:rFonts w:hint="eastAsia" w:ascii="仿宋" w:hAnsi="仿宋" w:eastAsia="仿宋" w:cs="仿宋"/>
              <w:bCs w:val="0"/>
              <w:sz w:val="28"/>
              <w:szCs w:val="28"/>
              <w:highlight w:val="none"/>
              <w:lang w:eastAsia="zh-CN"/>
            </w:rPr>
            <w:t>财政拨款“三公”经费支出决算表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_Toc20221 \h </w:instrText>
          </w:r>
          <w:r>
            <w:rPr>
              <w:rFonts w:hint="eastAsia" w:ascii="仿宋" w:hAnsi="仿宋" w:eastAsia="仿宋" w:cs="仿宋"/>
              <w:sz w:val="28"/>
              <w:szCs w:val="28"/>
            </w:rPr>
            <w:fldChar w:fldCharType="separate"/>
          </w:r>
          <w:r>
            <w:rPr>
              <w:rFonts w:hint="eastAsia" w:ascii="仿宋" w:hAnsi="仿宋" w:eastAsia="仿宋" w:cs="仿宋"/>
              <w:sz w:val="28"/>
              <w:szCs w:val="28"/>
            </w:rPr>
            <w:t>- 16 -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356E6DED">
          <w:pPr>
            <w:rPr>
              <w:b/>
            </w:rPr>
            <w:sectPr>
              <w:footerReference r:id="rId4" w:type="first"/>
              <w:footerReference r:id="rId3" w:type="default"/>
              <w:pgSz w:w="11906" w:h="16838"/>
              <w:pgMar w:top="1440" w:right="1800" w:bottom="1440" w:left="1800" w:header="851" w:footer="992" w:gutter="0"/>
              <w:pgNumType w:fmt="numberInDash" w:start="1"/>
              <w:cols w:space="425" w:num="1"/>
              <w:titlePg/>
              <w:docGrid w:type="lines" w:linePitch="312" w:charSpace="0"/>
            </w:sectPr>
          </w:pPr>
          <w:r>
            <w:rPr>
              <w:rFonts w:hint="eastAsia" w:ascii="仿宋" w:hAnsi="仿宋" w:eastAsia="仿宋" w:cs="仿宋"/>
              <w:b/>
              <w:sz w:val="28"/>
              <w:szCs w:val="28"/>
            </w:rPr>
            <w:fldChar w:fldCharType="end"/>
          </w:r>
        </w:p>
      </w:sdtContent>
    </w:sdt>
    <w:p w14:paraId="74B9EA1E">
      <w:pPr>
        <w:pStyle w:val="3"/>
        <w:jc w:val="center"/>
        <w:rPr>
          <w:rStyle w:val="14"/>
          <w:rFonts w:ascii="黑体" w:hAnsi="黑体" w:eastAsia="黑体"/>
          <w:b/>
          <w:bCs w:val="0"/>
          <w:color w:val="auto"/>
          <w:highlight w:val="none"/>
        </w:rPr>
      </w:pPr>
      <w:bookmarkStart w:id="0" w:name="_Toc31476"/>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4"/>
          <w:rFonts w:hint="eastAsia" w:ascii="黑体" w:hAnsi="黑体" w:eastAsia="黑体"/>
          <w:b w:val="0"/>
          <w:bCs w:val="0"/>
          <w:color w:val="auto"/>
          <w:highlight w:val="none"/>
        </w:rPr>
        <w:t>概况</w:t>
      </w:r>
      <w:bookmarkEnd w:id="0"/>
    </w:p>
    <w:p w14:paraId="7F696EF7">
      <w:pPr>
        <w:widowControl/>
        <w:jc w:val="left"/>
        <w:rPr>
          <w:rFonts w:ascii="黑体" w:eastAsia="黑体"/>
          <w:color w:val="auto"/>
          <w:sz w:val="32"/>
          <w:szCs w:val="32"/>
          <w:highlight w:val="none"/>
        </w:rPr>
      </w:pPr>
    </w:p>
    <w:p w14:paraId="31732ECC">
      <w:pPr>
        <w:pStyle w:val="4"/>
        <w:numPr>
          <w:ilvl w:val="0"/>
          <w:numId w:val="1"/>
        </w:numPr>
        <w:rPr>
          <w:rStyle w:val="15"/>
          <w:rFonts w:hint="eastAsia" w:ascii="黑体" w:hAnsi="黑体" w:eastAsia="黑体"/>
          <w:b w:val="0"/>
          <w:bCs w:val="0"/>
          <w:color w:val="auto"/>
          <w:highlight w:val="none"/>
          <w:lang w:eastAsia="zh-CN"/>
        </w:rPr>
      </w:pPr>
      <w:bookmarkStart w:id="1" w:name="_Toc20378"/>
      <w:r>
        <w:rPr>
          <w:rStyle w:val="15"/>
          <w:rFonts w:hint="eastAsia" w:ascii="黑体" w:hAnsi="黑体" w:eastAsia="黑体"/>
          <w:b w:val="0"/>
          <w:bCs w:val="0"/>
          <w:color w:val="auto"/>
          <w:highlight w:val="none"/>
          <w:lang w:eastAsia="zh-CN"/>
        </w:rPr>
        <w:t>主要职责</w:t>
      </w:r>
      <w:bookmarkEnd w:id="1"/>
    </w:p>
    <w:p w14:paraId="7635CC03">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主要职能</w:t>
      </w:r>
      <w:r>
        <w:rPr>
          <w:rFonts w:hint="eastAsia" w:ascii="仿宋" w:hAnsi="仿宋" w:eastAsia="仿宋"/>
          <w:color w:val="auto"/>
          <w:sz w:val="32"/>
          <w:szCs w:val="32"/>
          <w:highlight w:val="none"/>
          <w:lang w:val="en-US" w:eastAsia="zh-CN"/>
        </w:rPr>
        <w:t>为</w:t>
      </w:r>
      <w:r>
        <w:rPr>
          <w:rFonts w:hint="eastAsia" w:ascii="仿宋" w:hAnsi="仿宋" w:eastAsia="仿宋"/>
          <w:color w:val="auto"/>
          <w:sz w:val="32"/>
          <w:szCs w:val="32"/>
          <w:highlight w:val="none"/>
        </w:rPr>
        <w:t>贯彻执行国家公路管理法律法规，负责下辖的公路建设管理和维护，确保公路的完好和畅通</w:t>
      </w:r>
    </w:p>
    <w:p w14:paraId="4B572480">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资金来源</w:t>
      </w:r>
      <w:r>
        <w:rPr>
          <w:rFonts w:hint="eastAsia" w:ascii="仿宋" w:hAnsi="仿宋" w:eastAsia="仿宋"/>
          <w:color w:val="auto"/>
          <w:sz w:val="32"/>
          <w:szCs w:val="32"/>
          <w:highlight w:val="none"/>
          <w:lang w:val="en-US" w:eastAsia="zh-CN"/>
        </w:rPr>
        <w:t>为</w:t>
      </w:r>
      <w:r>
        <w:rPr>
          <w:rFonts w:hint="eastAsia" w:ascii="仿宋" w:hAnsi="仿宋" w:eastAsia="仿宋"/>
          <w:color w:val="auto"/>
          <w:sz w:val="32"/>
          <w:szCs w:val="32"/>
          <w:highlight w:val="none"/>
        </w:rPr>
        <w:t>阿坝州财政局全额拨款，执行《事业单位财务制度》《事业单位会计制度》和《政府会计制度》</w:t>
      </w:r>
      <w:r>
        <w:rPr>
          <w:rFonts w:hint="eastAsia" w:ascii="仿宋" w:hAnsi="仿宋" w:eastAsia="仿宋"/>
          <w:color w:val="auto"/>
          <w:sz w:val="32"/>
          <w:szCs w:val="32"/>
          <w:highlight w:val="none"/>
          <w:lang w:eastAsia="zh-CN"/>
        </w:rPr>
        <w:t>。</w:t>
      </w:r>
    </w:p>
    <w:p w14:paraId="331E3543">
      <w:pPr>
        <w:pStyle w:val="4"/>
        <w:numPr>
          <w:ilvl w:val="0"/>
          <w:numId w:val="0"/>
        </w:numPr>
        <w:rPr>
          <w:rFonts w:hint="eastAsia" w:ascii="黑体" w:hAnsi="黑体" w:eastAsia="黑体"/>
          <w:b w:val="0"/>
          <w:color w:val="auto"/>
          <w:highlight w:val="none"/>
          <w:lang w:val="en-US" w:eastAsia="zh-CN"/>
        </w:rPr>
      </w:pPr>
      <w:bookmarkStart w:id="2" w:name="_Toc28084"/>
      <w:r>
        <w:rPr>
          <w:rFonts w:hint="eastAsia" w:ascii="黑体" w:hAnsi="黑体" w:eastAsia="黑体"/>
          <w:b w:val="0"/>
          <w:color w:val="auto"/>
          <w:highlight w:val="none"/>
          <w:lang w:val="en-US" w:eastAsia="zh-CN"/>
        </w:rPr>
        <w:t>二、机构设置</w:t>
      </w:r>
      <w:bookmarkEnd w:id="2"/>
    </w:p>
    <w:p w14:paraId="56E875CF">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rPr>
        <w:t>阿坝藏族羌族自治州公路管理局理县公路管理分局，因“管理体制改革”，由原“阿坝藏族羌族自治州公路管理局理县公路管理分局”隶属于阿坝藏族羌族自治州公路局；内设党支部办公室、行政办公室、工程股、财务股、机料股、劳动人事股、路政保卫股（两室五股）以及下设薛城养护中心、狮子坪应急保通中心两个公路管理养护站</w:t>
      </w:r>
      <w:r>
        <w:rPr>
          <w:rFonts w:hint="eastAsia" w:ascii="仿宋" w:hAnsi="仿宋" w:eastAsia="仿宋"/>
          <w:color w:val="auto"/>
          <w:sz w:val="32"/>
          <w:szCs w:val="32"/>
          <w:highlight w:val="none"/>
          <w:lang w:eastAsia="zh-CN"/>
        </w:rPr>
        <w:t>。</w:t>
      </w:r>
    </w:p>
    <w:p w14:paraId="7E6DB2C2">
      <w:pPr>
        <w:widowControl/>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14:paraId="78452F36">
      <w:pPr>
        <w:pStyle w:val="3"/>
        <w:ind w:right="440"/>
        <w:jc w:val="center"/>
        <w:rPr>
          <w:rStyle w:val="14"/>
          <w:rFonts w:ascii="黑体" w:hAnsi="黑体" w:eastAsia="黑体"/>
          <w:b w:val="0"/>
          <w:bCs/>
          <w:color w:val="auto"/>
          <w:highlight w:val="none"/>
        </w:rPr>
      </w:pPr>
      <w:bookmarkStart w:id="3" w:name="_Toc1176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w:t>
      </w:r>
      <w:r>
        <w:rPr>
          <w:rStyle w:val="14"/>
          <w:rFonts w:hint="eastAsia" w:ascii="黑体" w:hAnsi="黑体" w:eastAsia="黑体"/>
          <w:b w:val="0"/>
          <w:bCs/>
          <w:color w:val="auto"/>
          <w:highlight w:val="none"/>
          <w:lang w:eastAsia="zh-CN"/>
        </w:rPr>
        <w:t>单位</w:t>
      </w:r>
      <w:r>
        <w:rPr>
          <w:rStyle w:val="14"/>
          <w:rFonts w:hint="eastAsia" w:ascii="黑体" w:hAnsi="黑体" w:eastAsia="黑体"/>
          <w:b w:val="0"/>
          <w:bCs/>
          <w:color w:val="auto"/>
          <w:highlight w:val="none"/>
        </w:rPr>
        <w:t>决算情况说明</w:t>
      </w:r>
      <w:bookmarkEnd w:id="3"/>
    </w:p>
    <w:p w14:paraId="0FA43398">
      <w:pPr>
        <w:rPr>
          <w:color w:val="auto"/>
          <w:highlight w:val="none"/>
        </w:rPr>
      </w:pPr>
    </w:p>
    <w:p w14:paraId="67DADEB6">
      <w:pPr>
        <w:pStyle w:val="16"/>
        <w:numPr>
          <w:ilvl w:val="0"/>
          <w:numId w:val="0"/>
        </w:numPr>
        <w:spacing w:line="600" w:lineRule="exact"/>
        <w:ind w:left="640" w:leftChars="0"/>
        <w:outlineLvl w:val="1"/>
        <w:rPr>
          <w:rStyle w:val="15"/>
          <w:rFonts w:ascii="黑体" w:hAnsi="黑体" w:eastAsia="黑体"/>
          <w:b w:val="0"/>
          <w:color w:val="auto"/>
          <w:highlight w:val="none"/>
        </w:rPr>
      </w:pPr>
      <w:bookmarkStart w:id="4" w:name="_Toc448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15"/>
          <w:rFonts w:hint="eastAsia" w:ascii="黑体" w:hAnsi="黑体" w:eastAsia="黑体"/>
          <w:b w:val="0"/>
          <w:color w:val="auto"/>
          <w:highlight w:val="none"/>
        </w:rPr>
        <w:t>入支出决算总体情况说明</w:t>
      </w:r>
      <w:bookmarkEnd w:id="4"/>
    </w:p>
    <w:p w14:paraId="07E0D9FD">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eastAsia="zh-CN"/>
        </w:rPr>
        <w:t>均为4,054.95</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相比，收、支总计各增加2,068.34万元，增长104.1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。主要变动原因是G317线理县国省干线小修保养</w:t>
      </w:r>
      <w:r>
        <w:rPr>
          <w:rFonts w:hint="eastAsia" w:ascii="仿宋" w:hAnsi="仿宋" w:eastAsia="仿宋"/>
          <w:color w:val="auto"/>
          <w:sz w:val="32"/>
          <w:szCs w:val="32"/>
          <w:highlight w:val="none"/>
          <w:lang w:val="en-US" w:eastAsia="zh-CN"/>
        </w:rPr>
        <w:t>等项目经费增加，社保调标人员经费增加</w:t>
      </w:r>
      <w:r>
        <w:rPr>
          <w:rFonts w:hint="eastAsia" w:ascii="仿宋" w:hAnsi="仿宋" w:eastAsia="仿宋"/>
          <w:color w:val="auto"/>
          <w:sz w:val="32"/>
          <w:szCs w:val="32"/>
          <w:highlight w:val="none"/>
          <w:lang w:eastAsia="zh-CN"/>
        </w:rPr>
        <w:t>。</w:t>
      </w:r>
    </w:p>
    <w:p w14:paraId="3E93B53F">
      <w:pPr>
        <w:pStyle w:val="9"/>
        <w:rPr>
          <w:rFonts w:hint="eastAsia"/>
          <w:lang w:eastAsia="zh-CN"/>
        </w:rPr>
      </w:pPr>
      <w:r>
        <w:rPr>
          <w:rFonts w:hint="eastAsia"/>
          <w:lang w:eastAsia="zh-CN"/>
        </w:rPr>
        <w:drawing>
          <wp:inline distT="0" distB="0" distL="114300" distR="114300">
            <wp:extent cx="5256530" cy="2988310"/>
            <wp:effectExtent l="5080" t="4445" r="8890" b="76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6E775CEF">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14:paraId="442B3439">
      <w:pPr>
        <w:spacing w:line="600" w:lineRule="exact"/>
        <w:ind w:firstLine="640" w:firstLineChars="200"/>
        <w:jc w:val="left"/>
        <w:rPr>
          <w:rFonts w:ascii="仿宋_GB2312" w:eastAsia="仿宋_GB2312"/>
          <w:color w:val="auto"/>
          <w:sz w:val="32"/>
          <w:szCs w:val="32"/>
          <w:highlight w:val="none"/>
        </w:rPr>
      </w:pPr>
    </w:p>
    <w:p w14:paraId="6AF1CB49">
      <w:pPr>
        <w:pStyle w:val="16"/>
        <w:numPr>
          <w:ilvl w:val="0"/>
          <w:numId w:val="0"/>
        </w:numPr>
        <w:spacing w:line="600" w:lineRule="exact"/>
        <w:ind w:left="640" w:leftChars="0"/>
        <w:outlineLvl w:val="1"/>
        <w:rPr>
          <w:rStyle w:val="15"/>
          <w:rFonts w:ascii="黑体" w:hAnsi="黑体" w:eastAsia="黑体"/>
          <w:b w:val="0"/>
          <w:color w:val="auto"/>
          <w:highlight w:val="none"/>
        </w:rPr>
      </w:pPr>
      <w:bookmarkStart w:id="5" w:name="_Toc24088"/>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15"/>
          <w:rFonts w:hint="eastAsia" w:ascii="黑体" w:hAnsi="黑体" w:eastAsia="黑体"/>
          <w:b w:val="0"/>
          <w:color w:val="auto"/>
          <w:highlight w:val="none"/>
        </w:rPr>
        <w:t>入决算情况说明</w:t>
      </w:r>
      <w:bookmarkEnd w:id="5"/>
    </w:p>
    <w:p w14:paraId="7F6D992D">
      <w:pPr>
        <w:spacing w:line="600" w:lineRule="exact"/>
        <w:ind w:firstLine="640" w:firstLineChars="200"/>
        <w:outlineLvl w:val="1"/>
        <w:rPr>
          <w:rFonts w:ascii="仿宋" w:hAnsi="仿宋" w:eastAsia="仿宋"/>
          <w:color w:val="auto"/>
          <w:sz w:val="32"/>
          <w:szCs w:val="32"/>
          <w:highlight w:val="none"/>
        </w:rPr>
      </w:pPr>
      <w:bookmarkStart w:id="6" w:name="_Toc9702"/>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本年收入合计3,873.47万元，其中：一般公共预算财政拨款收入3,873.47万元，占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6"/>
    </w:p>
    <w:p w14:paraId="74C15371">
      <w:pPr>
        <w:spacing w:line="240" w:lineRule="auto"/>
        <w:ind w:firstLine="0" w:firstLineChars="0"/>
        <w:outlineLvl w:val="9"/>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8890" b="76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6E0777F">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14:paraId="5C501295">
      <w:pPr>
        <w:spacing w:line="600" w:lineRule="exact"/>
        <w:ind w:firstLine="640" w:firstLineChars="200"/>
        <w:rPr>
          <w:rFonts w:ascii="仿宋_GB2312" w:eastAsia="仿宋_GB2312"/>
          <w:color w:val="auto"/>
          <w:sz w:val="32"/>
          <w:szCs w:val="32"/>
          <w:highlight w:val="none"/>
        </w:rPr>
      </w:pPr>
    </w:p>
    <w:p w14:paraId="0CCBF0FC">
      <w:pPr>
        <w:pStyle w:val="16"/>
        <w:numPr>
          <w:ilvl w:val="0"/>
          <w:numId w:val="0"/>
        </w:numPr>
        <w:spacing w:line="600" w:lineRule="exact"/>
        <w:ind w:left="640" w:leftChars="0"/>
        <w:outlineLvl w:val="1"/>
        <w:rPr>
          <w:rStyle w:val="15"/>
          <w:rFonts w:ascii="黑体" w:hAnsi="黑体" w:eastAsia="黑体"/>
          <w:b w:val="0"/>
          <w:color w:val="auto"/>
          <w:highlight w:val="none"/>
        </w:rPr>
      </w:pPr>
      <w:bookmarkStart w:id="7" w:name="_Toc19354"/>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15"/>
          <w:rFonts w:hint="eastAsia" w:ascii="黑体" w:hAnsi="黑体" w:eastAsia="黑体"/>
          <w:b w:val="0"/>
          <w:color w:val="auto"/>
          <w:highlight w:val="none"/>
        </w:rPr>
        <w:t>出决算情况说明</w:t>
      </w:r>
      <w:bookmarkEnd w:id="7"/>
    </w:p>
    <w:p w14:paraId="3F26E1C1">
      <w:pPr>
        <w:spacing w:line="600" w:lineRule="exact"/>
        <w:ind w:firstLine="640" w:firstLineChars="200"/>
        <w:outlineLvl w:val="1"/>
        <w:rPr>
          <w:rFonts w:ascii="仿宋" w:hAnsi="仿宋" w:eastAsia="仿宋"/>
          <w:color w:val="auto"/>
          <w:sz w:val="32"/>
          <w:szCs w:val="32"/>
          <w:highlight w:val="none"/>
        </w:rPr>
      </w:pPr>
      <w:bookmarkStart w:id="8" w:name="_Toc4626"/>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本年支出合计3,901.57万元，其中：基本支出2,452.06万元，占</w:t>
      </w:r>
      <w:r>
        <w:rPr>
          <w:rFonts w:hint="eastAsia" w:ascii="仿宋" w:hAnsi="仿宋" w:eastAsia="仿宋"/>
          <w:color w:val="auto"/>
          <w:sz w:val="32"/>
          <w:szCs w:val="32"/>
          <w:highlight w:val="none"/>
          <w:lang w:val="en-US" w:eastAsia="zh-CN"/>
        </w:rPr>
        <w:t>62.9</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；项目支出1,449.5万元，占</w:t>
      </w:r>
      <w:r>
        <w:rPr>
          <w:rFonts w:hint="eastAsia" w:ascii="仿宋" w:hAnsi="仿宋" w:eastAsia="仿宋"/>
          <w:color w:val="auto"/>
          <w:sz w:val="32"/>
          <w:szCs w:val="32"/>
          <w:highlight w:val="none"/>
          <w:lang w:val="en-US" w:eastAsia="zh-CN"/>
        </w:rPr>
        <w:t>37.2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8"/>
    </w:p>
    <w:p w14:paraId="67232FE7">
      <w:pPr>
        <w:spacing w:line="240" w:lineRule="auto"/>
        <w:ind w:firstLine="0"/>
        <w:rPr>
          <w:rFonts w:ascii="仿宋" w:hAnsi="仿宋" w:eastAsia="仿宋"/>
          <w:color w:val="auto"/>
          <w:sz w:val="32"/>
          <w:szCs w:val="32"/>
          <w:highlight w:val="none"/>
          <w:shd w:val="pct10" w:color="auto" w:fill="FFFFFF"/>
        </w:rPr>
      </w:pPr>
      <w:r>
        <w:rPr>
          <w:rFonts w:hint="eastAsia" w:ascii="仿宋" w:hAnsi="仿宋" w:eastAsia="仿宋"/>
          <w:color w:val="auto"/>
          <w:sz w:val="32"/>
          <w:szCs w:val="32"/>
          <w:highlight w:val="none"/>
          <w:shd w:val="pct10" w:color="auto" w:fill="FFFFFF"/>
          <w:lang w:eastAsia="zh-CN"/>
        </w:rPr>
        <w:drawing>
          <wp:inline distT="0" distB="0" distL="114300" distR="114300">
            <wp:extent cx="5256530" cy="2988310"/>
            <wp:effectExtent l="5080" t="4445" r="8890" b="76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44AF01D">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14:paraId="40E15D0A">
      <w:pPr>
        <w:spacing w:line="600" w:lineRule="exact"/>
        <w:ind w:firstLine="640" w:firstLineChars="200"/>
        <w:rPr>
          <w:rFonts w:ascii="仿宋_GB2312" w:eastAsia="仿宋_GB2312"/>
          <w:color w:val="auto"/>
          <w:sz w:val="32"/>
          <w:szCs w:val="32"/>
          <w:highlight w:val="none"/>
        </w:rPr>
      </w:pPr>
    </w:p>
    <w:p w14:paraId="787D70F4">
      <w:pPr>
        <w:spacing w:line="600" w:lineRule="exact"/>
        <w:ind w:firstLine="640" w:firstLineChars="200"/>
        <w:outlineLvl w:val="1"/>
        <w:rPr>
          <w:rStyle w:val="15"/>
          <w:rFonts w:ascii="黑体" w:hAnsi="黑体" w:eastAsia="黑体"/>
          <w:b w:val="0"/>
          <w:color w:val="auto"/>
          <w:highlight w:val="none"/>
        </w:rPr>
      </w:pPr>
      <w:bookmarkStart w:id="9" w:name="_Toc19234"/>
      <w:r>
        <w:rPr>
          <w:rFonts w:hint="eastAsia" w:ascii="黑体" w:hAnsi="黑体" w:eastAsia="黑体"/>
          <w:color w:val="auto"/>
          <w:sz w:val="32"/>
          <w:szCs w:val="32"/>
          <w:highlight w:val="none"/>
        </w:rPr>
        <w:t>四、财</w:t>
      </w:r>
      <w:r>
        <w:rPr>
          <w:rStyle w:val="15"/>
          <w:rFonts w:hint="eastAsia" w:ascii="黑体" w:hAnsi="黑体" w:eastAsia="黑体"/>
          <w:b w:val="0"/>
          <w:color w:val="auto"/>
          <w:highlight w:val="none"/>
        </w:rPr>
        <w:t>政拨款收入支出决算总体情况说明</w:t>
      </w:r>
      <w:bookmarkEnd w:id="9"/>
    </w:p>
    <w:p w14:paraId="7075BE89">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财政拨款收、支总计</w:t>
      </w:r>
      <w:r>
        <w:rPr>
          <w:rFonts w:hint="eastAsia" w:ascii="仿宋" w:hAnsi="仿宋" w:eastAsia="仿宋"/>
          <w:color w:val="auto"/>
          <w:sz w:val="32"/>
          <w:szCs w:val="32"/>
          <w:highlight w:val="none"/>
          <w:lang w:eastAsia="zh-CN"/>
        </w:rPr>
        <w:t>均为4,0</w:t>
      </w:r>
      <w:r>
        <w:rPr>
          <w:rFonts w:hint="eastAsia" w:ascii="仿宋" w:hAnsi="仿宋" w:eastAsia="仿宋"/>
          <w:color w:val="auto"/>
          <w:sz w:val="32"/>
          <w:szCs w:val="32"/>
          <w:highlight w:val="none"/>
          <w:lang w:val="en-US" w:eastAsia="zh-CN"/>
        </w:rPr>
        <w:t>43.67</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相比，财政拨款收、支总计各增加2,0</w:t>
      </w:r>
      <w:r>
        <w:rPr>
          <w:rFonts w:hint="eastAsia" w:ascii="仿宋" w:hAnsi="仿宋" w:eastAsia="仿宋"/>
          <w:color w:val="auto"/>
          <w:sz w:val="32"/>
          <w:szCs w:val="32"/>
          <w:highlight w:val="none"/>
          <w:lang w:val="en-US" w:eastAsia="zh-CN"/>
        </w:rPr>
        <w:t>57.06</w:t>
      </w:r>
      <w:r>
        <w:rPr>
          <w:rFonts w:hint="eastAsia" w:ascii="仿宋" w:hAnsi="仿宋" w:eastAsia="仿宋"/>
          <w:color w:val="auto"/>
          <w:sz w:val="32"/>
          <w:szCs w:val="32"/>
          <w:highlight w:val="none"/>
        </w:rPr>
        <w:t>万元，增长10</w:t>
      </w:r>
      <w:r>
        <w:rPr>
          <w:rFonts w:hint="eastAsia" w:ascii="仿宋" w:hAnsi="仿宋" w:eastAsia="仿宋"/>
          <w:color w:val="auto"/>
          <w:sz w:val="32"/>
          <w:szCs w:val="32"/>
          <w:highlight w:val="none"/>
          <w:lang w:val="en-US" w:eastAsia="zh-CN"/>
        </w:rPr>
        <w:t>3.6</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。主要变动原因是G317线理县国省干线小修保养</w:t>
      </w:r>
      <w:r>
        <w:rPr>
          <w:rFonts w:hint="eastAsia" w:ascii="仿宋" w:hAnsi="仿宋" w:eastAsia="仿宋"/>
          <w:color w:val="auto"/>
          <w:sz w:val="32"/>
          <w:szCs w:val="32"/>
          <w:highlight w:val="none"/>
          <w:lang w:val="en-US" w:eastAsia="zh-CN"/>
        </w:rPr>
        <w:t>等项目经费增加，社保调标人员经费增加。</w:t>
      </w:r>
    </w:p>
    <w:p w14:paraId="0B79C86A">
      <w:pPr>
        <w:spacing w:line="240" w:lineRule="auto"/>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8890" b="76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B7D2C75">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14:paraId="4F6D4F77">
      <w:pPr>
        <w:spacing w:line="600" w:lineRule="exact"/>
        <w:ind w:firstLine="640"/>
        <w:rPr>
          <w:rFonts w:ascii="仿宋" w:hAnsi="仿宋" w:eastAsia="仿宋"/>
          <w:b/>
          <w:color w:val="auto"/>
          <w:sz w:val="32"/>
          <w:szCs w:val="32"/>
          <w:highlight w:val="none"/>
        </w:rPr>
      </w:pPr>
    </w:p>
    <w:p w14:paraId="37B91BD7">
      <w:pPr>
        <w:spacing w:line="600" w:lineRule="exact"/>
        <w:ind w:firstLine="640" w:firstLineChars="200"/>
        <w:outlineLvl w:val="1"/>
        <w:rPr>
          <w:rStyle w:val="15"/>
          <w:rFonts w:ascii="黑体" w:hAnsi="黑体" w:eastAsia="黑体"/>
          <w:b w:val="0"/>
          <w:color w:val="auto"/>
          <w:highlight w:val="none"/>
        </w:rPr>
      </w:pPr>
      <w:bookmarkStart w:id="10" w:name="_Toc8445"/>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5"/>
          <w:rFonts w:hint="eastAsia" w:ascii="黑体" w:hAnsi="黑体" w:eastAsia="黑体"/>
          <w:b w:val="0"/>
          <w:color w:val="auto"/>
          <w:highlight w:val="none"/>
        </w:rPr>
        <w:t>般公共预算财政拨款支出决算情况说明</w:t>
      </w:r>
      <w:bookmarkEnd w:id="10"/>
    </w:p>
    <w:p w14:paraId="31C08D88">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（一）一般公共预算财政拨款支出决算总体情况</w:t>
      </w:r>
    </w:p>
    <w:p w14:paraId="064B6F58">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一般公共预算财政拨款支出3,901.57万元，占本年支出合计的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增加1,914.96万元，增长96.</w:t>
      </w:r>
      <w:r>
        <w:rPr>
          <w:rFonts w:hint="eastAsia" w:ascii="仿宋" w:hAnsi="仿宋" w:eastAsia="仿宋"/>
          <w:color w:val="auto"/>
          <w:sz w:val="32"/>
          <w:szCs w:val="32"/>
          <w:highlight w:val="none"/>
          <w:lang w:val="en-US" w:eastAsia="zh-CN"/>
        </w:rPr>
        <w:t>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。主要变动原因是G317线理县国省干线小修保养</w:t>
      </w:r>
      <w:r>
        <w:rPr>
          <w:rFonts w:hint="eastAsia" w:ascii="仿宋" w:hAnsi="仿宋" w:eastAsia="仿宋"/>
          <w:color w:val="auto"/>
          <w:sz w:val="32"/>
          <w:szCs w:val="32"/>
          <w:highlight w:val="none"/>
          <w:lang w:val="en-US" w:eastAsia="zh-CN"/>
        </w:rPr>
        <w:t>等项目经费增加，社保调标人员经费增加。</w:t>
      </w:r>
    </w:p>
    <w:p w14:paraId="536E4F40">
      <w:pPr>
        <w:spacing w:line="240" w:lineRule="auto"/>
        <w:ind w:firstLine="0" w:firstLineChars="0"/>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8890" b="76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A03AA50">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14:paraId="47A9EBA8">
      <w:pPr>
        <w:spacing w:line="600" w:lineRule="exact"/>
        <w:ind w:firstLine="640" w:firstLineChars="200"/>
        <w:rPr>
          <w:rFonts w:ascii="仿宋" w:hAnsi="仿宋" w:eastAsia="仿宋"/>
          <w:color w:val="auto"/>
          <w:sz w:val="32"/>
          <w:szCs w:val="32"/>
          <w:highlight w:val="none"/>
        </w:rPr>
      </w:pPr>
    </w:p>
    <w:p w14:paraId="1BCA2EB5">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（二）一般公共预算财政拨款支出决算结构情况</w:t>
      </w:r>
    </w:p>
    <w:p w14:paraId="61C6D7BA">
      <w:pPr>
        <w:spacing w:line="600" w:lineRule="exact"/>
        <w:ind w:firstLine="640"/>
        <w:rPr>
          <w:rFonts w:hint="eastAsia" w:ascii="仿宋" w:hAnsi="仿宋" w:eastAsia="仿宋"/>
          <w:b/>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一般公共预算财政拨款支出3,901.57万元，主要用于以下方面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社会保障和就业支出256.11</w:t>
      </w:r>
      <w:r>
        <w:rPr>
          <w:rFonts w:hint="eastAsia" w:ascii="仿宋" w:hAnsi="仿宋" w:eastAsia="仿宋"/>
          <w:color w:val="auto"/>
          <w:sz w:val="32"/>
          <w:szCs w:val="32"/>
          <w:highlight w:val="none"/>
        </w:rPr>
        <w:t>万元，占6.</w:t>
      </w:r>
      <w:r>
        <w:rPr>
          <w:rFonts w:hint="eastAsia" w:ascii="仿宋" w:hAnsi="仿宋" w:eastAsia="仿宋"/>
          <w:color w:val="auto"/>
          <w:sz w:val="32"/>
          <w:szCs w:val="32"/>
          <w:highlight w:val="none"/>
          <w:lang w:val="en-US" w:eastAsia="zh-CN"/>
        </w:rPr>
        <w:t>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卫生健康支出124.97</w:t>
      </w:r>
      <w:r>
        <w:rPr>
          <w:rFonts w:hint="eastAsia" w:ascii="仿宋" w:hAnsi="仿宋" w:eastAsia="仿宋"/>
          <w:color w:val="auto"/>
          <w:sz w:val="32"/>
          <w:szCs w:val="32"/>
          <w:highlight w:val="none"/>
        </w:rPr>
        <w:t>万元，占3.2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交通运输支出3,376.35</w:t>
      </w:r>
      <w:r>
        <w:rPr>
          <w:rFonts w:hint="eastAsia" w:ascii="仿宋" w:hAnsi="仿宋" w:eastAsia="仿宋"/>
          <w:color w:val="auto"/>
          <w:sz w:val="32"/>
          <w:szCs w:val="32"/>
          <w:highlight w:val="none"/>
        </w:rPr>
        <w:t>万元，占86.5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住房保障支出144.13</w:t>
      </w:r>
      <w:r>
        <w:rPr>
          <w:rFonts w:hint="eastAsia" w:ascii="仿宋" w:hAnsi="仿宋" w:eastAsia="仿宋"/>
          <w:color w:val="auto"/>
          <w:sz w:val="32"/>
          <w:szCs w:val="32"/>
          <w:highlight w:val="none"/>
        </w:rPr>
        <w:t>万元，占3.</w:t>
      </w:r>
      <w:r>
        <w:rPr>
          <w:rFonts w:hint="eastAsia" w:ascii="仿宋" w:hAnsi="仿宋" w:eastAsia="仿宋"/>
          <w:color w:val="auto"/>
          <w:sz w:val="32"/>
          <w:szCs w:val="32"/>
          <w:highlight w:val="none"/>
          <w:lang w:val="en-US" w:eastAsia="zh-CN"/>
        </w:rPr>
        <w:t>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07408200">
      <w:pPr>
        <w:spacing w:line="240" w:lineRule="auto"/>
        <w:ind w:firstLine="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8890" b="76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F33EF1A">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14:paraId="64881181">
      <w:pPr>
        <w:spacing w:line="600" w:lineRule="exact"/>
        <w:ind w:firstLine="640" w:firstLineChars="200"/>
        <w:rPr>
          <w:rFonts w:ascii="仿宋" w:hAnsi="仿宋" w:eastAsia="仿宋"/>
          <w:color w:val="auto"/>
          <w:sz w:val="32"/>
          <w:szCs w:val="32"/>
          <w:highlight w:val="none"/>
        </w:rPr>
      </w:pPr>
    </w:p>
    <w:p w14:paraId="27C2F4AB">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p>
    <w:p w14:paraId="36A06318">
      <w:pPr>
        <w:spacing w:line="600" w:lineRule="exact"/>
        <w:ind w:firstLine="643" w:firstLineChars="200"/>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lang w:eastAsia="zh-CN"/>
        </w:rPr>
        <w:t>2023</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度一</w:t>
      </w:r>
      <w:r>
        <w:rPr>
          <w:rFonts w:hint="eastAsia" w:ascii="仿宋" w:hAnsi="仿宋" w:eastAsia="仿宋"/>
          <w:b/>
          <w:color w:val="auto"/>
          <w:sz w:val="32"/>
          <w:szCs w:val="32"/>
          <w:highlight w:val="none"/>
        </w:rPr>
        <w:t>般公共预算支出决算数为3,901.57</w:t>
      </w:r>
      <w:r>
        <w:rPr>
          <w:rFonts w:hint="eastAsia" w:ascii="仿宋" w:hAnsi="仿宋" w:eastAsia="仿宋"/>
          <w:b/>
          <w:color w:val="auto"/>
          <w:sz w:val="32"/>
          <w:szCs w:val="32"/>
          <w:highlight w:val="none"/>
          <w:lang w:val="en-US" w:eastAsia="zh-CN"/>
        </w:rPr>
        <w:t>万元</w:t>
      </w:r>
      <w:r>
        <w:rPr>
          <w:rFonts w:hint="eastAsia" w:ascii="仿宋" w:hAnsi="仿宋" w:eastAsia="仿宋"/>
          <w:color w:val="auto"/>
          <w:sz w:val="32"/>
          <w:szCs w:val="32"/>
          <w:highlight w:val="none"/>
        </w:rPr>
        <w:t>，</w:t>
      </w:r>
      <w:r>
        <w:rPr>
          <w:rStyle w:val="13"/>
          <w:rFonts w:hint="eastAsia" w:ascii="仿宋" w:hAnsi="仿宋" w:eastAsia="仿宋"/>
          <w:bCs/>
          <w:color w:val="auto"/>
          <w:sz w:val="32"/>
          <w:szCs w:val="32"/>
          <w:highlight w:val="none"/>
        </w:rPr>
        <w:t>完成预算</w:t>
      </w:r>
      <w:r>
        <w:rPr>
          <w:rStyle w:val="13"/>
          <w:rFonts w:hint="eastAsia" w:ascii="仿宋" w:hAnsi="仿宋" w:eastAsia="仿宋"/>
          <w:bCs/>
          <w:color w:val="auto"/>
          <w:sz w:val="32"/>
          <w:szCs w:val="32"/>
          <w:highlight w:val="none"/>
          <w:lang w:val="en-US" w:eastAsia="zh-CN"/>
        </w:rPr>
        <w:t>96.5</w:t>
      </w:r>
      <w:r>
        <w:rPr>
          <w:rStyle w:val="13"/>
          <w:rFonts w:ascii="仿宋" w:hAnsi="仿宋" w:eastAsia="仿宋"/>
          <w:bCs/>
          <w:color w:val="auto"/>
          <w:sz w:val="32"/>
          <w:szCs w:val="32"/>
          <w:highlight w:val="none"/>
        </w:rPr>
        <w:t>%</w:t>
      </w:r>
      <w:r>
        <w:rPr>
          <w:rStyle w:val="13"/>
          <w:rFonts w:hint="eastAsia" w:ascii="仿宋" w:hAnsi="仿宋" w:eastAsia="仿宋"/>
          <w:bCs/>
          <w:color w:val="auto"/>
          <w:sz w:val="32"/>
          <w:szCs w:val="32"/>
          <w:highlight w:val="none"/>
        </w:rPr>
        <w:t>。其中：</w:t>
      </w:r>
    </w:p>
    <w:p w14:paraId="70DAE47E">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1.</w:t>
      </w:r>
      <w:r>
        <w:rPr>
          <w:rStyle w:val="13"/>
          <w:rFonts w:hint="eastAsia" w:ascii="仿宋" w:hAnsi="仿宋" w:eastAsia="仿宋"/>
          <w:bCs/>
          <w:color w:val="auto"/>
          <w:sz w:val="32"/>
          <w:szCs w:val="32"/>
          <w:highlight w:val="none"/>
        </w:rPr>
        <w:t>社会保障和就业支出（类）行政事业单位养老支出（款）机关事业单位基本养老保险缴费支出（项）</w:t>
      </w:r>
      <w:r>
        <w:rPr>
          <w:rStyle w:val="13"/>
          <w:rFonts w:hint="eastAsia" w:ascii="仿宋" w:hAnsi="仿宋" w:eastAsia="仿宋"/>
          <w:bCs/>
          <w:color w:val="auto"/>
          <w:sz w:val="32"/>
          <w:szCs w:val="32"/>
          <w:highlight w:val="none"/>
          <w:lang w:eastAsia="zh-CN"/>
        </w:rPr>
        <w:t>：</w:t>
      </w:r>
      <w:r>
        <w:rPr>
          <w:rStyle w:val="13"/>
          <w:rFonts w:ascii="仿宋" w:hAnsi="仿宋" w:eastAsia="仿宋"/>
          <w:b w:val="0"/>
          <w:bCs/>
          <w:color w:val="auto"/>
          <w:sz w:val="32"/>
          <w:szCs w:val="32"/>
          <w:highlight w:val="none"/>
        </w:rPr>
        <w:t xml:space="preserve"> </w:t>
      </w:r>
      <w:r>
        <w:rPr>
          <w:rStyle w:val="13"/>
          <w:rFonts w:hint="eastAsia" w:ascii="仿宋" w:hAnsi="仿宋" w:eastAsia="仿宋"/>
          <w:b w:val="0"/>
          <w:bCs/>
          <w:color w:val="auto"/>
          <w:sz w:val="32"/>
          <w:szCs w:val="32"/>
          <w:highlight w:val="none"/>
        </w:rPr>
        <w:t>支出决算为170.74万元，完成预算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6D854FDF">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2.</w:t>
      </w:r>
      <w:r>
        <w:rPr>
          <w:rStyle w:val="13"/>
          <w:rFonts w:hint="eastAsia" w:ascii="仿宋" w:hAnsi="仿宋" w:eastAsia="仿宋"/>
          <w:bCs/>
          <w:color w:val="auto"/>
          <w:sz w:val="32"/>
          <w:szCs w:val="32"/>
          <w:highlight w:val="none"/>
        </w:rPr>
        <w:t>社会保障和就业支出（类）行政事业单位养老支出（款）机关事业单位职业年金缴费支出（项）</w:t>
      </w:r>
      <w:r>
        <w:rPr>
          <w:rStyle w:val="13"/>
          <w:rFonts w:hint="eastAsia" w:ascii="仿宋" w:hAnsi="仿宋" w:eastAsia="仿宋"/>
          <w:bCs/>
          <w:color w:val="auto"/>
          <w:sz w:val="32"/>
          <w:szCs w:val="32"/>
          <w:highlight w:val="none"/>
          <w:lang w:eastAsia="zh-CN"/>
        </w:rPr>
        <w:t>：</w:t>
      </w:r>
      <w:r>
        <w:rPr>
          <w:rStyle w:val="13"/>
          <w:rFonts w:ascii="仿宋" w:hAnsi="仿宋" w:eastAsia="仿宋"/>
          <w:b w:val="0"/>
          <w:bCs/>
          <w:color w:val="auto"/>
          <w:sz w:val="32"/>
          <w:szCs w:val="32"/>
          <w:highlight w:val="none"/>
        </w:rPr>
        <w:t xml:space="preserve"> </w:t>
      </w:r>
      <w:r>
        <w:rPr>
          <w:rStyle w:val="13"/>
          <w:rFonts w:hint="eastAsia" w:ascii="仿宋" w:hAnsi="仿宋" w:eastAsia="仿宋"/>
          <w:b w:val="0"/>
          <w:bCs/>
          <w:color w:val="auto"/>
          <w:sz w:val="32"/>
          <w:szCs w:val="32"/>
          <w:highlight w:val="none"/>
        </w:rPr>
        <w:t>支出决算为85.37万元，完成预算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3656ED11">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3.</w:t>
      </w:r>
      <w:r>
        <w:rPr>
          <w:rStyle w:val="13"/>
          <w:rFonts w:hint="eastAsia" w:ascii="仿宋" w:hAnsi="仿宋" w:eastAsia="仿宋"/>
          <w:bCs/>
          <w:color w:val="auto"/>
          <w:sz w:val="32"/>
          <w:szCs w:val="32"/>
          <w:highlight w:val="none"/>
        </w:rPr>
        <w:t>卫生健康支出（类）行政事业单位医疗（款）事业单位医疗（项）</w:t>
      </w:r>
      <w:r>
        <w:rPr>
          <w:rStyle w:val="13"/>
          <w:rFonts w:hint="eastAsia" w:ascii="仿宋" w:hAnsi="仿宋" w:eastAsia="仿宋"/>
          <w:bCs/>
          <w:color w:val="auto"/>
          <w:sz w:val="32"/>
          <w:szCs w:val="32"/>
          <w:highlight w:val="none"/>
          <w:lang w:eastAsia="zh-CN"/>
        </w:rPr>
        <w:t>：</w:t>
      </w:r>
      <w:r>
        <w:rPr>
          <w:rStyle w:val="13"/>
          <w:rFonts w:ascii="仿宋" w:hAnsi="仿宋" w:eastAsia="仿宋"/>
          <w:b w:val="0"/>
          <w:bCs/>
          <w:color w:val="auto"/>
          <w:sz w:val="32"/>
          <w:szCs w:val="32"/>
          <w:highlight w:val="none"/>
        </w:rPr>
        <w:t xml:space="preserve"> </w:t>
      </w:r>
      <w:r>
        <w:rPr>
          <w:rStyle w:val="13"/>
          <w:rFonts w:hint="eastAsia" w:ascii="仿宋" w:hAnsi="仿宋" w:eastAsia="仿宋"/>
          <w:b w:val="0"/>
          <w:bCs/>
          <w:color w:val="auto"/>
          <w:sz w:val="32"/>
          <w:szCs w:val="32"/>
          <w:highlight w:val="none"/>
        </w:rPr>
        <w:t>支出决算为74.65万元，完成预算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3C8A97CB">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4.</w:t>
      </w:r>
      <w:r>
        <w:rPr>
          <w:rStyle w:val="13"/>
          <w:rFonts w:hint="eastAsia" w:ascii="仿宋" w:hAnsi="仿宋" w:eastAsia="仿宋"/>
          <w:bCs/>
          <w:color w:val="auto"/>
          <w:sz w:val="32"/>
          <w:szCs w:val="32"/>
          <w:highlight w:val="none"/>
        </w:rPr>
        <w:t>卫生健康支出（类）行政事业单位医疗（款）其他行政事业单位医疗支出（项）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支出决算为50.32万元，完成预算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6C98AD0C">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5.</w:t>
      </w:r>
      <w:r>
        <w:rPr>
          <w:rStyle w:val="13"/>
          <w:rFonts w:hint="eastAsia" w:ascii="仿宋" w:hAnsi="仿宋" w:eastAsia="仿宋"/>
          <w:bCs/>
          <w:color w:val="auto"/>
          <w:sz w:val="32"/>
          <w:szCs w:val="32"/>
          <w:highlight w:val="none"/>
        </w:rPr>
        <w:t>交通运输支出（类）公路水路运输（款）公路养护（项）</w:t>
      </w:r>
      <w:r>
        <w:rPr>
          <w:rStyle w:val="13"/>
          <w:rFonts w:hint="eastAsia" w:ascii="仿宋" w:hAnsi="仿宋" w:eastAsia="仿宋"/>
          <w:bCs/>
          <w:color w:val="auto"/>
          <w:sz w:val="32"/>
          <w:szCs w:val="32"/>
          <w:highlight w:val="none"/>
          <w:lang w:eastAsia="zh-CN"/>
        </w:rPr>
        <w:t>：</w:t>
      </w:r>
      <w:r>
        <w:rPr>
          <w:rStyle w:val="13"/>
          <w:rFonts w:ascii="仿宋" w:hAnsi="仿宋" w:eastAsia="仿宋"/>
          <w:b w:val="0"/>
          <w:bCs/>
          <w:color w:val="auto"/>
          <w:sz w:val="32"/>
          <w:szCs w:val="32"/>
          <w:highlight w:val="none"/>
        </w:rPr>
        <w:t xml:space="preserve"> </w:t>
      </w:r>
      <w:r>
        <w:rPr>
          <w:rStyle w:val="13"/>
          <w:rFonts w:hint="eastAsia" w:ascii="仿宋" w:hAnsi="仿宋" w:eastAsia="仿宋"/>
          <w:b w:val="0"/>
          <w:bCs/>
          <w:color w:val="auto"/>
          <w:sz w:val="32"/>
          <w:szCs w:val="32"/>
          <w:highlight w:val="none"/>
        </w:rPr>
        <w:t>支出决算为2,323.34万元，完成预算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3690878A">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6.</w:t>
      </w:r>
      <w:r>
        <w:rPr>
          <w:rStyle w:val="13"/>
          <w:rFonts w:hint="eastAsia" w:ascii="仿宋" w:hAnsi="仿宋" w:eastAsia="仿宋"/>
          <w:bCs/>
          <w:color w:val="auto"/>
          <w:sz w:val="32"/>
          <w:szCs w:val="32"/>
          <w:highlight w:val="none"/>
        </w:rPr>
        <w:t>交通运输支出（类）车辆购置税支出（款）车辆购置税用于公路等基础设施建设支出（项）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支出决算为1,053.01万元，完成预算</w:t>
      </w:r>
      <w:r>
        <w:rPr>
          <w:rStyle w:val="13"/>
          <w:rFonts w:hint="eastAsia" w:ascii="仿宋" w:hAnsi="仿宋" w:eastAsia="仿宋"/>
          <w:b w:val="0"/>
          <w:bCs/>
          <w:color w:val="auto"/>
          <w:sz w:val="32"/>
          <w:szCs w:val="32"/>
          <w:highlight w:val="none"/>
          <w:lang w:val="en-US" w:eastAsia="zh-CN"/>
        </w:rPr>
        <w:t>96</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lang w:val="en-US" w:eastAsia="zh-CN"/>
        </w:rPr>
        <w:t>决算数小于预算数，主要原因为2023年317线灾害防治项目尾款未付</w:t>
      </w:r>
      <w:r>
        <w:rPr>
          <w:rStyle w:val="13"/>
          <w:rFonts w:hint="eastAsia" w:ascii="仿宋" w:hAnsi="仿宋" w:eastAsia="仿宋"/>
          <w:b w:val="0"/>
          <w:bCs/>
          <w:color w:val="auto"/>
          <w:sz w:val="32"/>
          <w:szCs w:val="32"/>
          <w:highlight w:val="none"/>
        </w:rPr>
        <w:t>。</w:t>
      </w:r>
    </w:p>
    <w:p w14:paraId="4C922803">
      <w:pPr>
        <w:spacing w:line="600" w:lineRule="exact"/>
        <w:ind w:firstLine="643" w:firstLineChars="200"/>
        <w:rPr>
          <w:rFonts w:hint="eastAsia" w:ascii="仿宋" w:hAnsi="仿宋" w:eastAsia="仿宋"/>
          <w:color w:val="auto"/>
          <w:sz w:val="32"/>
          <w:szCs w:val="32"/>
          <w:highlight w:val="none"/>
          <w:lang w:eastAsia="zh-CN"/>
        </w:rPr>
      </w:pPr>
      <w:r>
        <w:rPr>
          <w:rStyle w:val="13"/>
          <w:rFonts w:hint="eastAsia" w:ascii="仿宋" w:hAnsi="仿宋" w:eastAsia="仿宋" w:cs="Times New Roman"/>
          <w:bCs/>
          <w:color w:val="auto"/>
          <w:sz w:val="32"/>
          <w:szCs w:val="32"/>
          <w:highlight w:val="none"/>
          <w:lang w:val="en-US" w:eastAsia="zh-CN"/>
        </w:rPr>
        <w:t>7.</w:t>
      </w:r>
      <w:r>
        <w:rPr>
          <w:rStyle w:val="13"/>
          <w:rFonts w:hint="eastAsia" w:ascii="仿宋" w:hAnsi="仿宋" w:eastAsia="仿宋" w:cs="Times New Roman"/>
          <w:bCs/>
          <w:color w:val="auto"/>
          <w:sz w:val="32"/>
          <w:szCs w:val="32"/>
          <w:highlight w:val="none"/>
        </w:rPr>
        <w:t>住房保障支出</w:t>
      </w:r>
      <w:r>
        <w:rPr>
          <w:rStyle w:val="13"/>
          <w:rFonts w:hint="eastAsia" w:ascii="仿宋" w:hAnsi="仿宋" w:eastAsia="仿宋"/>
          <w:bCs/>
          <w:color w:val="auto"/>
          <w:sz w:val="32"/>
          <w:szCs w:val="32"/>
          <w:highlight w:val="none"/>
        </w:rPr>
        <w:t>（类）住房改革支出（款）住房公积金（项）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支出决算为137.13万元，完成预算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r>
        <w:rPr>
          <w:rFonts w:hint="eastAsia" w:ascii="仿宋" w:hAnsi="仿宋" w:eastAsia="仿宋"/>
          <w:color w:val="auto"/>
          <w:sz w:val="32"/>
          <w:szCs w:val="32"/>
          <w:highlight w:val="none"/>
          <w:lang w:eastAsia="zh-CN"/>
        </w:rPr>
        <w:t>。</w:t>
      </w:r>
    </w:p>
    <w:p w14:paraId="3A80B449">
      <w:pPr>
        <w:spacing w:line="600" w:lineRule="exact"/>
        <w:ind w:firstLine="643" w:firstLineChars="200"/>
        <w:rPr>
          <w:rFonts w:hint="eastAsia" w:ascii="仿宋" w:hAnsi="仿宋" w:eastAsia="仿宋"/>
          <w:color w:val="auto"/>
          <w:sz w:val="32"/>
          <w:szCs w:val="32"/>
          <w:highlight w:val="none"/>
          <w:lang w:eastAsia="zh-CN"/>
        </w:rPr>
      </w:pPr>
      <w:r>
        <w:rPr>
          <w:rStyle w:val="13"/>
          <w:rFonts w:hint="eastAsia" w:ascii="仿宋" w:hAnsi="仿宋" w:eastAsia="仿宋" w:cs="Times New Roman"/>
          <w:bCs/>
          <w:color w:val="auto"/>
          <w:kern w:val="2"/>
          <w:sz w:val="32"/>
          <w:szCs w:val="32"/>
          <w:highlight w:val="none"/>
          <w:lang w:val="en-US" w:eastAsia="zh-CN" w:bidi="ar-SA"/>
        </w:rPr>
        <w:t>8.</w:t>
      </w:r>
      <w:r>
        <w:rPr>
          <w:rStyle w:val="13"/>
          <w:rFonts w:hint="eastAsia" w:ascii="仿宋" w:hAnsi="仿宋" w:eastAsia="仿宋" w:cs="Times New Roman"/>
          <w:bCs/>
          <w:color w:val="auto"/>
          <w:sz w:val="32"/>
          <w:szCs w:val="32"/>
          <w:highlight w:val="none"/>
        </w:rPr>
        <w:t>住房保障支出</w:t>
      </w:r>
      <w:r>
        <w:rPr>
          <w:rStyle w:val="13"/>
          <w:rFonts w:hint="eastAsia" w:ascii="仿宋" w:hAnsi="仿宋" w:eastAsia="仿宋"/>
          <w:bCs/>
          <w:color w:val="auto"/>
          <w:sz w:val="32"/>
          <w:szCs w:val="32"/>
          <w:highlight w:val="none"/>
        </w:rPr>
        <w:t>（类）住房改革支出（款）购房补贴（项）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支出决算为7万元，完成预算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r>
        <w:rPr>
          <w:rStyle w:val="13"/>
          <w:rFonts w:hint="eastAsia" w:ascii="仿宋" w:hAnsi="仿宋" w:eastAsia="仿宋"/>
          <w:b w:val="0"/>
          <w:bCs/>
          <w:color w:val="auto"/>
          <w:sz w:val="32"/>
          <w:szCs w:val="32"/>
          <w:highlight w:val="none"/>
          <w:lang w:eastAsia="zh-CN"/>
        </w:rPr>
        <w:t>。</w:t>
      </w:r>
    </w:p>
    <w:p w14:paraId="47669A15">
      <w:pPr>
        <w:spacing w:line="600" w:lineRule="exact"/>
        <w:ind w:firstLine="640"/>
        <w:rPr>
          <w:rFonts w:ascii="仿宋" w:hAnsi="仿宋" w:eastAsia="仿宋"/>
          <w:b/>
          <w:color w:val="auto"/>
          <w:sz w:val="32"/>
          <w:szCs w:val="32"/>
          <w:highlight w:val="none"/>
        </w:rPr>
      </w:pPr>
    </w:p>
    <w:p w14:paraId="715A0349">
      <w:pPr>
        <w:tabs>
          <w:tab w:val="right" w:pos="8306"/>
        </w:tabs>
        <w:spacing w:line="600" w:lineRule="exact"/>
        <w:ind w:firstLine="640"/>
        <w:outlineLvl w:val="1"/>
        <w:rPr>
          <w:rStyle w:val="15"/>
          <w:color w:val="auto"/>
          <w:highlight w:val="none"/>
        </w:rPr>
      </w:pPr>
      <w:bookmarkStart w:id="11" w:name="_Toc26873"/>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5"/>
          <w:rFonts w:hint="eastAsia" w:ascii="黑体" w:hAnsi="黑体" w:eastAsia="黑体"/>
          <w:b w:val="0"/>
          <w:color w:val="auto"/>
          <w:highlight w:val="none"/>
        </w:rPr>
        <w:t>般公共预算财政拨款基本支出决算情况说明</w:t>
      </w:r>
      <w:bookmarkEnd w:id="11"/>
      <w:r>
        <w:rPr>
          <w:rStyle w:val="15"/>
          <w:rFonts w:ascii="黑体" w:hAnsi="黑体" w:eastAsia="黑体"/>
          <w:b w:val="0"/>
          <w:color w:val="auto"/>
          <w:highlight w:val="none"/>
        </w:rPr>
        <w:tab/>
      </w:r>
    </w:p>
    <w:p w14:paraId="49F866F5">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一般公共预算财政拨款基本支出2,452.06万元，其中：</w:t>
      </w:r>
    </w:p>
    <w:p w14:paraId="7690481B">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人员经费2,269.38万元，主要包括：基本工资、津贴补贴、奖金、伙食补助费、绩效工资、机关事业单位基本养老保险缴费、职业年金缴费、职工基本医疗保险缴费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其他社会保障缴费、住房公积金、其他工资福利支出、抚恤金、生活补助、奖励金、其他对个人和家庭的补助支出等。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公用经费182.68万元，主要包括：办公费、印刷费、水费、电费、邮电费、差旅费、维修（护）费、会议费、培训费、公务接待费、专用材料费</w:t>
      </w:r>
      <w:r>
        <w:rPr>
          <w:rFonts w:hint="eastAsia" w:ascii="仿宋" w:hAnsi="仿宋" w:eastAsia="仿宋"/>
          <w:color w:val="auto"/>
          <w:sz w:val="32"/>
          <w:szCs w:val="32"/>
          <w:highlight w:val="none"/>
          <w:lang w:eastAsia="zh-CN"/>
        </w:rPr>
        <w:t>、专用燃料费、</w:t>
      </w:r>
      <w:r>
        <w:rPr>
          <w:rFonts w:hint="eastAsia" w:ascii="仿宋" w:hAnsi="仿宋" w:eastAsia="仿宋"/>
          <w:color w:val="auto"/>
          <w:sz w:val="32"/>
          <w:szCs w:val="32"/>
          <w:highlight w:val="none"/>
        </w:rPr>
        <w:t>劳务费、委托业务费、福利费、公务用车运行维护费、其他交通费、其他商品和服务支出、基础设施建设、大型修缮、其他资本性支出等。</w:t>
      </w:r>
    </w:p>
    <w:p w14:paraId="0D4B8CD2">
      <w:pPr>
        <w:spacing w:line="600" w:lineRule="exact"/>
        <w:ind w:firstLine="640"/>
        <w:rPr>
          <w:rFonts w:ascii="仿宋" w:hAnsi="仿宋" w:eastAsia="仿宋"/>
          <w:b/>
          <w:color w:val="auto"/>
          <w:sz w:val="32"/>
          <w:szCs w:val="32"/>
          <w:highlight w:val="none"/>
        </w:rPr>
      </w:pPr>
    </w:p>
    <w:p w14:paraId="33862A4F">
      <w:pPr>
        <w:spacing w:line="600" w:lineRule="exact"/>
        <w:ind w:firstLine="640"/>
        <w:outlineLvl w:val="1"/>
        <w:rPr>
          <w:rStyle w:val="15"/>
          <w:rFonts w:ascii="黑体" w:hAnsi="黑体" w:eastAsia="黑体"/>
          <w:b w:val="0"/>
          <w:color w:val="auto"/>
          <w:highlight w:val="none"/>
        </w:rPr>
      </w:pPr>
      <w:bookmarkStart w:id="12" w:name="_Toc3659"/>
      <w:r>
        <w:rPr>
          <w:rFonts w:hint="eastAsia" w:ascii="黑体" w:eastAsia="黑体"/>
          <w:color w:val="auto"/>
          <w:sz w:val="32"/>
          <w:szCs w:val="32"/>
          <w:highlight w:val="none"/>
        </w:rPr>
        <w:t>七、</w:t>
      </w:r>
      <w:r>
        <w:rPr>
          <w:rStyle w:val="15"/>
          <w:rFonts w:hint="eastAsia" w:ascii="黑体" w:hAnsi="黑体" w:eastAsia="黑体"/>
          <w:b w:val="0"/>
          <w:color w:val="auto"/>
          <w:highlight w:val="none"/>
        </w:rPr>
        <w:t>财政拨款</w:t>
      </w:r>
      <w:r>
        <w:rPr>
          <w:rStyle w:val="15"/>
          <w:rFonts w:hint="eastAsia" w:ascii="黑体" w:hAnsi="黑体" w:eastAsia="黑体"/>
          <w:color w:val="auto"/>
          <w:highlight w:val="none"/>
        </w:rPr>
        <w:t>“</w:t>
      </w:r>
      <w:r>
        <w:rPr>
          <w:rStyle w:val="15"/>
          <w:rFonts w:hint="eastAsia" w:ascii="黑体" w:hAnsi="黑体" w:eastAsia="黑体"/>
          <w:b w:val="0"/>
          <w:color w:val="auto"/>
          <w:highlight w:val="none"/>
        </w:rPr>
        <w:t>三公”经费支出决算情况说明</w:t>
      </w:r>
      <w:bookmarkEnd w:id="12"/>
    </w:p>
    <w:p w14:paraId="39721B9E">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（一）“三公”经费财政拨款支出决算总体情况说明</w:t>
      </w:r>
    </w:p>
    <w:p w14:paraId="00808CEB">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“三公”经费财政拨款支出决算为19.25万元，完成预算</w:t>
      </w:r>
      <w:r>
        <w:rPr>
          <w:rFonts w:hint="eastAsia" w:ascii="仿宋" w:hAnsi="仿宋" w:eastAsia="仿宋"/>
          <w:color w:val="auto"/>
          <w:sz w:val="32"/>
          <w:szCs w:val="32"/>
          <w:highlight w:val="none"/>
          <w:lang w:val="en-US" w:eastAsia="zh-CN"/>
        </w:rPr>
        <w:t>81.4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较上年度</w:t>
      </w:r>
      <w:r>
        <w:rPr>
          <w:rFonts w:hint="eastAsia" w:ascii="仿宋" w:hAnsi="仿宋" w:eastAsia="仿宋"/>
          <w:color w:val="auto"/>
          <w:sz w:val="32"/>
          <w:szCs w:val="32"/>
          <w:highlight w:val="none"/>
          <w:lang w:val="en-US" w:eastAsia="zh-CN"/>
        </w:rPr>
        <w:t>减少4.21万元，下降17.9%。</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val="en-US" w:eastAsia="zh-CN"/>
        </w:rPr>
        <w:t>依据厉行节约的原则，缩减三公经费</w:t>
      </w:r>
      <w:r>
        <w:rPr>
          <w:rFonts w:hint="eastAsia" w:ascii="仿宋" w:hAnsi="仿宋" w:eastAsia="仿宋"/>
          <w:color w:val="auto"/>
          <w:sz w:val="32"/>
          <w:szCs w:val="32"/>
          <w:highlight w:val="none"/>
        </w:rPr>
        <w:t>。</w:t>
      </w:r>
    </w:p>
    <w:p w14:paraId="75E1FFA5">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（二）“三公”经费财政拨款支出决算具体情况说明</w:t>
      </w:r>
    </w:p>
    <w:p w14:paraId="1503B0EB">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；公务用车购置及运行维护费支出决算19.14万元，占</w:t>
      </w:r>
      <w:r>
        <w:rPr>
          <w:rFonts w:hint="eastAsia" w:ascii="仿宋" w:hAnsi="仿宋" w:eastAsia="仿宋"/>
          <w:color w:val="auto"/>
          <w:sz w:val="32"/>
          <w:szCs w:val="32"/>
          <w:highlight w:val="none"/>
          <w:lang w:val="en-US" w:eastAsia="zh-CN"/>
        </w:rPr>
        <w:t>99.4</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；公务接待费支出决算0.11万元，占</w:t>
      </w:r>
      <w:r>
        <w:rPr>
          <w:rFonts w:hint="eastAsia" w:ascii="仿宋" w:hAnsi="仿宋" w:eastAsia="仿宋"/>
          <w:color w:val="auto"/>
          <w:sz w:val="32"/>
          <w:szCs w:val="32"/>
          <w:highlight w:val="none"/>
          <w:lang w:val="en-US" w:eastAsia="zh-CN"/>
        </w:rPr>
        <w:t>0.6</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3CA1E7B1">
      <w:pPr>
        <w:pStyle w:val="2"/>
      </w:pPr>
      <w:r>
        <w:rPr>
          <w:rFonts w:hint="eastAsia" w:eastAsia="仿宋"/>
          <w:lang w:eastAsia="zh-CN"/>
        </w:rPr>
        <w:drawing>
          <wp:inline distT="0" distB="0" distL="114300" distR="114300">
            <wp:extent cx="5256530" cy="2988310"/>
            <wp:effectExtent l="5080" t="4445" r="8890" b="762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CCB0ADF">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14:paraId="7BB7E9F7">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人。因公出国（境）支出决算</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lang w:val="en-US" w:eastAsia="zh-CN"/>
        </w:rPr>
        <w:t>持平。</w:t>
      </w:r>
    </w:p>
    <w:p w14:paraId="1E0ABA25">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公务用车购置及运行维护费支出19.14</w:t>
      </w:r>
      <w:r>
        <w:rPr>
          <w:rFonts w:hint="eastAsia" w:ascii="仿宋_GB2312" w:eastAsia="仿宋_GB2312"/>
          <w:color w:val="auto"/>
          <w:sz w:val="32"/>
          <w:szCs w:val="32"/>
          <w:highlight w:val="none"/>
        </w:rPr>
        <w:t>万元,</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减少3.86万元，下降16.</w:t>
      </w:r>
      <w:r>
        <w:rPr>
          <w:rFonts w:hint="eastAsia" w:ascii="仿宋_GB2312" w:eastAsia="仿宋_GB2312"/>
          <w:color w:val="auto"/>
          <w:sz w:val="32"/>
          <w:szCs w:val="32"/>
          <w:highlight w:val="none"/>
          <w:lang w:val="en-US" w:eastAsia="zh-CN"/>
        </w:rPr>
        <w:t>8</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 w:hAnsi="仿宋" w:eastAsia="仿宋"/>
          <w:color w:val="auto"/>
          <w:sz w:val="32"/>
          <w:szCs w:val="32"/>
          <w:highlight w:val="none"/>
          <w:lang w:val="en-US" w:eastAsia="zh-CN"/>
        </w:rPr>
        <w:t>依据厉行节约的原则，缩减三公经费</w:t>
      </w:r>
      <w:r>
        <w:rPr>
          <w:rFonts w:hint="eastAsia" w:ascii="仿宋_GB2312" w:eastAsia="仿宋_GB2312"/>
          <w:color w:val="auto"/>
          <w:sz w:val="32"/>
          <w:szCs w:val="32"/>
          <w:highlight w:val="none"/>
        </w:rPr>
        <w:t>。</w:t>
      </w:r>
    </w:p>
    <w:p w14:paraId="65039741">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b/>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31日</w:t>
      </w:r>
      <w:r>
        <w:rPr>
          <w:rFonts w:hint="eastAsia" w:ascii="仿宋_GB2312" w:eastAsia="仿宋_GB2312"/>
          <w:color w:val="auto"/>
          <w:sz w:val="32"/>
          <w:szCs w:val="32"/>
          <w:highlight w:val="none"/>
        </w:rPr>
        <w:t>，单位共有公务用车</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val="en-US" w:eastAsia="zh-CN"/>
        </w:rPr>
        <w:t>其他车型6</w:t>
      </w:r>
      <w:r>
        <w:rPr>
          <w:rFonts w:hint="eastAsia" w:ascii="仿宋_GB2312" w:eastAsia="仿宋_GB2312"/>
          <w:color w:val="auto"/>
          <w:sz w:val="32"/>
          <w:szCs w:val="32"/>
          <w:highlight w:val="none"/>
        </w:rPr>
        <w:t>辆。</w:t>
      </w:r>
    </w:p>
    <w:p w14:paraId="2A42BF80">
      <w:pPr>
        <w:spacing w:line="600" w:lineRule="exact"/>
        <w:ind w:firstLine="640"/>
        <w:rPr>
          <w:rFonts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公务用车运行维护费支出19.14</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rPr>
        <w:t>等所需的公务用车燃料费、维修费、过路过桥费、保险费等支出。</w:t>
      </w:r>
    </w:p>
    <w:p w14:paraId="7E03E333">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0.11</w:t>
      </w:r>
      <w:r>
        <w:rPr>
          <w:rFonts w:hint="eastAsia" w:ascii="仿宋_GB2312" w:eastAsia="仿宋_GB2312"/>
          <w:color w:val="auto"/>
          <w:sz w:val="32"/>
          <w:szCs w:val="32"/>
          <w:highlight w:val="none"/>
        </w:rPr>
        <w:t>万元，</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2.4</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减少0.35万元，下降76.1</w:t>
      </w:r>
      <w:bookmarkStart w:id="34" w:name="_GoBack"/>
      <w:bookmarkEnd w:id="34"/>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 w:hAnsi="仿宋" w:eastAsia="仿宋"/>
          <w:color w:val="auto"/>
          <w:sz w:val="32"/>
          <w:szCs w:val="32"/>
          <w:highlight w:val="none"/>
          <w:lang w:val="en-US" w:eastAsia="zh-CN"/>
        </w:rPr>
        <w:t>依据厉行节约的原则，缩减三公经费</w:t>
      </w:r>
      <w:r>
        <w:rPr>
          <w:rFonts w:hint="eastAsia" w:ascii="仿宋_GB2312" w:eastAsia="仿宋_GB2312"/>
          <w:color w:val="auto"/>
          <w:sz w:val="32"/>
          <w:szCs w:val="32"/>
          <w:highlight w:val="none"/>
        </w:rPr>
        <w:t>。其中：</w:t>
      </w:r>
    </w:p>
    <w:p w14:paraId="57953D79">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0.11</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隧道安全检查等</w:t>
      </w:r>
      <w:r>
        <w:rPr>
          <w:rFonts w:hint="eastAsia" w:ascii="仿宋_GB2312" w:eastAsia="仿宋_GB2312"/>
          <w:color w:val="auto"/>
          <w:sz w:val="32"/>
          <w:szCs w:val="32"/>
          <w:highlight w:val="none"/>
        </w:rPr>
        <w:t>活动开支的交通费、住宿费、用餐费等。国内公务接待</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0.11</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val="en-US" w:eastAsia="zh-CN"/>
        </w:rPr>
        <w:t>隧管处到分局开展隧道安全检查工作，接待支出316元；开展2023年全州国省干线公路第二季度养护考核工作，接待支出780元</w:t>
      </w:r>
      <w:r>
        <w:rPr>
          <w:rFonts w:hint="eastAsia" w:ascii="仿宋_GB2312" w:eastAsia="仿宋_GB2312"/>
          <w:color w:val="auto"/>
          <w:sz w:val="32"/>
          <w:szCs w:val="32"/>
          <w:highlight w:val="none"/>
        </w:rPr>
        <w:t>。</w:t>
      </w:r>
    </w:p>
    <w:p w14:paraId="720CB572">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732962C1">
      <w:pPr>
        <w:spacing w:line="600" w:lineRule="exact"/>
        <w:ind w:firstLine="640"/>
        <w:outlineLvl w:val="9"/>
        <w:rPr>
          <w:rFonts w:ascii="黑体" w:eastAsia="黑体"/>
          <w:color w:val="auto"/>
          <w:sz w:val="32"/>
          <w:szCs w:val="32"/>
          <w:highlight w:val="none"/>
        </w:rPr>
      </w:pPr>
    </w:p>
    <w:p w14:paraId="619B4F58">
      <w:pPr>
        <w:spacing w:line="600" w:lineRule="exact"/>
        <w:ind w:firstLine="640"/>
        <w:outlineLvl w:val="1"/>
        <w:rPr>
          <w:rStyle w:val="15"/>
          <w:rFonts w:ascii="黑体" w:hAnsi="黑体" w:eastAsia="黑体"/>
          <w:color w:val="auto"/>
          <w:highlight w:val="none"/>
        </w:rPr>
      </w:pPr>
      <w:bookmarkStart w:id="13" w:name="_Toc22704"/>
      <w:r>
        <w:rPr>
          <w:rFonts w:hint="eastAsia" w:ascii="黑体" w:eastAsia="黑体"/>
          <w:color w:val="auto"/>
          <w:sz w:val="32"/>
          <w:szCs w:val="32"/>
          <w:highlight w:val="none"/>
        </w:rPr>
        <w:t>八、</w:t>
      </w:r>
      <w:r>
        <w:rPr>
          <w:rStyle w:val="15"/>
          <w:rFonts w:hint="eastAsia" w:ascii="黑体" w:hAnsi="黑体" w:eastAsia="黑体"/>
          <w:b w:val="0"/>
          <w:color w:val="auto"/>
          <w:highlight w:val="none"/>
        </w:rPr>
        <w:t>政府性基金预算支出决算情况说明</w:t>
      </w:r>
      <w:bookmarkEnd w:id="13"/>
    </w:p>
    <w:p w14:paraId="6CABB947">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2553191A">
      <w:pPr>
        <w:spacing w:line="600" w:lineRule="exact"/>
        <w:ind w:firstLine="640"/>
        <w:rPr>
          <w:rFonts w:ascii="仿宋_GB2312" w:eastAsia="仿宋_GB2312"/>
          <w:color w:val="auto"/>
          <w:sz w:val="32"/>
          <w:szCs w:val="32"/>
          <w:highlight w:val="none"/>
        </w:rPr>
      </w:pPr>
    </w:p>
    <w:p w14:paraId="3866076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5"/>
          <w:rFonts w:ascii="黑体" w:hAnsi="黑体" w:eastAsia="黑体"/>
          <w:b w:val="0"/>
          <w:color w:val="auto"/>
          <w:highlight w:val="none"/>
        </w:rPr>
      </w:pPr>
      <w:bookmarkStart w:id="14" w:name="_Toc29663"/>
      <w:r>
        <w:rPr>
          <w:rStyle w:val="15"/>
          <w:rFonts w:hint="eastAsia" w:ascii="黑体" w:hAnsi="黑体" w:eastAsia="黑体"/>
          <w:b w:val="0"/>
          <w:color w:val="auto"/>
          <w:highlight w:val="none"/>
          <w:lang w:eastAsia="zh-CN"/>
        </w:rPr>
        <w:t>九、</w:t>
      </w:r>
      <w:r>
        <w:rPr>
          <w:rStyle w:val="15"/>
          <w:rFonts w:hint="eastAsia" w:ascii="黑体" w:hAnsi="黑体" w:eastAsia="黑体"/>
          <w:b w:val="0"/>
          <w:color w:val="auto"/>
          <w:highlight w:val="none"/>
        </w:rPr>
        <w:t>国有资本经营预算支出决算情况说明</w:t>
      </w:r>
      <w:bookmarkEnd w:id="14"/>
    </w:p>
    <w:p w14:paraId="7D67ED4C">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053E3CFD">
      <w:pPr>
        <w:keepNext w:val="0"/>
        <w:keepLines w:val="0"/>
        <w:pageBreakBefore w:val="0"/>
        <w:widowControl w:val="0"/>
        <w:kinsoku/>
        <w:wordWrap/>
        <w:overflowPunct/>
        <w:topLinePunct w:val="0"/>
        <w:autoSpaceDE/>
        <w:autoSpaceDN/>
        <w:bidi w:val="0"/>
        <w:adjustRightInd/>
        <w:snapToGrid/>
        <w:spacing w:line="580" w:lineRule="exact"/>
        <w:ind w:firstLine="880" w:firstLineChars="200"/>
        <w:jc w:val="center"/>
        <w:textAlignment w:val="auto"/>
        <w:rPr>
          <w:rFonts w:ascii="方正小标宋简体" w:hAnsi="方正小标宋简体" w:eastAsia="方正小标宋简体" w:cs="方正小标宋简体"/>
          <w:color w:val="auto"/>
          <w:sz w:val="44"/>
          <w:szCs w:val="44"/>
          <w:highlight w:val="none"/>
        </w:rPr>
      </w:pPr>
    </w:p>
    <w:p w14:paraId="42139CD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5"/>
          <w:rFonts w:hint="eastAsia" w:ascii="黑体" w:hAnsi="黑体" w:eastAsia="黑体"/>
          <w:b w:val="0"/>
          <w:color w:val="auto"/>
          <w:highlight w:val="none"/>
        </w:rPr>
      </w:pPr>
      <w:bookmarkStart w:id="15" w:name="_Toc30443"/>
      <w:r>
        <w:rPr>
          <w:rStyle w:val="15"/>
          <w:rFonts w:hint="eastAsia" w:ascii="黑体" w:hAnsi="黑体" w:eastAsia="黑体"/>
          <w:b w:val="0"/>
          <w:color w:val="auto"/>
          <w:highlight w:val="none"/>
          <w:lang w:eastAsia="zh-CN"/>
        </w:rPr>
        <w:t>十、</w:t>
      </w:r>
      <w:r>
        <w:rPr>
          <w:rStyle w:val="15"/>
          <w:rFonts w:hint="eastAsia" w:ascii="黑体" w:hAnsi="黑体" w:eastAsia="黑体"/>
          <w:b w:val="0"/>
          <w:color w:val="auto"/>
          <w:highlight w:val="none"/>
        </w:rPr>
        <w:t>其他重要事项的情况说明</w:t>
      </w:r>
      <w:bookmarkEnd w:id="15"/>
    </w:p>
    <w:p w14:paraId="308CBAAE">
      <w:pPr>
        <w:spacing w:line="600" w:lineRule="exact"/>
        <w:ind w:firstLine="643" w:firstLineChars="200"/>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rPr>
        <w:t>（一）机关运行经费支出情况</w:t>
      </w:r>
    </w:p>
    <w:p w14:paraId="1D10C38C">
      <w:pPr>
        <w:spacing w:line="60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决算数持平</w:t>
      </w:r>
      <w:r>
        <w:rPr>
          <w:rFonts w:hint="eastAsia" w:ascii="仿宋_GB2312" w:eastAsia="仿宋_GB2312"/>
          <w:color w:val="auto"/>
          <w:sz w:val="32"/>
          <w:szCs w:val="32"/>
          <w:highlight w:val="none"/>
          <w:lang w:eastAsia="zh-CN"/>
        </w:rPr>
        <w:t>。</w:t>
      </w:r>
    </w:p>
    <w:p w14:paraId="4ED996E4">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p>
    <w:p w14:paraId="189A0A13">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14:paraId="3BE8B69D">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（三）国有资产占有使用情况</w:t>
      </w:r>
    </w:p>
    <w:p w14:paraId="550341A8">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rPr>
        <w:t>辆，其中：应急保障用车</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eastAsia="zh-CN"/>
        </w:rPr>
        <w:t>（不含车辆）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642CD1B6">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14:paraId="399EF55B">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2023年本单位完成整体绩效自评，并撰写自评报告，自评得分90.77。不涉及项目绩效自评，故无项目绩效自评表</w:t>
      </w:r>
      <w:r>
        <w:rPr>
          <w:rFonts w:hint="eastAsia" w:ascii="仿宋_GB2312" w:hAnsi="Times New Roman" w:eastAsia="仿宋_GB2312" w:cs="Times New Roman"/>
          <w:color w:val="auto"/>
          <w:sz w:val="32"/>
          <w:szCs w:val="32"/>
          <w:highlight w:val="none"/>
          <w:lang w:val="en-US" w:eastAsia="zh-CN"/>
        </w:rPr>
        <w:t>。</w:t>
      </w:r>
    </w:p>
    <w:p w14:paraId="7E98806C">
      <w:pPr>
        <w:spacing w:line="600" w:lineRule="exact"/>
        <w:ind w:firstLine="640" w:firstLineChars="200"/>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br w:type="page"/>
      </w:r>
    </w:p>
    <w:p w14:paraId="6B2C87A7">
      <w:pPr>
        <w:numPr>
          <w:ilvl w:val="0"/>
          <w:numId w:val="0"/>
        </w:numPr>
        <w:spacing w:line="600" w:lineRule="exact"/>
        <w:jc w:val="center"/>
        <w:outlineLvl w:val="0"/>
        <w:rPr>
          <w:rStyle w:val="14"/>
          <w:rFonts w:ascii="黑体" w:hAnsi="黑体" w:eastAsia="黑体"/>
          <w:b w:val="0"/>
          <w:color w:val="auto"/>
          <w:highlight w:val="none"/>
        </w:rPr>
      </w:pPr>
      <w:bookmarkStart w:id="16" w:name="_Toc25838"/>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14"/>
          <w:rFonts w:hint="eastAsia" w:ascii="黑体" w:hAnsi="黑体" w:eastAsia="黑体"/>
          <w:b w:val="0"/>
          <w:color w:val="auto"/>
          <w:highlight w:val="none"/>
        </w:rPr>
        <w:t>词解释</w:t>
      </w:r>
      <w:bookmarkEnd w:id="16"/>
    </w:p>
    <w:p w14:paraId="650DB8F6">
      <w:pPr>
        <w:spacing w:line="600" w:lineRule="exact"/>
        <w:jc w:val="left"/>
        <w:rPr>
          <w:rFonts w:ascii="宋体"/>
          <w:b/>
          <w:color w:val="auto"/>
          <w:sz w:val="44"/>
          <w:szCs w:val="44"/>
          <w:highlight w:val="none"/>
        </w:rPr>
      </w:pPr>
    </w:p>
    <w:p w14:paraId="49C07277">
      <w:pPr>
        <w:pStyle w:val="17"/>
        <w:spacing w:line="560" w:lineRule="exact"/>
        <w:ind w:firstLine="640" w:firstLineChars="200"/>
        <w:outlineLvl w:val="1"/>
        <w:rPr>
          <w:rFonts w:ascii="仿宋_GB2312" w:eastAsia="仿宋_GB2312"/>
          <w:color w:val="auto"/>
          <w:sz w:val="32"/>
          <w:szCs w:val="32"/>
          <w:highlight w:val="none"/>
        </w:rPr>
      </w:pPr>
      <w:bookmarkStart w:id="17" w:name="_Toc5792"/>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取得的财政预算资金。</w:t>
      </w:r>
      <w:bookmarkEnd w:id="17"/>
    </w:p>
    <w:p w14:paraId="1876FE65">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w:t>
      </w:r>
    </w:p>
    <w:p w14:paraId="18B5F36E">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经营收入：指事业单位在专业业务活动及其辅助活动之外开展非独立核算经营活动取得的收入。</w:t>
      </w:r>
    </w:p>
    <w:p w14:paraId="28EA98F7">
      <w:pPr>
        <w:pStyle w:val="17"/>
        <w:spacing w:line="560" w:lineRule="exact"/>
        <w:ind w:firstLine="640" w:firstLineChars="200"/>
        <w:outlineLvl w:val="1"/>
        <w:rPr>
          <w:rFonts w:ascii="仿宋_GB2312" w:eastAsia="仿宋_GB2312"/>
          <w:color w:val="auto"/>
          <w:sz w:val="32"/>
          <w:szCs w:val="32"/>
          <w:highlight w:val="none"/>
        </w:rPr>
      </w:pPr>
      <w:bookmarkStart w:id="18" w:name="_Toc10951"/>
      <w:r>
        <w:rPr>
          <w:rFonts w:ascii="仿宋_GB2312" w:eastAsia="仿宋_GB2312"/>
          <w:color w:val="auto"/>
          <w:sz w:val="32"/>
          <w:szCs w:val="32"/>
          <w:highlight w:val="none"/>
        </w:rPr>
        <w:t>4.</w:t>
      </w:r>
      <w:r>
        <w:rPr>
          <w:rFonts w:hint="eastAsia" w:ascii="仿宋_GB2312" w:eastAsia="仿宋_GB2312"/>
          <w:color w:val="auto"/>
          <w:sz w:val="32"/>
          <w:szCs w:val="32"/>
          <w:highlight w:val="none"/>
        </w:rPr>
        <w:t>其他收入：指单位取得的除上述收入以外的各项收入。</w:t>
      </w:r>
      <w:bookmarkEnd w:id="18"/>
      <w:r>
        <w:rPr>
          <w:rFonts w:ascii="仿宋_GB2312" w:eastAsia="仿宋_GB2312"/>
          <w:color w:val="auto"/>
          <w:sz w:val="32"/>
          <w:szCs w:val="32"/>
          <w:highlight w:val="none"/>
        </w:rPr>
        <w:t xml:space="preserve"> </w:t>
      </w:r>
    </w:p>
    <w:p w14:paraId="042DCB0D">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5.</w:t>
      </w:r>
      <w:r>
        <w:rPr>
          <w:rFonts w:hint="eastAsia" w:ascii="仿宋_GB2312" w:hAnsi="华文中宋" w:eastAsia="仿宋_GB2312"/>
          <w:sz w:val="32"/>
          <w:szCs w:val="32"/>
          <w:u w:val="none"/>
          <w:lang w:eastAsia="zh-CN"/>
        </w:rPr>
        <w:t>使用非财政拨款结余（含专用结余）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r>
        <w:rPr>
          <w:rFonts w:ascii="仿宋_GB2312" w:eastAsia="仿宋_GB2312"/>
          <w:color w:val="auto"/>
          <w:sz w:val="32"/>
          <w:szCs w:val="32"/>
          <w:highlight w:val="none"/>
        </w:rPr>
        <w:t xml:space="preserve"> </w:t>
      </w:r>
    </w:p>
    <w:p w14:paraId="5AEA1A84">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6.</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14:paraId="2D90DC34">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7.</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14:paraId="46999F1B">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8</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109D9DE1">
      <w:pPr>
        <w:ind w:firstLine="640" w:firstLineChars="200"/>
        <w:rPr>
          <w:rFonts w:hint="eastAsia" w:ascii="仿宋_GB2312" w:eastAsia="仿宋_GB2312"/>
          <w:color w:val="auto"/>
          <w:sz w:val="32"/>
          <w:szCs w:val="32"/>
          <w:highlight w:val="none"/>
        </w:rPr>
      </w:pPr>
      <w:r>
        <w:rPr>
          <w:rFonts w:ascii="仿宋_GB2312" w:eastAsia="仿宋_GB2312"/>
          <w:color w:val="auto"/>
          <w:sz w:val="32"/>
          <w:szCs w:val="32"/>
          <w:highlight w:val="none"/>
        </w:rPr>
        <w:t>9.</w:t>
      </w:r>
      <w:r>
        <w:rPr>
          <w:rFonts w:hint="eastAsia" w:ascii="仿宋_GB2312" w:eastAsia="仿宋_GB2312"/>
          <w:color w:val="auto"/>
          <w:sz w:val="32"/>
          <w:szCs w:val="32"/>
          <w:highlight w:val="none"/>
        </w:rPr>
        <w:t>社会保障和就业支出（类）行政事业单位养老支出（款）机关事业单位基本养老保险缴费支出（项）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反映机关事业单位实施养老保险制度由单位缴纳的基本养老保险费支出。</w:t>
      </w:r>
    </w:p>
    <w:p w14:paraId="7A1537A9">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.社会保障和就业支出（类）行政事业单位养老支出（款）机关事业单位职业年金缴费支出（项）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指反映机关事业单位实施养老保险制度由单位实际缴纳的职业年金支出</w:t>
      </w:r>
      <w:r>
        <w:rPr>
          <w:rFonts w:hint="eastAsia" w:ascii="仿宋_GB2312" w:eastAsia="仿宋_GB2312"/>
          <w:color w:val="auto"/>
          <w:sz w:val="32"/>
          <w:szCs w:val="32"/>
          <w:highlight w:val="none"/>
        </w:rPr>
        <w:t>。</w:t>
      </w:r>
    </w:p>
    <w:p w14:paraId="3EC7EFE3">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.卫生健康支出（类）行政事业单位医疗（款）事业单位医疗（项）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反映财政部门安排的事业单位基本医疗保险缴费经费，未参加医疗保险的事业单位的公费医疗经费，按国家规定享受离休人员待遇的医疗经费。</w:t>
      </w:r>
    </w:p>
    <w:p w14:paraId="54C5DC82">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.卫生健康支出（类）行政事业单位医疗（款）其他行政事业单位医疗支出（项）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反映除上述项目以外的其他用于行政事业单位医疗方面的支出。</w:t>
      </w:r>
    </w:p>
    <w:p w14:paraId="7A2A16DF">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rPr>
        <w:t>.交通运输支出（类）公路水路运输（款）公路养护（项）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反映公路养护支出。</w:t>
      </w:r>
    </w:p>
    <w:p w14:paraId="162873A6">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rPr>
        <w:t>.交通运输支出（类）车辆购置税支出（款）车辆购置税用于公路等基础设施建设支出（项）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指反映车辆购置税收入安排用于公路等基础设施建设的支出</w:t>
      </w:r>
      <w:r>
        <w:rPr>
          <w:rFonts w:hint="eastAsia" w:ascii="仿宋_GB2312" w:eastAsia="仿宋_GB2312"/>
          <w:color w:val="auto"/>
          <w:sz w:val="32"/>
          <w:szCs w:val="32"/>
          <w:highlight w:val="none"/>
        </w:rPr>
        <w:t>。</w:t>
      </w:r>
    </w:p>
    <w:p w14:paraId="20B94BC9">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rPr>
        <w:t>住房保障支出（类）住房改革支出（款）住房公积金（项）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反映行政事业单位按人力资源和社会保障部、财政部规定的 基本工资和津贴补贴以及规定比例为职工缴纳的住房公积金。</w:t>
      </w:r>
    </w:p>
    <w:p w14:paraId="32C49FAC">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16.</w:t>
      </w:r>
      <w:r>
        <w:rPr>
          <w:rFonts w:hint="eastAsia" w:ascii="仿宋_GB2312" w:eastAsia="仿宋_GB2312"/>
          <w:color w:val="auto"/>
          <w:sz w:val="32"/>
          <w:szCs w:val="32"/>
          <w:highlight w:val="none"/>
        </w:rPr>
        <w:t>住房保障支出（类）住房改革支出（款）购房补贴（项）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指反映按房改政策规定，行政事业单位向符合条件职工（含离 退休人员）、军队（含武警）向转役复员离退休人员发放的用于购买住房的补贴。</w:t>
      </w:r>
    </w:p>
    <w:p w14:paraId="6F59440C">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7.</w:t>
      </w:r>
      <w:r>
        <w:rPr>
          <w:rFonts w:hint="eastAsia" w:ascii="仿宋_GB2312" w:eastAsia="仿宋_GB2312"/>
          <w:color w:val="auto"/>
          <w:sz w:val="32"/>
          <w:szCs w:val="32"/>
          <w:highlight w:val="none"/>
        </w:rPr>
        <w:t>基本支出：指为保障机构正常运转、完成日常工作任务而发生的人员支出和公用支出。</w:t>
      </w:r>
    </w:p>
    <w:p w14:paraId="4D3D8DCB">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8.</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08D11B4B">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9.</w:t>
      </w:r>
      <w:r>
        <w:rPr>
          <w:rFonts w:hint="eastAsia" w:ascii="仿宋_GB2312" w:eastAsia="仿宋_GB2312"/>
          <w:color w:val="auto"/>
          <w:sz w:val="32"/>
          <w:szCs w:val="32"/>
          <w:highlight w:val="none"/>
        </w:rPr>
        <w:t>经营支出：指事业单位在专业业务活动及其辅助活动之外开展非独立核算经营活动发生的支出。</w:t>
      </w:r>
    </w:p>
    <w:p w14:paraId="6FFA867C">
      <w:pPr>
        <w:pStyle w:val="1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0.</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3F278E61">
      <w:pPr>
        <w:pStyle w:val="1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1.</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733F94A">
      <w:pPr>
        <w:pStyle w:val="17"/>
        <w:spacing w:line="560" w:lineRule="exact"/>
        <w:ind w:firstLine="640" w:firstLineChars="200"/>
        <w:rPr>
          <w:rFonts w:ascii="仿宋_GB2312" w:eastAsia="仿宋_GB2312" w:cs="黑体"/>
          <w:color w:val="auto"/>
          <w:sz w:val="32"/>
          <w:szCs w:val="32"/>
          <w:highlight w:val="none"/>
        </w:rPr>
      </w:pPr>
    </w:p>
    <w:p w14:paraId="30CD54F1">
      <w:pPr>
        <w:spacing w:line="600" w:lineRule="exact"/>
        <w:jc w:val="center"/>
        <w:outlineLvl w:val="0"/>
        <w:rPr>
          <w:rStyle w:val="14"/>
          <w:rFonts w:ascii="黑体" w:hAnsi="黑体" w:eastAsia="黑体"/>
          <w:b w:val="0"/>
          <w:color w:val="auto"/>
          <w:highlight w:val="none"/>
        </w:rPr>
      </w:pPr>
      <w:r>
        <w:rPr>
          <w:rFonts w:ascii="宋体"/>
          <w:b/>
          <w:color w:val="auto"/>
          <w:sz w:val="44"/>
          <w:szCs w:val="44"/>
          <w:highlight w:val="none"/>
        </w:rPr>
        <w:br w:type="page"/>
      </w:r>
      <w:bookmarkStart w:id="19" w:name="_Toc23889"/>
      <w:r>
        <w:rPr>
          <w:rFonts w:hint="eastAsia" w:ascii="黑体" w:hAnsi="黑体" w:eastAsia="黑体"/>
          <w:color w:val="auto"/>
          <w:sz w:val="44"/>
          <w:szCs w:val="44"/>
          <w:highlight w:val="none"/>
        </w:rPr>
        <w:t>第</w:t>
      </w:r>
      <w:r>
        <w:rPr>
          <w:rStyle w:val="14"/>
          <w:rFonts w:hint="eastAsia" w:ascii="黑体" w:hAnsi="黑体" w:eastAsia="黑体"/>
          <w:b w:val="0"/>
          <w:color w:val="auto"/>
          <w:highlight w:val="none"/>
        </w:rPr>
        <w:t>四部分 附件</w:t>
      </w:r>
      <w:bookmarkEnd w:id="19"/>
    </w:p>
    <w:p w14:paraId="5351EB35">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14:paraId="2359C318">
      <w:pPr>
        <w:pStyle w:val="6"/>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hAnsi="Times New Roman" w:cs="Times New Roman"/>
          <w:sz w:val="32"/>
          <w:szCs w:val="32"/>
          <w:highlight w:val="none"/>
          <w:lang w:val="en-US" w:eastAsia="zh-CN"/>
        </w:rPr>
      </w:pPr>
      <w:r>
        <w:rPr>
          <w:rFonts w:hint="eastAsia" w:ascii="仿宋" w:hAnsi="仿宋" w:eastAsia="仿宋" w:cs="仿宋"/>
          <w:sz w:val="32"/>
          <w:szCs w:val="32"/>
          <w:highlight w:val="none"/>
          <w:lang w:val="en-US" w:eastAsia="zh-CN"/>
        </w:rPr>
        <w:t>2023年阿坝藏族羌族自治州公路管理局理县公路管理分局无单位预算项目支出绩效自评表</w:t>
      </w:r>
      <w:r>
        <w:rPr>
          <w:rFonts w:hint="eastAsia" w:hAnsi="Times New Roman" w:cs="Times New Roman"/>
          <w:sz w:val="32"/>
          <w:szCs w:val="32"/>
          <w:highlight w:val="none"/>
          <w:lang w:val="en-US" w:eastAsia="zh-CN"/>
        </w:rPr>
        <w:t>。</w:t>
      </w:r>
    </w:p>
    <w:p w14:paraId="033F3B75">
      <w:pPr>
        <w:pStyle w:val="2"/>
        <w:rPr>
          <w:rFonts w:hint="eastAsia" w:ascii="仿宋_GB2312" w:hAnsi="Calibri" w:eastAsia="仿宋_GB2312" w:cs="仿宋"/>
          <w:color w:val="auto"/>
          <w:kern w:val="0"/>
          <w:sz w:val="32"/>
          <w:szCs w:val="32"/>
          <w:highlight w:val="none"/>
          <w:lang w:val="en-US" w:eastAsia="zh-CN" w:bidi="ar-SA"/>
        </w:rPr>
      </w:pPr>
    </w:p>
    <w:p w14:paraId="4A3741B4">
      <w:pPr>
        <w:pStyle w:val="2"/>
        <w:rPr>
          <w:rFonts w:hint="eastAsia" w:ascii="仿宋_GB2312" w:hAnsi="Calibri" w:eastAsia="仿宋_GB2312" w:cs="仿宋"/>
          <w:color w:val="auto"/>
          <w:kern w:val="0"/>
          <w:sz w:val="32"/>
          <w:szCs w:val="32"/>
          <w:highlight w:val="none"/>
          <w:lang w:val="en-US" w:eastAsia="zh-CN" w:bidi="ar-SA"/>
        </w:rPr>
      </w:pPr>
    </w:p>
    <w:p w14:paraId="0A33505A">
      <w:pPr>
        <w:pStyle w:val="2"/>
        <w:rPr>
          <w:rFonts w:hint="eastAsia" w:ascii="仿宋_GB2312" w:hAnsi="Calibri" w:eastAsia="仿宋_GB2312" w:cs="仿宋"/>
          <w:color w:val="auto"/>
          <w:kern w:val="0"/>
          <w:sz w:val="32"/>
          <w:szCs w:val="32"/>
          <w:highlight w:val="none"/>
          <w:lang w:val="en-US" w:eastAsia="zh-CN" w:bidi="ar-SA"/>
        </w:rPr>
      </w:pPr>
    </w:p>
    <w:p w14:paraId="11800E8B">
      <w:pPr>
        <w:pStyle w:val="2"/>
        <w:rPr>
          <w:rFonts w:hint="eastAsia" w:ascii="仿宋_GB2312" w:hAnsi="Calibri" w:eastAsia="仿宋_GB2312" w:cs="仿宋"/>
          <w:color w:val="auto"/>
          <w:kern w:val="0"/>
          <w:sz w:val="32"/>
          <w:szCs w:val="32"/>
          <w:highlight w:val="none"/>
          <w:lang w:val="en-US" w:eastAsia="zh-CN" w:bidi="ar-SA"/>
        </w:rPr>
      </w:pPr>
    </w:p>
    <w:p w14:paraId="3326B6F2">
      <w:pPr>
        <w:pStyle w:val="2"/>
        <w:rPr>
          <w:rFonts w:hint="eastAsia" w:ascii="仿宋_GB2312" w:hAnsi="Calibri" w:eastAsia="仿宋_GB2312" w:cs="仿宋"/>
          <w:color w:val="auto"/>
          <w:kern w:val="0"/>
          <w:sz w:val="32"/>
          <w:szCs w:val="32"/>
          <w:highlight w:val="none"/>
          <w:lang w:val="en-US" w:eastAsia="zh-CN" w:bidi="ar-SA"/>
        </w:rPr>
      </w:pPr>
    </w:p>
    <w:p w14:paraId="4CC1A2E8">
      <w:pPr>
        <w:pStyle w:val="2"/>
        <w:rPr>
          <w:rFonts w:hint="eastAsia" w:ascii="仿宋_GB2312" w:hAnsi="Calibri" w:eastAsia="仿宋_GB2312" w:cs="仿宋"/>
          <w:color w:val="auto"/>
          <w:kern w:val="0"/>
          <w:sz w:val="32"/>
          <w:szCs w:val="32"/>
          <w:highlight w:val="none"/>
          <w:lang w:val="en-US" w:eastAsia="zh-CN" w:bidi="ar-SA"/>
        </w:rPr>
      </w:pPr>
    </w:p>
    <w:p w14:paraId="2986E2D3">
      <w:pPr>
        <w:pStyle w:val="2"/>
        <w:rPr>
          <w:rFonts w:hint="eastAsia" w:ascii="仿宋_GB2312" w:hAnsi="Calibri" w:eastAsia="仿宋_GB2312" w:cs="仿宋"/>
          <w:color w:val="auto"/>
          <w:kern w:val="0"/>
          <w:sz w:val="32"/>
          <w:szCs w:val="32"/>
          <w:highlight w:val="none"/>
          <w:lang w:val="en-US" w:eastAsia="zh-CN" w:bidi="ar-SA"/>
        </w:rPr>
      </w:pPr>
    </w:p>
    <w:p w14:paraId="21BBB8FC">
      <w:pPr>
        <w:pStyle w:val="2"/>
        <w:rPr>
          <w:rFonts w:hint="eastAsia" w:ascii="仿宋_GB2312" w:hAnsi="Calibri" w:eastAsia="仿宋_GB2312" w:cs="仿宋"/>
          <w:color w:val="auto"/>
          <w:kern w:val="0"/>
          <w:sz w:val="32"/>
          <w:szCs w:val="32"/>
          <w:highlight w:val="none"/>
          <w:lang w:val="en-US" w:eastAsia="zh-CN" w:bidi="ar-SA"/>
        </w:rPr>
      </w:pPr>
    </w:p>
    <w:p w14:paraId="23051899">
      <w:pPr>
        <w:pStyle w:val="2"/>
        <w:rPr>
          <w:rFonts w:hint="eastAsia" w:ascii="仿宋_GB2312" w:hAnsi="Calibri" w:eastAsia="仿宋_GB2312" w:cs="仿宋"/>
          <w:color w:val="auto"/>
          <w:kern w:val="0"/>
          <w:sz w:val="32"/>
          <w:szCs w:val="32"/>
          <w:highlight w:val="none"/>
          <w:lang w:val="en-US" w:eastAsia="zh-CN" w:bidi="ar-SA"/>
        </w:rPr>
      </w:pPr>
    </w:p>
    <w:p w14:paraId="6F5EC131">
      <w:pPr>
        <w:pStyle w:val="2"/>
        <w:rPr>
          <w:rFonts w:hint="eastAsia" w:ascii="仿宋_GB2312" w:hAnsi="Calibri" w:eastAsia="仿宋_GB2312" w:cs="仿宋"/>
          <w:color w:val="auto"/>
          <w:kern w:val="0"/>
          <w:sz w:val="32"/>
          <w:szCs w:val="32"/>
          <w:highlight w:val="none"/>
          <w:lang w:val="en-US" w:eastAsia="zh-CN" w:bidi="ar-SA"/>
        </w:rPr>
      </w:pPr>
    </w:p>
    <w:p w14:paraId="1F2DACF5">
      <w:pPr>
        <w:pStyle w:val="2"/>
        <w:rPr>
          <w:rFonts w:hint="eastAsia" w:ascii="仿宋_GB2312" w:hAnsi="Calibri" w:eastAsia="仿宋_GB2312" w:cs="仿宋"/>
          <w:color w:val="auto"/>
          <w:kern w:val="0"/>
          <w:sz w:val="32"/>
          <w:szCs w:val="32"/>
          <w:highlight w:val="none"/>
          <w:lang w:val="en-US" w:eastAsia="zh-CN" w:bidi="ar-SA"/>
        </w:rPr>
      </w:pPr>
    </w:p>
    <w:p w14:paraId="2880654F">
      <w:pPr>
        <w:pStyle w:val="2"/>
        <w:rPr>
          <w:rFonts w:hint="eastAsia" w:ascii="仿宋_GB2312" w:hAnsi="Calibri" w:eastAsia="仿宋_GB2312" w:cs="仿宋"/>
          <w:color w:val="auto"/>
          <w:kern w:val="0"/>
          <w:sz w:val="32"/>
          <w:szCs w:val="32"/>
          <w:highlight w:val="none"/>
          <w:lang w:val="en-US" w:eastAsia="zh-CN" w:bidi="ar-SA"/>
        </w:rPr>
      </w:pPr>
    </w:p>
    <w:p w14:paraId="79B3FF06">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14:paraId="03A1BF3C">
      <w:pPr>
        <w:spacing w:line="600" w:lineRule="exact"/>
        <w:jc w:val="center"/>
        <w:outlineLvl w:val="0"/>
        <w:rPr>
          <w:rFonts w:hint="eastAsia" w:ascii="仿宋" w:hAnsi="仿宋" w:eastAsia="仿宋"/>
          <w:b w:val="0"/>
          <w:color w:val="auto"/>
          <w:highlight w:val="none"/>
        </w:rPr>
      </w:pPr>
      <w:bookmarkStart w:id="20" w:name="_Toc30884"/>
      <w:r>
        <w:rPr>
          <w:rFonts w:hint="eastAsia" w:ascii="黑体" w:hAnsi="黑体" w:eastAsia="黑体"/>
          <w:color w:val="auto"/>
          <w:sz w:val="44"/>
          <w:szCs w:val="44"/>
          <w:highlight w:val="none"/>
        </w:rPr>
        <w:t>第</w:t>
      </w:r>
      <w:r>
        <w:rPr>
          <w:rStyle w:val="14"/>
          <w:rFonts w:hint="eastAsia" w:ascii="黑体" w:hAnsi="黑体" w:eastAsia="黑体"/>
          <w:b w:val="0"/>
          <w:color w:val="auto"/>
          <w:highlight w:val="none"/>
        </w:rPr>
        <w:t>五部分 附表</w:t>
      </w:r>
      <w:bookmarkEnd w:id="20"/>
    </w:p>
    <w:p w14:paraId="4255FD1F">
      <w:pPr>
        <w:pStyle w:val="4"/>
        <w:rPr>
          <w:rFonts w:ascii="仿宋" w:hAnsi="仿宋" w:eastAsia="仿宋"/>
          <w:color w:val="auto"/>
          <w:highlight w:val="none"/>
        </w:rPr>
      </w:pPr>
      <w:bookmarkStart w:id="21" w:name="_Toc19974"/>
      <w:r>
        <w:rPr>
          <w:rFonts w:hint="eastAsia" w:ascii="仿宋" w:hAnsi="仿宋" w:eastAsia="仿宋"/>
          <w:b w:val="0"/>
          <w:color w:val="auto"/>
          <w:highlight w:val="none"/>
        </w:rPr>
        <w:t>一、收</w:t>
      </w:r>
      <w:r>
        <w:rPr>
          <w:rStyle w:val="15"/>
          <w:rFonts w:hint="eastAsia" w:ascii="仿宋" w:hAnsi="仿宋" w:eastAsia="仿宋"/>
          <w:b w:val="0"/>
          <w:bCs w:val="0"/>
          <w:color w:val="auto"/>
          <w:highlight w:val="none"/>
        </w:rPr>
        <w:t>入支出决算总表</w:t>
      </w:r>
      <w:bookmarkEnd w:id="21"/>
    </w:p>
    <w:p w14:paraId="33AF7792">
      <w:pPr>
        <w:pStyle w:val="4"/>
        <w:rPr>
          <w:rFonts w:ascii="仿宋" w:hAnsi="仿宋" w:eastAsia="仿宋"/>
          <w:color w:val="auto"/>
          <w:highlight w:val="none"/>
        </w:rPr>
      </w:pPr>
      <w:bookmarkStart w:id="22" w:name="_Toc22341"/>
      <w:r>
        <w:rPr>
          <w:rFonts w:hint="eastAsia" w:ascii="仿宋" w:hAnsi="仿宋" w:eastAsia="仿宋"/>
          <w:b w:val="0"/>
          <w:color w:val="auto"/>
          <w:highlight w:val="none"/>
        </w:rPr>
        <w:t>二、收</w:t>
      </w:r>
      <w:r>
        <w:rPr>
          <w:rStyle w:val="15"/>
          <w:rFonts w:hint="eastAsia" w:ascii="仿宋" w:hAnsi="仿宋" w:eastAsia="仿宋"/>
          <w:b w:val="0"/>
          <w:bCs w:val="0"/>
          <w:color w:val="auto"/>
          <w:highlight w:val="none"/>
        </w:rPr>
        <w:t>入决算表</w:t>
      </w:r>
      <w:bookmarkEnd w:id="22"/>
    </w:p>
    <w:p w14:paraId="7D6E4AB2">
      <w:pPr>
        <w:pStyle w:val="4"/>
        <w:rPr>
          <w:rFonts w:ascii="仿宋" w:hAnsi="仿宋" w:eastAsia="仿宋"/>
          <w:color w:val="auto"/>
          <w:highlight w:val="none"/>
        </w:rPr>
      </w:pPr>
      <w:bookmarkStart w:id="23" w:name="_Toc24841"/>
      <w:r>
        <w:rPr>
          <w:rStyle w:val="15"/>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5"/>
          <w:rFonts w:hint="eastAsia" w:ascii="仿宋" w:hAnsi="仿宋" w:eastAsia="仿宋"/>
          <w:b w:val="0"/>
          <w:bCs w:val="0"/>
          <w:color w:val="auto"/>
          <w:highlight w:val="none"/>
        </w:rPr>
        <w:t>出决算表</w:t>
      </w:r>
      <w:bookmarkEnd w:id="23"/>
    </w:p>
    <w:p w14:paraId="6A819F4D">
      <w:pPr>
        <w:pStyle w:val="4"/>
        <w:rPr>
          <w:rFonts w:ascii="仿宋" w:hAnsi="仿宋" w:eastAsia="仿宋"/>
          <w:b w:val="0"/>
          <w:color w:val="auto"/>
          <w:highlight w:val="none"/>
        </w:rPr>
      </w:pPr>
      <w:bookmarkStart w:id="24" w:name="_Toc20006"/>
      <w:r>
        <w:rPr>
          <w:rStyle w:val="15"/>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5"/>
          <w:rFonts w:hint="eastAsia" w:ascii="仿宋" w:hAnsi="仿宋" w:eastAsia="仿宋"/>
          <w:b w:val="0"/>
          <w:bCs w:val="0"/>
          <w:color w:val="auto"/>
          <w:highlight w:val="none"/>
        </w:rPr>
        <w:t>政拨款收入支出决算总表</w:t>
      </w:r>
      <w:bookmarkEnd w:id="24"/>
    </w:p>
    <w:p w14:paraId="2BDE9B85">
      <w:pPr>
        <w:pStyle w:val="4"/>
        <w:rPr>
          <w:rStyle w:val="15"/>
          <w:rFonts w:ascii="仿宋" w:hAnsi="仿宋" w:eastAsia="仿宋"/>
          <w:b w:val="0"/>
          <w:bCs w:val="0"/>
          <w:color w:val="auto"/>
          <w:highlight w:val="none"/>
        </w:rPr>
      </w:pPr>
      <w:bookmarkStart w:id="25" w:name="_Toc14019"/>
      <w:r>
        <w:rPr>
          <w:rStyle w:val="15"/>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5"/>
          <w:rFonts w:hint="eastAsia" w:ascii="仿宋" w:hAnsi="仿宋" w:eastAsia="仿宋"/>
          <w:b w:val="0"/>
          <w:bCs w:val="0"/>
          <w:color w:val="auto"/>
          <w:highlight w:val="none"/>
        </w:rPr>
        <w:t>政拨款支出决算明细表</w:t>
      </w:r>
      <w:bookmarkEnd w:id="25"/>
    </w:p>
    <w:p w14:paraId="32E9B124">
      <w:pPr>
        <w:pStyle w:val="4"/>
        <w:rPr>
          <w:rFonts w:ascii="仿宋" w:hAnsi="仿宋" w:eastAsia="仿宋"/>
          <w:color w:val="auto"/>
          <w:highlight w:val="none"/>
        </w:rPr>
      </w:pPr>
      <w:bookmarkStart w:id="26" w:name="_Toc16262"/>
      <w:r>
        <w:rPr>
          <w:rStyle w:val="15"/>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般公共预算财政拨款支出决算表</w:t>
      </w:r>
      <w:bookmarkEnd w:id="26"/>
    </w:p>
    <w:p w14:paraId="6F23B795">
      <w:pPr>
        <w:pStyle w:val="4"/>
        <w:rPr>
          <w:rFonts w:ascii="仿宋" w:hAnsi="仿宋" w:eastAsia="仿宋"/>
          <w:color w:val="auto"/>
          <w:highlight w:val="none"/>
        </w:rPr>
      </w:pPr>
      <w:bookmarkStart w:id="27" w:name="_Toc9758"/>
      <w:r>
        <w:rPr>
          <w:rStyle w:val="15"/>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般公共预算财政拨款支出决算明细表</w:t>
      </w:r>
      <w:bookmarkEnd w:id="27"/>
    </w:p>
    <w:p w14:paraId="5927ED48">
      <w:pPr>
        <w:pStyle w:val="4"/>
        <w:rPr>
          <w:rFonts w:ascii="仿宋" w:hAnsi="仿宋" w:eastAsia="仿宋"/>
          <w:color w:val="auto"/>
          <w:highlight w:val="none"/>
        </w:rPr>
      </w:pPr>
      <w:bookmarkStart w:id="28" w:name="_Toc21923"/>
      <w:r>
        <w:rPr>
          <w:rStyle w:val="15"/>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般公共预算财政拨款基本支出决算表</w:t>
      </w:r>
      <w:bookmarkEnd w:id="28"/>
    </w:p>
    <w:p w14:paraId="70CCCBE3">
      <w:pPr>
        <w:pStyle w:val="4"/>
        <w:rPr>
          <w:rFonts w:ascii="仿宋" w:hAnsi="仿宋" w:eastAsia="仿宋"/>
          <w:color w:val="auto"/>
          <w:highlight w:val="none"/>
        </w:rPr>
      </w:pPr>
      <w:bookmarkStart w:id="29" w:name="_Toc11097"/>
      <w:r>
        <w:rPr>
          <w:rStyle w:val="15"/>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般公共预算财政拨款项目支出决算表</w:t>
      </w:r>
      <w:bookmarkEnd w:id="29"/>
    </w:p>
    <w:p w14:paraId="14A43379">
      <w:pPr>
        <w:pStyle w:val="4"/>
        <w:rPr>
          <w:rFonts w:ascii="仿宋" w:hAnsi="仿宋" w:eastAsia="仿宋"/>
          <w:color w:val="auto"/>
          <w:highlight w:val="none"/>
        </w:rPr>
      </w:pPr>
      <w:bookmarkStart w:id="30" w:name="_Toc4821"/>
      <w:r>
        <w:rPr>
          <w:rStyle w:val="15"/>
          <w:rFonts w:hint="eastAsia" w:ascii="仿宋" w:hAnsi="仿宋" w:eastAsia="仿宋"/>
          <w:b w:val="0"/>
          <w:bCs w:val="0"/>
          <w:color w:val="auto"/>
          <w:highlight w:val="none"/>
        </w:rPr>
        <w:t>十、</w:t>
      </w:r>
      <w:r>
        <w:rPr>
          <w:rFonts w:hint="eastAsia" w:ascii="仿宋" w:hAnsi="仿宋" w:eastAsia="仿宋"/>
          <w:b w:val="0"/>
          <w:color w:val="auto"/>
          <w:highlight w:val="none"/>
        </w:rPr>
        <w:t>政</w:t>
      </w:r>
      <w:r>
        <w:rPr>
          <w:rStyle w:val="15"/>
          <w:rFonts w:hint="eastAsia" w:ascii="仿宋" w:hAnsi="仿宋" w:eastAsia="仿宋"/>
          <w:b w:val="0"/>
          <w:bCs w:val="0"/>
          <w:color w:val="auto"/>
          <w:highlight w:val="none"/>
        </w:rPr>
        <w:t>府性基金预算财政拨款收入支出决算表</w:t>
      </w:r>
      <w:bookmarkEnd w:id="30"/>
    </w:p>
    <w:p w14:paraId="49858CBF">
      <w:pPr>
        <w:pStyle w:val="4"/>
        <w:rPr>
          <w:rFonts w:ascii="仿宋" w:hAnsi="仿宋" w:eastAsia="仿宋"/>
          <w:color w:val="auto"/>
          <w:highlight w:val="none"/>
        </w:rPr>
      </w:pPr>
      <w:bookmarkStart w:id="31" w:name="_Toc8763"/>
      <w:r>
        <w:rPr>
          <w:rStyle w:val="15"/>
          <w:rFonts w:hint="eastAsia" w:ascii="仿宋" w:hAnsi="仿宋" w:eastAsia="仿宋"/>
          <w:b w:val="0"/>
          <w:bCs w:val="0"/>
          <w:color w:val="auto"/>
          <w:highlight w:val="none"/>
        </w:rPr>
        <w:t>十一、</w:t>
      </w:r>
      <w:r>
        <w:rPr>
          <w:rFonts w:hint="eastAsia" w:ascii="仿宋" w:hAnsi="仿宋" w:eastAsia="仿宋"/>
          <w:b w:val="0"/>
          <w:color w:val="auto"/>
          <w:highlight w:val="none"/>
        </w:rPr>
        <w:t>国</w:t>
      </w:r>
      <w:r>
        <w:rPr>
          <w:rStyle w:val="15"/>
          <w:rFonts w:hint="eastAsia" w:ascii="仿宋" w:hAnsi="仿宋" w:eastAsia="仿宋"/>
          <w:b w:val="0"/>
          <w:bCs w:val="0"/>
          <w:color w:val="auto"/>
          <w:highlight w:val="none"/>
        </w:rPr>
        <w:t>有资本经营预算</w:t>
      </w:r>
      <w:r>
        <w:rPr>
          <w:rStyle w:val="15"/>
          <w:rFonts w:hint="eastAsia" w:ascii="仿宋" w:hAnsi="仿宋" w:eastAsia="仿宋"/>
          <w:b w:val="0"/>
          <w:bCs w:val="0"/>
          <w:color w:val="auto"/>
          <w:highlight w:val="none"/>
          <w:lang w:eastAsia="zh-CN"/>
        </w:rPr>
        <w:t>财政拨款收入</w:t>
      </w:r>
      <w:r>
        <w:rPr>
          <w:rStyle w:val="15"/>
          <w:rFonts w:hint="eastAsia" w:ascii="仿宋" w:hAnsi="仿宋" w:eastAsia="仿宋"/>
          <w:b w:val="0"/>
          <w:bCs w:val="0"/>
          <w:color w:val="auto"/>
          <w:highlight w:val="none"/>
        </w:rPr>
        <w:t>支出决算表</w:t>
      </w:r>
      <w:bookmarkEnd w:id="31"/>
    </w:p>
    <w:p w14:paraId="2208385D">
      <w:pPr>
        <w:pStyle w:val="4"/>
        <w:rPr>
          <w:rFonts w:ascii="仿宋" w:hAnsi="仿宋" w:eastAsia="仿宋"/>
          <w:color w:val="auto"/>
          <w:highlight w:val="none"/>
        </w:rPr>
      </w:pPr>
      <w:bookmarkStart w:id="32" w:name="_Toc25446"/>
      <w:r>
        <w:rPr>
          <w:rStyle w:val="15"/>
          <w:rFonts w:hint="eastAsia" w:ascii="仿宋" w:hAnsi="仿宋" w:eastAsia="仿宋"/>
          <w:b w:val="0"/>
          <w:bCs w:val="0"/>
          <w:color w:val="auto"/>
          <w:highlight w:val="none"/>
        </w:rPr>
        <w:t>十二、</w:t>
      </w:r>
      <w:r>
        <w:rPr>
          <w:rStyle w:val="15"/>
          <w:rFonts w:hint="eastAsia" w:ascii="仿宋" w:hAnsi="仿宋" w:eastAsia="仿宋"/>
          <w:b w:val="0"/>
          <w:bCs w:val="0"/>
          <w:color w:val="auto"/>
          <w:highlight w:val="none"/>
          <w:lang w:eastAsia="zh-CN"/>
        </w:rPr>
        <w:t>国有资本经营预算财政拨款支出决算表</w:t>
      </w:r>
      <w:bookmarkEnd w:id="32"/>
    </w:p>
    <w:p w14:paraId="3F9339A9">
      <w:pPr>
        <w:pStyle w:val="4"/>
        <w:rPr>
          <w:rFonts w:hint="eastAsia" w:eastAsia="仿宋"/>
          <w:color w:val="auto"/>
          <w:highlight w:val="none"/>
          <w:lang w:eastAsia="zh-CN"/>
        </w:rPr>
      </w:pPr>
      <w:bookmarkStart w:id="33" w:name="_Toc20221"/>
      <w:r>
        <w:rPr>
          <w:rStyle w:val="15"/>
          <w:rFonts w:hint="eastAsia" w:ascii="仿宋" w:hAnsi="仿宋" w:eastAsia="仿宋"/>
          <w:b w:val="0"/>
          <w:bCs w:val="0"/>
          <w:color w:val="auto"/>
          <w:highlight w:val="none"/>
        </w:rPr>
        <w:t>十三、</w:t>
      </w:r>
      <w:r>
        <w:rPr>
          <w:rStyle w:val="15"/>
          <w:rFonts w:hint="eastAsia" w:ascii="仿宋" w:hAnsi="仿宋" w:eastAsia="仿宋"/>
          <w:b w:val="0"/>
          <w:bCs w:val="0"/>
          <w:color w:val="auto"/>
          <w:highlight w:val="none"/>
          <w:lang w:eastAsia="zh-CN"/>
        </w:rPr>
        <w:t>财政拨款“三公”经费支出决算表</w:t>
      </w:r>
      <w:bookmarkEnd w:id="33"/>
    </w:p>
    <w:p w14:paraId="11878982">
      <w:pPr>
        <w:rPr>
          <w:rFonts w:hint="eastAsia"/>
          <w:lang w:eastAsia="zh-CN"/>
        </w:rPr>
      </w:pPr>
    </w:p>
    <w:p w14:paraId="0764C204"/>
    <w:sectPr>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script"/>
    <w:pitch w:val="default"/>
    <w:sig w:usb0="00000000" w:usb1="00000000" w:usb2="00000012"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782B5">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7A81AC59">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176383E7">
                          <w:pPr>
                            <w:pStyle w:val="9"/>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14:paraId="7A81AC59">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176383E7">
                    <w:pPr>
                      <w:pStyle w:val="9"/>
                    </w:pPr>
                  </w:p>
                </w:txbxContent>
              </v:textbox>
            </v:shape>
          </w:pict>
        </mc:Fallback>
      </mc:AlternateContent>
    </w:r>
  </w:p>
  <w:p w14:paraId="51A23F55">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E0254">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-16510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AD9AA5">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3pt;height:144pt;width:144pt;mso-position-horizontal:center;mso-position-horizontal-relative:margin;mso-wrap-style:none;z-index:251660288;mso-width-relative:page;mso-height-relative:page;" filled="f" stroked="f" coordsize="21600,21600" o:gfxdata="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0DSR9UAAAAHAQAADwAAAAAAAAABACAAAAAiAAAAZHJzL2Rvd25yZXYueG1sUEsB&#10;AhQAFAAAAAgAh07iQCSCRrQxAgAAYQQAAA4AAAAAAAAAAQAgAAAAJAEAAGRycy9lMm9Eb2MueG1s&#10;UEsFBgAAAAAGAAYAWQEAAMcFAAAAAA==&#10;">
              <v:fill on="f" focussize="0,0"/>
              <v:stroke on="f" weight="0.5pt"/>
              <v:imagedata o:title=""/>
              <o:lock v:ext="edit" aspectratio="f"/>
              <v:textbox inset="0mm,0mm,0mm,0mm" style="mso-fit-shape-to-text:t;">
                <w:txbxContent>
                  <w:p w14:paraId="4CAD9AA5">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zMjM0NTMzYzNmNmNmZjAxNGI2YmE0NzgzZDY1ZmQifQ=="/>
  </w:docVars>
  <w:rsids>
    <w:rsidRoot w:val="FFDBB21C"/>
    <w:rsid w:val="0E3C75E8"/>
    <w:rsid w:val="0F8751F8"/>
    <w:rsid w:val="11EB462D"/>
    <w:rsid w:val="27B46E67"/>
    <w:rsid w:val="3B061E26"/>
    <w:rsid w:val="3D712EC0"/>
    <w:rsid w:val="3F005D29"/>
    <w:rsid w:val="3F9B06C8"/>
    <w:rsid w:val="4AE616BF"/>
    <w:rsid w:val="5629004A"/>
    <w:rsid w:val="5BC87CF7"/>
    <w:rsid w:val="78972AD3"/>
    <w:rsid w:val="FFDBB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beforeLines="30"/>
    </w:pPr>
    <w:rPr>
      <w:rFonts w:ascii="仿宋_GB2312" w:eastAsia="仿宋_GB2312"/>
      <w:kern w:val="0"/>
      <w:sz w:val="30"/>
    </w:rPr>
  </w:style>
  <w:style w:type="paragraph" w:styleId="5">
    <w:name w:val="Body Text Indent"/>
    <w:basedOn w:val="1"/>
    <w:next w:val="6"/>
    <w:qFormat/>
    <w:uiPriority w:val="0"/>
    <w:pPr>
      <w:spacing w:after="120"/>
      <w:ind w:leftChars="200"/>
    </w:pPr>
    <w:rPr>
      <w:rFonts w:ascii="仿宋_GB2312"/>
      <w:szCs w:val="32"/>
    </w:rPr>
  </w:style>
  <w:style w:type="paragraph" w:styleId="6">
    <w:name w:val="Body Text First Indent 2"/>
    <w:basedOn w:val="5"/>
    <w:unhideWhenUsed/>
    <w:qFormat/>
    <w:uiPriority w:val="99"/>
    <w:pPr>
      <w:ind w:firstLine="420" w:firstLineChars="200"/>
    </w:pPr>
  </w:style>
  <w:style w:type="paragraph" w:styleId="7">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8">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9">
    <w:name w:val="footnote text"/>
    <w:basedOn w:val="1"/>
    <w:next w:val="6"/>
    <w:semiHidden/>
    <w:qFormat/>
    <w:uiPriority w:val="0"/>
    <w:pPr>
      <w:snapToGrid w:val="0"/>
      <w:jc w:val="left"/>
    </w:pPr>
    <w:rPr>
      <w:sz w:val="18"/>
      <w:szCs w:val="18"/>
    </w:rPr>
  </w:style>
  <w:style w:type="paragraph" w:styleId="10">
    <w:name w:val="toc 2"/>
    <w:basedOn w:val="1"/>
    <w:next w:val="1"/>
    <w:unhideWhenUsed/>
    <w:qFormat/>
    <w:uiPriority w:val="39"/>
    <w:pPr>
      <w:tabs>
        <w:tab w:val="right" w:leader="dot" w:pos="8296"/>
      </w:tabs>
      <w:ind w:left="420" w:leftChars="200"/>
    </w:pPr>
  </w:style>
  <w:style w:type="character" w:styleId="13">
    <w:name w:val="Strong"/>
    <w:basedOn w:val="12"/>
    <w:qFormat/>
    <w:uiPriority w:val="99"/>
    <w:rPr>
      <w:b/>
    </w:rPr>
  </w:style>
  <w:style w:type="character" w:customStyle="1" w:styleId="14">
    <w:name w:val="标题 1 Char"/>
    <w:basedOn w:val="12"/>
    <w:link w:val="3"/>
    <w:qFormat/>
    <w:uiPriority w:val="9"/>
    <w:rPr>
      <w:b/>
      <w:bCs/>
      <w:kern w:val="44"/>
      <w:sz w:val="44"/>
      <w:szCs w:val="44"/>
    </w:rPr>
  </w:style>
  <w:style w:type="character" w:customStyle="1" w:styleId="15">
    <w:name w:val="标题 2 Char"/>
    <w:basedOn w:val="12"/>
    <w:link w:val="4"/>
    <w:qFormat/>
    <w:uiPriority w:val="9"/>
    <w:rPr>
      <w:rFonts w:asciiTheme="majorHAnsi" w:hAnsiTheme="majorHAnsi" w:eastAsiaTheme="majorEastAsia" w:cstheme="majorBidi"/>
      <w:b/>
      <w:bCs/>
      <w:sz w:val="32"/>
      <w:szCs w:val="32"/>
    </w:rPr>
  </w:style>
  <w:style w:type="paragraph" w:styleId="16">
    <w:name w:val="List Paragraph"/>
    <w:basedOn w:val="1"/>
    <w:qFormat/>
    <w:uiPriority w:val="34"/>
    <w:pPr>
      <w:ind w:firstLine="420" w:firstLineChars="200"/>
    </w:p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#,##0.00</c:formatCode>
                <c:ptCount val="2"/>
                <c:pt idx="0">
                  <c:v>4054.95</c:v>
                </c:pt>
                <c:pt idx="1">
                  <c:v>4054.95</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_ * #,##0.00_ ;_ * \-#,##0.00_ ;_ * "-"??_ ;_ @_ </c:formatCode>
                <c:ptCount val="2"/>
                <c:pt idx="0">
                  <c:v>1986.610425</c:v>
                </c:pt>
                <c:pt idx="1">
                  <c:v>1986.610425</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a:t>
            </a: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100%</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3873.47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altLang="en-US"/>
              <a:t>支出决算结构图</a:t>
            </a:r>
            <a:endParaRPr lang="en-US" altLang="zh-CN"/>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62.9%</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37.2%</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2452.06</c:v>
                </c:pt>
                <c:pt idx="1">
                  <c:v>1449.5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Sheet1!$B$2:$B$3</c:f>
              <c:numCache>
                <c:formatCode>General</c:formatCode>
                <c:ptCount val="2"/>
                <c:pt idx="0">
                  <c:v>4043.67</c:v>
                </c:pt>
                <c:pt idx="1">
                  <c:v>4043.67</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Sheet1!$C$2:$C$3</c:f>
              <c:numCache>
                <c:formatCode>General</c:formatCode>
                <c:ptCount val="2"/>
                <c:pt idx="0">
                  <c:v>1986.61</c:v>
                </c:pt>
                <c:pt idx="1">
                  <c:v>1986.61</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_ * #,##0.00_ ;_ * \-#,##0.00_ ;_ * "-"??_ ;_ @_ </c:formatCode>
                <c:ptCount val="1"/>
                <c:pt idx="0">
                  <c:v>3901.567127</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_ * #,##0.00_ ;_ * \-#,##0.00_ ;_ * "-"??_ ;_ @_ </c:formatCode>
                <c:ptCount val="1"/>
                <c:pt idx="0">
                  <c:v>1986.610425</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6.6%</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3.2%</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86.8%</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3"/>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3.7%</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交通运输支出</c:v>
                </c:pt>
                <c:pt idx="3">
                  <c:v>住房保障支出</c:v>
                </c:pt>
              </c:strCache>
            </c:strRef>
          </c:cat>
          <c:val>
            <c:numRef>
              <c:f>Sheet1!$B$2:$B$5</c:f>
              <c:numCache>
                <c:formatCode>General</c:formatCode>
                <c:ptCount val="4"/>
                <c:pt idx="0">
                  <c:v>256.11</c:v>
                </c:pt>
                <c:pt idx="1">
                  <c:v>124.97</c:v>
                </c:pt>
                <c:pt idx="2" c:formatCode="#,##0.00">
                  <c:v>3376.35</c:v>
                </c:pt>
                <c:pt idx="3">
                  <c:v>144.13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87267455907224"/>
          <c:y val="0.0284742881427964"/>
        </c:manualLayout>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0"/>
              <c:layout>
                <c:manualLayout>
                  <c:x val="-0.0403479101232182"/>
                  <c:y val="-0.017849553761156"/>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0</a:t>
                    </a:r>
                    <a:r>
                      <a:rPr lang="en-US" altLang="zh-CN"/>
                      <a:t>%</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99.4%</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0.0554481758878956"/>
                  <c:y val="-0.00892477688057799"/>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0.</a:t>
                    </a:r>
                    <a:r>
                      <a:rPr lang="en-US" altLang="zh-CN"/>
                      <a:t>6%</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v>19.14</c:v>
                </c:pt>
                <c:pt idx="2">
                  <c:v>0.11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5061</Words>
  <Characters>5568</Characters>
  <Lines>0</Lines>
  <Paragraphs>0</Paragraphs>
  <TotalTime>4</TotalTime>
  <ScaleCrop>false</ScaleCrop>
  <LinksUpToDate>false</LinksUpToDate>
  <CharactersWithSpaces>5747</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2024-08-15T10:26:00Z</dcterms:created>
  <dc:creator>财务处
王悦</dc:creator>
  <cp:lastModifiedBy>莹</cp:lastModifiedBy>
  <dcterms:modified xsi:type="dcterms:W3CDTF">2024-09-18T02:06:22Z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B30EEB739147408187A8FAEC6B7D1332_13</vt:lpwstr>
  </property>
</Properties>
</file>