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3BB70">
      <w:pPr>
        <w:rPr>
          <w:rFonts w:hint="eastAsia"/>
          <w:lang w:val="en-US" w:eastAsia="zh-CN"/>
        </w:rPr>
      </w:pPr>
    </w:p>
    <w:p w14:paraId="32569B86">
      <w:pPr>
        <w:pStyle w:val="8"/>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2023年度阿坝藏族羌族自治州公路管理局茂县公路管理分局单位决算</w:t>
      </w:r>
    </w:p>
    <w:p w14:paraId="47D2FA96">
      <w:pPr>
        <w:widowControl/>
        <w:spacing w:line="440" w:lineRule="exact"/>
        <w:jc w:val="left"/>
        <w:rPr>
          <w:rFonts w:ascii="仿宋" w:hAnsi="仿宋" w:eastAsia="仿宋"/>
          <w:bCs/>
          <w:color w:val="auto"/>
          <w:kern w:val="44"/>
          <w:sz w:val="24"/>
          <w:highlight w:val="none"/>
        </w:rPr>
      </w:pPr>
      <w:r>
        <w:rPr>
          <w:rFonts w:ascii="方正小标宋简体" w:hAnsi="宋体" w:eastAsia="方正小标宋简体"/>
          <w:color w:val="auto"/>
          <w:sz w:val="36"/>
          <w:szCs w:val="36"/>
          <w:highlight w:val="none"/>
        </w:rPr>
        <w:br w:type="page"/>
      </w:r>
    </w:p>
    <w:p w14:paraId="75123BB9">
      <w:pPr>
        <w:widowControl/>
        <w:jc w:val="center"/>
        <w:rPr>
          <w:rFonts w:ascii="黑体" w:hAnsi="黑体" w:eastAsia="黑体"/>
          <w:color w:val="auto"/>
          <w:sz w:val="48"/>
          <w:szCs w:val="48"/>
          <w:highlight w:val="none"/>
        </w:rPr>
      </w:pPr>
      <w:bookmarkStart w:id="0" w:name="_Toc20147"/>
      <w:r>
        <w:rPr>
          <w:rFonts w:hint="eastAsia" w:ascii="黑体" w:hAnsi="黑体" w:eastAsia="黑体"/>
          <w:color w:val="auto"/>
          <w:sz w:val="48"/>
          <w:szCs w:val="48"/>
          <w:highlight w:val="none"/>
        </w:rPr>
        <w:t>目录</w:t>
      </w:r>
    </w:p>
    <w:p w14:paraId="31052014">
      <w:pPr>
        <w:widowControl/>
        <w:jc w:val="center"/>
        <w:rPr>
          <w:rFonts w:ascii="黑体" w:hAnsi="黑体" w:eastAsia="黑体" w:cstheme="minorBidi"/>
          <w:color w:val="auto"/>
          <w:sz w:val="28"/>
          <w:szCs w:val="28"/>
          <w:highlight w:val="none"/>
        </w:rPr>
      </w:pPr>
    </w:p>
    <w:p w14:paraId="3FA0DBBE">
      <w:pPr>
        <w:pStyle w:val="10"/>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14:paraId="3D405250">
      <w:pPr>
        <w:pStyle w:val="8"/>
        <w:rPr>
          <w:rFonts w:hint="eastAsia" w:ascii="黑体" w:hAnsi="黑体" w:eastAsia="黑体"/>
          <w:b w:val="0"/>
          <w:color w:val="auto"/>
          <w:highlight w:val="none"/>
        </w:rPr>
      </w:pPr>
    </w:p>
    <w:sdt>
      <w:sdtPr>
        <w:rPr>
          <w:rFonts w:hint="eastAsia" w:ascii="仿宋" w:hAnsi="仿宋" w:eastAsia="仿宋" w:cs="仿宋"/>
          <w:kern w:val="2"/>
          <w:sz w:val="28"/>
          <w:szCs w:val="28"/>
          <w:lang w:val="en-US" w:eastAsia="zh-CN" w:bidi="ar-SA"/>
        </w:rPr>
        <w:id w:val="147451820"/>
        <w15:color w:val="DBDBDB"/>
        <w:docPartObj>
          <w:docPartGallery w:val="Table of Contents"/>
          <w:docPartUnique/>
        </w:docPartObj>
      </w:sdtPr>
      <w:sdtEndPr>
        <w:rPr>
          <w:rFonts w:hint="eastAsia" w:ascii="黑体" w:hAnsi="黑体" w:eastAsia="黑体" w:cs="Times New Roman"/>
          <w:b/>
          <w:color w:val="auto"/>
          <w:kern w:val="0"/>
          <w:sz w:val="30"/>
          <w:szCs w:val="24"/>
          <w:highlight w:val="none"/>
          <w:lang w:val="en-US" w:eastAsia="zh-CN" w:bidi="ar-SA"/>
        </w:rPr>
      </w:sdtEndPr>
      <w:sdtContent>
        <w:p w14:paraId="774D414D">
          <w:pPr>
            <w:pStyle w:val="20"/>
            <w:tabs>
              <w:tab w:val="right" w:leader="dot" w:pos="8306"/>
            </w:tabs>
            <w:rPr>
              <w:rFonts w:hint="eastAsia" w:ascii="仿宋" w:hAnsi="仿宋" w:eastAsia="仿宋" w:cs="仿宋"/>
              <w:b/>
              <w:sz w:val="28"/>
              <w:szCs w:val="28"/>
            </w:rPr>
          </w:pPr>
          <w:r>
            <w:rPr>
              <w:rFonts w:hint="eastAsia" w:ascii="仿宋" w:hAnsi="仿宋" w:eastAsia="仿宋" w:cs="仿宋"/>
              <w:b w:val="0"/>
              <w:color w:val="auto"/>
              <w:sz w:val="28"/>
              <w:szCs w:val="28"/>
              <w:highlight w:val="none"/>
            </w:rPr>
            <w:fldChar w:fldCharType="begin"/>
          </w:r>
          <w:r>
            <w:rPr>
              <w:rFonts w:hint="eastAsia" w:ascii="仿宋" w:hAnsi="仿宋" w:eastAsia="仿宋" w:cs="仿宋"/>
              <w:b w:val="0"/>
              <w:color w:val="auto"/>
              <w:sz w:val="28"/>
              <w:szCs w:val="28"/>
              <w:highlight w:val="none"/>
            </w:rPr>
            <w:instrText xml:space="preserve">TOC \o "1-2" \h \u </w:instrText>
          </w:r>
          <w:r>
            <w:rPr>
              <w:rFonts w:hint="eastAsia" w:ascii="仿宋" w:hAnsi="仿宋" w:eastAsia="仿宋" w:cs="仿宋"/>
              <w:b w:val="0"/>
              <w:color w:val="auto"/>
              <w:sz w:val="28"/>
              <w:szCs w:val="28"/>
              <w:highlight w:val="none"/>
            </w:rPr>
            <w:fldChar w:fldCharType="separate"/>
          </w: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_Toc15424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_Toc15424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57510447">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_Toc25069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lang w:eastAsia="zh-CN"/>
            </w:rPr>
            <w:t xml:space="preserve">一、 </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_Toc25069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CA37711">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_Toc24477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_Toc24477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9A5D6AF">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_Toc23317 </w:instrText>
          </w:r>
          <w:r>
            <w:rPr>
              <w:rFonts w:hint="eastAsia" w:ascii="仿宋" w:hAnsi="仿宋" w:eastAsia="仿宋" w:cs="仿宋"/>
              <w:b/>
              <w:sz w:val="28"/>
              <w:szCs w:val="28"/>
              <w:highlight w:val="none"/>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_Toc23317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- 3 -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3F398F04">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_Toc2313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_Toc2313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41A017B">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_Toc25673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_Toc25673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6EDD5DD">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_Toc18682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_Toc18682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887D3EF">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_Toc11326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_Toc11326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85258E9">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_Toc4548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_Toc4548 \h </w:instrText>
          </w:r>
          <w:r>
            <w:rPr>
              <w:rFonts w:hint="eastAsia" w:ascii="仿宋" w:hAnsi="仿宋" w:eastAsia="仿宋" w:cs="仿宋"/>
              <w:sz w:val="28"/>
              <w:szCs w:val="28"/>
            </w:rPr>
            <w:fldChar w:fldCharType="separate"/>
          </w:r>
          <w:r>
            <w:rPr>
              <w:rFonts w:hint="eastAsia" w:ascii="仿宋" w:hAnsi="仿宋" w:eastAsia="仿宋" w:cs="仿宋"/>
              <w:sz w:val="28"/>
              <w:szCs w:val="28"/>
            </w:rPr>
            <w:t>- 5 -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9652E1C">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_Toc5599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_Toc5599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DC860CA">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_Toc12125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_Toc12125 \h </w:instrText>
          </w:r>
          <w:r>
            <w:rPr>
              <w:rFonts w:hint="eastAsia" w:ascii="仿宋" w:hAnsi="仿宋" w:eastAsia="仿宋" w:cs="仿宋"/>
              <w:sz w:val="28"/>
              <w:szCs w:val="28"/>
            </w:rPr>
            <w:fldChar w:fldCharType="separate"/>
          </w:r>
          <w:r>
            <w:rPr>
              <w:rFonts w:hint="eastAsia" w:ascii="仿宋" w:hAnsi="仿宋" w:eastAsia="仿宋" w:cs="仿宋"/>
              <w:sz w:val="28"/>
              <w:szCs w:val="28"/>
            </w:rPr>
            <w:t>- 9 -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6E5DDC7">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_Toc6949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_Toc6949 \h </w:instrText>
          </w:r>
          <w:r>
            <w:rPr>
              <w:rFonts w:hint="eastAsia" w:ascii="仿宋" w:hAnsi="仿宋" w:eastAsia="仿宋" w:cs="仿宋"/>
              <w:sz w:val="28"/>
              <w:szCs w:val="28"/>
            </w:rPr>
            <w:fldChar w:fldCharType="separate"/>
          </w:r>
          <w:r>
            <w:rPr>
              <w:rFonts w:hint="eastAsia" w:ascii="仿宋" w:hAnsi="仿宋" w:eastAsia="仿宋" w:cs="仿宋"/>
              <w:sz w:val="28"/>
              <w:szCs w:val="28"/>
            </w:rPr>
            <w:t>- 11 -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C2948D9">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_Toc9400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_Toc9400 \h </w:instrText>
          </w:r>
          <w:r>
            <w:rPr>
              <w:rFonts w:hint="eastAsia" w:ascii="仿宋" w:hAnsi="仿宋" w:eastAsia="仿宋" w:cs="仿宋"/>
              <w:sz w:val="28"/>
              <w:szCs w:val="28"/>
            </w:rPr>
            <w:fldChar w:fldCharType="separate"/>
          </w:r>
          <w:r>
            <w:rPr>
              <w:rFonts w:hint="eastAsia" w:ascii="仿宋" w:hAnsi="仿宋" w:eastAsia="仿宋" w:cs="仿宋"/>
              <w:sz w:val="28"/>
              <w:szCs w:val="28"/>
            </w:rPr>
            <w:t>- 11 -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548BC9C">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_Toc45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_Toc45 \h </w:instrText>
          </w:r>
          <w:r>
            <w:rPr>
              <w:rFonts w:hint="eastAsia" w:ascii="仿宋" w:hAnsi="仿宋" w:eastAsia="仿宋" w:cs="仿宋"/>
              <w:sz w:val="28"/>
              <w:szCs w:val="28"/>
            </w:rPr>
            <w:fldChar w:fldCharType="separate"/>
          </w:r>
          <w:r>
            <w:rPr>
              <w:rFonts w:hint="eastAsia" w:ascii="仿宋" w:hAnsi="仿宋" w:eastAsia="仿宋" w:cs="仿宋"/>
              <w:sz w:val="28"/>
              <w:szCs w:val="28"/>
            </w:rPr>
            <w:t>- 11 -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450CA98">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_Toc10352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_Toc10352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- 13 -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3290C235">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_Toc1295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_Toc1295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- 16 -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19B6F8BC">
          <w:pPr>
            <w:pStyle w:val="20"/>
            <w:tabs>
              <w:tab w:val="right" w:leader="dot" w:pos="8306"/>
            </w:tabs>
            <w:rPr>
              <w:rFonts w:hint="eastAsia" w:ascii="仿宋" w:hAnsi="仿宋" w:eastAsia="仿宋" w:cs="仿宋"/>
              <w:b/>
              <w:sz w:val="28"/>
              <w:szCs w:val="28"/>
            </w:rPr>
          </w:pPr>
          <w:r>
            <w:rPr>
              <w:rFonts w:hint="eastAsia" w:ascii="仿宋" w:hAnsi="仿宋" w:eastAsia="仿宋" w:cs="仿宋"/>
              <w:b/>
              <w:color w:val="auto"/>
              <w:sz w:val="28"/>
              <w:szCs w:val="28"/>
              <w:highlight w:val="none"/>
            </w:rPr>
            <w:fldChar w:fldCharType="begin"/>
          </w:r>
          <w:r>
            <w:rPr>
              <w:rFonts w:hint="eastAsia" w:ascii="仿宋" w:hAnsi="仿宋" w:eastAsia="仿宋" w:cs="仿宋"/>
              <w:b/>
              <w:sz w:val="28"/>
              <w:szCs w:val="28"/>
              <w:highlight w:val="none"/>
            </w:rPr>
            <w:instrText xml:space="preserve"> HYPERLINK \l _Toc20054 </w:instrText>
          </w:r>
          <w:r>
            <w:rPr>
              <w:rFonts w:hint="eastAsia" w:ascii="仿宋" w:hAnsi="仿宋" w:eastAsia="仿宋" w:cs="仿宋"/>
              <w:b/>
              <w:sz w:val="28"/>
              <w:szCs w:val="28"/>
              <w:highlight w:val="none"/>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_Toc20054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- 17 -</w:t>
          </w:r>
          <w:r>
            <w:rPr>
              <w:rFonts w:hint="eastAsia" w:ascii="仿宋" w:hAnsi="仿宋" w:eastAsia="仿宋" w:cs="仿宋"/>
              <w:b/>
              <w:sz w:val="28"/>
              <w:szCs w:val="28"/>
            </w:rPr>
            <w:fldChar w:fldCharType="end"/>
          </w:r>
          <w:r>
            <w:rPr>
              <w:rFonts w:hint="eastAsia" w:ascii="仿宋" w:hAnsi="仿宋" w:eastAsia="仿宋" w:cs="仿宋"/>
              <w:b/>
              <w:color w:val="auto"/>
              <w:sz w:val="28"/>
              <w:szCs w:val="28"/>
              <w:highlight w:val="none"/>
            </w:rPr>
            <w:fldChar w:fldCharType="end"/>
          </w:r>
        </w:p>
        <w:p w14:paraId="168E76A2">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_Toc2331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_Toc2331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6375C2BD">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_Toc18608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_Toc18608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F0151C3">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_Toc24373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_Toc24373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1E81105E">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_Toc27918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_Toc27918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AF84C73">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_Toc7098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_Toc7098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2A5AA1AE">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_Toc25025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_Toc25025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1487F76">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_Toc18811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_Toc18811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754B4425">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_Toc5393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_Toc5393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3FCCDA78">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_Toc22895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_Toc22895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4747882">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_Toc18594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_Toc18594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0D188345">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_Toc28944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_Toc28944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4FA82644">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_Toc21733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_Toc21733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562B023F">
          <w:pPr>
            <w:pStyle w:val="21"/>
            <w:tabs>
              <w:tab w:val="right" w:leader="dot" w:pos="8306"/>
            </w:tabs>
            <w:rPr>
              <w:rFonts w:hint="eastAsia" w:ascii="仿宋" w:hAnsi="仿宋" w:eastAsia="仿宋" w:cs="仿宋"/>
              <w:sz w:val="28"/>
              <w:szCs w:val="28"/>
            </w:rPr>
          </w:pPr>
          <w:r>
            <w:rPr>
              <w:rFonts w:hint="eastAsia" w:ascii="仿宋" w:hAnsi="仿宋" w:eastAsia="仿宋" w:cs="仿宋"/>
              <w:color w:val="auto"/>
              <w:sz w:val="28"/>
              <w:szCs w:val="28"/>
              <w:highlight w:val="none"/>
            </w:rPr>
            <w:fldChar w:fldCharType="begin"/>
          </w:r>
          <w:r>
            <w:rPr>
              <w:rFonts w:hint="eastAsia" w:ascii="仿宋" w:hAnsi="仿宋" w:eastAsia="仿宋" w:cs="仿宋"/>
              <w:sz w:val="28"/>
              <w:szCs w:val="28"/>
              <w:highlight w:val="none"/>
            </w:rPr>
            <w:instrText xml:space="preserve"> HYPERLINK \l _Toc5244 </w:instrText>
          </w:r>
          <w:r>
            <w:rPr>
              <w:rFonts w:hint="eastAsia" w:ascii="仿宋" w:hAnsi="仿宋" w:eastAsia="仿宋" w:cs="仿宋"/>
              <w:sz w:val="28"/>
              <w:szCs w:val="28"/>
              <w:highlight w:val="none"/>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_Toc5244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color w:val="auto"/>
              <w:sz w:val="28"/>
              <w:szCs w:val="28"/>
              <w:highlight w:val="none"/>
            </w:rPr>
            <w:fldChar w:fldCharType="end"/>
          </w:r>
        </w:p>
        <w:p w14:paraId="70CC94DD">
          <w:pPr>
            <w:pStyle w:val="8"/>
            <w:rPr>
              <w:rFonts w:hint="eastAsia" w:ascii="黑体" w:hAnsi="黑体" w:eastAsia="黑体" w:cs="Times New Roman"/>
              <w:b/>
              <w:color w:val="auto"/>
              <w:kern w:val="0"/>
              <w:sz w:val="30"/>
              <w:szCs w:val="24"/>
              <w:highlight w:val="none"/>
              <w:lang w:val="en-US" w:eastAsia="zh-CN" w:bidi="ar-SA"/>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b/>
              <w:color w:val="auto"/>
              <w:sz w:val="28"/>
              <w:szCs w:val="28"/>
              <w:highlight w:val="none"/>
            </w:rPr>
            <w:fldChar w:fldCharType="end"/>
          </w:r>
        </w:p>
      </w:sdtContent>
    </w:sdt>
    <w:p w14:paraId="59918931">
      <w:pPr>
        <w:pStyle w:val="5"/>
        <w:jc w:val="center"/>
        <w:rPr>
          <w:rStyle w:val="16"/>
          <w:rFonts w:ascii="黑体" w:hAnsi="黑体" w:eastAsia="黑体"/>
          <w:b/>
          <w:bCs w:val="0"/>
          <w:color w:val="auto"/>
          <w:highlight w:val="none"/>
        </w:rPr>
      </w:pPr>
      <w:bookmarkStart w:id="1" w:name="_Toc15424"/>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6"/>
          <w:rFonts w:hint="eastAsia" w:ascii="黑体" w:hAnsi="黑体" w:eastAsia="黑体"/>
          <w:b w:val="0"/>
          <w:bCs w:val="0"/>
          <w:color w:val="auto"/>
          <w:highlight w:val="none"/>
        </w:rPr>
        <w:t>概况</w:t>
      </w:r>
      <w:bookmarkEnd w:id="0"/>
      <w:bookmarkEnd w:id="1"/>
    </w:p>
    <w:p w14:paraId="4A07DC2C">
      <w:pPr>
        <w:widowControl/>
        <w:jc w:val="left"/>
        <w:rPr>
          <w:rFonts w:ascii="黑体" w:eastAsia="黑体"/>
          <w:color w:val="auto"/>
          <w:sz w:val="32"/>
          <w:szCs w:val="32"/>
          <w:highlight w:val="none"/>
        </w:rPr>
      </w:pPr>
    </w:p>
    <w:p w14:paraId="33DC7F9F">
      <w:pPr>
        <w:pStyle w:val="6"/>
        <w:numPr>
          <w:ilvl w:val="0"/>
          <w:numId w:val="1"/>
        </w:numPr>
        <w:rPr>
          <w:rStyle w:val="17"/>
          <w:rFonts w:hint="eastAsia" w:ascii="黑体" w:hAnsi="黑体" w:eastAsia="黑体"/>
          <w:b w:val="0"/>
          <w:bCs w:val="0"/>
          <w:color w:val="auto"/>
          <w:highlight w:val="none"/>
          <w:lang w:eastAsia="zh-CN"/>
        </w:rPr>
      </w:pPr>
      <w:bookmarkStart w:id="2" w:name="_Toc3786"/>
      <w:bookmarkStart w:id="3" w:name="_Toc25069"/>
      <w:r>
        <w:rPr>
          <w:rStyle w:val="17"/>
          <w:rFonts w:hint="eastAsia" w:ascii="黑体" w:hAnsi="黑体" w:eastAsia="黑体"/>
          <w:b w:val="0"/>
          <w:bCs w:val="0"/>
          <w:color w:val="auto"/>
          <w:highlight w:val="none"/>
          <w:lang w:eastAsia="zh-CN"/>
        </w:rPr>
        <w:t>主要职责</w:t>
      </w:r>
      <w:bookmarkEnd w:id="2"/>
      <w:bookmarkEnd w:id="3"/>
    </w:p>
    <w:p w14:paraId="6A8B40E2">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（一）贯彻执行党和国家路线、方针、政策以及上级行业主管部门有关公路建设、公路发展的战略、政策、法规，并根据要求组织实施。</w:t>
      </w:r>
    </w:p>
    <w:p w14:paraId="27C5BCA4">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（二）在阿坝藏族羌族自治州公路管理局及中共茂县县委、县政府的领导下，做好辖区内G213线、G347线干线公路的日常养护和保通、保畅、保安全工作。</w:t>
      </w:r>
    </w:p>
    <w:p w14:paraId="7532F5D5">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（三）负责管理和保护辖区内的接养公路、公路用地及公路设施，维护路产路权，制止各种侵占、破坏公路、公路用地及公路设施的行为。</w:t>
      </w:r>
    </w:p>
    <w:p w14:paraId="4001CD31">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（四）在上级主管部门的领导下，做好党建、政风行风建设、党风廉政建设及精神文明建设等，搞好职工队伍建设等。</w:t>
      </w:r>
    </w:p>
    <w:p w14:paraId="32BE43BA">
      <w:pPr>
        <w:pStyle w:val="6"/>
        <w:numPr>
          <w:ilvl w:val="0"/>
          <w:numId w:val="0"/>
        </w:numPr>
        <w:rPr>
          <w:rFonts w:hint="eastAsia" w:ascii="黑体" w:hAnsi="黑体" w:eastAsia="黑体"/>
          <w:b w:val="0"/>
          <w:color w:val="auto"/>
          <w:highlight w:val="none"/>
          <w:lang w:val="en-US" w:eastAsia="zh-CN"/>
        </w:rPr>
      </w:pPr>
      <w:bookmarkStart w:id="4" w:name="_Toc29259"/>
      <w:bookmarkStart w:id="5" w:name="_Toc24477"/>
      <w:r>
        <w:rPr>
          <w:rFonts w:hint="eastAsia" w:ascii="黑体" w:hAnsi="黑体" w:eastAsia="黑体"/>
          <w:b w:val="0"/>
          <w:color w:val="auto"/>
          <w:highlight w:val="none"/>
          <w:lang w:val="en-US" w:eastAsia="zh-CN"/>
        </w:rPr>
        <w:t>二、机构设置</w:t>
      </w:r>
      <w:bookmarkEnd w:id="4"/>
      <w:bookmarkEnd w:id="5"/>
    </w:p>
    <w:p w14:paraId="38E5E02D">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茂县公路管理分局内设党支部办公室、行政办公室、工会办公室、工程股、隧道管理所、财务股、机料股、人事股、安全股；辖大河坝、甘青、两河口、石大关、较场、太平、花桥、新龙坪、土地岭、绍灯湾、甘沟、土门共12个公路养护管理站。</w:t>
      </w:r>
    </w:p>
    <w:p w14:paraId="4B00DA18">
      <w:pPr>
        <w:widowControl/>
        <w:ind w:firstLine="640" w:firstLineChars="200"/>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2DC0719F">
      <w:pPr>
        <w:pStyle w:val="5"/>
        <w:ind w:right="440"/>
        <w:jc w:val="center"/>
        <w:rPr>
          <w:rStyle w:val="16"/>
          <w:rFonts w:ascii="黑体" w:hAnsi="黑体" w:eastAsia="黑体"/>
          <w:b w:val="0"/>
          <w:bCs/>
          <w:color w:val="auto"/>
          <w:highlight w:val="none"/>
        </w:rPr>
      </w:pPr>
      <w:bookmarkStart w:id="6" w:name="_Toc17768"/>
      <w:bookmarkStart w:id="7" w:name="_Toc23317"/>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6"/>
          <w:rFonts w:hint="eastAsia" w:ascii="黑体" w:hAnsi="黑体" w:eastAsia="黑体"/>
          <w:b w:val="0"/>
          <w:bCs/>
          <w:color w:val="auto"/>
          <w:highlight w:val="none"/>
          <w:lang w:eastAsia="zh-CN"/>
        </w:rPr>
        <w:t>单位</w:t>
      </w:r>
      <w:r>
        <w:rPr>
          <w:rStyle w:val="16"/>
          <w:rFonts w:hint="eastAsia" w:ascii="黑体" w:hAnsi="黑体" w:eastAsia="黑体"/>
          <w:b w:val="0"/>
          <w:bCs/>
          <w:color w:val="auto"/>
          <w:highlight w:val="none"/>
        </w:rPr>
        <w:t>决算情况说明</w:t>
      </w:r>
      <w:bookmarkEnd w:id="6"/>
      <w:bookmarkEnd w:id="7"/>
    </w:p>
    <w:p w14:paraId="5A3D8CEC">
      <w:pPr>
        <w:rPr>
          <w:color w:val="auto"/>
          <w:highlight w:val="none"/>
        </w:rPr>
      </w:pPr>
    </w:p>
    <w:p w14:paraId="6020E242">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8" w:name="_Toc2313"/>
      <w:bookmarkStart w:id="9" w:name="_Toc22627"/>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入支出决算总体情况说明</w:t>
      </w:r>
      <w:bookmarkEnd w:id="8"/>
      <w:bookmarkEnd w:id="9"/>
    </w:p>
    <w:p w14:paraId="42CFBB78">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3325.09</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w:t>
      </w:r>
      <w:r>
        <w:rPr>
          <w:rFonts w:hint="eastAsia" w:ascii="仿宋" w:hAnsi="仿宋" w:eastAsia="仿宋"/>
          <w:color w:val="auto"/>
          <w:sz w:val="32"/>
          <w:szCs w:val="32"/>
          <w:highlight w:val="none"/>
          <w:lang w:val="en-US" w:eastAsia="zh-CN"/>
        </w:rPr>
        <w:t>845.78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34.1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单位社保调标导致人员经费增加</w:t>
      </w:r>
      <w:r>
        <w:rPr>
          <w:rFonts w:hint="eastAsia" w:ascii="仿宋" w:hAnsi="仿宋" w:eastAsia="仿宋"/>
          <w:color w:val="auto"/>
          <w:sz w:val="32"/>
          <w:szCs w:val="32"/>
          <w:highlight w:val="none"/>
          <w:lang w:eastAsia="zh-CN"/>
        </w:rPr>
        <w:t>。</w:t>
      </w:r>
    </w:p>
    <w:p w14:paraId="39642368">
      <w:pPr>
        <w:pStyle w:val="8"/>
        <w:rPr>
          <w:rFonts w:hint="eastAsia" w:ascii="仿宋" w:hAnsi="仿宋" w:eastAsia="仿宋"/>
          <w:color w:val="auto"/>
          <w:sz w:val="32"/>
          <w:szCs w:val="32"/>
          <w:highlight w:val="none"/>
          <w:lang w:eastAsia="zh-CN"/>
        </w:rPr>
      </w:pPr>
      <w:r>
        <w:rPr>
          <w:rFonts w:hint="eastAsia"/>
          <w:lang w:eastAsia="zh-CN"/>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B8CD745">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624F8F68">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10" w:name="_Toc25673"/>
      <w:bookmarkStart w:id="11" w:name="_Toc10990"/>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7"/>
          <w:rFonts w:hint="eastAsia" w:ascii="黑体" w:hAnsi="黑体" w:eastAsia="黑体"/>
          <w:b w:val="0"/>
          <w:color w:val="auto"/>
          <w:highlight w:val="none"/>
        </w:rPr>
        <w:t>入决算情况说明</w:t>
      </w:r>
      <w:bookmarkEnd w:id="10"/>
      <w:bookmarkEnd w:id="11"/>
    </w:p>
    <w:p w14:paraId="7819421E">
      <w:pPr>
        <w:spacing w:line="600" w:lineRule="exact"/>
        <w:ind w:firstLine="640" w:firstLineChars="200"/>
        <w:outlineLvl w:val="1"/>
        <w:rPr>
          <w:rFonts w:ascii="仿宋" w:hAnsi="仿宋" w:eastAsia="仿宋"/>
          <w:color w:val="auto"/>
          <w:sz w:val="32"/>
          <w:szCs w:val="32"/>
          <w:highlight w:val="none"/>
        </w:rPr>
      </w:pPr>
      <w:bookmarkStart w:id="12" w:name="_Toc4258"/>
      <w:bookmarkStart w:id="13" w:name="_Toc16265"/>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w:t>
      </w:r>
      <w:r>
        <w:rPr>
          <w:rFonts w:hint="eastAsia" w:ascii="仿宋" w:hAnsi="仿宋" w:eastAsia="仿宋"/>
          <w:color w:val="auto"/>
          <w:sz w:val="32"/>
          <w:szCs w:val="32"/>
          <w:highlight w:val="none"/>
          <w:lang w:val="en-US" w:eastAsia="zh-CN"/>
        </w:rPr>
        <w:t>3325.09</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3325.09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2"/>
      <w:bookmarkEnd w:id="13"/>
    </w:p>
    <w:p w14:paraId="0920E8CB">
      <w:pPr>
        <w:spacing w:line="600" w:lineRule="exact"/>
        <w:rPr>
          <w:rFonts w:hint="eastAsia" w:ascii="仿宋" w:hAnsi="仿宋" w:eastAsia="仿宋"/>
          <w:color w:val="auto"/>
          <w:sz w:val="32"/>
          <w:szCs w:val="32"/>
          <w:highlight w:val="none"/>
        </w:rPr>
      </w:pPr>
    </w:p>
    <w:p w14:paraId="4E597107">
      <w:pPr>
        <w:pStyle w:val="8"/>
        <w:rPr>
          <w:rFonts w:hint="eastAsia" w:ascii="仿宋" w:hAnsi="仿宋" w:eastAsia="仿宋"/>
          <w:color w:val="auto"/>
          <w:sz w:val="32"/>
          <w:szCs w:val="32"/>
          <w:highlight w:val="none"/>
        </w:rPr>
      </w:pPr>
    </w:p>
    <w:p w14:paraId="5FC585C9">
      <w:pPr>
        <w:pStyle w:val="8"/>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BA991AC">
      <w:pPr>
        <w:spacing w:line="600" w:lineRule="exact"/>
        <w:ind w:firstLine="640" w:firstLineChars="20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14:paraId="5503129C">
      <w:pPr>
        <w:pStyle w:val="18"/>
        <w:numPr>
          <w:ilvl w:val="0"/>
          <w:numId w:val="0"/>
        </w:numPr>
        <w:spacing w:line="600" w:lineRule="exact"/>
        <w:ind w:left="640" w:leftChars="0"/>
        <w:outlineLvl w:val="1"/>
        <w:rPr>
          <w:rStyle w:val="17"/>
          <w:rFonts w:ascii="黑体" w:hAnsi="黑体" w:eastAsia="黑体"/>
          <w:b w:val="0"/>
          <w:color w:val="auto"/>
          <w:highlight w:val="none"/>
        </w:rPr>
      </w:pPr>
      <w:bookmarkStart w:id="14" w:name="_Toc18682"/>
      <w:bookmarkStart w:id="15" w:name="_Toc4339"/>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7"/>
          <w:rFonts w:hint="eastAsia" w:ascii="黑体" w:hAnsi="黑体" w:eastAsia="黑体"/>
          <w:b w:val="0"/>
          <w:color w:val="auto"/>
          <w:highlight w:val="none"/>
        </w:rPr>
        <w:t>出决算情况说明</w:t>
      </w:r>
      <w:bookmarkEnd w:id="14"/>
      <w:bookmarkEnd w:id="15"/>
    </w:p>
    <w:p w14:paraId="0523C216">
      <w:pPr>
        <w:spacing w:line="600" w:lineRule="exact"/>
        <w:ind w:firstLine="640" w:firstLineChars="200"/>
        <w:outlineLvl w:val="1"/>
        <w:rPr>
          <w:rFonts w:ascii="仿宋" w:hAnsi="仿宋" w:eastAsia="仿宋"/>
          <w:color w:val="auto"/>
          <w:sz w:val="32"/>
          <w:szCs w:val="32"/>
          <w:highlight w:val="none"/>
          <w:shd w:val="pct10" w:color="auto" w:fill="FFFFFF"/>
        </w:rPr>
      </w:pPr>
      <w:bookmarkStart w:id="16" w:name="_Toc16574"/>
      <w:bookmarkStart w:id="17" w:name="_Toc4915"/>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w:t>
      </w:r>
      <w:r>
        <w:rPr>
          <w:rFonts w:hint="eastAsia" w:ascii="仿宋" w:hAnsi="仿宋" w:eastAsia="仿宋"/>
          <w:color w:val="auto"/>
          <w:sz w:val="32"/>
          <w:szCs w:val="32"/>
          <w:highlight w:val="none"/>
          <w:lang w:val="en-US" w:eastAsia="zh-CN"/>
        </w:rPr>
        <w:t>3325.09</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2827.76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497.33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15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16"/>
      <w:bookmarkEnd w:id="17"/>
    </w:p>
    <w:p w14:paraId="54961825">
      <w:pPr>
        <w:pStyle w:val="8"/>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11430"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E49B4FE">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6AF9C6F3">
      <w:pPr>
        <w:spacing w:line="600" w:lineRule="exact"/>
        <w:ind w:firstLine="640" w:firstLineChars="200"/>
        <w:rPr>
          <w:rFonts w:ascii="仿宋_GB2312" w:eastAsia="仿宋_GB2312"/>
          <w:color w:val="auto"/>
          <w:sz w:val="32"/>
          <w:szCs w:val="32"/>
          <w:highlight w:val="none"/>
        </w:rPr>
      </w:pPr>
    </w:p>
    <w:p w14:paraId="5E622C59">
      <w:pPr>
        <w:spacing w:line="600" w:lineRule="exact"/>
        <w:ind w:firstLine="640" w:firstLineChars="200"/>
        <w:outlineLvl w:val="1"/>
        <w:rPr>
          <w:rStyle w:val="17"/>
          <w:rFonts w:ascii="黑体" w:hAnsi="黑体" w:eastAsia="黑体"/>
          <w:b w:val="0"/>
          <w:color w:val="auto"/>
          <w:highlight w:val="none"/>
        </w:rPr>
      </w:pPr>
      <w:bookmarkStart w:id="18" w:name="_Toc31848"/>
      <w:bookmarkStart w:id="19" w:name="_Toc11326"/>
      <w:r>
        <w:rPr>
          <w:rFonts w:hint="eastAsia" w:ascii="黑体" w:hAnsi="黑体" w:eastAsia="黑体"/>
          <w:color w:val="auto"/>
          <w:sz w:val="32"/>
          <w:szCs w:val="32"/>
          <w:highlight w:val="none"/>
        </w:rPr>
        <w:t>四、财</w:t>
      </w:r>
      <w:r>
        <w:rPr>
          <w:rStyle w:val="17"/>
          <w:rFonts w:hint="eastAsia" w:ascii="黑体" w:hAnsi="黑体" w:eastAsia="黑体"/>
          <w:b w:val="0"/>
          <w:color w:val="auto"/>
          <w:highlight w:val="none"/>
        </w:rPr>
        <w:t>政拨款收入支出决算总体情况说明</w:t>
      </w:r>
      <w:bookmarkEnd w:id="18"/>
      <w:bookmarkEnd w:id="19"/>
    </w:p>
    <w:p w14:paraId="055C2531">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w:t>
      </w:r>
      <w:r>
        <w:rPr>
          <w:rFonts w:hint="eastAsia" w:ascii="仿宋" w:hAnsi="仿宋" w:eastAsia="仿宋"/>
          <w:color w:val="auto"/>
          <w:sz w:val="32"/>
          <w:szCs w:val="32"/>
          <w:highlight w:val="none"/>
          <w:lang w:val="en-US" w:eastAsia="zh-CN"/>
        </w:rPr>
        <w:t>3325.09</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w:t>
      </w:r>
      <w:r>
        <w:rPr>
          <w:rFonts w:hint="eastAsia" w:ascii="仿宋" w:hAnsi="仿宋" w:eastAsia="仿宋"/>
          <w:color w:val="auto"/>
          <w:sz w:val="32"/>
          <w:szCs w:val="32"/>
          <w:highlight w:val="none"/>
          <w:lang w:val="en-US" w:eastAsia="zh-CN"/>
        </w:rPr>
        <w:t>845.78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34.1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单位社保调标导致人员经费增加。</w:t>
      </w:r>
    </w:p>
    <w:p w14:paraId="0E9C1FC4">
      <w:pPr>
        <w:pStyle w:val="8"/>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D74129E">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1D3A90DE">
      <w:pPr>
        <w:spacing w:line="600" w:lineRule="exact"/>
        <w:ind w:firstLine="640"/>
        <w:rPr>
          <w:rFonts w:ascii="仿宋" w:hAnsi="仿宋" w:eastAsia="仿宋"/>
          <w:b/>
          <w:color w:val="auto"/>
          <w:sz w:val="32"/>
          <w:szCs w:val="32"/>
          <w:highlight w:val="none"/>
        </w:rPr>
      </w:pPr>
    </w:p>
    <w:p w14:paraId="0D0F2BA6">
      <w:pPr>
        <w:spacing w:line="600" w:lineRule="exact"/>
        <w:ind w:firstLine="640" w:firstLineChars="200"/>
        <w:outlineLvl w:val="1"/>
        <w:rPr>
          <w:rStyle w:val="17"/>
          <w:rFonts w:ascii="黑体" w:hAnsi="黑体" w:eastAsia="黑体"/>
          <w:b w:val="0"/>
          <w:color w:val="auto"/>
          <w:highlight w:val="none"/>
        </w:rPr>
      </w:pPr>
      <w:bookmarkStart w:id="20" w:name="_Toc13977"/>
      <w:bookmarkStart w:id="21" w:name="_Toc4548"/>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般公共预算财政拨款支出决算情况说明</w:t>
      </w:r>
      <w:bookmarkEnd w:id="20"/>
      <w:bookmarkEnd w:id="21"/>
    </w:p>
    <w:p w14:paraId="0F6CF82B">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16569C76">
      <w:pPr>
        <w:spacing w:line="600" w:lineRule="exact"/>
        <w:ind w:firstLine="640" w:firstLineChars="200"/>
        <w:rPr>
          <w:rFonts w:hint="default" w:ascii="仿宋" w:hAnsi="仿宋" w:eastAsia="仿宋"/>
          <w:color w:val="auto"/>
          <w:sz w:val="32"/>
          <w:szCs w:val="32"/>
          <w:highlight w:val="none"/>
          <w:lang w:val="en-US"/>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3325.09</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845.78</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34.1</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单位社保调标导致人员经费增加。</w:t>
      </w:r>
    </w:p>
    <w:p w14:paraId="7227932B">
      <w:pPr>
        <w:spacing w:line="600" w:lineRule="exact"/>
        <w:ind w:firstLine="640" w:firstLineChars="200"/>
        <w:rPr>
          <w:rFonts w:ascii="仿宋" w:hAnsi="仿宋" w:eastAsia="仿宋"/>
          <w:color w:val="auto"/>
          <w:sz w:val="32"/>
          <w:szCs w:val="32"/>
          <w:highlight w:val="none"/>
        </w:rPr>
      </w:pPr>
    </w:p>
    <w:p w14:paraId="04F68DBD">
      <w:pPr>
        <w:pStyle w:val="8"/>
        <w:rPr>
          <w:rFonts w:ascii="仿宋" w:hAnsi="仿宋" w:eastAsia="仿宋"/>
          <w:color w:val="auto"/>
          <w:sz w:val="32"/>
          <w:szCs w:val="32"/>
          <w:highlight w:val="none"/>
        </w:rPr>
      </w:pPr>
    </w:p>
    <w:p w14:paraId="276364EF">
      <w:pPr>
        <w:pStyle w:val="8"/>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1143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7E9C815">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1BD47047">
      <w:pPr>
        <w:spacing w:line="600" w:lineRule="exact"/>
        <w:ind w:firstLine="640" w:firstLineChars="200"/>
        <w:rPr>
          <w:rFonts w:ascii="仿宋" w:hAnsi="仿宋" w:eastAsia="仿宋"/>
          <w:color w:val="auto"/>
          <w:sz w:val="32"/>
          <w:szCs w:val="32"/>
          <w:highlight w:val="none"/>
        </w:rPr>
      </w:pPr>
    </w:p>
    <w:p w14:paraId="0DF1847F">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0408AEF9">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val="en-US" w:eastAsia="zh-CN"/>
        </w:rPr>
        <w:t>3325.09</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社会保障和就业支出</w:t>
      </w:r>
      <w:r>
        <w:rPr>
          <w:rFonts w:hint="eastAsia" w:ascii="仿宋" w:hAnsi="仿宋" w:eastAsia="仿宋"/>
          <w:color w:val="auto"/>
          <w:sz w:val="32"/>
          <w:szCs w:val="32"/>
          <w:highlight w:val="none"/>
          <w:lang w:val="en-US" w:eastAsia="zh-CN"/>
        </w:rPr>
        <w:t>330.31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w:t>
      </w:r>
      <w:r>
        <w:rPr>
          <w:rFonts w:hint="eastAsia" w:ascii="仿宋" w:hAnsi="仿宋" w:eastAsia="仿宋"/>
          <w:color w:val="auto"/>
          <w:sz w:val="32"/>
          <w:szCs w:val="32"/>
          <w:highlight w:val="none"/>
          <w:lang w:val="en-US" w:eastAsia="zh-CN"/>
        </w:rPr>
        <w:t>148.32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w:t>
      </w:r>
      <w:r>
        <w:rPr>
          <w:rFonts w:hint="eastAsia" w:ascii="仿宋" w:hAnsi="仿宋" w:eastAsia="仿宋"/>
          <w:color w:val="auto"/>
          <w:sz w:val="32"/>
          <w:szCs w:val="32"/>
          <w:highlight w:val="none"/>
          <w:lang w:val="en-US" w:eastAsia="zh-CN"/>
        </w:rPr>
        <w:t>2660.62</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80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b/>
          <w:bCs/>
          <w:color w:val="auto"/>
          <w:sz w:val="32"/>
          <w:szCs w:val="32"/>
          <w:highlight w:val="none"/>
          <w:lang w:val="en-US" w:eastAsia="zh-CN"/>
        </w:rPr>
        <w:t>185.85</w:t>
      </w:r>
      <w:r>
        <w:rPr>
          <w:rFonts w:hint="eastAsia" w:ascii="仿宋" w:hAnsi="仿宋" w:eastAsia="仿宋"/>
          <w:b/>
          <w:bCs/>
          <w:color w:val="auto"/>
          <w:sz w:val="32"/>
          <w:szCs w:val="32"/>
          <w:highlight w:val="none"/>
        </w:rPr>
        <w:t>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5.6</w:t>
      </w:r>
      <w:r>
        <w:rPr>
          <w:rFonts w:hint="eastAsia" w:ascii="仿宋" w:hAnsi="仿宋" w:eastAsia="仿宋"/>
          <w:color w:val="auto"/>
          <w:sz w:val="32"/>
          <w:szCs w:val="32"/>
          <w:highlight w:val="none"/>
        </w:rPr>
        <w:t>%。</w:t>
      </w:r>
    </w:p>
    <w:p w14:paraId="7EA01CCD">
      <w:pPr>
        <w:spacing w:line="600" w:lineRule="exact"/>
        <w:ind w:firstLine="640"/>
        <w:rPr>
          <w:rFonts w:ascii="仿宋" w:hAnsi="仿宋" w:eastAsia="仿宋"/>
          <w:color w:val="auto"/>
          <w:sz w:val="32"/>
          <w:szCs w:val="32"/>
          <w:highlight w:val="none"/>
        </w:rPr>
      </w:pPr>
    </w:p>
    <w:p w14:paraId="7F70B32A">
      <w:pPr>
        <w:pStyle w:val="8"/>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1143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FA114EA">
      <w:pPr>
        <w:spacing w:line="600" w:lineRule="exact"/>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0B1A17E4">
      <w:pPr>
        <w:spacing w:line="600" w:lineRule="exact"/>
        <w:ind w:firstLine="640" w:firstLineChars="200"/>
        <w:rPr>
          <w:rFonts w:ascii="仿宋" w:hAnsi="仿宋" w:eastAsia="仿宋"/>
          <w:color w:val="auto"/>
          <w:sz w:val="32"/>
          <w:szCs w:val="32"/>
          <w:highlight w:val="none"/>
        </w:rPr>
      </w:pPr>
    </w:p>
    <w:p w14:paraId="29954B39">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63C8AB0B">
      <w:pPr>
        <w:spacing w:line="600" w:lineRule="exact"/>
        <w:ind w:firstLine="643" w:firstLineChars="200"/>
        <w:outlineLvl w:val="1"/>
        <w:rPr>
          <w:rFonts w:ascii="仿宋" w:hAnsi="仿宋" w:eastAsia="仿宋"/>
          <w:color w:val="auto"/>
          <w:sz w:val="32"/>
          <w:szCs w:val="32"/>
          <w:highlight w:val="none"/>
        </w:rPr>
      </w:pPr>
      <w:bookmarkStart w:id="22" w:name="_Toc5514"/>
      <w:bookmarkStart w:id="23" w:name="_Toc18379"/>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3325.09万元</w:t>
      </w:r>
      <w:r>
        <w:rPr>
          <w:rFonts w:hint="eastAsia" w:ascii="仿宋" w:hAnsi="仿宋" w:eastAsia="仿宋"/>
          <w:color w:val="auto"/>
          <w:sz w:val="32"/>
          <w:szCs w:val="32"/>
          <w:highlight w:val="none"/>
        </w:rPr>
        <w:t>，</w:t>
      </w:r>
      <w:r>
        <w:rPr>
          <w:rStyle w:val="15"/>
          <w:rFonts w:hint="eastAsia" w:ascii="仿宋" w:hAnsi="仿宋" w:eastAsia="仿宋"/>
          <w:bCs/>
          <w:color w:val="auto"/>
          <w:sz w:val="32"/>
          <w:szCs w:val="32"/>
          <w:highlight w:val="none"/>
        </w:rPr>
        <w:t>完成预算</w:t>
      </w:r>
      <w:r>
        <w:rPr>
          <w:rStyle w:val="15"/>
          <w:rFonts w:hint="eastAsia" w:ascii="仿宋" w:hAnsi="仿宋" w:eastAsia="仿宋"/>
          <w:bCs/>
          <w:color w:val="auto"/>
          <w:sz w:val="32"/>
          <w:szCs w:val="32"/>
          <w:highlight w:val="none"/>
          <w:lang w:val="en-US" w:eastAsia="zh-CN"/>
        </w:rPr>
        <w:t>100</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。其中：</w:t>
      </w:r>
      <w:bookmarkEnd w:id="22"/>
      <w:bookmarkEnd w:id="23"/>
    </w:p>
    <w:p w14:paraId="532802C3">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1.</w:t>
      </w:r>
      <w:r>
        <w:rPr>
          <w:rStyle w:val="15"/>
          <w:rFonts w:hint="eastAsia" w:ascii="仿宋" w:hAnsi="仿宋" w:eastAsia="仿宋"/>
          <w:bCs/>
          <w:color w:val="auto"/>
          <w:sz w:val="32"/>
          <w:szCs w:val="32"/>
          <w:highlight w:val="none"/>
        </w:rPr>
        <w:t>社会保障和就业支出（类）行政事业单位养老支出（款）机关事业单位基本养老保险缴费支出（项）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220.2</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3FFCE024">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2..</w:t>
      </w:r>
      <w:r>
        <w:rPr>
          <w:rStyle w:val="15"/>
          <w:rFonts w:hint="eastAsia" w:ascii="仿宋" w:hAnsi="仿宋" w:eastAsia="仿宋"/>
          <w:bCs/>
          <w:color w:val="auto"/>
          <w:sz w:val="32"/>
          <w:szCs w:val="32"/>
          <w:highlight w:val="none"/>
        </w:rPr>
        <w:t>社会保障和就业支出（类）行政事业单位养老支出（款）机关事业单位职业年金缴费支出（项）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110.1</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25DA0ABB">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3.</w:t>
      </w:r>
      <w:r>
        <w:rPr>
          <w:rStyle w:val="15"/>
          <w:rFonts w:hint="eastAsia" w:ascii="仿宋" w:hAnsi="仿宋" w:eastAsia="仿宋"/>
          <w:bCs/>
          <w:color w:val="auto"/>
          <w:sz w:val="32"/>
          <w:szCs w:val="32"/>
          <w:highlight w:val="none"/>
        </w:rPr>
        <w:t>卫生健康支出（类）行政事业单位医疗（款）事业单位医疗（项）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102.75</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242D700E">
      <w:pPr>
        <w:spacing w:line="600" w:lineRule="exact"/>
        <w:ind w:firstLine="643" w:firstLineChars="200"/>
        <w:rPr>
          <w:rFonts w:ascii="仿宋" w:hAnsi="仿宋" w:eastAsia="仿宋"/>
          <w:b/>
          <w:color w:val="auto"/>
          <w:sz w:val="32"/>
          <w:szCs w:val="32"/>
          <w:highlight w:val="none"/>
        </w:rPr>
      </w:pPr>
      <w:r>
        <w:rPr>
          <w:rStyle w:val="15"/>
          <w:rFonts w:ascii="仿宋" w:hAnsi="仿宋" w:eastAsia="仿宋"/>
          <w:bCs/>
          <w:color w:val="auto"/>
          <w:sz w:val="32"/>
          <w:szCs w:val="32"/>
          <w:highlight w:val="none"/>
        </w:rPr>
        <w:t>4.</w:t>
      </w:r>
      <w:r>
        <w:rPr>
          <w:rStyle w:val="15"/>
          <w:rFonts w:hint="eastAsia" w:ascii="仿宋" w:hAnsi="仿宋" w:eastAsia="仿宋"/>
          <w:bCs/>
          <w:color w:val="auto"/>
          <w:sz w:val="32"/>
          <w:szCs w:val="32"/>
          <w:highlight w:val="none"/>
        </w:rPr>
        <w:t>卫生健康支出（类）行政事业单位医疗（款）其他行政事业单位医疗支出（项）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45.56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4101975A">
      <w:pPr>
        <w:spacing w:line="600" w:lineRule="exact"/>
        <w:ind w:firstLine="643" w:firstLineChars="200"/>
        <w:rPr>
          <w:rStyle w:val="15"/>
          <w:rFonts w:hint="eastAsia" w:ascii="仿宋" w:hAnsi="仿宋" w:eastAsia="仿宋"/>
          <w:b w:val="0"/>
          <w:bCs/>
          <w:color w:val="auto"/>
          <w:sz w:val="32"/>
          <w:szCs w:val="32"/>
          <w:highlight w:val="none"/>
        </w:rPr>
      </w:pPr>
      <w:r>
        <w:rPr>
          <w:rStyle w:val="15"/>
          <w:rFonts w:ascii="仿宋" w:hAnsi="仿宋" w:eastAsia="仿宋"/>
          <w:bCs/>
          <w:color w:val="auto"/>
          <w:sz w:val="32"/>
          <w:szCs w:val="32"/>
          <w:highlight w:val="none"/>
        </w:rPr>
        <w:t>5.</w:t>
      </w:r>
      <w:r>
        <w:rPr>
          <w:rStyle w:val="15"/>
          <w:rFonts w:hint="eastAsia" w:ascii="仿宋" w:hAnsi="仿宋" w:eastAsia="仿宋"/>
          <w:bCs/>
          <w:color w:val="auto"/>
          <w:sz w:val="32"/>
          <w:szCs w:val="32"/>
          <w:highlight w:val="none"/>
        </w:rPr>
        <w:t>交通运输支出（类）公路水路运输（款）公路养护（项）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2504.62</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7A74AADF">
      <w:pPr>
        <w:spacing w:line="600" w:lineRule="exact"/>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6</w:t>
      </w:r>
      <w:r>
        <w:rPr>
          <w:rStyle w:val="15"/>
          <w:rFonts w:ascii="仿宋" w:hAnsi="仿宋" w:eastAsia="仿宋"/>
          <w:bCs/>
          <w:color w:val="auto"/>
          <w:sz w:val="32"/>
          <w:szCs w:val="32"/>
          <w:highlight w:val="none"/>
        </w:rPr>
        <w:t>.</w:t>
      </w:r>
      <w:r>
        <w:rPr>
          <w:rStyle w:val="15"/>
          <w:rFonts w:hint="eastAsia" w:ascii="仿宋" w:hAnsi="仿宋" w:eastAsia="仿宋"/>
          <w:bCs/>
          <w:color w:val="auto"/>
          <w:sz w:val="32"/>
          <w:szCs w:val="32"/>
          <w:highlight w:val="none"/>
        </w:rPr>
        <w:t>交通运输支出（类）公路水路运输（款）其他公路水路运输支出（项）</w:t>
      </w:r>
      <w:r>
        <w:rPr>
          <w:rStyle w:val="15"/>
          <w:rFonts w:ascii="仿宋" w:hAnsi="仿宋" w:eastAsia="仿宋"/>
          <w:bCs/>
          <w:color w:val="auto"/>
          <w:sz w:val="32"/>
          <w:szCs w:val="32"/>
          <w:highlight w:val="none"/>
        </w:rPr>
        <w:t>:</w:t>
      </w:r>
      <w:r>
        <w:rPr>
          <w:rStyle w:val="15"/>
          <w:rFonts w:ascii="仿宋" w:hAnsi="仿宋" w:eastAsia="仿宋"/>
          <w:b w:val="0"/>
          <w:bCs/>
          <w:color w:val="auto"/>
          <w:sz w:val="32"/>
          <w:szCs w:val="32"/>
          <w:highlight w:val="none"/>
        </w:rPr>
        <w:t xml:space="preserve"> </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156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17C8DDCD">
      <w:pPr>
        <w:spacing w:line="600" w:lineRule="exact"/>
        <w:ind w:firstLine="643" w:firstLineChars="200"/>
        <w:rPr>
          <w:rStyle w:val="15"/>
          <w:rFonts w:hint="eastAsia" w:ascii="仿宋" w:hAnsi="仿宋" w:eastAsia="仿宋"/>
          <w:b w:val="0"/>
          <w:bCs/>
          <w:color w:val="auto"/>
          <w:sz w:val="32"/>
          <w:szCs w:val="32"/>
          <w:highlight w:val="none"/>
        </w:rPr>
      </w:pPr>
      <w:r>
        <w:rPr>
          <w:rStyle w:val="15"/>
          <w:rFonts w:hint="eastAsia" w:ascii="仿宋" w:hAnsi="仿宋" w:eastAsia="仿宋"/>
          <w:bCs/>
          <w:color w:val="auto"/>
          <w:sz w:val="32"/>
          <w:szCs w:val="32"/>
          <w:highlight w:val="none"/>
          <w:lang w:val="en-US" w:eastAsia="zh-CN"/>
        </w:rPr>
        <w:t>7</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5"/>
          <w:rFonts w:hint="eastAsia" w:ascii="仿宋" w:hAnsi="仿宋" w:eastAsia="仿宋"/>
          <w:bCs/>
          <w:color w:val="auto"/>
          <w:sz w:val="32"/>
          <w:szCs w:val="32"/>
          <w:highlight w:val="none"/>
        </w:rPr>
        <w:t>（类）住房改革支出（款）住房公积金（项）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179.85</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1A78EA79">
      <w:pPr>
        <w:pStyle w:val="8"/>
        <w:ind w:firstLine="643" w:firstLineChars="200"/>
        <w:rPr>
          <w:rFonts w:ascii="仿宋" w:hAnsi="仿宋" w:eastAsia="仿宋"/>
          <w:b/>
          <w:color w:val="auto"/>
          <w:sz w:val="32"/>
          <w:szCs w:val="32"/>
          <w:highlight w:val="none"/>
        </w:rPr>
      </w:pPr>
      <w:r>
        <w:rPr>
          <w:rStyle w:val="15"/>
          <w:rFonts w:hint="eastAsia" w:ascii="仿宋" w:hAnsi="仿宋" w:eastAsia="仿宋"/>
          <w:bCs/>
          <w:color w:val="auto"/>
          <w:sz w:val="32"/>
          <w:szCs w:val="32"/>
          <w:highlight w:val="none"/>
          <w:lang w:val="en-US" w:eastAsia="zh-CN"/>
        </w:rPr>
        <w:t>8</w:t>
      </w:r>
      <w:r>
        <w:rPr>
          <w:rStyle w:val="15"/>
          <w:rFonts w:ascii="仿宋" w:hAnsi="仿宋" w:eastAsia="仿宋"/>
          <w:bCs/>
          <w:color w:val="auto"/>
          <w:sz w:val="32"/>
          <w:szCs w:val="32"/>
          <w:highlight w:val="none"/>
        </w:rPr>
        <w:t>.</w:t>
      </w:r>
      <w:r>
        <w:rPr>
          <w:rFonts w:hint="eastAsia" w:ascii="仿宋" w:hAnsi="仿宋" w:eastAsia="仿宋"/>
          <w:b/>
          <w:bCs/>
          <w:color w:val="auto"/>
          <w:sz w:val="32"/>
          <w:szCs w:val="32"/>
          <w:highlight w:val="none"/>
        </w:rPr>
        <w:t>住房保障支出</w:t>
      </w:r>
      <w:r>
        <w:rPr>
          <w:rStyle w:val="15"/>
          <w:rFonts w:hint="eastAsia" w:ascii="仿宋" w:hAnsi="仿宋" w:eastAsia="仿宋"/>
          <w:bCs/>
          <w:color w:val="auto"/>
          <w:sz w:val="32"/>
          <w:szCs w:val="32"/>
          <w:highlight w:val="none"/>
        </w:rPr>
        <w:t>（类）住房改革支出（款）购房补贴（项）</w:t>
      </w:r>
      <w:r>
        <w:rPr>
          <w:rStyle w:val="15"/>
          <w:rFonts w:ascii="仿宋" w:hAnsi="仿宋" w:eastAsia="仿宋"/>
          <w:bCs/>
          <w:color w:val="auto"/>
          <w:sz w:val="32"/>
          <w:szCs w:val="32"/>
          <w:highlight w:val="none"/>
        </w:rPr>
        <w:t>:</w:t>
      </w:r>
      <w:r>
        <w:rPr>
          <w:rStyle w:val="15"/>
          <w:rFonts w:hint="eastAsia" w:ascii="仿宋" w:hAnsi="仿宋" w:eastAsia="仿宋"/>
          <w:b w:val="0"/>
          <w:bCs/>
          <w:color w:val="auto"/>
          <w:sz w:val="32"/>
          <w:szCs w:val="32"/>
          <w:highlight w:val="none"/>
        </w:rPr>
        <w:t>支出决算为</w:t>
      </w:r>
      <w:r>
        <w:rPr>
          <w:rStyle w:val="15"/>
          <w:rFonts w:hint="eastAsia" w:ascii="仿宋" w:hAnsi="仿宋" w:eastAsia="仿宋"/>
          <w:b w:val="0"/>
          <w:bCs/>
          <w:color w:val="auto"/>
          <w:sz w:val="32"/>
          <w:szCs w:val="32"/>
          <w:highlight w:val="none"/>
          <w:lang w:val="en-US" w:eastAsia="zh-CN"/>
        </w:rPr>
        <w:t>6</w:t>
      </w:r>
      <w:r>
        <w:rPr>
          <w:rStyle w:val="15"/>
          <w:rFonts w:hint="eastAsia" w:ascii="仿宋" w:hAnsi="仿宋" w:eastAsia="仿宋"/>
          <w:b w:val="0"/>
          <w:bCs/>
          <w:color w:val="auto"/>
          <w:sz w:val="32"/>
          <w:szCs w:val="32"/>
          <w:highlight w:val="none"/>
        </w:rPr>
        <w:t>万元，完成预算</w:t>
      </w:r>
      <w:r>
        <w:rPr>
          <w:rStyle w:val="15"/>
          <w:rFonts w:hint="eastAsia" w:ascii="仿宋" w:hAnsi="仿宋" w:eastAsia="仿宋"/>
          <w:b w:val="0"/>
          <w:bCs/>
          <w:color w:val="auto"/>
          <w:sz w:val="32"/>
          <w:szCs w:val="32"/>
          <w:highlight w:val="none"/>
          <w:lang w:val="en-US" w:eastAsia="zh-CN"/>
        </w:rPr>
        <w:t>100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，决算数等于预算数。</w:t>
      </w:r>
    </w:p>
    <w:p w14:paraId="05D4D481">
      <w:pPr>
        <w:tabs>
          <w:tab w:val="right" w:pos="8306"/>
        </w:tabs>
        <w:spacing w:line="600" w:lineRule="exact"/>
        <w:ind w:firstLine="640"/>
        <w:outlineLvl w:val="1"/>
        <w:rPr>
          <w:rStyle w:val="17"/>
          <w:color w:val="auto"/>
          <w:highlight w:val="none"/>
        </w:rPr>
      </w:pPr>
      <w:bookmarkStart w:id="24" w:name="_Toc17245"/>
      <w:bookmarkStart w:id="25" w:name="_Toc5599"/>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7"/>
          <w:rFonts w:hint="eastAsia" w:ascii="黑体" w:hAnsi="黑体" w:eastAsia="黑体"/>
          <w:b w:val="0"/>
          <w:color w:val="auto"/>
          <w:highlight w:val="none"/>
        </w:rPr>
        <w:t>般公共预算财政拨款基本支出决算情况说明</w:t>
      </w:r>
      <w:bookmarkEnd w:id="24"/>
      <w:bookmarkEnd w:id="25"/>
      <w:r>
        <w:rPr>
          <w:rStyle w:val="17"/>
          <w:rFonts w:ascii="黑体" w:hAnsi="黑体" w:eastAsia="黑体"/>
          <w:b w:val="0"/>
          <w:color w:val="auto"/>
          <w:highlight w:val="none"/>
        </w:rPr>
        <w:tab/>
      </w:r>
    </w:p>
    <w:p w14:paraId="70E8BA32">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w:t>
      </w:r>
      <w:r>
        <w:rPr>
          <w:rFonts w:hint="eastAsia" w:ascii="仿宋" w:hAnsi="仿宋" w:eastAsia="仿宋"/>
          <w:color w:val="auto"/>
          <w:sz w:val="32"/>
          <w:szCs w:val="32"/>
          <w:highlight w:val="none"/>
          <w:lang w:val="en-US" w:eastAsia="zh-CN"/>
        </w:rPr>
        <w:t>2827.76</w:t>
      </w:r>
      <w:r>
        <w:rPr>
          <w:rFonts w:hint="eastAsia" w:ascii="仿宋" w:hAnsi="仿宋" w:eastAsia="仿宋"/>
          <w:color w:val="auto"/>
          <w:sz w:val="32"/>
          <w:szCs w:val="32"/>
          <w:highlight w:val="none"/>
        </w:rPr>
        <w:t>万元，其中：</w:t>
      </w:r>
    </w:p>
    <w:p w14:paraId="70EF0A01">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2630.53</w:t>
      </w:r>
      <w:r>
        <w:rPr>
          <w:rFonts w:hint="eastAsia" w:ascii="仿宋" w:hAnsi="仿宋" w:eastAsia="仿宋"/>
          <w:color w:val="auto"/>
          <w:sz w:val="32"/>
          <w:szCs w:val="32"/>
          <w:highlight w:val="none"/>
        </w:rPr>
        <w:t>万元，主要包括：基本工资、津贴补贴、奖金、绩效工资、机关事业单位基本养老保险缴费、职业年金缴费、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其他社会保障缴费、其他工资福利支出、生活补助、奖励金、住房公积金等。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197.23</w:t>
      </w:r>
      <w:r>
        <w:rPr>
          <w:rFonts w:hint="eastAsia" w:ascii="仿宋" w:hAnsi="仿宋" w:eastAsia="仿宋"/>
          <w:color w:val="auto"/>
          <w:sz w:val="32"/>
          <w:szCs w:val="32"/>
          <w:highlight w:val="none"/>
        </w:rPr>
        <w:t>万元，主要包括：办公费、水费、邮电费、差旅费、</w:t>
      </w:r>
      <w:r>
        <w:rPr>
          <w:rFonts w:hint="eastAsia" w:ascii="仿宋" w:hAnsi="仿宋" w:eastAsia="仿宋"/>
          <w:color w:val="auto"/>
          <w:sz w:val="32"/>
          <w:szCs w:val="32"/>
          <w:highlight w:val="none"/>
          <w:lang w:val="en-US" w:eastAsia="zh-CN"/>
        </w:rPr>
        <w:t>会议费</w:t>
      </w:r>
      <w:r>
        <w:rPr>
          <w:rFonts w:hint="eastAsia" w:ascii="仿宋" w:hAnsi="仿宋" w:eastAsia="仿宋"/>
          <w:color w:val="auto"/>
          <w:sz w:val="32"/>
          <w:szCs w:val="32"/>
          <w:highlight w:val="none"/>
        </w:rPr>
        <w:t>、培训费、公务接待费、</w:t>
      </w:r>
      <w:r>
        <w:rPr>
          <w:rFonts w:hint="eastAsia" w:ascii="仿宋" w:hAnsi="仿宋" w:eastAsia="仿宋"/>
          <w:color w:val="auto"/>
          <w:sz w:val="32"/>
          <w:szCs w:val="32"/>
          <w:highlight w:val="none"/>
          <w:lang w:val="en-US" w:eastAsia="zh-CN"/>
        </w:rPr>
        <w:t>劳务费</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工会经费、福利费、</w:t>
      </w:r>
      <w:r>
        <w:rPr>
          <w:rFonts w:hint="eastAsia" w:ascii="仿宋" w:hAnsi="仿宋" w:eastAsia="仿宋"/>
          <w:color w:val="auto"/>
          <w:sz w:val="32"/>
          <w:szCs w:val="32"/>
          <w:highlight w:val="none"/>
        </w:rPr>
        <w:t>公务用车运行维护费、其他商品和服务支出等。</w:t>
      </w:r>
    </w:p>
    <w:p w14:paraId="131BF871">
      <w:pPr>
        <w:spacing w:line="600" w:lineRule="exact"/>
        <w:ind w:firstLine="640"/>
        <w:outlineLvl w:val="1"/>
        <w:rPr>
          <w:rStyle w:val="17"/>
          <w:rFonts w:ascii="黑体" w:hAnsi="黑体" w:eastAsia="黑体"/>
          <w:b w:val="0"/>
          <w:color w:val="auto"/>
          <w:highlight w:val="none"/>
        </w:rPr>
      </w:pPr>
      <w:bookmarkStart w:id="26" w:name="_Toc12125"/>
      <w:bookmarkStart w:id="27" w:name="_Toc16480"/>
      <w:r>
        <w:rPr>
          <w:rFonts w:hint="eastAsia" w:ascii="黑体" w:eastAsia="黑体"/>
          <w:color w:val="auto"/>
          <w:sz w:val="32"/>
          <w:szCs w:val="32"/>
          <w:highlight w:val="none"/>
        </w:rPr>
        <w:t>七、</w:t>
      </w:r>
      <w:r>
        <w:rPr>
          <w:rStyle w:val="17"/>
          <w:rFonts w:hint="eastAsia" w:ascii="黑体" w:hAnsi="黑体" w:eastAsia="黑体"/>
          <w:b w:val="0"/>
          <w:color w:val="auto"/>
          <w:highlight w:val="none"/>
        </w:rPr>
        <w:t>财政拨款</w:t>
      </w:r>
      <w:r>
        <w:rPr>
          <w:rStyle w:val="17"/>
          <w:rFonts w:hint="eastAsia" w:ascii="黑体" w:hAnsi="黑体" w:eastAsia="黑体"/>
          <w:color w:val="auto"/>
          <w:highlight w:val="none"/>
        </w:rPr>
        <w:t>“</w:t>
      </w:r>
      <w:r>
        <w:rPr>
          <w:rStyle w:val="17"/>
          <w:rFonts w:hint="eastAsia" w:ascii="黑体" w:hAnsi="黑体" w:eastAsia="黑体"/>
          <w:b w:val="0"/>
          <w:color w:val="auto"/>
          <w:highlight w:val="none"/>
        </w:rPr>
        <w:t>三公”经费支出决算情况说明</w:t>
      </w:r>
      <w:bookmarkEnd w:id="26"/>
      <w:bookmarkEnd w:id="27"/>
    </w:p>
    <w:p w14:paraId="2D4D7B1D">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35A732EF">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w:t>
      </w:r>
      <w:r>
        <w:rPr>
          <w:rFonts w:hint="eastAsia" w:ascii="仿宋" w:hAnsi="仿宋" w:eastAsia="仿宋"/>
          <w:color w:val="auto"/>
          <w:sz w:val="32"/>
          <w:szCs w:val="32"/>
          <w:highlight w:val="none"/>
          <w:lang w:val="en-US" w:eastAsia="zh-CN"/>
        </w:rPr>
        <w:t>20.12</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80.5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减少3.13万元，减少13.5%。</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本单位依据厉行节约原则，缩减“三公”经费</w:t>
      </w:r>
      <w:r>
        <w:rPr>
          <w:rFonts w:hint="eastAsia" w:ascii="仿宋" w:hAnsi="仿宋" w:eastAsia="仿宋"/>
          <w:color w:val="auto"/>
          <w:sz w:val="32"/>
          <w:szCs w:val="32"/>
          <w:highlight w:val="none"/>
        </w:rPr>
        <w:t>。</w:t>
      </w:r>
    </w:p>
    <w:p w14:paraId="2B11BA10">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7EDB1425">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2023年度“三公”经费财政拨款支出决算中，因公出国（境）费支出决算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lang w:eastAsia="zh-CN"/>
        </w:rPr>
        <w:t>%；公务用车购置及运行维护费支出决算</w:t>
      </w:r>
      <w:r>
        <w:rPr>
          <w:rFonts w:hint="eastAsia" w:ascii="仿宋" w:hAnsi="仿宋" w:eastAsia="仿宋"/>
          <w:color w:val="auto"/>
          <w:sz w:val="32"/>
          <w:szCs w:val="32"/>
          <w:highlight w:val="none"/>
          <w:lang w:val="en-US" w:eastAsia="zh-CN"/>
        </w:rPr>
        <w:t>19.99</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99.3</w:t>
      </w:r>
      <w:r>
        <w:rPr>
          <w:rFonts w:hint="eastAsia" w:ascii="仿宋" w:hAnsi="仿宋" w:eastAsia="仿宋"/>
          <w:color w:val="auto"/>
          <w:sz w:val="32"/>
          <w:szCs w:val="32"/>
          <w:highlight w:val="none"/>
          <w:lang w:eastAsia="zh-CN"/>
        </w:rPr>
        <w:t>%；公务接待费支出决算</w:t>
      </w:r>
      <w:r>
        <w:rPr>
          <w:rFonts w:hint="eastAsia" w:ascii="仿宋" w:hAnsi="仿宋" w:eastAsia="仿宋"/>
          <w:color w:val="auto"/>
          <w:sz w:val="32"/>
          <w:szCs w:val="32"/>
          <w:highlight w:val="none"/>
          <w:lang w:val="en-US" w:eastAsia="zh-CN"/>
        </w:rPr>
        <w:t>0.14</w:t>
      </w:r>
      <w:r>
        <w:rPr>
          <w:rFonts w:hint="eastAsia" w:ascii="仿宋" w:hAnsi="仿宋" w:eastAsia="仿宋"/>
          <w:color w:val="auto"/>
          <w:sz w:val="32"/>
          <w:szCs w:val="32"/>
          <w:highlight w:val="none"/>
          <w:lang w:eastAsia="zh-CN"/>
        </w:rPr>
        <w:t>万元，占</w:t>
      </w:r>
      <w:r>
        <w:rPr>
          <w:rFonts w:hint="eastAsia" w:ascii="仿宋" w:hAnsi="仿宋" w:eastAsia="仿宋"/>
          <w:color w:val="auto"/>
          <w:sz w:val="32"/>
          <w:szCs w:val="32"/>
          <w:highlight w:val="none"/>
          <w:lang w:val="en-US" w:eastAsia="zh-CN"/>
        </w:rPr>
        <w:t>0.7</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。具体情况如下：</w:t>
      </w:r>
    </w:p>
    <w:p w14:paraId="6DD8EA21">
      <w:pPr>
        <w:pStyle w:val="8"/>
        <w:rPr>
          <w:rFonts w:hint="eastAsia" w:ascii="仿宋" w:hAnsi="仿宋" w:eastAsia="仿宋"/>
          <w:color w:val="auto"/>
          <w:sz w:val="32"/>
          <w:szCs w:val="32"/>
          <w:highlight w:val="none"/>
        </w:rPr>
      </w:pPr>
    </w:p>
    <w:p w14:paraId="625BEAEE">
      <w:pPr>
        <w:pStyle w:val="8"/>
        <w:rPr>
          <w:rFonts w:hint="eastAsia" w:ascii="仿宋" w:hAnsi="仿宋" w:eastAsia="仿宋"/>
          <w:color w:val="auto"/>
          <w:sz w:val="32"/>
          <w:szCs w:val="32"/>
          <w:highlight w:val="none"/>
        </w:rPr>
      </w:pPr>
      <w:r>
        <w:rPr>
          <w:rFonts w:hint="eastAsia" w:eastAsia="仿宋"/>
          <w:lang w:eastAsia="zh-CN"/>
        </w:rPr>
        <w:drawing>
          <wp:inline distT="0" distB="0" distL="114300" distR="114300">
            <wp:extent cx="5256530" cy="3242945"/>
            <wp:effectExtent l="4445" t="4445" r="12065" b="1397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25A0D69">
      <w:pPr>
        <w:spacing w:line="600" w:lineRule="exact"/>
        <w:ind w:firstLine="640"/>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（图7：“三公”经费财政拨款支出结构）</w:t>
      </w:r>
    </w:p>
    <w:p w14:paraId="45911040">
      <w:pPr>
        <w:spacing w:line="600" w:lineRule="exact"/>
        <w:ind w:firstLine="640"/>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0</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2022年</w:t>
      </w:r>
      <w:r>
        <w:rPr>
          <w:rFonts w:hint="eastAsia" w:ascii="仿宋_GB2312" w:eastAsia="仿宋_GB2312"/>
          <w:color w:val="auto"/>
          <w:sz w:val="32"/>
          <w:szCs w:val="32"/>
          <w:highlight w:val="none"/>
          <w:lang w:val="en-US" w:eastAsia="zh-CN"/>
        </w:rPr>
        <w:t>持平</w:t>
      </w:r>
      <w:r>
        <w:rPr>
          <w:rFonts w:hint="eastAsia" w:ascii="仿宋_GB2312" w:eastAsia="仿宋_GB2312"/>
          <w:color w:val="auto"/>
          <w:sz w:val="32"/>
          <w:szCs w:val="32"/>
          <w:highlight w:val="none"/>
        </w:rPr>
        <w:t>。</w:t>
      </w:r>
    </w:p>
    <w:p w14:paraId="35019BD6">
      <w:pPr>
        <w:spacing w:line="600" w:lineRule="exact"/>
        <w:ind w:firstLine="640"/>
        <w:rPr>
          <w:rFonts w:ascii="仿宋_GB2312" w:eastAsia="仿宋_GB2312"/>
          <w:b/>
          <w:color w:val="auto"/>
          <w:sz w:val="32"/>
          <w:szCs w:val="32"/>
          <w:highlight w:val="none"/>
        </w:rPr>
      </w:pPr>
      <w:r>
        <w:rPr>
          <w:rFonts w:hint="eastAsia" w:ascii="仿宋_GB2312" w:eastAsia="仿宋_GB2312"/>
          <w:b/>
          <w:color w:val="auto"/>
          <w:sz w:val="32"/>
          <w:szCs w:val="32"/>
          <w:highlight w:val="none"/>
          <w:lang w:val="en-US" w:eastAsia="zh-CN"/>
        </w:rPr>
        <w:t>2</w:t>
      </w:r>
      <w:r>
        <w:rPr>
          <w:rFonts w:ascii="仿宋_GB2312" w:eastAsia="仿宋_GB2312"/>
          <w:b/>
          <w:color w:val="auto"/>
          <w:sz w:val="32"/>
          <w:szCs w:val="32"/>
          <w:highlight w:val="none"/>
        </w:rPr>
        <w:t>.</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19.99</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97.5</w:t>
      </w:r>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减少3.01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减少13.1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本单位依据厉行节约原则，缩减“三公”经费</w:t>
      </w:r>
      <w:r>
        <w:rPr>
          <w:rFonts w:hint="eastAsia" w:ascii="仿宋_GB2312" w:eastAsia="仿宋_GB2312"/>
          <w:color w:val="auto"/>
          <w:sz w:val="32"/>
          <w:szCs w:val="32"/>
          <w:highlight w:val="none"/>
        </w:rPr>
        <w:t>。</w:t>
      </w:r>
    </w:p>
    <w:p w14:paraId="0646C915">
      <w:pPr>
        <w:spacing w:line="600" w:lineRule="exact"/>
        <w:ind w:firstLine="640" w:firstLineChars="200"/>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万元，越野车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万元，载客汽车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辆。</w:t>
      </w:r>
    </w:p>
    <w:p w14:paraId="7A019C86">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19.99</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17975F56">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0.14</w:t>
      </w:r>
      <w:r>
        <w:rPr>
          <w:rFonts w:hint="eastAsia" w:ascii="仿宋_GB2312" w:eastAsia="仿宋_GB2312"/>
          <w:color w:val="auto"/>
          <w:sz w:val="32"/>
          <w:szCs w:val="32"/>
          <w:highlight w:val="none"/>
        </w:rPr>
        <w:t>万元，</w:t>
      </w:r>
      <w:r>
        <w:rPr>
          <w:rStyle w:val="15"/>
          <w:rFonts w:hint="eastAsia" w:ascii="仿宋" w:hAnsi="仿宋" w:eastAsia="仿宋"/>
          <w:b w:val="0"/>
          <w:bCs/>
          <w:color w:val="auto"/>
          <w:sz w:val="32"/>
          <w:szCs w:val="32"/>
          <w:highlight w:val="none"/>
        </w:rPr>
        <w:t>完成预算</w:t>
      </w:r>
      <w:r>
        <w:rPr>
          <w:rStyle w:val="15"/>
          <w:rFonts w:hint="eastAsia" w:ascii="仿宋" w:hAnsi="仿宋" w:eastAsia="仿宋"/>
          <w:b w:val="0"/>
          <w:bCs/>
          <w:color w:val="auto"/>
          <w:sz w:val="32"/>
          <w:szCs w:val="32"/>
          <w:highlight w:val="none"/>
          <w:lang w:val="en-US" w:eastAsia="zh-CN"/>
        </w:rPr>
        <w:t>3</w:t>
      </w:r>
      <w:bookmarkStart w:id="70" w:name="_GoBack"/>
      <w:bookmarkEnd w:id="70"/>
      <w:r>
        <w:rPr>
          <w:rStyle w:val="15"/>
          <w:rFonts w:ascii="仿宋" w:hAnsi="仿宋" w:eastAsia="仿宋"/>
          <w:b w:val="0"/>
          <w:bCs/>
          <w:color w:val="auto"/>
          <w:sz w:val="32"/>
          <w:szCs w:val="32"/>
          <w:highlight w:val="none"/>
        </w:rPr>
        <w:t>%</w:t>
      </w:r>
      <w:r>
        <w:rPr>
          <w:rStyle w:val="15"/>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w:t>
      </w:r>
      <w:r>
        <w:rPr>
          <w:rFonts w:hint="eastAsia" w:ascii="仿宋_GB2312" w:eastAsia="仿宋_GB2312"/>
          <w:color w:val="auto"/>
          <w:sz w:val="32"/>
          <w:szCs w:val="32"/>
          <w:highlight w:val="none"/>
          <w:lang w:val="en-US" w:eastAsia="zh-CN"/>
        </w:rPr>
        <w:t>0.12</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47.1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本单位依据厉行节约原则，缩减“三公”经费</w:t>
      </w:r>
      <w:r>
        <w:rPr>
          <w:rFonts w:hint="eastAsia" w:ascii="仿宋_GB2312" w:eastAsia="仿宋_GB2312"/>
          <w:color w:val="auto"/>
          <w:sz w:val="32"/>
          <w:szCs w:val="32"/>
          <w:highlight w:val="none"/>
        </w:rPr>
        <w:t>。其中：</w:t>
      </w:r>
    </w:p>
    <w:p w14:paraId="1D2A7425">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0.14</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交流接待、考核接待</w:t>
      </w:r>
      <w:r>
        <w:rPr>
          <w:rFonts w:hint="eastAsia" w:ascii="仿宋_GB2312" w:eastAsia="仿宋_GB2312"/>
          <w:color w:val="auto"/>
          <w:sz w:val="32"/>
          <w:szCs w:val="32"/>
          <w:highlight w:val="none"/>
        </w:rPr>
        <w:t>等。国内公务接待</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17</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1365</w:t>
      </w:r>
      <w:r>
        <w:rPr>
          <w:rFonts w:hint="eastAsia" w:ascii="仿宋_GB2312" w:eastAsia="仿宋_GB2312"/>
          <w:color w:val="auto"/>
          <w:sz w:val="32"/>
          <w:szCs w:val="32"/>
          <w:highlight w:val="none"/>
        </w:rPr>
        <w:t>元，具体内容包括：</w:t>
      </w:r>
      <w:r>
        <w:rPr>
          <w:rFonts w:hint="eastAsia" w:ascii="仿宋_GB2312" w:eastAsia="仿宋_GB2312"/>
          <w:color w:val="auto"/>
          <w:sz w:val="32"/>
          <w:szCs w:val="32"/>
          <w:highlight w:val="none"/>
          <w:lang w:val="en-US" w:eastAsia="zh-CN"/>
        </w:rPr>
        <w:t>交流接待705元、考核接待660元</w:t>
      </w:r>
      <w:r>
        <w:rPr>
          <w:rFonts w:hint="eastAsia" w:ascii="仿宋_GB2312" w:eastAsia="仿宋_GB2312"/>
          <w:color w:val="auto"/>
          <w:sz w:val="32"/>
          <w:szCs w:val="32"/>
          <w:highlight w:val="none"/>
        </w:rPr>
        <w:t>。</w:t>
      </w:r>
    </w:p>
    <w:p w14:paraId="37450C5D">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7CA29214">
      <w:pPr>
        <w:spacing w:line="600" w:lineRule="exact"/>
        <w:ind w:firstLine="640"/>
        <w:outlineLvl w:val="9"/>
        <w:rPr>
          <w:rFonts w:ascii="黑体" w:eastAsia="黑体"/>
          <w:color w:val="auto"/>
          <w:sz w:val="32"/>
          <w:szCs w:val="32"/>
          <w:highlight w:val="none"/>
        </w:rPr>
      </w:pPr>
    </w:p>
    <w:p w14:paraId="426DA5F7">
      <w:pPr>
        <w:spacing w:line="600" w:lineRule="exact"/>
        <w:ind w:firstLine="640"/>
        <w:outlineLvl w:val="1"/>
        <w:rPr>
          <w:rStyle w:val="17"/>
          <w:rFonts w:ascii="黑体" w:hAnsi="黑体" w:eastAsia="黑体"/>
          <w:color w:val="auto"/>
          <w:highlight w:val="none"/>
        </w:rPr>
      </w:pPr>
      <w:bookmarkStart w:id="28" w:name="_Toc6949"/>
      <w:bookmarkStart w:id="29" w:name="_Toc17044"/>
      <w:r>
        <w:rPr>
          <w:rFonts w:hint="eastAsia" w:ascii="黑体" w:eastAsia="黑体"/>
          <w:color w:val="auto"/>
          <w:sz w:val="32"/>
          <w:szCs w:val="32"/>
          <w:highlight w:val="none"/>
        </w:rPr>
        <w:t>八、</w:t>
      </w:r>
      <w:r>
        <w:rPr>
          <w:rStyle w:val="17"/>
          <w:rFonts w:hint="eastAsia" w:ascii="黑体" w:hAnsi="黑体" w:eastAsia="黑体"/>
          <w:b w:val="0"/>
          <w:color w:val="auto"/>
          <w:highlight w:val="none"/>
        </w:rPr>
        <w:t>政府性基金预算支出决算情况说明</w:t>
      </w:r>
      <w:bookmarkEnd w:id="28"/>
      <w:bookmarkEnd w:id="29"/>
    </w:p>
    <w:p w14:paraId="56CC123D">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9996505">
      <w:pPr>
        <w:spacing w:line="600" w:lineRule="exact"/>
        <w:ind w:firstLine="640"/>
        <w:rPr>
          <w:rFonts w:ascii="仿宋_GB2312" w:eastAsia="仿宋_GB2312"/>
          <w:color w:val="auto"/>
          <w:sz w:val="32"/>
          <w:szCs w:val="32"/>
          <w:highlight w:val="none"/>
        </w:rPr>
      </w:pPr>
    </w:p>
    <w:p w14:paraId="765A6AC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7"/>
          <w:rFonts w:ascii="黑体" w:hAnsi="黑体" w:eastAsia="黑体"/>
          <w:b w:val="0"/>
          <w:color w:val="auto"/>
          <w:highlight w:val="none"/>
        </w:rPr>
      </w:pPr>
      <w:bookmarkStart w:id="30" w:name="_Toc9400"/>
      <w:bookmarkStart w:id="31" w:name="_Toc27184"/>
      <w:r>
        <w:rPr>
          <w:rStyle w:val="17"/>
          <w:rFonts w:hint="eastAsia" w:ascii="黑体" w:hAnsi="黑体" w:eastAsia="黑体"/>
          <w:b w:val="0"/>
          <w:color w:val="auto"/>
          <w:highlight w:val="none"/>
          <w:lang w:eastAsia="zh-CN"/>
        </w:rPr>
        <w:t>九、</w:t>
      </w:r>
      <w:r>
        <w:rPr>
          <w:rStyle w:val="17"/>
          <w:rFonts w:hint="eastAsia" w:ascii="黑体" w:hAnsi="黑体" w:eastAsia="黑体"/>
          <w:b w:val="0"/>
          <w:color w:val="auto"/>
          <w:highlight w:val="none"/>
        </w:rPr>
        <w:t>国有资本经营预算支出决算情况说明</w:t>
      </w:r>
      <w:bookmarkEnd w:id="30"/>
      <w:bookmarkEnd w:id="31"/>
    </w:p>
    <w:p w14:paraId="2850F472">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40803AB8">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37AE4D3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7"/>
          <w:rFonts w:hint="eastAsia" w:ascii="黑体" w:hAnsi="黑体" w:eastAsia="黑体"/>
          <w:b w:val="0"/>
          <w:color w:val="auto"/>
          <w:highlight w:val="none"/>
        </w:rPr>
      </w:pPr>
      <w:bookmarkStart w:id="32" w:name="_Toc23272"/>
      <w:bookmarkStart w:id="33" w:name="_Toc45"/>
      <w:r>
        <w:rPr>
          <w:rStyle w:val="17"/>
          <w:rFonts w:hint="eastAsia" w:ascii="黑体" w:hAnsi="黑体" w:eastAsia="黑体"/>
          <w:b w:val="0"/>
          <w:color w:val="auto"/>
          <w:highlight w:val="none"/>
          <w:lang w:eastAsia="zh-CN"/>
        </w:rPr>
        <w:t>十、</w:t>
      </w:r>
      <w:r>
        <w:rPr>
          <w:rStyle w:val="17"/>
          <w:rFonts w:hint="eastAsia" w:ascii="黑体" w:hAnsi="黑体" w:eastAsia="黑体"/>
          <w:b w:val="0"/>
          <w:color w:val="auto"/>
          <w:highlight w:val="none"/>
        </w:rPr>
        <w:t>其他重要事项的情况说明</w:t>
      </w:r>
      <w:bookmarkEnd w:id="32"/>
      <w:bookmarkEnd w:id="33"/>
    </w:p>
    <w:p w14:paraId="315D3A39">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6A048B07">
      <w:pPr>
        <w:spacing w:line="600" w:lineRule="exact"/>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，与2022年度决算数持平</w:t>
      </w:r>
      <w:r>
        <w:rPr>
          <w:rFonts w:hint="eastAsia" w:ascii="仿宋_GB2312" w:eastAsia="仿宋_GB2312"/>
          <w:color w:val="auto"/>
          <w:sz w:val="32"/>
          <w:szCs w:val="32"/>
          <w:highlight w:val="none"/>
        </w:rPr>
        <w:t>。</w:t>
      </w:r>
    </w:p>
    <w:p w14:paraId="6E3B1732">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3AAD250B">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公务用车采购</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1B04562E">
      <w:pPr>
        <w:spacing w:line="600" w:lineRule="exact"/>
        <w:ind w:firstLine="643" w:firstLineChars="200"/>
        <w:rPr>
          <w:rFonts w:ascii="仿宋" w:hAnsi="仿宋" w:eastAsia="仿宋"/>
          <w:b/>
          <w:color w:val="auto"/>
          <w:sz w:val="32"/>
          <w:szCs w:val="32"/>
          <w:highlight w:val="none"/>
        </w:rPr>
      </w:pPr>
    </w:p>
    <w:p w14:paraId="37AEC540">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69C2CE0D">
      <w:pPr>
        <w:autoSpaceDE w:val="0"/>
        <w:autoSpaceDN w:val="0"/>
        <w:adjustRightInd w:val="0"/>
        <w:spacing w:line="600" w:lineRule="exact"/>
        <w:ind w:firstLine="640" w:firstLineChars="200"/>
        <w:jc w:val="left"/>
        <w:rPr>
          <w:rFonts w:ascii="仿宋" w:hAnsi="仿宋" w:eastAsia="仿宋"/>
          <w:b/>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69957B99">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7092EE1E">
      <w:pPr>
        <w:spacing w:line="600" w:lineRule="exact"/>
        <w:ind w:firstLine="640" w:firstLineChars="200"/>
        <w:rPr>
          <w:rFonts w:hint="default"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2023年本单位完成整体绩效自评，并撰写自评报告，自评得分90.78。不涉及项目绩效自评，故无项目绩效自评表。</w:t>
      </w:r>
    </w:p>
    <w:p w14:paraId="2EF3B774">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4AA989AD">
      <w:pPr>
        <w:numPr>
          <w:ilvl w:val="0"/>
          <w:numId w:val="0"/>
        </w:numPr>
        <w:spacing w:line="600" w:lineRule="exact"/>
        <w:jc w:val="center"/>
        <w:outlineLvl w:val="0"/>
        <w:rPr>
          <w:rStyle w:val="16"/>
          <w:rFonts w:ascii="黑体" w:hAnsi="黑体" w:eastAsia="黑体"/>
          <w:b w:val="0"/>
          <w:color w:val="auto"/>
          <w:highlight w:val="none"/>
        </w:rPr>
      </w:pPr>
      <w:bookmarkStart w:id="34" w:name="_Toc10352"/>
      <w:bookmarkStart w:id="35" w:name="_Toc15245"/>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6"/>
          <w:rFonts w:hint="eastAsia" w:ascii="黑体" w:hAnsi="黑体" w:eastAsia="黑体"/>
          <w:b w:val="0"/>
          <w:color w:val="auto"/>
          <w:highlight w:val="none"/>
        </w:rPr>
        <w:t>词解释</w:t>
      </w:r>
      <w:bookmarkEnd w:id="34"/>
      <w:bookmarkEnd w:id="35"/>
    </w:p>
    <w:p w14:paraId="6EFA0398">
      <w:pPr>
        <w:spacing w:line="600" w:lineRule="exact"/>
        <w:jc w:val="left"/>
        <w:rPr>
          <w:rFonts w:ascii="宋体"/>
          <w:b/>
          <w:color w:val="auto"/>
          <w:sz w:val="44"/>
          <w:szCs w:val="44"/>
          <w:highlight w:val="none"/>
        </w:rPr>
      </w:pPr>
    </w:p>
    <w:p w14:paraId="73A0ECB8">
      <w:pPr>
        <w:pStyle w:val="19"/>
        <w:spacing w:line="560" w:lineRule="exact"/>
        <w:ind w:firstLine="640" w:firstLineChars="200"/>
        <w:outlineLvl w:val="1"/>
        <w:rPr>
          <w:rFonts w:ascii="仿宋_GB2312" w:eastAsia="仿宋_GB2312"/>
          <w:color w:val="auto"/>
          <w:sz w:val="32"/>
          <w:szCs w:val="32"/>
          <w:highlight w:val="none"/>
        </w:rPr>
      </w:pPr>
      <w:bookmarkStart w:id="36" w:name="_Toc1254"/>
      <w:bookmarkStart w:id="37" w:name="_Toc22062"/>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36"/>
      <w:bookmarkEnd w:id="37"/>
    </w:p>
    <w:p w14:paraId="10F9277E">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1B158AC8">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38F2C9E9">
      <w:pPr>
        <w:pStyle w:val="19"/>
        <w:spacing w:line="560" w:lineRule="exact"/>
        <w:ind w:firstLine="640" w:firstLineChars="200"/>
        <w:outlineLvl w:val="1"/>
        <w:rPr>
          <w:rFonts w:ascii="仿宋_GB2312" w:eastAsia="仿宋_GB2312"/>
          <w:color w:val="auto"/>
          <w:sz w:val="32"/>
          <w:szCs w:val="32"/>
          <w:highlight w:val="none"/>
        </w:rPr>
      </w:pPr>
      <w:bookmarkStart w:id="38" w:name="_Toc5647"/>
      <w:bookmarkStart w:id="39" w:name="_Toc7151"/>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38"/>
      <w:bookmarkEnd w:id="39"/>
      <w:r>
        <w:rPr>
          <w:rFonts w:ascii="仿宋_GB2312" w:eastAsia="仿宋_GB2312"/>
          <w:color w:val="auto"/>
          <w:sz w:val="32"/>
          <w:szCs w:val="32"/>
          <w:highlight w:val="none"/>
        </w:rPr>
        <w:t xml:space="preserve"> </w:t>
      </w:r>
    </w:p>
    <w:p w14:paraId="17B66B7F">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6DCCEE4D">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05D36164">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50CEF16B">
      <w:pPr>
        <w:pStyle w:val="19"/>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65A618A4">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52D59C8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5BA1E51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反映财政部门安排的事业单位基本医疗保险缴费经费，未参加医疗保险的事业单位的公费医疗经费，按国家规定享受离休人员待遇的医疗经费。</w:t>
      </w:r>
    </w:p>
    <w:p w14:paraId="7E73B7ED">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反映除上述项目以外的其他用于行政事业单位医疗方面的支出。</w:t>
      </w:r>
    </w:p>
    <w:p w14:paraId="3BA16063">
      <w:pPr>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val="en-US" w:eastAsia="zh-CN"/>
        </w:rPr>
        <w:t>13</w:t>
      </w:r>
      <w:r>
        <w:rPr>
          <w:rFonts w:hint="eastAsia" w:ascii="仿宋_GB2312" w:eastAsia="仿宋_GB2312"/>
          <w:color w:val="auto"/>
          <w:sz w:val="32"/>
          <w:szCs w:val="32"/>
          <w:highlight w:val="none"/>
        </w:rPr>
        <w:t>.交通运输支出（类）公路水路运输（款）公路养护</w:t>
      </w:r>
      <w:r>
        <w:rPr>
          <w:rFonts w:hint="eastAsia" w:ascii="仿宋_GB2312" w:hAnsi="Times New Roman" w:eastAsia="仿宋_GB2312" w:cs="Times New Roman"/>
          <w:color w:val="auto"/>
          <w:sz w:val="32"/>
          <w:szCs w:val="32"/>
          <w:highlight w:val="none"/>
          <w:lang w:val="en-US" w:eastAsia="zh-CN"/>
        </w:rPr>
        <w:t>（项）：指反映公路养护支出。</w:t>
      </w:r>
    </w:p>
    <w:p w14:paraId="126BD0CC">
      <w:pPr>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14.交通运输支出（类）公路水路运输（款）其他公路水路运输支出（项）: 指反应其他公路水路运输支出。</w:t>
      </w:r>
    </w:p>
    <w:p w14:paraId="7F0B30AE">
      <w:pPr>
        <w:ind w:firstLine="640" w:firstLineChars="200"/>
        <w:rPr>
          <w:rFonts w:hint="eastAsia" w:ascii="仿宋_GB2312" w:eastAsia="仿宋_GB2312"/>
          <w:color w:val="auto"/>
          <w:sz w:val="32"/>
          <w:szCs w:val="32"/>
          <w:highlight w:val="none"/>
        </w:rPr>
      </w:pPr>
      <w:r>
        <w:rPr>
          <w:rFonts w:hint="eastAsia" w:ascii="仿宋_GB2312" w:hAnsi="Times New Roman" w:eastAsia="仿宋_GB2312" w:cs="Times New Roman"/>
          <w:color w:val="auto"/>
          <w:sz w:val="32"/>
          <w:szCs w:val="32"/>
          <w:highlight w:val="none"/>
          <w:lang w:val="en-US" w:eastAsia="zh-CN"/>
        </w:rPr>
        <w:t>1</w:t>
      </w:r>
      <w:r>
        <w:rPr>
          <w:rFonts w:hint="eastAsia" w:ascii="仿宋_GB2312" w:eastAsia="仿宋_GB2312" w:cs="Times New Roman"/>
          <w:color w:val="auto"/>
          <w:sz w:val="32"/>
          <w:szCs w:val="32"/>
          <w:highlight w:val="none"/>
          <w:lang w:val="en-US" w:eastAsia="zh-CN"/>
        </w:rPr>
        <w:t>5</w:t>
      </w:r>
      <w:r>
        <w:rPr>
          <w:rFonts w:hint="eastAsia" w:ascii="仿宋_GB2312" w:hAnsi="Times New Roman" w:eastAsia="仿宋_GB2312" w:cs="Times New Roman"/>
          <w:color w:val="auto"/>
          <w:sz w:val="32"/>
          <w:szCs w:val="32"/>
          <w:highlight w:val="none"/>
          <w:lang w:val="en-US" w:eastAsia="zh-CN"/>
        </w:rPr>
        <w:t>.住房保障支出（类）住房改革支出（款）住房公积金（项）：指反映行政事业单位按人力资源和社会保障部、</w:t>
      </w:r>
      <w:r>
        <w:rPr>
          <w:rFonts w:hint="eastAsia" w:ascii="仿宋_GB2312" w:eastAsia="仿宋_GB2312"/>
          <w:color w:val="auto"/>
          <w:sz w:val="32"/>
          <w:szCs w:val="32"/>
          <w:highlight w:val="none"/>
        </w:rPr>
        <w:t>财政部规定的 基本工资和津贴补贴以及规定比例为职工缴纳的住房公积金。</w:t>
      </w:r>
    </w:p>
    <w:p w14:paraId="1CD3B541">
      <w:pPr>
        <w:ind w:firstLine="640" w:firstLineChars="200"/>
        <w:rPr>
          <w:rFonts w:ascii="仿宋" w:hAnsi="仿宋" w:eastAsia="仿宋"/>
          <w:b/>
          <w:color w:val="auto"/>
          <w:sz w:val="32"/>
          <w:szCs w:val="32"/>
          <w:highlight w:val="none"/>
        </w:rPr>
      </w:pP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住房保障支出（类）住房改革支出（款）购房补贴（项）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指反映按房改政策规定，行政事业单位向符合条件职工（含离 退休人员）、军队（含武警）向转役复员离退休人员发放的用于购买住房的补贴。</w:t>
      </w:r>
    </w:p>
    <w:p w14:paraId="51426735">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3D3DDE10">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2A0F0F4C">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4AB10FFD">
      <w:pPr>
        <w:pStyle w:val="1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C751DEF">
      <w:pPr>
        <w:pStyle w:val="19"/>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21</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FFBF134">
      <w:pPr>
        <w:pStyle w:val="19"/>
        <w:spacing w:line="560" w:lineRule="exact"/>
        <w:ind w:firstLine="640" w:firstLineChars="200"/>
        <w:rPr>
          <w:rFonts w:ascii="仿宋_GB2312" w:eastAsia="仿宋_GB2312" w:cs="黑体"/>
          <w:color w:val="auto"/>
          <w:sz w:val="32"/>
          <w:szCs w:val="32"/>
          <w:highlight w:val="none"/>
        </w:rPr>
      </w:pPr>
    </w:p>
    <w:p w14:paraId="202E6C1C">
      <w:pPr>
        <w:spacing w:line="600" w:lineRule="exact"/>
        <w:jc w:val="center"/>
        <w:outlineLvl w:val="0"/>
        <w:rPr>
          <w:rStyle w:val="16"/>
          <w:rFonts w:ascii="黑体" w:hAnsi="黑体" w:eastAsia="黑体"/>
          <w:b w:val="0"/>
          <w:color w:val="auto"/>
          <w:highlight w:val="none"/>
        </w:rPr>
      </w:pPr>
      <w:r>
        <w:rPr>
          <w:rFonts w:ascii="宋体"/>
          <w:b/>
          <w:color w:val="auto"/>
          <w:sz w:val="44"/>
          <w:szCs w:val="44"/>
          <w:highlight w:val="none"/>
        </w:rPr>
        <w:br w:type="page"/>
      </w:r>
      <w:bookmarkStart w:id="40" w:name="_Toc1295"/>
      <w:bookmarkStart w:id="41" w:name="_Toc7873"/>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四部分 附件</w:t>
      </w:r>
      <w:bookmarkEnd w:id="40"/>
      <w:bookmarkEnd w:id="41"/>
    </w:p>
    <w:p w14:paraId="07B8A269">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5CE90D7C">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Calibri" w:eastAsia="仿宋_GB2312" w:cs="仿宋"/>
          <w:color w:val="auto"/>
          <w:sz w:val="32"/>
          <w:szCs w:val="32"/>
          <w:highlight w:val="none"/>
          <w:lang w:val="zh-CN" w:eastAsia="zh-CN" w:bidi="ar-SA"/>
        </w:rPr>
      </w:pPr>
      <w:r>
        <w:rPr>
          <w:rFonts w:hint="eastAsia" w:cs="Times New Roman"/>
          <w:sz w:val="32"/>
          <w:szCs w:val="32"/>
          <w:highlight w:val="none"/>
          <w:lang w:val="en-US" w:eastAsia="zh-CN"/>
        </w:rPr>
        <w:t>2023年阿坝藏族羌族自治州公路管理局茂县公路管理分局无单位</w:t>
      </w:r>
      <w:r>
        <w:rPr>
          <w:rFonts w:hint="eastAsia" w:hAnsi="Times New Roman" w:cs="Times New Roman"/>
          <w:sz w:val="32"/>
          <w:szCs w:val="32"/>
          <w:highlight w:val="none"/>
          <w:lang w:val="en-US" w:eastAsia="zh-CN"/>
        </w:rPr>
        <w:t>预算项目支出绩效自评表</w:t>
      </w:r>
      <w:r>
        <w:rPr>
          <w:rFonts w:hint="eastAsia" w:cs="Times New Roman"/>
          <w:sz w:val="32"/>
          <w:szCs w:val="32"/>
          <w:highlight w:val="none"/>
          <w:lang w:val="en-US" w:eastAsia="zh-CN"/>
        </w:rPr>
        <w:t>。</w:t>
      </w:r>
    </w:p>
    <w:p w14:paraId="7485CEDF">
      <w:pPr>
        <w:pStyle w:val="8"/>
        <w:rPr>
          <w:rFonts w:hint="eastAsia" w:ascii="仿宋_GB2312" w:hAnsi="Calibri" w:eastAsia="仿宋_GB2312" w:cs="仿宋"/>
          <w:color w:val="auto"/>
          <w:kern w:val="0"/>
          <w:sz w:val="32"/>
          <w:szCs w:val="32"/>
          <w:highlight w:val="none"/>
          <w:lang w:val="en-US" w:eastAsia="zh-CN" w:bidi="ar-SA"/>
        </w:rPr>
      </w:pPr>
    </w:p>
    <w:p w14:paraId="7E60AC51">
      <w:pPr>
        <w:pStyle w:val="8"/>
        <w:rPr>
          <w:rFonts w:hint="eastAsia" w:ascii="仿宋_GB2312" w:hAnsi="Calibri" w:eastAsia="仿宋_GB2312" w:cs="仿宋"/>
          <w:color w:val="auto"/>
          <w:kern w:val="0"/>
          <w:sz w:val="32"/>
          <w:szCs w:val="32"/>
          <w:highlight w:val="none"/>
          <w:lang w:val="en-US" w:eastAsia="zh-CN" w:bidi="ar-SA"/>
        </w:rPr>
      </w:pPr>
    </w:p>
    <w:p w14:paraId="6CF2DAAA">
      <w:pPr>
        <w:pStyle w:val="8"/>
        <w:rPr>
          <w:rFonts w:hint="eastAsia" w:ascii="仿宋_GB2312" w:hAnsi="Calibri" w:eastAsia="仿宋_GB2312" w:cs="仿宋"/>
          <w:color w:val="auto"/>
          <w:kern w:val="0"/>
          <w:sz w:val="32"/>
          <w:szCs w:val="32"/>
          <w:highlight w:val="none"/>
          <w:lang w:val="en-US" w:eastAsia="zh-CN" w:bidi="ar-SA"/>
        </w:rPr>
      </w:pPr>
    </w:p>
    <w:p w14:paraId="4A55B9E8">
      <w:pPr>
        <w:pStyle w:val="8"/>
        <w:rPr>
          <w:rFonts w:hint="eastAsia" w:ascii="仿宋_GB2312" w:hAnsi="Calibri" w:eastAsia="仿宋_GB2312" w:cs="仿宋"/>
          <w:color w:val="auto"/>
          <w:kern w:val="0"/>
          <w:sz w:val="32"/>
          <w:szCs w:val="32"/>
          <w:highlight w:val="none"/>
          <w:lang w:val="en-US" w:eastAsia="zh-CN" w:bidi="ar-SA"/>
        </w:rPr>
      </w:pPr>
    </w:p>
    <w:p w14:paraId="69AB9994">
      <w:pPr>
        <w:pStyle w:val="8"/>
        <w:rPr>
          <w:rFonts w:hint="eastAsia" w:ascii="仿宋_GB2312" w:hAnsi="Calibri" w:eastAsia="仿宋_GB2312" w:cs="仿宋"/>
          <w:color w:val="auto"/>
          <w:kern w:val="0"/>
          <w:sz w:val="32"/>
          <w:szCs w:val="32"/>
          <w:highlight w:val="none"/>
          <w:lang w:val="en-US" w:eastAsia="zh-CN" w:bidi="ar-SA"/>
        </w:rPr>
      </w:pPr>
    </w:p>
    <w:p w14:paraId="108FF6BA">
      <w:pPr>
        <w:pStyle w:val="8"/>
        <w:rPr>
          <w:rFonts w:hint="eastAsia" w:ascii="仿宋_GB2312" w:hAnsi="Calibri" w:eastAsia="仿宋_GB2312" w:cs="仿宋"/>
          <w:color w:val="auto"/>
          <w:kern w:val="0"/>
          <w:sz w:val="32"/>
          <w:szCs w:val="32"/>
          <w:highlight w:val="none"/>
          <w:lang w:val="en-US" w:eastAsia="zh-CN" w:bidi="ar-SA"/>
        </w:rPr>
      </w:pPr>
    </w:p>
    <w:p w14:paraId="661AC0D9">
      <w:pPr>
        <w:pStyle w:val="8"/>
        <w:rPr>
          <w:rFonts w:hint="eastAsia" w:ascii="仿宋_GB2312" w:hAnsi="Calibri" w:eastAsia="仿宋_GB2312" w:cs="仿宋"/>
          <w:color w:val="auto"/>
          <w:kern w:val="0"/>
          <w:sz w:val="32"/>
          <w:szCs w:val="32"/>
          <w:highlight w:val="none"/>
          <w:lang w:val="en-US" w:eastAsia="zh-CN" w:bidi="ar-SA"/>
        </w:rPr>
      </w:pPr>
    </w:p>
    <w:p w14:paraId="02E74D79">
      <w:pPr>
        <w:pStyle w:val="8"/>
        <w:rPr>
          <w:rFonts w:hint="eastAsia" w:ascii="仿宋_GB2312" w:hAnsi="Calibri" w:eastAsia="仿宋_GB2312" w:cs="仿宋"/>
          <w:color w:val="auto"/>
          <w:kern w:val="0"/>
          <w:sz w:val="32"/>
          <w:szCs w:val="32"/>
          <w:highlight w:val="none"/>
          <w:lang w:val="en-US" w:eastAsia="zh-CN" w:bidi="ar-SA"/>
        </w:rPr>
      </w:pPr>
    </w:p>
    <w:p w14:paraId="449235B5">
      <w:pPr>
        <w:pStyle w:val="8"/>
        <w:rPr>
          <w:rFonts w:hint="eastAsia" w:ascii="仿宋_GB2312" w:hAnsi="Calibri" w:eastAsia="仿宋_GB2312" w:cs="仿宋"/>
          <w:color w:val="auto"/>
          <w:kern w:val="0"/>
          <w:sz w:val="32"/>
          <w:szCs w:val="32"/>
          <w:highlight w:val="none"/>
          <w:lang w:val="en-US" w:eastAsia="zh-CN" w:bidi="ar-SA"/>
        </w:rPr>
      </w:pPr>
    </w:p>
    <w:p w14:paraId="03F5AFE2">
      <w:pPr>
        <w:pStyle w:val="8"/>
        <w:rPr>
          <w:rFonts w:hint="eastAsia" w:ascii="仿宋_GB2312" w:hAnsi="Calibri" w:eastAsia="仿宋_GB2312" w:cs="仿宋"/>
          <w:color w:val="auto"/>
          <w:kern w:val="0"/>
          <w:sz w:val="32"/>
          <w:szCs w:val="32"/>
          <w:highlight w:val="none"/>
          <w:lang w:val="en-US" w:eastAsia="zh-CN" w:bidi="ar-SA"/>
        </w:rPr>
      </w:pPr>
    </w:p>
    <w:p w14:paraId="6BACB805">
      <w:pPr>
        <w:pStyle w:val="8"/>
        <w:rPr>
          <w:rFonts w:hint="eastAsia" w:ascii="仿宋_GB2312" w:hAnsi="Calibri" w:eastAsia="仿宋_GB2312" w:cs="仿宋"/>
          <w:color w:val="auto"/>
          <w:kern w:val="0"/>
          <w:sz w:val="32"/>
          <w:szCs w:val="32"/>
          <w:highlight w:val="none"/>
          <w:lang w:val="en-US" w:eastAsia="zh-CN" w:bidi="ar-SA"/>
        </w:rPr>
      </w:pPr>
    </w:p>
    <w:p w14:paraId="53315D6C">
      <w:pPr>
        <w:pStyle w:val="8"/>
        <w:rPr>
          <w:rFonts w:hint="eastAsia" w:ascii="仿宋_GB2312" w:hAnsi="Calibri" w:eastAsia="仿宋_GB2312" w:cs="仿宋"/>
          <w:color w:val="auto"/>
          <w:kern w:val="0"/>
          <w:sz w:val="32"/>
          <w:szCs w:val="32"/>
          <w:highlight w:val="none"/>
          <w:lang w:val="en-US" w:eastAsia="zh-CN" w:bidi="ar-SA"/>
        </w:rPr>
      </w:pPr>
    </w:p>
    <w:p w14:paraId="24D170DA">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64923E71">
      <w:pPr>
        <w:spacing w:line="600" w:lineRule="exact"/>
        <w:jc w:val="center"/>
        <w:outlineLvl w:val="0"/>
        <w:rPr>
          <w:rFonts w:hint="eastAsia" w:ascii="仿宋" w:hAnsi="仿宋" w:eastAsia="仿宋"/>
          <w:b w:val="0"/>
          <w:color w:val="auto"/>
          <w:highlight w:val="none"/>
        </w:rPr>
      </w:pPr>
      <w:bookmarkStart w:id="42" w:name="_Toc20054"/>
      <w:bookmarkStart w:id="43" w:name="_Toc6903"/>
      <w:r>
        <w:rPr>
          <w:rFonts w:hint="eastAsia" w:ascii="黑体" w:hAnsi="黑体" w:eastAsia="黑体"/>
          <w:color w:val="auto"/>
          <w:sz w:val="44"/>
          <w:szCs w:val="44"/>
          <w:highlight w:val="none"/>
        </w:rPr>
        <w:t>第</w:t>
      </w:r>
      <w:r>
        <w:rPr>
          <w:rStyle w:val="16"/>
          <w:rFonts w:hint="eastAsia" w:ascii="黑体" w:hAnsi="黑体" w:eastAsia="黑体"/>
          <w:b w:val="0"/>
          <w:color w:val="auto"/>
          <w:highlight w:val="none"/>
        </w:rPr>
        <w:t>五部分 附表</w:t>
      </w:r>
      <w:bookmarkEnd w:id="42"/>
      <w:bookmarkEnd w:id="43"/>
    </w:p>
    <w:p w14:paraId="2AC3300C">
      <w:pPr>
        <w:pStyle w:val="6"/>
        <w:rPr>
          <w:rFonts w:ascii="仿宋" w:hAnsi="仿宋" w:eastAsia="仿宋"/>
          <w:color w:val="auto"/>
          <w:highlight w:val="none"/>
        </w:rPr>
      </w:pPr>
      <w:bookmarkStart w:id="44" w:name="_Toc17155"/>
      <w:bookmarkStart w:id="45" w:name="_Toc2331"/>
      <w:r>
        <w:rPr>
          <w:rFonts w:hint="eastAsia" w:ascii="仿宋" w:hAnsi="仿宋" w:eastAsia="仿宋"/>
          <w:b w:val="0"/>
          <w:color w:val="auto"/>
          <w:highlight w:val="none"/>
        </w:rPr>
        <w:t>一、收</w:t>
      </w:r>
      <w:r>
        <w:rPr>
          <w:rStyle w:val="17"/>
          <w:rFonts w:hint="eastAsia" w:ascii="仿宋" w:hAnsi="仿宋" w:eastAsia="仿宋"/>
          <w:b w:val="0"/>
          <w:bCs w:val="0"/>
          <w:color w:val="auto"/>
          <w:highlight w:val="none"/>
        </w:rPr>
        <w:t>入支出决算总表</w:t>
      </w:r>
      <w:bookmarkEnd w:id="44"/>
      <w:bookmarkEnd w:id="45"/>
    </w:p>
    <w:p w14:paraId="753E8E6D">
      <w:pPr>
        <w:pStyle w:val="6"/>
        <w:rPr>
          <w:rFonts w:ascii="仿宋" w:hAnsi="仿宋" w:eastAsia="仿宋"/>
          <w:color w:val="auto"/>
          <w:highlight w:val="none"/>
        </w:rPr>
      </w:pPr>
      <w:bookmarkStart w:id="46" w:name="_Toc18608"/>
      <w:bookmarkStart w:id="47" w:name="_Toc13506"/>
      <w:r>
        <w:rPr>
          <w:rFonts w:hint="eastAsia" w:ascii="仿宋" w:hAnsi="仿宋" w:eastAsia="仿宋"/>
          <w:b w:val="0"/>
          <w:color w:val="auto"/>
          <w:highlight w:val="none"/>
        </w:rPr>
        <w:t>二、收</w:t>
      </w:r>
      <w:r>
        <w:rPr>
          <w:rStyle w:val="17"/>
          <w:rFonts w:hint="eastAsia" w:ascii="仿宋" w:hAnsi="仿宋" w:eastAsia="仿宋"/>
          <w:b w:val="0"/>
          <w:bCs w:val="0"/>
          <w:color w:val="auto"/>
          <w:highlight w:val="none"/>
        </w:rPr>
        <w:t>入决算表</w:t>
      </w:r>
      <w:bookmarkEnd w:id="46"/>
      <w:bookmarkEnd w:id="47"/>
    </w:p>
    <w:p w14:paraId="5AFA7883">
      <w:pPr>
        <w:pStyle w:val="6"/>
        <w:rPr>
          <w:rFonts w:ascii="仿宋" w:hAnsi="仿宋" w:eastAsia="仿宋"/>
          <w:color w:val="auto"/>
          <w:highlight w:val="none"/>
        </w:rPr>
      </w:pPr>
      <w:bookmarkStart w:id="48" w:name="_Toc24373"/>
      <w:bookmarkStart w:id="49" w:name="_Toc8717"/>
      <w:r>
        <w:rPr>
          <w:rStyle w:val="1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7"/>
          <w:rFonts w:hint="eastAsia" w:ascii="仿宋" w:hAnsi="仿宋" w:eastAsia="仿宋"/>
          <w:b w:val="0"/>
          <w:bCs w:val="0"/>
          <w:color w:val="auto"/>
          <w:highlight w:val="none"/>
        </w:rPr>
        <w:t>出决算表</w:t>
      </w:r>
      <w:bookmarkEnd w:id="48"/>
      <w:bookmarkEnd w:id="49"/>
    </w:p>
    <w:p w14:paraId="7B873F7D">
      <w:pPr>
        <w:pStyle w:val="6"/>
        <w:rPr>
          <w:rFonts w:ascii="仿宋" w:hAnsi="仿宋" w:eastAsia="仿宋"/>
          <w:b w:val="0"/>
          <w:color w:val="auto"/>
          <w:highlight w:val="none"/>
        </w:rPr>
      </w:pPr>
      <w:bookmarkStart w:id="50" w:name="_Toc20994"/>
      <w:bookmarkStart w:id="51" w:name="_Toc27918"/>
      <w:r>
        <w:rPr>
          <w:rStyle w:val="1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政拨款收入支出决算总表</w:t>
      </w:r>
      <w:bookmarkEnd w:id="50"/>
      <w:bookmarkEnd w:id="51"/>
    </w:p>
    <w:p w14:paraId="6343C76D">
      <w:pPr>
        <w:pStyle w:val="6"/>
        <w:rPr>
          <w:rStyle w:val="17"/>
          <w:rFonts w:ascii="仿宋" w:hAnsi="仿宋" w:eastAsia="仿宋"/>
          <w:b w:val="0"/>
          <w:bCs w:val="0"/>
          <w:color w:val="auto"/>
          <w:highlight w:val="none"/>
        </w:rPr>
      </w:pPr>
      <w:bookmarkStart w:id="52" w:name="_Toc7098"/>
      <w:bookmarkStart w:id="53" w:name="_Toc23638"/>
      <w:r>
        <w:rPr>
          <w:rStyle w:val="1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7"/>
          <w:rFonts w:hint="eastAsia" w:ascii="仿宋" w:hAnsi="仿宋" w:eastAsia="仿宋"/>
          <w:b w:val="0"/>
          <w:bCs w:val="0"/>
          <w:color w:val="auto"/>
          <w:highlight w:val="none"/>
        </w:rPr>
        <w:t>政拨款支出决算明细表</w:t>
      </w:r>
      <w:bookmarkEnd w:id="52"/>
      <w:bookmarkEnd w:id="53"/>
    </w:p>
    <w:p w14:paraId="1AD4D302">
      <w:pPr>
        <w:pStyle w:val="6"/>
        <w:rPr>
          <w:rFonts w:ascii="仿宋" w:hAnsi="仿宋" w:eastAsia="仿宋"/>
          <w:color w:val="auto"/>
          <w:highlight w:val="none"/>
        </w:rPr>
      </w:pPr>
      <w:bookmarkStart w:id="54" w:name="_Toc10675"/>
      <w:bookmarkStart w:id="55" w:name="_Toc25025"/>
      <w:r>
        <w:rPr>
          <w:rStyle w:val="1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般公共预算财政拨款支出决算表</w:t>
      </w:r>
      <w:bookmarkEnd w:id="54"/>
      <w:bookmarkEnd w:id="55"/>
    </w:p>
    <w:p w14:paraId="29CF1DB0">
      <w:pPr>
        <w:pStyle w:val="6"/>
        <w:rPr>
          <w:rFonts w:ascii="仿宋" w:hAnsi="仿宋" w:eastAsia="仿宋"/>
          <w:color w:val="auto"/>
          <w:highlight w:val="none"/>
        </w:rPr>
      </w:pPr>
      <w:bookmarkStart w:id="56" w:name="_Toc18811"/>
      <w:bookmarkStart w:id="57" w:name="_Toc3006"/>
      <w:r>
        <w:rPr>
          <w:rStyle w:val="1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般公共预算财政拨款支出决算明细表</w:t>
      </w:r>
      <w:bookmarkEnd w:id="56"/>
      <w:bookmarkEnd w:id="57"/>
    </w:p>
    <w:p w14:paraId="1E821D41">
      <w:pPr>
        <w:pStyle w:val="6"/>
        <w:rPr>
          <w:rFonts w:ascii="仿宋" w:hAnsi="仿宋" w:eastAsia="仿宋"/>
          <w:color w:val="auto"/>
          <w:highlight w:val="none"/>
        </w:rPr>
      </w:pPr>
      <w:bookmarkStart w:id="58" w:name="_Toc6568"/>
      <w:bookmarkStart w:id="59" w:name="_Toc5393"/>
      <w:r>
        <w:rPr>
          <w:rStyle w:val="1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般公共预算财政拨款基本支出决算表</w:t>
      </w:r>
      <w:bookmarkEnd w:id="58"/>
      <w:bookmarkEnd w:id="59"/>
    </w:p>
    <w:p w14:paraId="6243580D">
      <w:pPr>
        <w:pStyle w:val="6"/>
        <w:rPr>
          <w:rFonts w:ascii="仿宋" w:hAnsi="仿宋" w:eastAsia="仿宋"/>
          <w:color w:val="auto"/>
          <w:highlight w:val="none"/>
        </w:rPr>
      </w:pPr>
      <w:bookmarkStart w:id="60" w:name="_Toc22895"/>
      <w:bookmarkStart w:id="61" w:name="_Toc23674"/>
      <w:r>
        <w:rPr>
          <w:rStyle w:val="1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7"/>
          <w:rFonts w:hint="eastAsia" w:ascii="仿宋" w:hAnsi="仿宋" w:eastAsia="仿宋"/>
          <w:b w:val="0"/>
          <w:bCs w:val="0"/>
          <w:color w:val="auto"/>
          <w:highlight w:val="none"/>
        </w:rPr>
        <w:t>般公共预算财政拨款项目支出决算表</w:t>
      </w:r>
      <w:bookmarkEnd w:id="60"/>
      <w:bookmarkEnd w:id="61"/>
    </w:p>
    <w:p w14:paraId="5EB1AC58">
      <w:pPr>
        <w:pStyle w:val="6"/>
        <w:rPr>
          <w:rFonts w:ascii="仿宋" w:hAnsi="仿宋" w:eastAsia="仿宋"/>
          <w:color w:val="auto"/>
          <w:highlight w:val="none"/>
        </w:rPr>
      </w:pPr>
      <w:bookmarkStart w:id="62" w:name="_Toc18594"/>
      <w:bookmarkStart w:id="63" w:name="_Toc29761"/>
      <w:r>
        <w:rPr>
          <w:rStyle w:val="17"/>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7"/>
          <w:rFonts w:hint="eastAsia" w:ascii="仿宋" w:hAnsi="仿宋" w:eastAsia="仿宋"/>
          <w:b w:val="0"/>
          <w:bCs w:val="0"/>
          <w:color w:val="auto"/>
          <w:highlight w:val="none"/>
        </w:rPr>
        <w:t>府性基金预算财政拨款收入支出决算表</w:t>
      </w:r>
      <w:bookmarkEnd w:id="62"/>
      <w:bookmarkEnd w:id="63"/>
    </w:p>
    <w:p w14:paraId="58C06713">
      <w:pPr>
        <w:pStyle w:val="6"/>
        <w:rPr>
          <w:rFonts w:ascii="仿宋" w:hAnsi="仿宋" w:eastAsia="仿宋"/>
          <w:color w:val="auto"/>
          <w:highlight w:val="none"/>
        </w:rPr>
      </w:pPr>
      <w:bookmarkStart w:id="64" w:name="_Toc28944"/>
      <w:bookmarkStart w:id="65" w:name="_Toc23140"/>
      <w:r>
        <w:rPr>
          <w:rStyle w:val="17"/>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7"/>
          <w:rFonts w:hint="eastAsia" w:ascii="仿宋" w:hAnsi="仿宋" w:eastAsia="仿宋"/>
          <w:b w:val="0"/>
          <w:bCs w:val="0"/>
          <w:color w:val="auto"/>
          <w:highlight w:val="none"/>
        </w:rPr>
        <w:t>有资本经营预算</w:t>
      </w:r>
      <w:r>
        <w:rPr>
          <w:rStyle w:val="17"/>
          <w:rFonts w:hint="eastAsia" w:ascii="仿宋" w:hAnsi="仿宋" w:eastAsia="仿宋"/>
          <w:b w:val="0"/>
          <w:bCs w:val="0"/>
          <w:color w:val="auto"/>
          <w:highlight w:val="none"/>
          <w:lang w:eastAsia="zh-CN"/>
        </w:rPr>
        <w:t>财政拨款收入</w:t>
      </w:r>
      <w:r>
        <w:rPr>
          <w:rStyle w:val="17"/>
          <w:rFonts w:hint="eastAsia" w:ascii="仿宋" w:hAnsi="仿宋" w:eastAsia="仿宋"/>
          <w:b w:val="0"/>
          <w:bCs w:val="0"/>
          <w:color w:val="auto"/>
          <w:highlight w:val="none"/>
        </w:rPr>
        <w:t>支出决算表</w:t>
      </w:r>
      <w:bookmarkEnd w:id="64"/>
      <w:bookmarkEnd w:id="65"/>
    </w:p>
    <w:p w14:paraId="36E1831F">
      <w:pPr>
        <w:pStyle w:val="6"/>
        <w:rPr>
          <w:rFonts w:ascii="仿宋" w:hAnsi="仿宋" w:eastAsia="仿宋"/>
          <w:color w:val="auto"/>
          <w:highlight w:val="none"/>
        </w:rPr>
      </w:pPr>
      <w:bookmarkStart w:id="66" w:name="_Toc21733"/>
      <w:bookmarkStart w:id="67" w:name="_Toc29958"/>
      <w:r>
        <w:rPr>
          <w:rStyle w:val="17"/>
          <w:rFonts w:hint="eastAsia" w:ascii="仿宋" w:hAnsi="仿宋" w:eastAsia="仿宋"/>
          <w:b w:val="0"/>
          <w:bCs w:val="0"/>
          <w:color w:val="auto"/>
          <w:highlight w:val="none"/>
        </w:rPr>
        <w:t>十二、</w:t>
      </w:r>
      <w:r>
        <w:rPr>
          <w:rStyle w:val="17"/>
          <w:rFonts w:hint="eastAsia" w:ascii="仿宋" w:hAnsi="仿宋" w:eastAsia="仿宋"/>
          <w:b w:val="0"/>
          <w:bCs w:val="0"/>
          <w:color w:val="auto"/>
          <w:highlight w:val="none"/>
          <w:lang w:eastAsia="zh-CN"/>
        </w:rPr>
        <w:t>国有资本经营预算财政拨款支出决算表</w:t>
      </w:r>
      <w:bookmarkEnd w:id="66"/>
      <w:bookmarkEnd w:id="67"/>
    </w:p>
    <w:p w14:paraId="7C699795">
      <w:pPr>
        <w:pStyle w:val="6"/>
        <w:rPr>
          <w:rFonts w:hint="eastAsia" w:eastAsia="仿宋"/>
          <w:color w:val="auto"/>
          <w:highlight w:val="none"/>
          <w:lang w:eastAsia="zh-CN"/>
        </w:rPr>
      </w:pPr>
      <w:bookmarkStart w:id="68" w:name="_Toc32173"/>
      <w:bookmarkStart w:id="69" w:name="_Toc5244"/>
      <w:r>
        <w:rPr>
          <w:rStyle w:val="17"/>
          <w:rFonts w:hint="eastAsia" w:ascii="仿宋" w:hAnsi="仿宋" w:eastAsia="仿宋"/>
          <w:b w:val="0"/>
          <w:bCs w:val="0"/>
          <w:color w:val="auto"/>
          <w:highlight w:val="none"/>
        </w:rPr>
        <w:t>十三、</w:t>
      </w:r>
      <w:r>
        <w:rPr>
          <w:rStyle w:val="17"/>
          <w:rFonts w:hint="eastAsia" w:ascii="仿宋" w:hAnsi="仿宋" w:eastAsia="仿宋"/>
          <w:b w:val="0"/>
          <w:bCs w:val="0"/>
          <w:color w:val="auto"/>
          <w:highlight w:val="none"/>
          <w:lang w:eastAsia="zh-CN"/>
        </w:rPr>
        <w:t>财政拨款“三公”经费支出决算表</w:t>
      </w:r>
      <w:bookmarkEnd w:id="68"/>
      <w:bookmarkEnd w:id="69"/>
    </w:p>
    <w:p w14:paraId="5D91F3B2">
      <w:pPr>
        <w:rPr>
          <w:rFonts w:hint="eastAsia"/>
          <w:lang w:eastAsia="zh-CN"/>
        </w:rPr>
      </w:pPr>
    </w:p>
    <w:p w14:paraId="2399900D"/>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9A1EF">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1B486ED8">
                              <w:pPr>
                                <w:pStyle w:val="9"/>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03B9FDBB">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1B486ED8">
                        <w:pPr>
                          <w:pStyle w:val="9"/>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03B9FDBB">
                    <w:pPr>
                      <w:pStyle w:val="2"/>
                    </w:pPr>
                  </w:p>
                </w:txbxContent>
              </v:textbox>
            </v:shape>
          </w:pict>
        </mc:Fallback>
      </mc:AlternateContent>
    </w:r>
  </w:p>
  <w:p w14:paraId="102DB9E2">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CFC7D">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80B42E">
                          <w:pPr>
                            <w:pStyle w:val="9"/>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4680B42E">
                    <w:pPr>
                      <w:pStyle w:val="9"/>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zMjM0NTMzYzNmNmNmZjAxNGI2YmE0NzgzZDY1ZmQifQ=="/>
  </w:docVars>
  <w:rsids>
    <w:rsidRoot w:val="FFDBB21C"/>
    <w:rsid w:val="010C5220"/>
    <w:rsid w:val="02CC480C"/>
    <w:rsid w:val="02FB2F3A"/>
    <w:rsid w:val="04EB099C"/>
    <w:rsid w:val="08D212FD"/>
    <w:rsid w:val="09BD6E82"/>
    <w:rsid w:val="109F3579"/>
    <w:rsid w:val="140A6E54"/>
    <w:rsid w:val="169E6302"/>
    <w:rsid w:val="1DF56D0F"/>
    <w:rsid w:val="1FA348AA"/>
    <w:rsid w:val="217B2FE0"/>
    <w:rsid w:val="23E3039C"/>
    <w:rsid w:val="24ED6B54"/>
    <w:rsid w:val="26E50D2A"/>
    <w:rsid w:val="28EE08D1"/>
    <w:rsid w:val="2B2A4D3A"/>
    <w:rsid w:val="2FA40906"/>
    <w:rsid w:val="3224079F"/>
    <w:rsid w:val="33A94B89"/>
    <w:rsid w:val="34B27EEA"/>
    <w:rsid w:val="382D5279"/>
    <w:rsid w:val="3A221FB6"/>
    <w:rsid w:val="44D83E15"/>
    <w:rsid w:val="482F19AD"/>
    <w:rsid w:val="525E180D"/>
    <w:rsid w:val="5B6022C7"/>
    <w:rsid w:val="5C6B5873"/>
    <w:rsid w:val="5DDA451B"/>
    <w:rsid w:val="5EAB325C"/>
    <w:rsid w:val="60DE253A"/>
    <w:rsid w:val="616C694E"/>
    <w:rsid w:val="61FE71CE"/>
    <w:rsid w:val="64373E17"/>
    <w:rsid w:val="666E6702"/>
    <w:rsid w:val="67A24A5E"/>
    <w:rsid w:val="69EF535A"/>
    <w:rsid w:val="6DE347CD"/>
    <w:rsid w:val="6E0F3DEA"/>
    <w:rsid w:val="720F2F8A"/>
    <w:rsid w:val="74186DFA"/>
    <w:rsid w:val="78857244"/>
    <w:rsid w:val="78ED301C"/>
    <w:rsid w:val="7B0E3521"/>
    <w:rsid w:val="7B710B8F"/>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iPriority="99"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7">
    <w:name w:val="annotation text"/>
    <w:basedOn w:val="1"/>
    <w:semiHidden/>
    <w:unhideWhenUsed/>
    <w:qFormat/>
    <w:uiPriority w:val="99"/>
    <w:pPr>
      <w:jc w:val="left"/>
    </w:pPr>
  </w:style>
  <w:style w:type="paragraph" w:styleId="8">
    <w:name w:val="Body Text"/>
    <w:basedOn w:val="1"/>
    <w:next w:val="1"/>
    <w:qFormat/>
    <w:uiPriority w:val="99"/>
    <w:pPr>
      <w:spacing w:beforeLines="30"/>
    </w:pPr>
    <w:rPr>
      <w:rFonts w:ascii="仿宋_GB2312" w:eastAsia="仿宋_GB2312"/>
      <w:kern w:val="0"/>
      <w:sz w:val="30"/>
    </w:rPr>
  </w:style>
  <w:style w:type="paragraph" w:styleId="9">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99"/>
    <w:pPr>
      <w:spacing w:beforeAutospacing="1" w:afterAutospacing="1"/>
      <w:jc w:val="left"/>
    </w:pPr>
    <w:rPr>
      <w:kern w:val="0"/>
      <w:sz w:val="24"/>
    </w:rPr>
  </w:style>
  <w:style w:type="character" w:styleId="15">
    <w:name w:val="Strong"/>
    <w:basedOn w:val="14"/>
    <w:qFormat/>
    <w:uiPriority w:val="99"/>
    <w:rPr>
      <w:b/>
    </w:rPr>
  </w:style>
  <w:style w:type="character" w:customStyle="1" w:styleId="16">
    <w:name w:val="标题 1 Char"/>
    <w:basedOn w:val="14"/>
    <w:link w:val="5"/>
    <w:qFormat/>
    <w:uiPriority w:val="9"/>
    <w:rPr>
      <w:b/>
      <w:bCs/>
      <w:kern w:val="44"/>
      <w:sz w:val="44"/>
      <w:szCs w:val="44"/>
    </w:rPr>
  </w:style>
  <w:style w:type="character" w:customStyle="1" w:styleId="17">
    <w:name w:val="标题 2 Char"/>
    <w:basedOn w:val="14"/>
    <w:link w:val="6"/>
    <w:qFormat/>
    <w:uiPriority w:val="9"/>
    <w:rPr>
      <w:rFonts w:asciiTheme="majorHAnsi" w:hAnsiTheme="majorHAnsi" w:eastAsiaTheme="majorEastAsia" w:cstheme="majorBidi"/>
      <w:b/>
      <w:bCs/>
      <w:sz w:val="32"/>
      <w:szCs w:val="32"/>
    </w:rPr>
  </w:style>
  <w:style w:type="paragraph" w:styleId="18">
    <w:name w:val="List Paragraph"/>
    <w:basedOn w:val="1"/>
    <w:qFormat/>
    <w:uiPriority w:val="34"/>
    <w:pPr>
      <w:ind w:firstLine="420" w:firstLineChars="200"/>
    </w:pPr>
  </w:style>
  <w:style w:type="paragraph" w:customStyle="1" w:styleId="1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0">
    <w:name w:val="WPSOffice手动目录 1"/>
    <w:qFormat/>
    <w:uiPriority w:val="0"/>
    <w:pPr>
      <w:ind w:leftChars="0"/>
    </w:pPr>
    <w:rPr>
      <w:rFonts w:asciiTheme="minorHAnsi" w:hAnsiTheme="minorHAnsi" w:eastAsiaTheme="minorEastAsia" w:cstheme="minorBidi"/>
      <w:sz w:val="20"/>
      <w:szCs w:val="20"/>
    </w:rPr>
  </w:style>
  <w:style w:type="paragraph" w:customStyle="1" w:styleId="21">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#,##0.00</c:formatCode>
                <c:ptCount val="2"/>
                <c:pt idx="0">
                  <c:v>3325.09</c:v>
                </c:pt>
                <c:pt idx="1">
                  <c:v>3325.09</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#,##0.00</c:formatCode>
                <c:ptCount val="2"/>
                <c:pt idx="0">
                  <c:v>2479.32</c:v>
                </c:pt>
                <c:pt idx="1">
                  <c:v>2479.32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manualLayout>
                  <c:x val="0.00483208504469679"/>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100%</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3325.09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altLang="en-US"/>
              <a:t>支出决算结构图</a:t>
            </a:r>
            <a:endParaRPr lang="en-US" altLang="zh-CN"/>
          </a:p>
        </c:rich>
      </c:tx>
      <c:layout>
        <c:manualLayout>
          <c:xMode val="edge"/>
          <c:yMode val="edge"/>
          <c:x val="0.372432954820005"/>
          <c:y val="0.0254993625159371"/>
        </c:manualLayout>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85%</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1</a:t>
                    </a:r>
                    <a:r>
                      <a:rPr lang="en-US" altLang="zh-CN"/>
                      <a:t>5</a:t>
                    </a:r>
                    <a:r>
                      <a:t>%</a:t>
                    </a:r>
                  </a:p>
                </c:rich>
              </c:tx>
              <c:dLblPos val="out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2827.76</c:v>
                </c:pt>
                <c:pt idx="1" c:formatCode="General">
                  <c:v>497.33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0.00_ </c:formatCode>
                <c:ptCount val="2"/>
                <c:pt idx="0">
                  <c:v>3325.09</c:v>
                </c:pt>
                <c:pt idx="1">
                  <c:v>3325.09</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General</c:formatCode>
                <c:ptCount val="2"/>
                <c:pt idx="0">
                  <c:v>2479.32</c:v>
                </c:pt>
                <c:pt idx="1">
                  <c:v>2479.32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一般公共预算财政拨款支出决算总计变动情况</a:t>
            </a:r>
          </a:p>
        </c:rich>
      </c:tx>
      <c:layout/>
      <c:overlay val="0"/>
      <c:spPr>
        <a:noFill/>
        <a:ln>
          <a:noFill/>
        </a:ln>
        <a:effectLst/>
      </c:spPr>
    </c:title>
    <c:autoTitleDeleted val="0"/>
    <c:plotArea>
      <c:layout>
        <c:manualLayout>
          <c:layoutTarget val="inner"/>
          <c:xMode val="edge"/>
          <c:yMode val="edge"/>
          <c:x val="0.105170330997826"/>
          <c:y val="0.161920951976201"/>
          <c:w val="0.754215994201498"/>
          <c:h val="0.735741606459839"/>
        </c:manualLayout>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0.00_ </c:formatCode>
                <c:ptCount val="1"/>
                <c:pt idx="0">
                  <c:v>3325.09</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2479.32</c:v>
                </c:pt>
              </c:numCache>
            </c:numRef>
          </c:val>
        </c:ser>
        <c:dLbls>
          <c:showLegendKey val="0"/>
          <c:showVal val="1"/>
          <c:showCatName val="0"/>
          <c:showSerName val="0"/>
          <c:showPercent val="0"/>
          <c:showBubbleSize val="0"/>
        </c:dLbls>
        <c:gapWidth val="246"/>
        <c:overlap val="-28"/>
        <c:axId val="667726918"/>
        <c:axId val="343291035"/>
      </c:barChart>
      <c:catAx>
        <c:axId val="66772691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43291035"/>
        <c:crosses val="autoZero"/>
        <c:auto val="1"/>
        <c:lblAlgn val="ctr"/>
        <c:lblOffset val="100"/>
        <c:noMultiLvlLbl val="0"/>
      </c:catAx>
      <c:valAx>
        <c:axId val="343291035"/>
        <c:scaling>
          <c:orientation val="minMax"/>
        </c:scaling>
        <c:delete val="0"/>
        <c:axPos val="l"/>
        <c:majorGridlines>
          <c:spPr>
            <a:ln w="9525" cap="flat" cmpd="sng" algn="ctr">
              <a:solidFill>
                <a:schemeClr val="lt1">
                  <a:lumMod val="90200"/>
                </a:schemeClr>
              </a:solidFill>
              <a:round/>
            </a:ln>
            <a:effectLst/>
          </c:spPr>
        </c:majorGridlines>
        <c:numFmt formatCode="0.00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67726918"/>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9.9%</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manualLayout>
                  <c:x val="0"/>
                  <c:y val="-0.0063748406289842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4.</a:t>
                    </a:r>
                    <a:r>
                      <a:rPr lang="en-US" altLang="zh-CN"/>
                      <a:t>5</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80%</a:t>
                    </a:r>
                  </a:p>
                </c:rich>
              </c:tx>
              <c:dLblPos val="outEnd"/>
              <c:showLegendKey val="0"/>
              <c:showVal val="0"/>
              <c:showCatName val="0"/>
              <c:showSerName val="0"/>
              <c:showPercent val="1"/>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5.</a:t>
                    </a:r>
                    <a:r>
                      <a:rPr lang="en-US" altLang="zh-CN"/>
                      <a:t>6</a:t>
                    </a:r>
                    <a:r>
                      <a:t>%</a:t>
                    </a:r>
                  </a:p>
                </c:rich>
              </c:tx>
              <c:dLblPos val="outEnd"/>
              <c:showLegendKey val="0"/>
              <c:showVal val="0"/>
              <c:showCatName val="0"/>
              <c:showSerName val="0"/>
              <c:showPercent val="1"/>
              <c:showBubbleSize val="0"/>
              <c:extLst>
                <c:ext xmlns:c15="http://schemas.microsoft.com/office/drawing/2012/chart" uri="{CE6537A1-D6FC-4f65-9D91-7224C49458BB}"/>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General</c:formatCode>
                <c:ptCount val="4"/>
                <c:pt idx="0">
                  <c:v>330.31</c:v>
                </c:pt>
                <c:pt idx="1">
                  <c:v>148.32</c:v>
                </c:pt>
                <c:pt idx="2" c:formatCode="#,##0.00">
                  <c:v>2660.62</c:v>
                </c:pt>
                <c:pt idx="3">
                  <c:v>185.85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a:t>
            </a:r>
            <a:r>
              <a:rPr altLang="en-US"/>
              <a:t>三公</a:t>
            </a:r>
            <a:r>
              <a:rPr lang="en-US" altLang="zh-CN"/>
              <a:t>”</a:t>
            </a:r>
            <a:r>
              <a:rPr altLang="en-US"/>
              <a:t>经费财政拨款支出</a:t>
            </a:r>
            <a:endParaRPr lang="en-US" altLang="zh-CN"/>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99.</a:t>
                    </a:r>
                    <a:r>
                      <a:rPr lang="en-US" altLang="zh-CN"/>
                      <a:t>3</a:t>
                    </a:r>
                    <a:r>
                      <a:t>%</a:t>
                    </a:r>
                  </a:p>
                </c:rich>
              </c:tx>
              <c:dLblPos val="outEnd"/>
              <c:showLegendKey val="0"/>
              <c:showVal val="0"/>
              <c:showCatName val="0"/>
              <c:showSerName val="0"/>
              <c:showPercent val="1"/>
              <c:showBubbleSize val="0"/>
              <c:extLst>
                <c:ext xmlns:c15="http://schemas.microsoft.com/office/drawing/2012/chart" uri="{CE6537A1-D6FC-4f65-9D91-7224C49458BB}"/>
              </c:extLst>
            </c:dLbl>
            <c:dLbl>
              <c:idx val="1"/>
              <c:layout>
                <c:manualLayout>
                  <c:x val="0.00362406378352259"/>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0.7%</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公务用车购置及运行维护费支出</c:v>
                </c:pt>
                <c:pt idx="1">
                  <c:v>公务接待费支出</c:v>
                </c:pt>
              </c:strCache>
            </c:strRef>
          </c:cat>
          <c:val>
            <c:numRef>
              <c:f>Sheet1!$B$2:$B$3</c:f>
              <c:numCache>
                <c:formatCode>General</c:formatCode>
                <c:ptCount val="2"/>
                <c:pt idx="0">
                  <c:v>18.98</c:v>
                </c:pt>
                <c:pt idx="1">
                  <c:v>0.14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4996</Words>
  <Characters>5467</Characters>
  <Lines>0</Lines>
  <Paragraphs>0</Paragraphs>
  <TotalTime>10</TotalTime>
  <ScaleCrop>false</ScaleCrop>
  <LinksUpToDate>false</LinksUpToDate>
  <CharactersWithSpaces>5654</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莹</cp:lastModifiedBy>
  <dcterms:modified xsi:type="dcterms:W3CDTF">2024-09-18T02:20:35Z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50CFF7A88DDD49509DAC5E8506E3CD62_13</vt:lpwstr>
  </property>
</Properties>
</file>