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3BB70">
      <w:pPr>
        <w:rPr>
          <w:rFonts w:hint="default"/>
          <w:lang w:val="en-US" w:eastAsia="zh-CN"/>
        </w:rPr>
      </w:pPr>
      <w:r>
        <w:rPr>
          <w:rFonts w:hint="eastAsia"/>
          <w:lang w:val="en-US" w:eastAsia="zh-CN"/>
        </w:rPr>
        <w:t xml:space="preserve"> </w:t>
      </w:r>
    </w:p>
    <w:p w14:paraId="32569B86">
      <w:pPr>
        <w:pStyle w:val="2"/>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2023年度阿坝藏族羌族自治州公路管理局黑水公路管理分局单位决算</w:t>
      </w:r>
    </w:p>
    <w:p w14:paraId="47D2FA96">
      <w:pPr>
        <w:widowControl/>
        <w:spacing w:line="440" w:lineRule="exact"/>
        <w:jc w:val="left"/>
        <w:rPr>
          <w:rFonts w:ascii="仿宋" w:hAnsi="仿宋" w:eastAsia="仿宋"/>
          <w:bCs/>
          <w:color w:val="auto"/>
          <w:kern w:val="44"/>
          <w:sz w:val="24"/>
          <w:highlight w:val="none"/>
        </w:rPr>
      </w:pPr>
      <w:r>
        <w:rPr>
          <w:rFonts w:ascii="方正小标宋简体" w:hAnsi="宋体" w:eastAsia="方正小标宋简体"/>
          <w:color w:val="auto"/>
          <w:sz w:val="36"/>
          <w:szCs w:val="36"/>
          <w:highlight w:val="none"/>
        </w:rPr>
        <w:br w:type="page"/>
      </w:r>
    </w:p>
    <w:p w14:paraId="75123BB9">
      <w:pPr>
        <w:widowControl/>
        <w:jc w:val="center"/>
        <w:rPr>
          <w:rFonts w:ascii="黑体" w:hAnsi="黑体" w:eastAsia="黑体"/>
          <w:color w:val="auto"/>
          <w:sz w:val="48"/>
          <w:szCs w:val="48"/>
          <w:highlight w:val="none"/>
        </w:rPr>
      </w:pPr>
      <w:bookmarkStart w:id="0" w:name="_Toc20147"/>
      <w:r>
        <w:rPr>
          <w:rFonts w:hint="eastAsia" w:ascii="黑体" w:hAnsi="黑体" w:eastAsia="黑体"/>
          <w:color w:val="auto"/>
          <w:sz w:val="48"/>
          <w:szCs w:val="48"/>
          <w:highlight w:val="none"/>
        </w:rPr>
        <w:t>目录</w:t>
      </w:r>
    </w:p>
    <w:p w14:paraId="31052014">
      <w:pPr>
        <w:widowControl/>
        <w:jc w:val="center"/>
        <w:rPr>
          <w:rFonts w:ascii="黑体" w:hAnsi="黑体" w:eastAsia="黑体" w:cstheme="minorBidi"/>
          <w:color w:val="auto"/>
          <w:sz w:val="28"/>
          <w:szCs w:val="28"/>
          <w:highlight w:val="none"/>
        </w:rPr>
      </w:pPr>
    </w:p>
    <w:p w14:paraId="3FA0DBBE">
      <w:pPr>
        <w:pStyle w:val="9"/>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14:paraId="3D405250">
      <w:pPr>
        <w:pStyle w:val="2"/>
        <w:rPr>
          <w:rFonts w:hint="eastAsia" w:ascii="黑体" w:hAnsi="黑体" w:eastAsia="黑体"/>
          <w:b w:val="0"/>
          <w:color w:val="auto"/>
          <w:highlight w:val="none"/>
        </w:rPr>
      </w:pPr>
    </w:p>
    <w:sdt>
      <w:sdtPr>
        <w:rPr>
          <w:rFonts w:hint="eastAsia" w:ascii="仿宋" w:hAnsi="仿宋" w:eastAsia="仿宋" w:cs="仿宋"/>
          <w:kern w:val="2"/>
          <w:sz w:val="28"/>
          <w:szCs w:val="28"/>
          <w:lang w:val="en-US" w:eastAsia="zh-CN" w:bidi="ar-SA"/>
        </w:rPr>
        <w:id w:val="147451820"/>
        <w15:color w:val="DBDBDB"/>
        <w:docPartObj>
          <w:docPartGallery w:val="Table of Contents"/>
          <w:docPartUnique/>
        </w:docPartObj>
      </w:sdtPr>
      <w:sdtEndPr>
        <w:rPr>
          <w:rFonts w:hint="eastAsia" w:ascii="黑体" w:hAnsi="黑体" w:eastAsia="黑体" w:cs="Times New Roman"/>
          <w:b/>
          <w:color w:val="auto"/>
          <w:kern w:val="0"/>
          <w:sz w:val="30"/>
          <w:szCs w:val="24"/>
          <w:highlight w:val="none"/>
          <w:lang w:val="en-US" w:eastAsia="zh-CN" w:bidi="ar-SA"/>
        </w:rPr>
      </w:sdtEndPr>
      <w:sdtContent>
        <w:p w14:paraId="774D414D">
          <w:pPr>
            <w:pStyle w:val="20"/>
            <w:tabs>
              <w:tab w:val="right" w:leader="dot" w:pos="8306"/>
            </w:tabs>
            <w:rPr>
              <w:rFonts w:hint="eastAsia" w:ascii="仿宋" w:hAnsi="仿宋" w:eastAsia="仿宋" w:cs="仿宋"/>
              <w:b/>
              <w:sz w:val="28"/>
              <w:szCs w:val="28"/>
            </w:rPr>
          </w:pPr>
          <w:r>
            <w:rPr>
              <w:rFonts w:hint="eastAsia" w:ascii="仿宋" w:hAnsi="仿宋" w:eastAsia="仿宋" w:cs="仿宋"/>
              <w:b w:val="0"/>
              <w:color w:val="auto"/>
              <w:sz w:val="28"/>
              <w:szCs w:val="28"/>
              <w:highlight w:val="none"/>
            </w:rPr>
            <w:fldChar w:fldCharType="begin"/>
          </w:r>
          <w:r>
            <w:rPr>
              <w:rFonts w:hint="eastAsia" w:ascii="仿宋" w:hAnsi="仿宋" w:eastAsia="仿宋" w:cs="仿宋"/>
              <w:b w:val="0"/>
              <w:color w:val="auto"/>
              <w:sz w:val="28"/>
              <w:szCs w:val="28"/>
              <w:highlight w:val="none"/>
            </w:rPr>
            <w:instrText xml:space="preserve">TOC \o "1-2" \h \u </w:instrText>
          </w:r>
          <w:r>
            <w:rPr>
              <w:rFonts w:hint="eastAsia" w:ascii="仿宋" w:hAnsi="仿宋" w:eastAsia="仿宋" w:cs="仿宋"/>
              <w:b w:val="0"/>
              <w:color w:val="auto"/>
              <w:sz w:val="28"/>
              <w:szCs w:val="28"/>
              <w:highlight w:val="none"/>
            </w:rPr>
            <w:fldChar w:fldCharType="separate"/>
          </w: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_Toc15424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_Toc15424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57510447">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_Toc25069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lang w:eastAsia="zh-CN"/>
            </w:rPr>
            <w:t xml:space="preserve">一、 </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_Toc25069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CA37711">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_Toc24477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_Toc24477 \h </w:instrText>
          </w:r>
          <w:r>
            <w:rPr>
              <w:rFonts w:hint="eastAsia" w:ascii="仿宋" w:hAnsi="仿宋" w:eastAsia="仿宋" w:cs="仿宋"/>
              <w:sz w:val="28"/>
              <w:szCs w:val="28"/>
            </w:rPr>
            <w:fldChar w:fldCharType="separate"/>
          </w:r>
          <w:r>
            <w:rPr>
              <w:rFonts w:hint="eastAsia" w:ascii="仿宋" w:hAnsi="仿宋" w:eastAsia="仿宋" w:cs="仿宋"/>
              <w:sz w:val="28"/>
              <w:szCs w:val="28"/>
            </w:rPr>
            <w:t>- 6 -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9A5D6AF">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_Toc23317 </w:instrText>
          </w:r>
          <w:r>
            <w:rPr>
              <w:rFonts w:hint="eastAsia" w:ascii="仿宋" w:hAnsi="仿宋" w:eastAsia="仿宋" w:cs="仿宋"/>
              <w:b/>
              <w:sz w:val="28"/>
              <w:szCs w:val="28"/>
              <w:highlight w:val="none"/>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_Toc23317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- 7 -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3F398F04">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_Toc2313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_Toc2313 \h </w:instrText>
          </w:r>
          <w:r>
            <w:rPr>
              <w:rFonts w:hint="eastAsia" w:ascii="仿宋" w:hAnsi="仿宋" w:eastAsia="仿宋" w:cs="仿宋"/>
              <w:sz w:val="28"/>
              <w:szCs w:val="28"/>
            </w:rPr>
            <w:fldChar w:fldCharType="separate"/>
          </w:r>
          <w:r>
            <w:rPr>
              <w:rFonts w:hint="eastAsia" w:ascii="仿宋" w:hAnsi="仿宋" w:eastAsia="仿宋" w:cs="仿宋"/>
              <w:sz w:val="28"/>
              <w:szCs w:val="28"/>
            </w:rPr>
            <w:t>- 7 -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41A017B">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_Toc25673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_Toc25673 \h </w:instrText>
          </w:r>
          <w:r>
            <w:rPr>
              <w:rFonts w:hint="eastAsia" w:ascii="仿宋" w:hAnsi="仿宋" w:eastAsia="仿宋" w:cs="仿宋"/>
              <w:sz w:val="28"/>
              <w:szCs w:val="28"/>
            </w:rPr>
            <w:fldChar w:fldCharType="separate"/>
          </w:r>
          <w:r>
            <w:rPr>
              <w:rFonts w:hint="eastAsia" w:ascii="仿宋" w:hAnsi="仿宋" w:eastAsia="仿宋" w:cs="仿宋"/>
              <w:sz w:val="28"/>
              <w:szCs w:val="28"/>
            </w:rPr>
            <w:t>- 7 -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6EDD5DD">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_Toc18682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_Toc18682 \h </w:instrText>
          </w:r>
          <w:r>
            <w:rPr>
              <w:rFonts w:hint="eastAsia" w:ascii="仿宋" w:hAnsi="仿宋" w:eastAsia="仿宋" w:cs="仿宋"/>
              <w:sz w:val="28"/>
              <w:szCs w:val="28"/>
            </w:rPr>
            <w:fldChar w:fldCharType="separate"/>
          </w:r>
          <w:r>
            <w:rPr>
              <w:rFonts w:hint="eastAsia" w:ascii="仿宋" w:hAnsi="仿宋" w:eastAsia="仿宋" w:cs="仿宋"/>
              <w:sz w:val="28"/>
              <w:szCs w:val="28"/>
            </w:rPr>
            <w:t>- 8 -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887D3EF">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_Toc11326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_Toc11326 \h </w:instrText>
          </w:r>
          <w:r>
            <w:rPr>
              <w:rFonts w:hint="eastAsia" w:ascii="仿宋" w:hAnsi="仿宋" w:eastAsia="仿宋" w:cs="仿宋"/>
              <w:sz w:val="28"/>
              <w:szCs w:val="28"/>
            </w:rPr>
            <w:fldChar w:fldCharType="separate"/>
          </w:r>
          <w:r>
            <w:rPr>
              <w:rFonts w:hint="eastAsia" w:ascii="仿宋" w:hAnsi="仿宋" w:eastAsia="仿宋" w:cs="仿宋"/>
              <w:sz w:val="28"/>
              <w:szCs w:val="28"/>
            </w:rPr>
            <w:t>- 9 -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85258E9">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_Toc4548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_Toc4548 \h </w:instrText>
          </w:r>
          <w:r>
            <w:rPr>
              <w:rFonts w:hint="eastAsia" w:ascii="仿宋" w:hAnsi="仿宋" w:eastAsia="仿宋" w:cs="仿宋"/>
              <w:sz w:val="28"/>
              <w:szCs w:val="28"/>
            </w:rPr>
            <w:fldChar w:fldCharType="separate"/>
          </w:r>
          <w:r>
            <w:rPr>
              <w:rFonts w:hint="eastAsia" w:ascii="仿宋" w:hAnsi="仿宋" w:eastAsia="仿宋" w:cs="仿宋"/>
              <w:sz w:val="28"/>
              <w:szCs w:val="28"/>
            </w:rPr>
            <w:t>- 9 -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9652E1C">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_Toc5599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_Toc5599 \h </w:instrText>
          </w:r>
          <w:r>
            <w:rPr>
              <w:rFonts w:hint="eastAsia" w:ascii="仿宋" w:hAnsi="仿宋" w:eastAsia="仿宋" w:cs="仿宋"/>
              <w:sz w:val="28"/>
              <w:szCs w:val="28"/>
            </w:rPr>
            <w:fldChar w:fldCharType="separate"/>
          </w:r>
          <w:r>
            <w:rPr>
              <w:rFonts w:hint="eastAsia" w:ascii="仿宋" w:hAnsi="仿宋" w:eastAsia="仿宋" w:cs="仿宋"/>
              <w:sz w:val="28"/>
              <w:szCs w:val="28"/>
            </w:rPr>
            <w:t>- 12 -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DC860CA">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_Toc12125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_Toc12125 \h </w:instrText>
          </w:r>
          <w:r>
            <w:rPr>
              <w:rFonts w:hint="eastAsia" w:ascii="仿宋" w:hAnsi="仿宋" w:eastAsia="仿宋" w:cs="仿宋"/>
              <w:sz w:val="28"/>
              <w:szCs w:val="28"/>
            </w:rPr>
            <w:fldChar w:fldCharType="separate"/>
          </w:r>
          <w:r>
            <w:rPr>
              <w:rFonts w:hint="eastAsia" w:ascii="仿宋" w:hAnsi="仿宋" w:eastAsia="仿宋" w:cs="仿宋"/>
              <w:sz w:val="28"/>
              <w:szCs w:val="28"/>
            </w:rPr>
            <w:t>- 13 -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6E5DDC7">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_Toc6949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_Toc6949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C2948D9">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_Toc9400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_Toc9400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548BC9C">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_Toc45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_Toc45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450CA98">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_Toc10352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_Toc10352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- 17 -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3290C235">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_Toc1295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_Toc1295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- 20 -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19B6F8BC">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_Toc20054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_Toc20054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- 21 -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168E76A2">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_Toc2331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_Toc2331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375C2BD">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_Toc18608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_Toc18608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F0151C3">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_Toc24373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_Toc24373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E81105E">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_Toc27918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_Toc27918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AF84C73">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_Toc7098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_Toc7098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A5AA1AE">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_Toc25025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_Toc25025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1487F76">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_Toc18811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_Toc18811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754B4425">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_Toc5393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_Toc5393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FCCDA78">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_Toc22895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_Toc22895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4747882">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_Toc18594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_Toc18594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0D188345">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_Toc28944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_Toc28944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FA82644">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_Toc21733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_Toc21733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62B023F">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_Toc5244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_Toc5244 \h </w:instrText>
          </w:r>
          <w:r>
            <w:rPr>
              <w:rFonts w:hint="eastAsia" w:ascii="仿宋" w:hAnsi="仿宋" w:eastAsia="仿宋" w:cs="仿宋"/>
              <w:sz w:val="28"/>
              <w:szCs w:val="28"/>
            </w:rPr>
            <w:fldChar w:fldCharType="separate"/>
          </w:r>
          <w:r>
            <w:rPr>
              <w:rFonts w:hint="eastAsia" w:ascii="仿宋" w:hAnsi="仿宋" w:eastAsia="仿宋" w:cs="仿宋"/>
              <w:sz w:val="28"/>
              <w:szCs w:val="28"/>
            </w:rPr>
            <w:t>- 21 -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7B77F11">
          <w:pPr>
            <w:pStyle w:val="2"/>
            <w:rPr>
              <w:rFonts w:hint="eastAsia" w:ascii="黑体" w:hAnsi="黑体" w:eastAsia="黑体" w:cs="Times New Roman"/>
              <w:b/>
              <w:color w:val="auto"/>
              <w:kern w:val="0"/>
              <w:sz w:val="30"/>
              <w:szCs w:val="24"/>
              <w:highlight w:val="none"/>
              <w:lang w:val="en-US" w:eastAsia="zh-CN" w:bidi="ar-SA"/>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rFonts w:hint="eastAsia" w:ascii="仿宋" w:hAnsi="仿宋" w:eastAsia="仿宋" w:cs="仿宋"/>
              <w:b/>
              <w:color w:val="auto"/>
              <w:sz w:val="28"/>
              <w:szCs w:val="28"/>
              <w:highlight w:val="none"/>
            </w:rPr>
            <w:fldChar w:fldCharType="end"/>
          </w:r>
        </w:p>
      </w:sdtContent>
    </w:sdt>
    <w:p w14:paraId="59918931">
      <w:pPr>
        <w:pStyle w:val="3"/>
        <w:jc w:val="center"/>
        <w:rPr>
          <w:rStyle w:val="16"/>
          <w:rFonts w:ascii="黑体" w:hAnsi="黑体" w:eastAsia="黑体"/>
          <w:b/>
          <w:bCs w:val="0"/>
          <w:color w:val="auto"/>
          <w:highlight w:val="none"/>
        </w:rPr>
      </w:pPr>
      <w:bookmarkStart w:id="1" w:name="_Toc15424"/>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6"/>
          <w:rFonts w:hint="eastAsia" w:ascii="黑体" w:hAnsi="黑体" w:eastAsia="黑体"/>
          <w:b w:val="0"/>
          <w:bCs w:val="0"/>
          <w:color w:val="auto"/>
          <w:highlight w:val="none"/>
        </w:rPr>
        <w:t>概况</w:t>
      </w:r>
      <w:bookmarkEnd w:id="0"/>
      <w:bookmarkEnd w:id="1"/>
    </w:p>
    <w:p w14:paraId="4A07DC2C">
      <w:pPr>
        <w:widowControl/>
        <w:jc w:val="left"/>
        <w:rPr>
          <w:rFonts w:ascii="黑体" w:eastAsia="黑体"/>
          <w:color w:val="auto"/>
          <w:sz w:val="32"/>
          <w:szCs w:val="32"/>
          <w:highlight w:val="none"/>
        </w:rPr>
      </w:pPr>
    </w:p>
    <w:p w14:paraId="33DC7F9F">
      <w:pPr>
        <w:pStyle w:val="4"/>
        <w:numPr>
          <w:ilvl w:val="0"/>
          <w:numId w:val="1"/>
        </w:numPr>
        <w:rPr>
          <w:rStyle w:val="17"/>
          <w:rFonts w:hint="eastAsia" w:ascii="黑体" w:hAnsi="黑体" w:eastAsia="黑体"/>
          <w:b w:val="0"/>
          <w:bCs w:val="0"/>
          <w:color w:val="auto"/>
          <w:highlight w:val="none"/>
          <w:lang w:eastAsia="zh-CN"/>
        </w:rPr>
      </w:pPr>
      <w:bookmarkStart w:id="2" w:name="_Toc25069"/>
      <w:bookmarkStart w:id="3" w:name="_Toc3786"/>
      <w:r>
        <w:rPr>
          <w:rStyle w:val="17"/>
          <w:rFonts w:hint="eastAsia" w:ascii="黑体" w:hAnsi="黑体" w:eastAsia="黑体"/>
          <w:b w:val="0"/>
          <w:bCs w:val="0"/>
          <w:color w:val="auto"/>
          <w:highlight w:val="none"/>
          <w:lang w:eastAsia="zh-CN"/>
        </w:rPr>
        <w:t>主要职责</w:t>
      </w:r>
      <w:bookmarkEnd w:id="2"/>
      <w:bookmarkEnd w:id="3"/>
    </w:p>
    <w:p w14:paraId="51E3B893">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(一)党支部办公室</w:t>
      </w:r>
    </w:p>
    <w:p w14:paraId="282CBCD7">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在支部书记领导下办理支部的日常事务。按照支部的安排，参加工作会议，负责作好会议记录，整理会议纪要，作好各部门的协调工作，全面、准确地贯彻党支部的决定。</w:t>
      </w:r>
    </w:p>
    <w:p w14:paraId="57554AFD">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根据党支部统一部署，做好本单位党建和精神文明建设的规划、安排、督促、检查工作。</w:t>
      </w:r>
    </w:p>
    <w:p w14:paraId="7E2A9F4D">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坚持学习制度，协调好党支部成员理论学习活动，促进领导班子综合素质的提高。</w:t>
      </w:r>
    </w:p>
    <w:p w14:paraId="442E538B">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积极筹备、开好民主生活会、支委会等。</w:t>
      </w:r>
    </w:p>
    <w:p w14:paraId="4047DE07">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负责党支部文件的起草和文字审核，负责来往文电的处理并做好相关信访、信息工作。</w:t>
      </w:r>
    </w:p>
    <w:p w14:paraId="201D86EA">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抓好全分局机要保密工作。</w:t>
      </w:r>
    </w:p>
    <w:p w14:paraId="27CD86B7">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完成党支部、领导交办的其它各项工作。</w:t>
      </w:r>
    </w:p>
    <w:p w14:paraId="12B5EDCE">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（二）行政办公室</w:t>
      </w:r>
    </w:p>
    <w:p w14:paraId="6870AAB6">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负责全分局的文秘、政务信息、调查研究、对外宣传、应急处置等工作的管理。</w:t>
      </w:r>
    </w:p>
    <w:p w14:paraId="4551EEC5">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负责起草工作计划、总结、情况汇报等全分局综合性文件、材料。</w:t>
      </w:r>
    </w:p>
    <w:p w14:paraId="7341CF8F">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承办、转达、处理上级机关和领导的有关文件、指示、批示；负责分局机关来往行政文电的呈签处理；审核以分局行政名义印发、发布的各类文电。</w:t>
      </w:r>
    </w:p>
    <w:p w14:paraId="3EC4928A">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负责局务会议和全局性会议的组织工作，负责会议决议、决策、重要工作部署及局领导批示、指示的督办、查办等跟踪落实工作。</w:t>
      </w:r>
    </w:p>
    <w:p w14:paraId="1636A010">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负责搜集、整理、综合分析、反馈工作情况和信息，为领导提供决策依据。</w:t>
      </w:r>
    </w:p>
    <w:p w14:paraId="48A736D1">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组织协调各股室、各养护站之间的关系，确保全分局工作正常、有序、高效运转。</w:t>
      </w:r>
    </w:p>
    <w:p w14:paraId="51EEC1D2">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负责对外联络、接待等工作。</w:t>
      </w:r>
    </w:p>
    <w:p w14:paraId="4F8E8395">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负责分局机关公务用车、办公用具、卫生、水电、食堂等行政后勤事务的管理。</w:t>
      </w:r>
    </w:p>
    <w:p w14:paraId="295AD35B">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承办领导交办的其他工作。</w:t>
      </w:r>
    </w:p>
    <w:p w14:paraId="1C6B16F0">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(三) 人事股</w:t>
      </w:r>
    </w:p>
    <w:p w14:paraId="535BB699">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贯彻执行党和国家劳动人事、工资福利的各项方针、政策、规定和上级的指示。</w:t>
      </w:r>
    </w:p>
    <w:p w14:paraId="0078FB61">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负责全分局的人事工作，职工的年度考核、聘（录）用、调配、奖惩、退休工作。</w:t>
      </w:r>
    </w:p>
    <w:p w14:paraId="3C506C04">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负责编制和实施全分局劳动工资计划，负责职工工资、福利及职务（岗位）变动后的工资调整工作和人事、工资统计工作。</w:t>
      </w:r>
    </w:p>
    <w:p w14:paraId="744C9CA2">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负责全分局职工劳动保护、劳动保险、医疗保险及社会保障等工作。</w:t>
      </w:r>
    </w:p>
    <w:p w14:paraId="3A21ED96">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负责职工群众关于劳资方面来信来访的接待工作。</w:t>
      </w:r>
    </w:p>
    <w:p w14:paraId="42A45B59">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完成领导交办的其他工作。</w:t>
      </w:r>
    </w:p>
    <w:p w14:paraId="36514697">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（四）工程股</w:t>
      </w:r>
    </w:p>
    <w:p w14:paraId="670DDFDA">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认真贯彻执行公路养护方针、政策和技术规范、规程。</w:t>
      </w:r>
    </w:p>
    <w:p w14:paraId="1A519599">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根据上级下达的年度生产任务，提出实施方案。编制实施计划、工程设计、预算和决算；检查、督促各项工程施工方案的编拟和安全措施的落实，办理工程质量检查和竣工验收。</w:t>
      </w:r>
    </w:p>
    <w:p w14:paraId="46E4DB89">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结合生产实际，开展科学实验。推广先进技术，组织采用新技术、新材料、新工艺的试点。</w:t>
      </w:r>
    </w:p>
    <w:p w14:paraId="54C6DF26">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审查、编制养路生产统计资料，按时报送上级规定的各种报表并进行统计活动分析。</w:t>
      </w:r>
    </w:p>
    <w:p w14:paraId="6C6BA079">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按照上级交通战备的要求，结合本局大中修工程、维修保养及防洪抢险、落实交通战备任务以及重要政治道路保障。</w:t>
      </w:r>
    </w:p>
    <w:p w14:paraId="77F842D5">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（五）安全股</w:t>
      </w:r>
    </w:p>
    <w:p w14:paraId="0A28CF68">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组织全局贯彻执行国家安全生产工作方针、政策和有关法律、法规及国务院、省、州、县安全生产工作部署。</w:t>
      </w:r>
    </w:p>
    <w:p w14:paraId="5AA97D28">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安排部署全分局安全生产工作，指导各养护站开展具体安全生产工作。</w:t>
      </w:r>
    </w:p>
    <w:p w14:paraId="33334019">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组织协调、研究解决全县公路交通行业重大安全生产问题。</w:t>
      </w:r>
    </w:p>
    <w:p w14:paraId="502ECD62">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协调并督促开展安全生产事故隐患排查治理工作。</w:t>
      </w:r>
    </w:p>
    <w:p w14:paraId="2E89FB53">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加强安全生产基础设施建设。</w:t>
      </w:r>
    </w:p>
    <w:p w14:paraId="7E7B6701">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组织完善道路抢险安全应急救援预案，建立应急救援指挥体系、应急救援组织，开展应急救援演练。</w:t>
      </w:r>
    </w:p>
    <w:p w14:paraId="5F2B98FB">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宣传贯彻落实治安保卫、安全防火等工作的规章制度，搞好本单位内部的综合治安管理工作，防止各种刑事犯罪活动的发生。</w:t>
      </w:r>
    </w:p>
    <w:p w14:paraId="2698CCB2">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建立健全治安保卫管理制度，管理好平时与假日的值班保卫工作和来访登记、接待工作；加强对分局机关要害部门和薄弱环节的安全防治工作，制定要害和重点部位的安全保卫措施，堵塞漏洞，防患于未然。</w:t>
      </w:r>
    </w:p>
    <w:p w14:paraId="4EF197A3">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完成领导交办的其它工作。</w:t>
      </w:r>
    </w:p>
    <w:p w14:paraId="2553334A">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（六）机料股</w:t>
      </w:r>
    </w:p>
    <w:p w14:paraId="03E36704">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根据上级有关规定，制定机械管理制度，充分发挥机械在养护生产中的作用。</w:t>
      </w:r>
    </w:p>
    <w:p w14:paraId="45F3C2B8">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负责机械的调配、维修，搞好机械的技术鉴定，办理报废手续，搞好机械设备档案管理，保证机械的完好率和利用率要达到规定标准。</w:t>
      </w:r>
    </w:p>
    <w:p w14:paraId="3381E483">
      <w:pPr>
        <w:spacing w:line="600" w:lineRule="exact"/>
        <w:ind w:firstLine="640" w:firstLineChars="200"/>
        <w:outlineLvl w:val="1"/>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做好沥青油、砂、石、土料及机械油料的采购、调运、供应</w:t>
      </w:r>
      <w:r>
        <w:rPr>
          <w:rFonts w:hint="eastAsia" w:ascii="仿宋" w:hAnsi="仿宋" w:eastAsia="仿宋"/>
          <w:color w:val="auto"/>
          <w:sz w:val="32"/>
          <w:szCs w:val="32"/>
          <w:highlight w:val="none"/>
          <w:lang w:eastAsia="zh-CN"/>
        </w:rPr>
        <w:t>。</w:t>
      </w:r>
    </w:p>
    <w:p w14:paraId="19283D00">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抓好各种类型的机械技术培训和业务学习，提高技术业务素质。</w:t>
      </w:r>
    </w:p>
    <w:p w14:paraId="37B8E073">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会同有关部门积极抓好安全生产工作，建立健全安全生产管理制度。</w:t>
      </w:r>
    </w:p>
    <w:p w14:paraId="4A875F23">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积极完成分局领导交办的其他工作任务。</w:t>
      </w:r>
    </w:p>
    <w:p w14:paraId="4659A6DE">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（七）财务股</w:t>
      </w:r>
    </w:p>
    <w:p w14:paraId="786374BA">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贯彻执行国家《会计法》和有关财经纪律和政策法规，按照国家有关会计制度和《会计基础工作规范》的要求，负责本单位的会计核算，并按有关制度进行收入、成本、费用的归集，正确计算财务结果。负责编制公路部门会计报表和财务报告，并定期进行财务分析。</w:t>
      </w:r>
    </w:p>
    <w:p w14:paraId="1A81FADC">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执行国家关于财务收支的有关规定，切实加强会计核算和财务管理工作，确保各项资金的专款专用，充分发挥资金的使用效果。</w:t>
      </w:r>
    </w:p>
    <w:p w14:paraId="078183FF">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执行上级下达和本局编制的财务收支计划、预算，筹措公路建养资金、监督公路建养资金的合理使用，审核办理工程款项的结算和支付。</w:t>
      </w:r>
    </w:p>
    <w:p w14:paraId="0EB17859">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按照国家有关现金管理和银行结算制度，负责办理现金支付和银行结算业务。及时清理债权、债务及往来账款，确保资金使用的安全性。</w:t>
      </w:r>
    </w:p>
    <w:p w14:paraId="4962B656">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制定并认真执行本单位的各项内部财务会计管理制度和管理办法。</w:t>
      </w:r>
    </w:p>
    <w:p w14:paraId="6AF9F06F">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按照有关规定定期整理会计凭证、账薄、报表及其他会计资料，装订成册，立卷归档妥善保管，并按会计档案管理制度办理调阅、移交和销毁手续。</w:t>
      </w:r>
    </w:p>
    <w:p w14:paraId="1189C172">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会同有关部门搞好固定资产和流动资产的管理、核算和建账立卡工作，定期进行财产清查，确保国有资产的保值增值。</w:t>
      </w:r>
    </w:p>
    <w:p w14:paraId="6CCEF446">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配合参与有关部门对有关经济技术指标、定额、经济责任制实施办法的制定和修改工作。</w:t>
      </w:r>
    </w:p>
    <w:p w14:paraId="5A7E14AB">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对上级机关和财政、税务、审计等部门的监督检查，负责提供有关财务会计资料。</w:t>
      </w:r>
    </w:p>
    <w:p w14:paraId="4001CD31">
      <w:pPr>
        <w:spacing w:line="600" w:lineRule="exact"/>
        <w:ind w:firstLine="640" w:firstLineChars="200"/>
        <w:outlineLvl w:val="1"/>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负责承办单位领导和上级业务部门交办的其他工作任务。</w:t>
      </w:r>
    </w:p>
    <w:p w14:paraId="32BE43BA">
      <w:pPr>
        <w:pStyle w:val="4"/>
        <w:numPr>
          <w:ilvl w:val="0"/>
          <w:numId w:val="0"/>
        </w:numPr>
        <w:rPr>
          <w:rFonts w:hint="eastAsia" w:ascii="黑体" w:hAnsi="黑体" w:eastAsia="黑体"/>
          <w:b w:val="0"/>
          <w:color w:val="auto"/>
          <w:highlight w:val="none"/>
          <w:lang w:val="en-US" w:eastAsia="zh-CN"/>
        </w:rPr>
      </w:pPr>
      <w:bookmarkStart w:id="4" w:name="_Toc29259"/>
      <w:bookmarkStart w:id="5" w:name="_Toc24477"/>
      <w:r>
        <w:rPr>
          <w:rFonts w:hint="eastAsia" w:ascii="黑体" w:hAnsi="黑体" w:eastAsia="黑体"/>
          <w:b w:val="0"/>
          <w:color w:val="auto"/>
          <w:highlight w:val="none"/>
          <w:lang w:val="en-US" w:eastAsia="zh-CN"/>
        </w:rPr>
        <w:t>二、机构设置</w:t>
      </w:r>
      <w:bookmarkEnd w:id="4"/>
      <w:bookmarkEnd w:id="5"/>
    </w:p>
    <w:p w14:paraId="38E5E02D">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rPr>
        <w:t>黑水公路管理分隶属于阿坝藏族羌族自治州公路管理局。管养G347线黑水境内干线公路115.18公里。分局内设党支部办公室、行政办公室、工程股、安全股、人事股、财务股、机料股，一线养路站9个。</w:t>
      </w:r>
    </w:p>
    <w:p w14:paraId="4B00DA18">
      <w:pPr>
        <w:widowControl/>
        <w:ind w:firstLine="640" w:firstLineChars="200"/>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2DC0719F">
      <w:pPr>
        <w:pStyle w:val="3"/>
        <w:ind w:right="440"/>
        <w:jc w:val="center"/>
        <w:rPr>
          <w:rStyle w:val="16"/>
          <w:rFonts w:ascii="黑体" w:hAnsi="黑体" w:eastAsia="黑体"/>
          <w:b w:val="0"/>
          <w:bCs/>
          <w:color w:val="auto"/>
          <w:highlight w:val="none"/>
        </w:rPr>
      </w:pPr>
      <w:bookmarkStart w:id="6" w:name="_Toc23317"/>
      <w:bookmarkStart w:id="7" w:name="_Toc17768"/>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6"/>
          <w:rFonts w:hint="eastAsia" w:ascii="黑体" w:hAnsi="黑体" w:eastAsia="黑体"/>
          <w:b w:val="0"/>
          <w:bCs/>
          <w:color w:val="auto"/>
          <w:highlight w:val="none"/>
          <w:lang w:eastAsia="zh-CN"/>
        </w:rPr>
        <w:t>单位</w:t>
      </w:r>
      <w:r>
        <w:rPr>
          <w:rStyle w:val="16"/>
          <w:rFonts w:hint="eastAsia" w:ascii="黑体" w:hAnsi="黑体" w:eastAsia="黑体"/>
          <w:b w:val="0"/>
          <w:bCs/>
          <w:color w:val="auto"/>
          <w:highlight w:val="none"/>
        </w:rPr>
        <w:t>决算情况说明</w:t>
      </w:r>
      <w:bookmarkEnd w:id="6"/>
      <w:bookmarkEnd w:id="7"/>
    </w:p>
    <w:p w14:paraId="5A3D8CEC">
      <w:pPr>
        <w:rPr>
          <w:color w:val="auto"/>
          <w:highlight w:val="none"/>
        </w:rPr>
      </w:pPr>
    </w:p>
    <w:p w14:paraId="6020E242">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8" w:name="_Toc22627"/>
      <w:bookmarkStart w:id="9" w:name="_Toc2313"/>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8"/>
      <w:bookmarkEnd w:id="9"/>
    </w:p>
    <w:p w14:paraId="42CFBB78">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2334.05</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w:t>
      </w:r>
      <w:r>
        <w:rPr>
          <w:rFonts w:hint="eastAsia" w:ascii="仿宋" w:hAnsi="仿宋" w:eastAsia="仿宋"/>
          <w:color w:val="auto"/>
          <w:sz w:val="32"/>
          <w:szCs w:val="32"/>
          <w:highlight w:val="none"/>
          <w:lang w:val="en-US" w:eastAsia="zh-CN"/>
        </w:rPr>
        <w:t>642.31</w:t>
      </w:r>
      <w:r>
        <w:rPr>
          <w:rFonts w:hint="eastAsia" w:ascii="仿宋" w:hAnsi="仿宋" w:eastAsia="仿宋"/>
          <w:color w:val="auto"/>
          <w:sz w:val="32"/>
          <w:szCs w:val="32"/>
          <w:highlight w:val="none"/>
        </w:rPr>
        <w:t>万元，增长3</w:t>
      </w:r>
      <w:r>
        <w:rPr>
          <w:rFonts w:hint="eastAsia" w:ascii="仿宋" w:hAnsi="仿宋" w:eastAsia="仿宋"/>
          <w:color w:val="auto"/>
          <w:sz w:val="32"/>
          <w:szCs w:val="32"/>
          <w:highlight w:val="none"/>
          <w:lang w:val="en-US" w:eastAsia="zh-CN"/>
        </w:rPr>
        <w:t>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单位人员增加以及社保调标导致人员经费增加</w:t>
      </w:r>
      <w:r>
        <w:rPr>
          <w:rFonts w:hint="eastAsia" w:ascii="仿宋" w:hAnsi="仿宋" w:eastAsia="仿宋"/>
          <w:color w:val="auto"/>
          <w:sz w:val="32"/>
          <w:szCs w:val="32"/>
          <w:highlight w:val="none"/>
          <w:lang w:eastAsia="zh-CN"/>
        </w:rPr>
        <w:t>。</w:t>
      </w:r>
    </w:p>
    <w:p w14:paraId="39642368">
      <w:pPr>
        <w:pStyle w:val="2"/>
        <w:rPr>
          <w:rFonts w:hint="eastAsia" w:ascii="仿宋" w:hAnsi="仿宋" w:eastAsia="仿宋"/>
          <w:color w:val="auto"/>
          <w:sz w:val="32"/>
          <w:szCs w:val="32"/>
          <w:highlight w:val="none"/>
          <w:lang w:eastAsia="zh-CN"/>
        </w:rPr>
      </w:pPr>
      <w:r>
        <w:rPr>
          <w:rFonts w:hint="eastAsia"/>
          <w:lang w:eastAsia="zh-CN"/>
        </w:rPr>
        <w:drawing>
          <wp:inline distT="0" distB="0" distL="114300" distR="114300">
            <wp:extent cx="5256530" cy="2988310"/>
            <wp:effectExtent l="5080" t="4445" r="1143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B8CD745">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624F8F68">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10" w:name="_Toc10990"/>
      <w:bookmarkStart w:id="11" w:name="_Toc25673"/>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10"/>
      <w:bookmarkEnd w:id="11"/>
    </w:p>
    <w:p w14:paraId="7819421E">
      <w:pPr>
        <w:spacing w:line="600" w:lineRule="exact"/>
        <w:ind w:firstLine="640" w:firstLineChars="200"/>
        <w:outlineLvl w:val="1"/>
        <w:rPr>
          <w:rFonts w:ascii="仿宋" w:hAnsi="仿宋" w:eastAsia="仿宋"/>
          <w:color w:val="auto"/>
          <w:sz w:val="32"/>
          <w:szCs w:val="32"/>
          <w:highlight w:val="none"/>
        </w:rPr>
      </w:pPr>
      <w:bookmarkStart w:id="12" w:name="_Toc4258"/>
      <w:bookmarkStart w:id="13" w:name="_Toc16265"/>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w:t>
      </w:r>
      <w:r>
        <w:rPr>
          <w:rFonts w:hint="eastAsia" w:ascii="仿宋" w:hAnsi="仿宋" w:eastAsia="仿宋"/>
          <w:color w:val="auto"/>
          <w:sz w:val="32"/>
          <w:szCs w:val="32"/>
          <w:highlight w:val="none"/>
          <w:lang w:val="en-US" w:eastAsia="zh-CN"/>
        </w:rPr>
        <w:t>2334.05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2334.05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12"/>
      <w:bookmarkEnd w:id="13"/>
    </w:p>
    <w:p w14:paraId="0920E8CB">
      <w:pPr>
        <w:spacing w:line="600" w:lineRule="exact"/>
        <w:rPr>
          <w:rFonts w:hint="eastAsia" w:ascii="仿宋" w:hAnsi="仿宋" w:eastAsia="仿宋"/>
          <w:color w:val="auto"/>
          <w:sz w:val="32"/>
          <w:szCs w:val="32"/>
          <w:highlight w:val="none"/>
        </w:rPr>
      </w:pPr>
    </w:p>
    <w:p w14:paraId="4E597107">
      <w:pPr>
        <w:pStyle w:val="2"/>
        <w:rPr>
          <w:rFonts w:hint="eastAsia" w:ascii="仿宋" w:hAnsi="仿宋" w:eastAsia="仿宋"/>
          <w:color w:val="auto"/>
          <w:sz w:val="32"/>
          <w:szCs w:val="32"/>
          <w:highlight w:val="none"/>
        </w:rPr>
      </w:pPr>
    </w:p>
    <w:p w14:paraId="5FC585C9">
      <w:pPr>
        <w:pStyle w:val="2"/>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BA991AC">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14:paraId="5503129C">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14" w:name="_Toc4339"/>
      <w:bookmarkStart w:id="15" w:name="_Toc18682"/>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14"/>
      <w:bookmarkEnd w:id="15"/>
    </w:p>
    <w:p w14:paraId="0523C216">
      <w:pPr>
        <w:spacing w:line="600" w:lineRule="exact"/>
        <w:ind w:firstLine="640" w:firstLineChars="200"/>
        <w:outlineLvl w:val="1"/>
        <w:rPr>
          <w:rFonts w:ascii="仿宋" w:hAnsi="仿宋" w:eastAsia="仿宋"/>
          <w:color w:val="auto"/>
          <w:sz w:val="32"/>
          <w:szCs w:val="32"/>
          <w:highlight w:val="none"/>
          <w:shd w:val="pct10" w:color="auto" w:fill="FFFFFF"/>
        </w:rPr>
      </w:pPr>
      <w:bookmarkStart w:id="16" w:name="_Toc4915"/>
      <w:bookmarkStart w:id="17" w:name="_Toc16574"/>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2334.05</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2230.27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95.6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103.78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16"/>
      <w:bookmarkEnd w:id="17"/>
    </w:p>
    <w:p w14:paraId="54961825">
      <w:pPr>
        <w:pStyle w:val="2"/>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11430" b="952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E49B4FE">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6AF9C6F3">
      <w:pPr>
        <w:spacing w:line="600" w:lineRule="exact"/>
        <w:ind w:firstLine="640" w:firstLineChars="200"/>
        <w:rPr>
          <w:rFonts w:ascii="仿宋_GB2312" w:eastAsia="仿宋_GB2312"/>
          <w:color w:val="auto"/>
          <w:sz w:val="32"/>
          <w:szCs w:val="32"/>
          <w:highlight w:val="none"/>
        </w:rPr>
      </w:pPr>
    </w:p>
    <w:p w14:paraId="5E622C59">
      <w:pPr>
        <w:spacing w:line="600" w:lineRule="exact"/>
        <w:ind w:firstLine="640" w:firstLineChars="200"/>
        <w:outlineLvl w:val="1"/>
        <w:rPr>
          <w:rStyle w:val="17"/>
          <w:rFonts w:ascii="黑体" w:hAnsi="黑体" w:eastAsia="黑体"/>
          <w:b w:val="0"/>
          <w:color w:val="auto"/>
          <w:highlight w:val="none"/>
        </w:rPr>
      </w:pPr>
      <w:bookmarkStart w:id="18" w:name="_Toc11326"/>
      <w:bookmarkStart w:id="19" w:name="_Toc31848"/>
      <w:r>
        <w:rPr>
          <w:rFonts w:hint="eastAsia" w:ascii="黑体" w:hAnsi="黑体" w:eastAsia="黑体"/>
          <w:color w:val="auto"/>
          <w:sz w:val="32"/>
          <w:szCs w:val="32"/>
          <w:highlight w:val="none"/>
        </w:rPr>
        <w:t>四、财</w:t>
      </w:r>
      <w:r>
        <w:rPr>
          <w:rStyle w:val="17"/>
          <w:rFonts w:hint="eastAsia" w:ascii="黑体" w:hAnsi="黑体" w:eastAsia="黑体"/>
          <w:b w:val="0"/>
          <w:color w:val="auto"/>
          <w:highlight w:val="none"/>
        </w:rPr>
        <w:t>政拨款收入支出决算总体情况说明</w:t>
      </w:r>
      <w:bookmarkEnd w:id="18"/>
      <w:bookmarkEnd w:id="19"/>
    </w:p>
    <w:p w14:paraId="055C2531">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2334.05</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w:t>
      </w:r>
      <w:r>
        <w:rPr>
          <w:rFonts w:hint="eastAsia" w:ascii="仿宋" w:hAnsi="仿宋" w:eastAsia="仿宋"/>
          <w:color w:val="auto"/>
          <w:sz w:val="32"/>
          <w:szCs w:val="32"/>
          <w:highlight w:val="none"/>
          <w:lang w:val="en-US" w:eastAsia="zh-CN"/>
        </w:rPr>
        <w:t>642.31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单位人员增加以及社保调标导致人员经费增加。</w:t>
      </w:r>
    </w:p>
    <w:p w14:paraId="0E9C1FC4">
      <w:pPr>
        <w:pStyle w:val="2"/>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11430" b="95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D74129E">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1D3A90DE">
      <w:pPr>
        <w:spacing w:line="600" w:lineRule="exact"/>
        <w:ind w:firstLine="640"/>
        <w:rPr>
          <w:rFonts w:ascii="仿宋" w:hAnsi="仿宋" w:eastAsia="仿宋"/>
          <w:b/>
          <w:color w:val="auto"/>
          <w:sz w:val="32"/>
          <w:szCs w:val="32"/>
          <w:highlight w:val="none"/>
        </w:rPr>
      </w:pPr>
    </w:p>
    <w:p w14:paraId="0D0F2BA6">
      <w:pPr>
        <w:spacing w:line="600" w:lineRule="exact"/>
        <w:ind w:firstLine="640" w:firstLineChars="200"/>
        <w:outlineLvl w:val="1"/>
        <w:rPr>
          <w:rStyle w:val="17"/>
          <w:rFonts w:ascii="黑体" w:hAnsi="黑体" w:eastAsia="黑体"/>
          <w:b w:val="0"/>
          <w:color w:val="auto"/>
          <w:highlight w:val="none"/>
        </w:rPr>
      </w:pPr>
      <w:bookmarkStart w:id="20" w:name="_Toc4548"/>
      <w:bookmarkStart w:id="21" w:name="_Toc1397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20"/>
      <w:bookmarkEnd w:id="21"/>
    </w:p>
    <w:p w14:paraId="0F6CF82B">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16569C76">
      <w:pPr>
        <w:spacing w:line="600" w:lineRule="exact"/>
        <w:ind w:firstLine="640" w:firstLineChars="200"/>
        <w:rPr>
          <w:rFonts w:hint="default" w:ascii="仿宋" w:hAnsi="仿宋" w:eastAsia="仿宋"/>
          <w:color w:val="auto"/>
          <w:sz w:val="32"/>
          <w:szCs w:val="32"/>
          <w:highlight w:val="none"/>
          <w:lang w:val="en-US"/>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2334.05</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642.31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单位人员增加以及社保调标导致人员经费增加。</w:t>
      </w:r>
    </w:p>
    <w:p w14:paraId="7227932B">
      <w:pPr>
        <w:spacing w:line="600" w:lineRule="exact"/>
        <w:ind w:firstLine="640" w:firstLineChars="200"/>
        <w:rPr>
          <w:rFonts w:ascii="仿宋" w:hAnsi="仿宋" w:eastAsia="仿宋"/>
          <w:color w:val="auto"/>
          <w:sz w:val="32"/>
          <w:szCs w:val="32"/>
          <w:highlight w:val="none"/>
        </w:rPr>
      </w:pPr>
    </w:p>
    <w:p w14:paraId="04F68DBD">
      <w:pPr>
        <w:pStyle w:val="2"/>
        <w:rPr>
          <w:rFonts w:ascii="仿宋" w:hAnsi="仿宋" w:eastAsia="仿宋"/>
          <w:color w:val="auto"/>
          <w:sz w:val="32"/>
          <w:szCs w:val="32"/>
          <w:highlight w:val="none"/>
        </w:rPr>
      </w:pPr>
    </w:p>
    <w:p w14:paraId="276364EF">
      <w:pPr>
        <w:pStyle w:val="2"/>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11430"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7E9C815">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1BD47047">
      <w:pPr>
        <w:spacing w:line="600" w:lineRule="exact"/>
        <w:ind w:firstLine="640" w:firstLineChars="200"/>
        <w:rPr>
          <w:rFonts w:ascii="仿宋" w:hAnsi="仿宋" w:eastAsia="仿宋"/>
          <w:color w:val="auto"/>
          <w:sz w:val="32"/>
          <w:szCs w:val="32"/>
          <w:highlight w:val="none"/>
        </w:rPr>
      </w:pPr>
    </w:p>
    <w:p w14:paraId="0DF1847F">
      <w:pPr>
        <w:spacing w:line="600" w:lineRule="exact"/>
        <w:ind w:firstLine="643" w:firstLineChars="200"/>
        <w:outlineLvl w:val="2"/>
        <w:rPr>
          <w:rFonts w:ascii="仿宋" w:hAnsi="仿宋" w:eastAsia="仿宋"/>
          <w:b/>
          <w:color w:val="000000" w:themeColor="text1"/>
          <w:sz w:val="32"/>
          <w:szCs w:val="32"/>
          <w:highlight w:val="none"/>
          <w14:textFill>
            <w14:solidFill>
              <w14:schemeClr w14:val="tx1"/>
            </w14:solidFill>
          </w14:textFill>
        </w:rPr>
      </w:pPr>
      <w:r>
        <w:rPr>
          <w:rFonts w:hint="eastAsia" w:ascii="仿宋" w:hAnsi="仿宋" w:eastAsia="仿宋"/>
          <w:b/>
          <w:color w:val="000000" w:themeColor="text1"/>
          <w:sz w:val="32"/>
          <w:szCs w:val="32"/>
          <w:highlight w:val="none"/>
          <w14:textFill>
            <w14:solidFill>
              <w14:schemeClr w14:val="tx1"/>
            </w14:solidFill>
          </w14:textFill>
        </w:rPr>
        <w:t>（二）一般公共预算财政拨款支出决算结构情况</w:t>
      </w:r>
    </w:p>
    <w:p w14:paraId="0408AEF9">
      <w:pPr>
        <w:spacing w:line="600" w:lineRule="exact"/>
        <w:ind w:firstLine="640"/>
        <w:rPr>
          <w:rFonts w:hint="eastAsia" w:ascii="仿宋" w:hAnsi="仿宋" w:eastAsia="仿宋"/>
          <w:b/>
          <w:color w:val="000000" w:themeColor="text1"/>
          <w:sz w:val="32"/>
          <w:szCs w:val="32"/>
          <w:highlight w:val="yellow"/>
          <w14:textFill>
            <w14:solidFill>
              <w14:schemeClr w14:val="tx1"/>
            </w14:solidFill>
          </w14:textFill>
        </w:rPr>
      </w:pPr>
      <w:r>
        <w:rPr>
          <w:rFonts w:hint="eastAsia" w:ascii="仿宋" w:hAnsi="仿宋" w:eastAsia="仿宋"/>
          <w:color w:val="000000" w:themeColor="text1"/>
          <w:sz w:val="32"/>
          <w:szCs w:val="32"/>
          <w:highlight w:val="none"/>
          <w:lang w:eastAsia="zh-CN"/>
          <w14:textFill>
            <w14:solidFill>
              <w14:schemeClr w14:val="tx1"/>
            </w14:solidFill>
          </w14:textFill>
        </w:rPr>
        <w:t>2023</w:t>
      </w:r>
      <w:r>
        <w:rPr>
          <w:rFonts w:hint="eastAsia" w:ascii="仿宋" w:hAnsi="仿宋" w:eastAsia="仿宋"/>
          <w:color w:val="000000" w:themeColor="text1"/>
          <w:sz w:val="32"/>
          <w:szCs w:val="32"/>
          <w:highlight w:val="none"/>
          <w14:textFill>
            <w14:solidFill>
              <w14:schemeClr w14:val="tx1"/>
            </w14:solidFill>
          </w14:textFill>
        </w:rPr>
        <w:t>年</w:t>
      </w:r>
      <w:r>
        <w:rPr>
          <w:rFonts w:hint="eastAsia" w:ascii="仿宋" w:hAnsi="仿宋" w:eastAsia="仿宋"/>
          <w:color w:val="000000" w:themeColor="text1"/>
          <w:sz w:val="32"/>
          <w:szCs w:val="32"/>
          <w:highlight w:val="none"/>
          <w:lang w:eastAsia="zh-CN"/>
          <w14:textFill>
            <w14:solidFill>
              <w14:schemeClr w14:val="tx1"/>
            </w14:solidFill>
          </w14:textFill>
        </w:rPr>
        <w:t>度</w:t>
      </w:r>
      <w:r>
        <w:rPr>
          <w:rFonts w:hint="eastAsia" w:ascii="仿宋" w:hAnsi="仿宋" w:eastAsia="仿宋"/>
          <w:color w:val="000000" w:themeColor="text1"/>
          <w:sz w:val="32"/>
          <w:szCs w:val="32"/>
          <w:highlight w:val="none"/>
          <w14:textFill>
            <w14:solidFill>
              <w14:schemeClr w14:val="tx1"/>
            </w14:solidFill>
          </w14:textFill>
        </w:rPr>
        <w:t>一般公共预算财政拨款</w:t>
      </w:r>
      <w:r>
        <w:rPr>
          <w:rFonts w:hint="eastAsia" w:ascii="仿宋" w:hAnsi="仿宋" w:eastAsia="仿宋"/>
          <w:color w:val="auto"/>
          <w:sz w:val="32"/>
          <w:szCs w:val="32"/>
          <w:highlight w:val="none"/>
        </w:rPr>
        <w:t>支出</w:t>
      </w:r>
      <w:r>
        <w:rPr>
          <w:rFonts w:hint="eastAsia" w:ascii="仿宋" w:hAnsi="仿宋" w:eastAsia="仿宋"/>
          <w:color w:val="auto"/>
          <w:sz w:val="32"/>
          <w:szCs w:val="32"/>
          <w:highlight w:val="none"/>
          <w:lang w:val="en-US" w:eastAsia="zh-CN"/>
        </w:rPr>
        <w:t>2334.05</w:t>
      </w:r>
      <w:r>
        <w:rPr>
          <w:rFonts w:hint="eastAsia" w:ascii="仿宋" w:hAnsi="仿宋" w:eastAsia="仿宋"/>
          <w:color w:val="auto"/>
          <w:sz w:val="32"/>
          <w:szCs w:val="32"/>
          <w:highlight w:val="none"/>
        </w:rPr>
        <w:t>万元</w:t>
      </w:r>
      <w:r>
        <w:rPr>
          <w:rFonts w:hint="eastAsia" w:ascii="仿宋" w:hAnsi="仿宋" w:eastAsia="仿宋"/>
          <w:color w:val="000000" w:themeColor="text1"/>
          <w:sz w:val="32"/>
          <w:szCs w:val="32"/>
          <w:highlight w:val="none"/>
          <w14:textFill>
            <w14:solidFill>
              <w14:schemeClr w14:val="tx1"/>
            </w14:solidFill>
          </w14:textFill>
        </w:rPr>
        <w:t>，主要用于以下方面</w:t>
      </w: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b/>
          <w:color w:val="000000" w:themeColor="text1"/>
          <w:sz w:val="32"/>
          <w:szCs w:val="32"/>
          <w:highlight w:val="none"/>
          <w14:textFill>
            <w14:solidFill>
              <w14:schemeClr w14:val="tx1"/>
            </w14:solidFill>
          </w14:textFill>
        </w:rPr>
        <w:t>社会保障和就业支出</w:t>
      </w:r>
      <w:r>
        <w:rPr>
          <w:rFonts w:hint="eastAsia" w:ascii="仿宋" w:hAnsi="仿宋" w:eastAsia="仿宋"/>
          <w:color w:val="000000" w:themeColor="text1"/>
          <w:sz w:val="32"/>
          <w:szCs w:val="32"/>
          <w:highlight w:val="none"/>
          <w:lang w:val="en-US" w:eastAsia="zh-CN"/>
          <w14:textFill>
            <w14:solidFill>
              <w14:schemeClr w14:val="tx1"/>
            </w14:solidFill>
          </w14:textFill>
        </w:rPr>
        <w:t>249.63</w:t>
      </w:r>
      <w:r>
        <w:rPr>
          <w:rFonts w:hint="eastAsia" w:ascii="仿宋" w:hAnsi="仿宋" w:eastAsia="仿宋"/>
          <w:color w:val="000000" w:themeColor="text1"/>
          <w:sz w:val="32"/>
          <w:szCs w:val="32"/>
          <w:highlight w:val="none"/>
          <w14:textFill>
            <w14:solidFill>
              <w14:schemeClr w14:val="tx1"/>
            </w14:solidFill>
          </w14:textFill>
        </w:rPr>
        <w:t>万元，占</w:t>
      </w:r>
      <w:r>
        <w:rPr>
          <w:rFonts w:hint="eastAsia" w:ascii="仿宋" w:hAnsi="仿宋" w:eastAsia="仿宋"/>
          <w:color w:val="000000" w:themeColor="text1"/>
          <w:sz w:val="32"/>
          <w:szCs w:val="32"/>
          <w:highlight w:val="none"/>
          <w:lang w:val="en-US" w:eastAsia="zh-CN"/>
          <w14:textFill>
            <w14:solidFill>
              <w14:schemeClr w14:val="tx1"/>
            </w14:solidFill>
          </w14:textFill>
        </w:rPr>
        <w:t>10.7</w:t>
      </w: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b/>
          <w:color w:val="000000" w:themeColor="text1"/>
          <w:sz w:val="32"/>
          <w:szCs w:val="32"/>
          <w:highlight w:val="none"/>
          <w14:textFill>
            <w14:solidFill>
              <w14:schemeClr w14:val="tx1"/>
            </w14:solidFill>
          </w14:textFill>
        </w:rPr>
        <w:t>卫生健康支出</w:t>
      </w:r>
      <w:r>
        <w:rPr>
          <w:rFonts w:hint="eastAsia" w:ascii="仿宋" w:hAnsi="仿宋" w:eastAsia="仿宋"/>
          <w:color w:val="000000" w:themeColor="text1"/>
          <w:sz w:val="32"/>
          <w:szCs w:val="32"/>
          <w:highlight w:val="none"/>
          <w:lang w:val="en-US" w:eastAsia="zh-CN"/>
          <w14:textFill>
            <w14:solidFill>
              <w14:schemeClr w14:val="tx1"/>
            </w14:solidFill>
          </w14:textFill>
        </w:rPr>
        <w:t>121.5</w:t>
      </w:r>
      <w:r>
        <w:rPr>
          <w:rFonts w:hint="eastAsia" w:ascii="仿宋" w:hAnsi="仿宋" w:eastAsia="仿宋"/>
          <w:color w:val="000000" w:themeColor="text1"/>
          <w:sz w:val="32"/>
          <w:szCs w:val="32"/>
          <w:highlight w:val="none"/>
          <w14:textFill>
            <w14:solidFill>
              <w14:schemeClr w14:val="tx1"/>
            </w14:solidFill>
          </w14:textFill>
        </w:rPr>
        <w:t>万元，占</w:t>
      </w:r>
      <w:r>
        <w:rPr>
          <w:rFonts w:hint="eastAsia" w:ascii="仿宋" w:hAnsi="仿宋" w:eastAsia="仿宋"/>
          <w:color w:val="000000" w:themeColor="text1"/>
          <w:sz w:val="32"/>
          <w:szCs w:val="32"/>
          <w:highlight w:val="none"/>
          <w:lang w:val="en-US" w:eastAsia="zh-CN"/>
          <w14:textFill>
            <w14:solidFill>
              <w14:schemeClr w14:val="tx1"/>
            </w14:solidFill>
          </w14:textFill>
        </w:rPr>
        <w:t>5.2</w:t>
      </w: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b/>
          <w:color w:val="000000" w:themeColor="text1"/>
          <w:sz w:val="32"/>
          <w:szCs w:val="32"/>
          <w:highlight w:val="none"/>
          <w14:textFill>
            <w14:solidFill>
              <w14:schemeClr w14:val="tx1"/>
            </w14:solidFill>
          </w14:textFill>
        </w:rPr>
        <w:t>交通运输支</w:t>
      </w:r>
      <w:r>
        <w:rPr>
          <w:rFonts w:hint="eastAsia" w:ascii="仿宋" w:hAnsi="仿宋" w:eastAsia="仿宋"/>
          <w:b/>
          <w:color w:val="auto"/>
          <w:sz w:val="32"/>
          <w:szCs w:val="32"/>
          <w:highlight w:val="none"/>
        </w:rPr>
        <w:t>出</w:t>
      </w:r>
      <w:r>
        <w:rPr>
          <w:rFonts w:hint="eastAsia" w:ascii="仿宋" w:hAnsi="仿宋" w:eastAsia="仿宋"/>
          <w:color w:val="auto"/>
          <w:sz w:val="32"/>
          <w:szCs w:val="32"/>
          <w:highlight w:val="none"/>
          <w:lang w:val="en-US" w:eastAsia="zh-CN"/>
        </w:rPr>
        <w:t>1829.57</w:t>
      </w:r>
      <w:r>
        <w:rPr>
          <w:rFonts w:hint="eastAsia" w:ascii="仿宋" w:hAnsi="仿宋" w:eastAsia="仿宋"/>
          <w:color w:val="auto"/>
          <w:sz w:val="32"/>
          <w:szCs w:val="32"/>
          <w:highlight w:val="none"/>
        </w:rPr>
        <w:t>万元，占</w:t>
      </w:r>
      <w:r>
        <w:rPr>
          <w:rFonts w:hint="eastAsia" w:ascii="仿宋" w:hAnsi="仿宋" w:eastAsia="仿宋"/>
          <w:color w:val="000000" w:themeColor="text1"/>
          <w:sz w:val="32"/>
          <w:szCs w:val="32"/>
          <w:highlight w:val="none"/>
          <w:lang w:val="en-US" w:eastAsia="zh-CN"/>
          <w14:textFill>
            <w14:solidFill>
              <w14:schemeClr w14:val="tx1"/>
            </w14:solidFill>
          </w14:textFill>
        </w:rPr>
        <w:t>78.4</w:t>
      </w: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b/>
          <w:bCs/>
          <w:color w:val="000000" w:themeColor="text1"/>
          <w:sz w:val="32"/>
          <w:szCs w:val="32"/>
          <w:highlight w:val="none"/>
          <w14:textFill>
            <w14:solidFill>
              <w14:schemeClr w14:val="tx1"/>
            </w14:solidFill>
          </w14:textFill>
        </w:rPr>
        <w:t>住房保障支出</w:t>
      </w:r>
      <w:r>
        <w:rPr>
          <w:rFonts w:hint="eastAsia" w:ascii="仿宋" w:hAnsi="仿宋" w:eastAsia="仿宋"/>
          <w:b/>
          <w:bCs/>
          <w:color w:val="000000" w:themeColor="text1"/>
          <w:sz w:val="32"/>
          <w:szCs w:val="32"/>
          <w:highlight w:val="none"/>
          <w:lang w:val="en-US" w:eastAsia="zh-CN"/>
          <w14:textFill>
            <w14:solidFill>
              <w14:schemeClr w14:val="tx1"/>
            </w14:solidFill>
          </w14:textFill>
        </w:rPr>
        <w:t>133.35</w:t>
      </w:r>
      <w:r>
        <w:rPr>
          <w:rFonts w:hint="eastAsia" w:ascii="仿宋" w:hAnsi="仿宋" w:eastAsia="仿宋"/>
          <w:b/>
          <w:bCs/>
          <w:color w:val="000000" w:themeColor="text1"/>
          <w:sz w:val="32"/>
          <w:szCs w:val="32"/>
          <w:highlight w:val="none"/>
          <w14:textFill>
            <w14:solidFill>
              <w14:schemeClr w14:val="tx1"/>
            </w14:solidFill>
          </w14:textFill>
        </w:rPr>
        <w:t>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5.7</w:t>
      </w:r>
      <w:r>
        <w:rPr>
          <w:rFonts w:hint="eastAsia" w:ascii="仿宋" w:hAnsi="仿宋" w:eastAsia="仿宋"/>
          <w:color w:val="auto"/>
          <w:sz w:val="32"/>
          <w:szCs w:val="32"/>
          <w:highlight w:val="none"/>
        </w:rPr>
        <w:t>%。</w:t>
      </w:r>
    </w:p>
    <w:p w14:paraId="7EA01CCD">
      <w:pPr>
        <w:spacing w:line="600" w:lineRule="exact"/>
        <w:ind w:firstLine="640"/>
        <w:rPr>
          <w:rFonts w:ascii="仿宋" w:hAnsi="仿宋" w:eastAsia="仿宋"/>
          <w:color w:val="auto"/>
          <w:sz w:val="32"/>
          <w:szCs w:val="32"/>
          <w:highlight w:val="none"/>
        </w:rPr>
      </w:pPr>
    </w:p>
    <w:p w14:paraId="7F70B32A">
      <w:pPr>
        <w:pStyle w:val="2"/>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FA114EA">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0B1A17E4">
      <w:pPr>
        <w:spacing w:line="600" w:lineRule="exact"/>
        <w:ind w:firstLine="640" w:firstLineChars="200"/>
        <w:rPr>
          <w:rFonts w:ascii="仿宋" w:hAnsi="仿宋" w:eastAsia="仿宋"/>
          <w:color w:val="auto"/>
          <w:sz w:val="32"/>
          <w:szCs w:val="32"/>
          <w:highlight w:val="none"/>
        </w:rPr>
      </w:pPr>
    </w:p>
    <w:p w14:paraId="29954B39">
      <w:pPr>
        <w:spacing w:line="600" w:lineRule="exact"/>
        <w:ind w:firstLine="643" w:firstLineChars="200"/>
        <w:outlineLvl w:val="2"/>
        <w:rPr>
          <w:rFonts w:ascii="仿宋" w:hAnsi="仿宋" w:eastAsia="仿宋"/>
          <w:b/>
          <w:color w:val="000000" w:themeColor="text1"/>
          <w:sz w:val="32"/>
          <w:szCs w:val="32"/>
          <w:highlight w:val="none"/>
          <w14:textFill>
            <w14:solidFill>
              <w14:schemeClr w14:val="tx1"/>
            </w14:solidFill>
          </w14:textFill>
        </w:rPr>
      </w:pPr>
      <w:r>
        <w:rPr>
          <w:rFonts w:hint="eastAsia" w:ascii="仿宋" w:hAnsi="仿宋" w:eastAsia="仿宋"/>
          <w:b/>
          <w:color w:val="000000" w:themeColor="text1"/>
          <w:sz w:val="32"/>
          <w:szCs w:val="32"/>
          <w:highlight w:val="none"/>
          <w14:textFill>
            <w14:solidFill>
              <w14:schemeClr w14:val="tx1"/>
            </w14:solidFill>
          </w14:textFill>
        </w:rPr>
        <w:t>（三）一般公共预算财政拨款支出决算具体情况</w:t>
      </w:r>
    </w:p>
    <w:p w14:paraId="63C8AB0B">
      <w:pPr>
        <w:spacing w:line="600" w:lineRule="exact"/>
        <w:ind w:firstLine="643" w:firstLineChars="200"/>
        <w:outlineLvl w:val="1"/>
        <w:rPr>
          <w:rFonts w:ascii="仿宋" w:hAnsi="仿宋" w:eastAsia="仿宋"/>
          <w:color w:val="000000" w:themeColor="text1"/>
          <w:sz w:val="32"/>
          <w:szCs w:val="32"/>
          <w:highlight w:val="none"/>
          <w14:textFill>
            <w14:solidFill>
              <w14:schemeClr w14:val="tx1"/>
            </w14:solidFill>
          </w14:textFill>
        </w:rPr>
      </w:pPr>
      <w:bookmarkStart w:id="22" w:name="_Toc18379"/>
      <w:bookmarkStart w:id="23" w:name="_Toc5514"/>
      <w:r>
        <w:rPr>
          <w:rFonts w:hint="eastAsia" w:ascii="仿宋" w:hAnsi="仿宋" w:eastAsia="仿宋"/>
          <w:b/>
          <w:color w:val="000000" w:themeColor="text1"/>
          <w:sz w:val="32"/>
          <w:szCs w:val="32"/>
          <w:highlight w:val="none"/>
          <w:lang w:eastAsia="zh-CN"/>
          <w14:textFill>
            <w14:solidFill>
              <w14:schemeClr w14:val="tx1"/>
            </w14:solidFill>
          </w14:textFill>
        </w:rPr>
        <w:t>2023</w:t>
      </w:r>
      <w:r>
        <w:rPr>
          <w:rFonts w:hint="eastAsia" w:ascii="仿宋" w:hAnsi="仿宋" w:eastAsia="仿宋"/>
          <w:b/>
          <w:color w:val="000000" w:themeColor="text1"/>
          <w:sz w:val="32"/>
          <w:szCs w:val="32"/>
          <w:highlight w:val="none"/>
          <w14:textFill>
            <w14:solidFill>
              <w14:schemeClr w14:val="tx1"/>
            </w14:solidFill>
          </w14:textFill>
        </w:rPr>
        <w:t>年</w:t>
      </w:r>
      <w:r>
        <w:rPr>
          <w:rFonts w:hint="eastAsia" w:ascii="仿宋" w:hAnsi="仿宋" w:eastAsia="仿宋"/>
          <w:b/>
          <w:color w:val="000000" w:themeColor="text1"/>
          <w:sz w:val="32"/>
          <w:szCs w:val="32"/>
          <w:highlight w:val="none"/>
          <w:lang w:eastAsia="zh-CN"/>
          <w14:textFill>
            <w14:solidFill>
              <w14:schemeClr w14:val="tx1"/>
            </w14:solidFill>
          </w14:textFill>
        </w:rPr>
        <w:t>度一</w:t>
      </w:r>
      <w:r>
        <w:rPr>
          <w:rFonts w:hint="eastAsia" w:ascii="仿宋" w:hAnsi="仿宋" w:eastAsia="仿宋"/>
          <w:b/>
          <w:color w:val="000000" w:themeColor="text1"/>
          <w:sz w:val="32"/>
          <w:szCs w:val="32"/>
          <w:highlight w:val="none"/>
          <w14:textFill>
            <w14:solidFill>
              <w14:schemeClr w14:val="tx1"/>
            </w14:solidFill>
          </w14:textFill>
        </w:rPr>
        <w:t>般公共预算</w:t>
      </w:r>
      <w:r>
        <w:rPr>
          <w:rFonts w:hint="eastAsia" w:ascii="仿宋" w:hAnsi="仿宋" w:eastAsia="仿宋"/>
          <w:b/>
          <w:color w:val="auto"/>
          <w:sz w:val="32"/>
          <w:szCs w:val="32"/>
          <w:highlight w:val="none"/>
        </w:rPr>
        <w:t>支出决算数为</w:t>
      </w:r>
      <w:r>
        <w:rPr>
          <w:rFonts w:hint="eastAsia" w:ascii="仿宋" w:hAnsi="仿宋" w:eastAsia="仿宋"/>
          <w:b/>
          <w:color w:val="auto"/>
          <w:sz w:val="32"/>
          <w:szCs w:val="32"/>
          <w:highlight w:val="none"/>
          <w:lang w:val="en-US" w:eastAsia="zh-CN"/>
        </w:rPr>
        <w:t>2334.05万元</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w:t>
      </w:r>
      <w:r>
        <w:rPr>
          <w:rStyle w:val="15"/>
          <w:rFonts w:hint="eastAsia" w:ascii="仿宋" w:hAnsi="仿宋" w:eastAsia="仿宋"/>
          <w:bCs/>
          <w:color w:val="000000" w:themeColor="text1"/>
          <w:sz w:val="32"/>
          <w:szCs w:val="32"/>
          <w:highlight w:val="none"/>
          <w14:textFill>
            <w14:solidFill>
              <w14:schemeClr w14:val="tx1"/>
            </w14:solidFill>
          </w14:textFill>
        </w:rPr>
        <w:t>成预算</w:t>
      </w:r>
      <w:r>
        <w:rPr>
          <w:rStyle w:val="15"/>
          <w:rFonts w:hint="eastAsia" w:ascii="仿宋" w:hAnsi="仿宋" w:eastAsia="仿宋"/>
          <w:bCs/>
          <w:color w:val="000000" w:themeColor="text1"/>
          <w:sz w:val="32"/>
          <w:szCs w:val="32"/>
          <w:highlight w:val="none"/>
          <w:lang w:val="en-US" w:eastAsia="zh-CN"/>
          <w14:textFill>
            <w14:solidFill>
              <w14:schemeClr w14:val="tx1"/>
            </w14:solidFill>
          </w14:textFill>
        </w:rPr>
        <w:t>100</w:t>
      </w:r>
      <w:r>
        <w:rPr>
          <w:rStyle w:val="15"/>
          <w:rFonts w:ascii="仿宋" w:hAnsi="仿宋" w:eastAsia="仿宋"/>
          <w:bCs/>
          <w:color w:val="000000" w:themeColor="text1"/>
          <w:sz w:val="32"/>
          <w:szCs w:val="32"/>
          <w:highlight w:val="none"/>
          <w14:textFill>
            <w14:solidFill>
              <w14:schemeClr w14:val="tx1"/>
            </w14:solidFill>
          </w14:textFill>
        </w:rPr>
        <w:t>%</w:t>
      </w:r>
      <w:r>
        <w:rPr>
          <w:rStyle w:val="15"/>
          <w:rFonts w:hint="eastAsia" w:ascii="仿宋" w:hAnsi="仿宋" w:eastAsia="仿宋"/>
          <w:bCs/>
          <w:color w:val="000000" w:themeColor="text1"/>
          <w:sz w:val="32"/>
          <w:szCs w:val="32"/>
          <w:highlight w:val="none"/>
          <w14:textFill>
            <w14:solidFill>
              <w14:schemeClr w14:val="tx1"/>
            </w14:solidFill>
          </w14:textFill>
        </w:rPr>
        <w:t>。其中：</w:t>
      </w:r>
      <w:bookmarkEnd w:id="22"/>
      <w:bookmarkEnd w:id="23"/>
    </w:p>
    <w:p w14:paraId="532802C3">
      <w:pPr>
        <w:spacing w:line="600" w:lineRule="exact"/>
        <w:ind w:firstLine="643" w:firstLineChars="200"/>
        <w:rPr>
          <w:rFonts w:ascii="仿宋" w:hAnsi="仿宋" w:eastAsia="仿宋"/>
          <w:b/>
          <w:color w:val="000000" w:themeColor="text1"/>
          <w:sz w:val="32"/>
          <w:szCs w:val="32"/>
          <w:highlight w:val="none"/>
          <w14:textFill>
            <w14:solidFill>
              <w14:schemeClr w14:val="tx1"/>
            </w14:solidFill>
          </w14:textFill>
        </w:rPr>
      </w:pPr>
      <w:r>
        <w:rPr>
          <w:rStyle w:val="15"/>
          <w:rFonts w:ascii="仿宋" w:hAnsi="仿宋" w:eastAsia="仿宋"/>
          <w:bCs/>
          <w:color w:val="000000" w:themeColor="text1"/>
          <w:sz w:val="32"/>
          <w:szCs w:val="32"/>
          <w:highlight w:val="none"/>
          <w14:textFill>
            <w14:solidFill>
              <w14:schemeClr w14:val="tx1"/>
            </w14:solidFill>
          </w14:textFill>
        </w:rPr>
        <w:t>1.</w:t>
      </w:r>
      <w:r>
        <w:rPr>
          <w:rStyle w:val="15"/>
          <w:rFonts w:hint="eastAsia" w:ascii="仿宋" w:hAnsi="仿宋" w:eastAsia="仿宋"/>
          <w:bCs/>
          <w:color w:val="000000" w:themeColor="text1"/>
          <w:sz w:val="32"/>
          <w:szCs w:val="32"/>
          <w:highlight w:val="none"/>
          <w14:textFill>
            <w14:solidFill>
              <w14:schemeClr w14:val="tx1"/>
            </w14:solidFill>
          </w14:textFill>
        </w:rPr>
        <w:t>社会保障和就业支出（类）行政事业单位养老支出（款）机关事业单位基本养老保险缴费支出（项）</w:t>
      </w:r>
      <w:r>
        <w:rPr>
          <w:rStyle w:val="15"/>
          <w:rFonts w:ascii="仿宋" w:hAnsi="仿宋" w:eastAsia="仿宋"/>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支出决算为</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166.42</w:t>
      </w:r>
      <w:r>
        <w:rPr>
          <w:rStyle w:val="15"/>
          <w:rFonts w:hint="eastAsia" w:ascii="仿宋" w:hAnsi="仿宋" w:eastAsia="仿宋"/>
          <w:b w:val="0"/>
          <w:bCs/>
          <w:color w:val="000000" w:themeColor="text1"/>
          <w:sz w:val="32"/>
          <w:szCs w:val="32"/>
          <w:highlight w:val="none"/>
          <w14:textFill>
            <w14:solidFill>
              <w14:schemeClr w14:val="tx1"/>
            </w14:solidFill>
          </w14:textFill>
        </w:rPr>
        <w:t>万元，完成预算</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100</w:t>
      </w:r>
      <w:r>
        <w:rPr>
          <w:rStyle w:val="15"/>
          <w:rFonts w:ascii="仿宋" w:hAnsi="仿宋" w:eastAsia="仿宋"/>
          <w:b w:val="0"/>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，决算数等于预算数。</w:t>
      </w:r>
    </w:p>
    <w:p w14:paraId="3FFCE024">
      <w:pPr>
        <w:spacing w:line="600" w:lineRule="exact"/>
        <w:ind w:firstLine="643" w:firstLineChars="200"/>
        <w:rPr>
          <w:rFonts w:ascii="仿宋" w:hAnsi="仿宋" w:eastAsia="仿宋"/>
          <w:b/>
          <w:color w:val="000000" w:themeColor="text1"/>
          <w:sz w:val="32"/>
          <w:szCs w:val="32"/>
          <w:highlight w:val="none"/>
          <w14:textFill>
            <w14:solidFill>
              <w14:schemeClr w14:val="tx1"/>
            </w14:solidFill>
          </w14:textFill>
        </w:rPr>
      </w:pPr>
      <w:r>
        <w:rPr>
          <w:rStyle w:val="15"/>
          <w:rFonts w:ascii="仿宋" w:hAnsi="仿宋" w:eastAsia="仿宋"/>
          <w:bCs/>
          <w:color w:val="000000" w:themeColor="text1"/>
          <w:sz w:val="32"/>
          <w:szCs w:val="32"/>
          <w:highlight w:val="none"/>
          <w14:textFill>
            <w14:solidFill>
              <w14:schemeClr w14:val="tx1"/>
            </w14:solidFill>
          </w14:textFill>
        </w:rPr>
        <w:t>2..</w:t>
      </w:r>
      <w:r>
        <w:rPr>
          <w:rStyle w:val="15"/>
          <w:rFonts w:hint="eastAsia" w:ascii="仿宋" w:hAnsi="仿宋" w:eastAsia="仿宋"/>
          <w:bCs/>
          <w:color w:val="000000" w:themeColor="text1"/>
          <w:sz w:val="32"/>
          <w:szCs w:val="32"/>
          <w:highlight w:val="none"/>
          <w14:textFill>
            <w14:solidFill>
              <w14:schemeClr w14:val="tx1"/>
            </w14:solidFill>
          </w14:textFill>
        </w:rPr>
        <w:t>社会保障和就业支出（类）行政事业单位养老支出（款）机关事业单位职业年金缴费支出（项）</w:t>
      </w:r>
      <w:r>
        <w:rPr>
          <w:rStyle w:val="15"/>
          <w:rFonts w:ascii="仿宋" w:hAnsi="仿宋" w:eastAsia="仿宋"/>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支出决算为</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83.21</w:t>
      </w:r>
      <w:r>
        <w:rPr>
          <w:rStyle w:val="15"/>
          <w:rFonts w:hint="eastAsia" w:ascii="仿宋" w:hAnsi="仿宋" w:eastAsia="仿宋"/>
          <w:b w:val="0"/>
          <w:bCs/>
          <w:color w:val="000000" w:themeColor="text1"/>
          <w:sz w:val="32"/>
          <w:szCs w:val="32"/>
          <w:highlight w:val="none"/>
          <w14:textFill>
            <w14:solidFill>
              <w14:schemeClr w14:val="tx1"/>
            </w14:solidFill>
          </w14:textFill>
        </w:rPr>
        <w:t>万元，完成预算</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100</w:t>
      </w:r>
      <w:r>
        <w:rPr>
          <w:rStyle w:val="15"/>
          <w:rFonts w:ascii="仿宋" w:hAnsi="仿宋" w:eastAsia="仿宋"/>
          <w:b w:val="0"/>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，决算数等于预算数。</w:t>
      </w:r>
    </w:p>
    <w:p w14:paraId="25DA0ABB">
      <w:pPr>
        <w:spacing w:line="600" w:lineRule="exact"/>
        <w:ind w:firstLine="643" w:firstLineChars="200"/>
        <w:rPr>
          <w:rFonts w:ascii="仿宋" w:hAnsi="仿宋" w:eastAsia="仿宋"/>
          <w:b/>
          <w:color w:val="000000" w:themeColor="text1"/>
          <w:sz w:val="32"/>
          <w:szCs w:val="32"/>
          <w:highlight w:val="none"/>
          <w14:textFill>
            <w14:solidFill>
              <w14:schemeClr w14:val="tx1"/>
            </w14:solidFill>
          </w14:textFill>
        </w:rPr>
      </w:pPr>
      <w:r>
        <w:rPr>
          <w:rStyle w:val="15"/>
          <w:rFonts w:ascii="仿宋" w:hAnsi="仿宋" w:eastAsia="仿宋"/>
          <w:bCs/>
          <w:color w:val="000000" w:themeColor="text1"/>
          <w:sz w:val="32"/>
          <w:szCs w:val="32"/>
          <w:highlight w:val="none"/>
          <w14:textFill>
            <w14:solidFill>
              <w14:schemeClr w14:val="tx1"/>
            </w14:solidFill>
          </w14:textFill>
        </w:rPr>
        <w:t>3.</w:t>
      </w:r>
      <w:r>
        <w:rPr>
          <w:rStyle w:val="15"/>
          <w:rFonts w:hint="eastAsia" w:ascii="仿宋" w:hAnsi="仿宋" w:eastAsia="仿宋"/>
          <w:bCs/>
          <w:color w:val="000000" w:themeColor="text1"/>
          <w:sz w:val="32"/>
          <w:szCs w:val="32"/>
          <w:highlight w:val="none"/>
          <w14:textFill>
            <w14:solidFill>
              <w14:schemeClr w14:val="tx1"/>
            </w14:solidFill>
          </w14:textFill>
        </w:rPr>
        <w:t>卫生健康支出（类）行政事业单位医疗（款）事业单位医疗（项）</w:t>
      </w:r>
      <w:r>
        <w:rPr>
          <w:rStyle w:val="15"/>
          <w:rFonts w:ascii="仿宋" w:hAnsi="仿宋" w:eastAsia="仿宋"/>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支出决算为</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82.08</w:t>
      </w:r>
      <w:r>
        <w:rPr>
          <w:rStyle w:val="15"/>
          <w:rFonts w:hint="eastAsia" w:ascii="仿宋" w:hAnsi="仿宋" w:eastAsia="仿宋"/>
          <w:b w:val="0"/>
          <w:bCs/>
          <w:color w:val="000000" w:themeColor="text1"/>
          <w:sz w:val="32"/>
          <w:szCs w:val="32"/>
          <w:highlight w:val="none"/>
          <w14:textFill>
            <w14:solidFill>
              <w14:schemeClr w14:val="tx1"/>
            </w14:solidFill>
          </w14:textFill>
        </w:rPr>
        <w:t>万元，完成预算</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100</w:t>
      </w:r>
      <w:r>
        <w:rPr>
          <w:rStyle w:val="15"/>
          <w:rFonts w:ascii="仿宋" w:hAnsi="仿宋" w:eastAsia="仿宋"/>
          <w:b w:val="0"/>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，决算数等于预算数。</w:t>
      </w:r>
    </w:p>
    <w:p w14:paraId="242D700E">
      <w:pPr>
        <w:spacing w:line="600" w:lineRule="exact"/>
        <w:ind w:firstLine="643" w:firstLineChars="200"/>
        <w:rPr>
          <w:rFonts w:ascii="仿宋" w:hAnsi="仿宋" w:eastAsia="仿宋"/>
          <w:b/>
          <w:color w:val="000000" w:themeColor="text1"/>
          <w:sz w:val="32"/>
          <w:szCs w:val="32"/>
          <w:highlight w:val="none"/>
          <w14:textFill>
            <w14:solidFill>
              <w14:schemeClr w14:val="tx1"/>
            </w14:solidFill>
          </w14:textFill>
        </w:rPr>
      </w:pPr>
      <w:r>
        <w:rPr>
          <w:rStyle w:val="15"/>
          <w:rFonts w:ascii="仿宋" w:hAnsi="仿宋" w:eastAsia="仿宋"/>
          <w:bCs/>
          <w:color w:val="000000" w:themeColor="text1"/>
          <w:sz w:val="32"/>
          <w:szCs w:val="32"/>
          <w:highlight w:val="none"/>
          <w14:textFill>
            <w14:solidFill>
              <w14:schemeClr w14:val="tx1"/>
            </w14:solidFill>
          </w14:textFill>
        </w:rPr>
        <w:t>4.</w:t>
      </w:r>
      <w:r>
        <w:rPr>
          <w:rStyle w:val="15"/>
          <w:rFonts w:hint="eastAsia" w:ascii="仿宋" w:hAnsi="仿宋" w:eastAsia="仿宋"/>
          <w:bCs/>
          <w:color w:val="000000" w:themeColor="text1"/>
          <w:sz w:val="32"/>
          <w:szCs w:val="32"/>
          <w:highlight w:val="none"/>
          <w14:textFill>
            <w14:solidFill>
              <w14:schemeClr w14:val="tx1"/>
            </w14:solidFill>
          </w14:textFill>
        </w:rPr>
        <w:t>卫生健康支出（类）行政事业单位医疗（款）其他行政事业单位医疗支出（项）</w:t>
      </w:r>
      <w:r>
        <w:rPr>
          <w:rStyle w:val="15"/>
          <w:rFonts w:ascii="仿宋" w:hAnsi="仿宋" w:eastAsia="仿宋"/>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支出决算为</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39.41</w:t>
      </w:r>
      <w:r>
        <w:rPr>
          <w:rStyle w:val="15"/>
          <w:rFonts w:hint="eastAsia" w:ascii="仿宋" w:hAnsi="仿宋" w:eastAsia="仿宋"/>
          <w:b w:val="0"/>
          <w:bCs/>
          <w:color w:val="000000" w:themeColor="text1"/>
          <w:sz w:val="32"/>
          <w:szCs w:val="32"/>
          <w:highlight w:val="none"/>
          <w14:textFill>
            <w14:solidFill>
              <w14:schemeClr w14:val="tx1"/>
            </w14:solidFill>
          </w14:textFill>
        </w:rPr>
        <w:t>万元，完成预算</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100</w:t>
      </w:r>
      <w:r>
        <w:rPr>
          <w:rStyle w:val="15"/>
          <w:rFonts w:ascii="仿宋" w:hAnsi="仿宋" w:eastAsia="仿宋"/>
          <w:b w:val="0"/>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，决算数等于预算数。</w:t>
      </w:r>
    </w:p>
    <w:p w14:paraId="5B190582">
      <w:pPr>
        <w:spacing w:line="600" w:lineRule="exact"/>
        <w:ind w:firstLine="643" w:firstLineChars="200"/>
        <w:rPr>
          <w:rFonts w:ascii="仿宋" w:hAnsi="仿宋" w:eastAsia="仿宋"/>
          <w:b/>
          <w:color w:val="000000" w:themeColor="text1"/>
          <w:sz w:val="32"/>
          <w:szCs w:val="32"/>
          <w:highlight w:val="none"/>
          <w14:textFill>
            <w14:solidFill>
              <w14:schemeClr w14:val="tx1"/>
            </w14:solidFill>
          </w14:textFill>
        </w:rPr>
      </w:pPr>
      <w:r>
        <w:rPr>
          <w:rStyle w:val="15"/>
          <w:rFonts w:ascii="仿宋" w:hAnsi="仿宋" w:eastAsia="仿宋"/>
          <w:bCs/>
          <w:color w:val="000000" w:themeColor="text1"/>
          <w:sz w:val="32"/>
          <w:szCs w:val="32"/>
          <w:highlight w:val="none"/>
          <w14:textFill>
            <w14:solidFill>
              <w14:schemeClr w14:val="tx1"/>
            </w14:solidFill>
          </w14:textFill>
        </w:rPr>
        <w:t>5.</w:t>
      </w:r>
      <w:r>
        <w:rPr>
          <w:rStyle w:val="15"/>
          <w:rFonts w:hint="eastAsia" w:ascii="仿宋" w:hAnsi="仿宋" w:eastAsia="仿宋"/>
          <w:bCs/>
          <w:color w:val="000000" w:themeColor="text1"/>
          <w:sz w:val="32"/>
          <w:szCs w:val="32"/>
          <w:highlight w:val="none"/>
          <w14:textFill>
            <w14:solidFill>
              <w14:schemeClr w14:val="tx1"/>
            </w14:solidFill>
          </w14:textFill>
        </w:rPr>
        <w:t>交通运输支出（类）公路水路运输（款）公路养护（项）</w:t>
      </w:r>
      <w:r>
        <w:rPr>
          <w:rStyle w:val="15"/>
          <w:rFonts w:ascii="仿宋" w:hAnsi="仿宋" w:eastAsia="仿宋"/>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支出决算为</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1829.57</w:t>
      </w:r>
      <w:r>
        <w:rPr>
          <w:rStyle w:val="15"/>
          <w:rFonts w:hint="eastAsia" w:ascii="仿宋" w:hAnsi="仿宋" w:eastAsia="仿宋"/>
          <w:b w:val="0"/>
          <w:bCs/>
          <w:color w:val="000000" w:themeColor="text1"/>
          <w:sz w:val="32"/>
          <w:szCs w:val="32"/>
          <w:highlight w:val="none"/>
          <w14:textFill>
            <w14:solidFill>
              <w14:schemeClr w14:val="tx1"/>
            </w14:solidFill>
          </w14:textFill>
        </w:rPr>
        <w:t>万元，完成预算</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100</w:t>
      </w:r>
      <w:r>
        <w:rPr>
          <w:rStyle w:val="15"/>
          <w:rFonts w:ascii="仿宋" w:hAnsi="仿宋" w:eastAsia="仿宋"/>
          <w:b w:val="0"/>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，决算数等于预算数。</w:t>
      </w:r>
    </w:p>
    <w:p w14:paraId="17C8DDCD">
      <w:pPr>
        <w:spacing w:line="600" w:lineRule="exact"/>
        <w:ind w:firstLine="643" w:firstLineChars="200"/>
        <w:rPr>
          <w:rStyle w:val="15"/>
          <w:rFonts w:hint="eastAsia" w:ascii="仿宋" w:hAnsi="仿宋" w:eastAsia="仿宋"/>
          <w:b w:val="0"/>
          <w:bCs/>
          <w:color w:val="000000" w:themeColor="text1"/>
          <w:sz w:val="32"/>
          <w:szCs w:val="32"/>
          <w:highlight w:val="none"/>
          <w14:textFill>
            <w14:solidFill>
              <w14:schemeClr w14:val="tx1"/>
            </w14:solidFill>
          </w14:textFill>
        </w:rPr>
      </w:pPr>
      <w:r>
        <w:rPr>
          <w:rStyle w:val="15"/>
          <w:rFonts w:ascii="仿宋" w:hAnsi="仿宋" w:eastAsia="仿宋"/>
          <w:bCs/>
          <w:color w:val="000000" w:themeColor="text1"/>
          <w:sz w:val="32"/>
          <w:szCs w:val="32"/>
          <w:highlight w:val="none"/>
          <w14:textFill>
            <w14:solidFill>
              <w14:schemeClr w14:val="tx1"/>
            </w14:solidFill>
          </w14:textFill>
        </w:rPr>
        <w:t>6.</w:t>
      </w:r>
      <w:r>
        <w:rPr>
          <w:rFonts w:hint="eastAsia" w:ascii="仿宋" w:hAnsi="仿宋" w:eastAsia="仿宋"/>
          <w:b/>
          <w:bCs/>
          <w:color w:val="000000" w:themeColor="text1"/>
          <w:sz w:val="32"/>
          <w:szCs w:val="32"/>
          <w:highlight w:val="none"/>
          <w14:textFill>
            <w14:solidFill>
              <w14:schemeClr w14:val="tx1"/>
            </w14:solidFill>
          </w14:textFill>
        </w:rPr>
        <w:t>住房保障支出</w:t>
      </w:r>
      <w:r>
        <w:rPr>
          <w:rStyle w:val="15"/>
          <w:rFonts w:hint="eastAsia" w:ascii="仿宋" w:hAnsi="仿宋" w:eastAsia="仿宋"/>
          <w:bCs/>
          <w:color w:val="000000" w:themeColor="text1"/>
          <w:sz w:val="32"/>
          <w:szCs w:val="32"/>
          <w:highlight w:val="none"/>
          <w14:textFill>
            <w14:solidFill>
              <w14:schemeClr w14:val="tx1"/>
            </w14:solidFill>
          </w14:textFill>
        </w:rPr>
        <w:t>（类）住房改革支出（款）住房公积金（项）</w:t>
      </w:r>
      <w:r>
        <w:rPr>
          <w:rStyle w:val="15"/>
          <w:rFonts w:ascii="仿宋" w:hAnsi="仿宋" w:eastAsia="仿宋"/>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支出决算为</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132.35</w:t>
      </w:r>
      <w:r>
        <w:rPr>
          <w:rStyle w:val="15"/>
          <w:rFonts w:hint="eastAsia" w:ascii="仿宋" w:hAnsi="仿宋" w:eastAsia="仿宋"/>
          <w:b w:val="0"/>
          <w:bCs/>
          <w:color w:val="000000" w:themeColor="text1"/>
          <w:sz w:val="32"/>
          <w:szCs w:val="32"/>
          <w:highlight w:val="none"/>
          <w14:textFill>
            <w14:solidFill>
              <w14:schemeClr w14:val="tx1"/>
            </w14:solidFill>
          </w14:textFill>
        </w:rPr>
        <w:t>万元，完成预算</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100</w:t>
      </w:r>
      <w:r>
        <w:rPr>
          <w:rStyle w:val="15"/>
          <w:rFonts w:ascii="仿宋" w:hAnsi="仿宋" w:eastAsia="仿宋"/>
          <w:b w:val="0"/>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，决算数等于预算数。</w:t>
      </w:r>
    </w:p>
    <w:p w14:paraId="1A78EA79">
      <w:pPr>
        <w:pStyle w:val="2"/>
        <w:ind w:firstLine="643" w:firstLineChars="200"/>
        <w:rPr>
          <w:rFonts w:ascii="仿宋" w:hAnsi="仿宋" w:eastAsia="仿宋"/>
          <w:b/>
          <w:color w:val="000000" w:themeColor="text1"/>
          <w:sz w:val="32"/>
          <w:szCs w:val="32"/>
          <w:highlight w:val="none"/>
          <w14:textFill>
            <w14:solidFill>
              <w14:schemeClr w14:val="tx1"/>
            </w14:solidFill>
          </w14:textFill>
        </w:rPr>
      </w:pPr>
      <w:r>
        <w:rPr>
          <w:rStyle w:val="15"/>
          <w:rFonts w:hint="eastAsia" w:ascii="仿宋" w:hAnsi="仿宋" w:eastAsia="仿宋"/>
          <w:bCs/>
          <w:color w:val="000000" w:themeColor="text1"/>
          <w:sz w:val="32"/>
          <w:szCs w:val="32"/>
          <w:highlight w:val="none"/>
          <w:lang w:val="en-US" w:eastAsia="zh-CN"/>
          <w14:textFill>
            <w14:solidFill>
              <w14:schemeClr w14:val="tx1"/>
            </w14:solidFill>
          </w14:textFill>
        </w:rPr>
        <w:t>7</w:t>
      </w:r>
      <w:r>
        <w:rPr>
          <w:rStyle w:val="15"/>
          <w:rFonts w:ascii="仿宋" w:hAnsi="仿宋" w:eastAsia="仿宋"/>
          <w:bCs/>
          <w:color w:val="000000" w:themeColor="text1"/>
          <w:sz w:val="32"/>
          <w:szCs w:val="32"/>
          <w:highlight w:val="none"/>
          <w14:textFill>
            <w14:solidFill>
              <w14:schemeClr w14:val="tx1"/>
            </w14:solidFill>
          </w14:textFill>
        </w:rPr>
        <w:t>.</w:t>
      </w:r>
      <w:r>
        <w:rPr>
          <w:rFonts w:hint="eastAsia" w:ascii="仿宋" w:hAnsi="仿宋" w:eastAsia="仿宋"/>
          <w:b/>
          <w:bCs/>
          <w:color w:val="000000" w:themeColor="text1"/>
          <w:sz w:val="32"/>
          <w:szCs w:val="32"/>
          <w:highlight w:val="none"/>
          <w14:textFill>
            <w14:solidFill>
              <w14:schemeClr w14:val="tx1"/>
            </w14:solidFill>
          </w14:textFill>
        </w:rPr>
        <w:t>住房保障支出</w:t>
      </w:r>
      <w:r>
        <w:rPr>
          <w:rStyle w:val="15"/>
          <w:rFonts w:hint="eastAsia" w:ascii="仿宋" w:hAnsi="仿宋" w:eastAsia="仿宋"/>
          <w:bCs/>
          <w:color w:val="000000" w:themeColor="text1"/>
          <w:sz w:val="32"/>
          <w:szCs w:val="32"/>
          <w:highlight w:val="none"/>
          <w14:textFill>
            <w14:solidFill>
              <w14:schemeClr w14:val="tx1"/>
            </w14:solidFill>
          </w14:textFill>
        </w:rPr>
        <w:t>（类）住房改革支出（款）购房补贴（项）</w:t>
      </w:r>
      <w:r>
        <w:rPr>
          <w:rStyle w:val="15"/>
          <w:rFonts w:ascii="仿宋" w:hAnsi="仿宋" w:eastAsia="仿宋"/>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支出决算为</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1</w:t>
      </w:r>
      <w:r>
        <w:rPr>
          <w:rStyle w:val="15"/>
          <w:rFonts w:hint="eastAsia" w:ascii="仿宋" w:hAnsi="仿宋" w:eastAsia="仿宋"/>
          <w:b w:val="0"/>
          <w:bCs/>
          <w:color w:val="000000" w:themeColor="text1"/>
          <w:sz w:val="32"/>
          <w:szCs w:val="32"/>
          <w:highlight w:val="none"/>
          <w14:textFill>
            <w14:solidFill>
              <w14:schemeClr w14:val="tx1"/>
            </w14:solidFill>
          </w14:textFill>
        </w:rPr>
        <w:t>万元，完成预算</w:t>
      </w:r>
      <w:r>
        <w:rPr>
          <w:rStyle w:val="15"/>
          <w:rFonts w:hint="eastAsia" w:ascii="仿宋" w:hAnsi="仿宋" w:eastAsia="仿宋"/>
          <w:b w:val="0"/>
          <w:bCs/>
          <w:color w:val="000000" w:themeColor="text1"/>
          <w:sz w:val="32"/>
          <w:szCs w:val="32"/>
          <w:highlight w:val="none"/>
          <w:lang w:val="en-US" w:eastAsia="zh-CN"/>
          <w14:textFill>
            <w14:solidFill>
              <w14:schemeClr w14:val="tx1"/>
            </w14:solidFill>
          </w14:textFill>
        </w:rPr>
        <w:t>100</w:t>
      </w:r>
      <w:r>
        <w:rPr>
          <w:rStyle w:val="15"/>
          <w:rFonts w:ascii="仿宋" w:hAnsi="仿宋" w:eastAsia="仿宋"/>
          <w:b w:val="0"/>
          <w:bCs/>
          <w:color w:val="000000" w:themeColor="text1"/>
          <w:sz w:val="32"/>
          <w:szCs w:val="32"/>
          <w:highlight w:val="none"/>
          <w14:textFill>
            <w14:solidFill>
              <w14:schemeClr w14:val="tx1"/>
            </w14:solidFill>
          </w14:textFill>
        </w:rPr>
        <w:t>%</w:t>
      </w:r>
      <w:r>
        <w:rPr>
          <w:rStyle w:val="15"/>
          <w:rFonts w:hint="eastAsia" w:ascii="仿宋" w:hAnsi="仿宋" w:eastAsia="仿宋"/>
          <w:b w:val="0"/>
          <w:bCs/>
          <w:color w:val="000000" w:themeColor="text1"/>
          <w:sz w:val="32"/>
          <w:szCs w:val="32"/>
          <w:highlight w:val="none"/>
          <w14:textFill>
            <w14:solidFill>
              <w14:schemeClr w14:val="tx1"/>
            </w14:solidFill>
          </w14:textFill>
        </w:rPr>
        <w:t>，决算数等于预算数。</w:t>
      </w:r>
    </w:p>
    <w:p w14:paraId="05D4D481">
      <w:pPr>
        <w:tabs>
          <w:tab w:val="right" w:pos="8306"/>
        </w:tabs>
        <w:spacing w:line="600" w:lineRule="exact"/>
        <w:ind w:firstLine="640"/>
        <w:outlineLvl w:val="1"/>
        <w:rPr>
          <w:rStyle w:val="17"/>
          <w:color w:val="auto"/>
          <w:highlight w:val="none"/>
        </w:rPr>
      </w:pPr>
      <w:bookmarkStart w:id="24" w:name="_Toc5599"/>
      <w:bookmarkStart w:id="25" w:name="_Toc1724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24"/>
      <w:bookmarkEnd w:id="25"/>
      <w:r>
        <w:rPr>
          <w:rStyle w:val="17"/>
          <w:rFonts w:ascii="黑体" w:hAnsi="黑体" w:eastAsia="黑体"/>
          <w:b w:val="0"/>
          <w:color w:val="auto"/>
          <w:highlight w:val="none"/>
        </w:rPr>
        <w:tab/>
      </w:r>
    </w:p>
    <w:p w14:paraId="70E8BA32">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w:t>
      </w:r>
      <w:r>
        <w:rPr>
          <w:rFonts w:hint="eastAsia" w:ascii="仿宋" w:hAnsi="仿宋" w:eastAsia="仿宋"/>
          <w:color w:val="auto"/>
          <w:sz w:val="32"/>
          <w:szCs w:val="32"/>
          <w:highlight w:val="none"/>
          <w:lang w:val="en-US" w:eastAsia="zh-CN"/>
        </w:rPr>
        <w:t>2230.27</w:t>
      </w:r>
      <w:r>
        <w:rPr>
          <w:rFonts w:hint="eastAsia" w:ascii="仿宋" w:hAnsi="仿宋" w:eastAsia="仿宋"/>
          <w:color w:val="auto"/>
          <w:sz w:val="32"/>
          <w:szCs w:val="32"/>
          <w:highlight w:val="none"/>
        </w:rPr>
        <w:t>万元，其中：</w:t>
      </w:r>
    </w:p>
    <w:p w14:paraId="70EF0A01">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2075.45</w:t>
      </w:r>
      <w:r>
        <w:rPr>
          <w:rFonts w:hint="eastAsia" w:ascii="仿宋" w:hAnsi="仿宋" w:eastAsia="仿宋"/>
          <w:color w:val="auto"/>
          <w:sz w:val="32"/>
          <w:szCs w:val="32"/>
          <w:highlight w:val="none"/>
        </w:rPr>
        <w:t>万元，主要包括：基本工资、津贴补贴、奖金、绩效工资、机关事业单位基本养老保险缴费、职业年金缴费、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其他社会保障缴费、抚恤金、生活补助、奖励金、住房公积金等。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154.82</w:t>
      </w:r>
      <w:r>
        <w:rPr>
          <w:rFonts w:hint="eastAsia" w:ascii="仿宋" w:hAnsi="仿宋" w:eastAsia="仿宋"/>
          <w:color w:val="auto"/>
          <w:sz w:val="32"/>
          <w:szCs w:val="32"/>
          <w:highlight w:val="none"/>
        </w:rPr>
        <w:t>万元，主要包括：办公费、咨询费、手续费、水费、电费、邮电费、差旅费、维修（护）费、租赁费、培训费、公务接待费、专用材料费、委托业务费、福利费、公务用车运行维护费、其他商品和服务支出、办公设备购置等。</w:t>
      </w:r>
    </w:p>
    <w:p w14:paraId="131BF871">
      <w:pPr>
        <w:spacing w:line="600" w:lineRule="exact"/>
        <w:ind w:firstLine="640"/>
        <w:outlineLvl w:val="1"/>
        <w:rPr>
          <w:rStyle w:val="17"/>
          <w:rFonts w:ascii="黑体" w:hAnsi="黑体" w:eastAsia="黑体"/>
          <w:b w:val="0"/>
          <w:color w:val="auto"/>
          <w:highlight w:val="none"/>
        </w:rPr>
      </w:pPr>
      <w:bookmarkStart w:id="26" w:name="_Toc12125"/>
      <w:bookmarkStart w:id="27" w:name="_Toc16480"/>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26"/>
      <w:bookmarkEnd w:id="27"/>
    </w:p>
    <w:p w14:paraId="2D4D7B1D">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35A732EF">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w:t>
      </w:r>
      <w:r>
        <w:rPr>
          <w:rFonts w:hint="eastAsia" w:ascii="仿宋" w:hAnsi="仿宋" w:eastAsia="仿宋"/>
          <w:color w:val="auto"/>
          <w:sz w:val="32"/>
          <w:szCs w:val="32"/>
          <w:highlight w:val="none"/>
          <w:lang w:val="en-US" w:eastAsia="zh-CN"/>
        </w:rPr>
        <w:t>15.69</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81.9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较上年度增加</w:t>
      </w:r>
      <w:r>
        <w:rPr>
          <w:rFonts w:hint="eastAsia" w:ascii="仿宋" w:hAnsi="仿宋" w:eastAsia="仿宋"/>
          <w:color w:val="auto"/>
          <w:sz w:val="32"/>
          <w:szCs w:val="32"/>
          <w:highlight w:val="none"/>
          <w:lang w:val="en-US" w:eastAsia="zh-CN"/>
        </w:rPr>
        <w:t>5.11万元，增长48.3%。</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本单位依据厉行节约原则，缩减“三公”经费</w:t>
      </w:r>
      <w:r>
        <w:rPr>
          <w:rFonts w:hint="eastAsia" w:ascii="仿宋" w:hAnsi="仿宋" w:eastAsia="仿宋"/>
          <w:color w:val="auto"/>
          <w:sz w:val="32"/>
          <w:szCs w:val="32"/>
          <w:highlight w:val="none"/>
        </w:rPr>
        <w:t>。</w:t>
      </w:r>
    </w:p>
    <w:p w14:paraId="2B11BA10">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7EDB1425">
      <w:pPr>
        <w:spacing w:line="600" w:lineRule="exact"/>
        <w:ind w:firstLine="640"/>
        <w:rPr>
          <w:rFonts w:hint="eastAsia"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lang w:eastAsia="zh-CN"/>
          <w14:textFill>
            <w14:solidFill>
              <w14:schemeClr w14:val="tx1"/>
            </w14:solidFill>
          </w14:textFill>
        </w:rPr>
        <w:t>2023</w:t>
      </w:r>
      <w:r>
        <w:rPr>
          <w:rFonts w:hint="eastAsia" w:ascii="仿宋" w:hAnsi="仿宋" w:eastAsia="仿宋"/>
          <w:color w:val="000000" w:themeColor="text1"/>
          <w:sz w:val="32"/>
          <w:szCs w:val="32"/>
          <w:highlight w:val="none"/>
          <w14:textFill>
            <w14:solidFill>
              <w14:schemeClr w14:val="tx1"/>
            </w14:solidFill>
          </w14:textFill>
        </w:rPr>
        <w:t>年</w:t>
      </w:r>
      <w:r>
        <w:rPr>
          <w:rFonts w:hint="eastAsia" w:ascii="仿宋" w:hAnsi="仿宋" w:eastAsia="仿宋"/>
          <w:color w:val="000000" w:themeColor="text1"/>
          <w:sz w:val="32"/>
          <w:szCs w:val="32"/>
          <w:highlight w:val="none"/>
          <w:lang w:eastAsia="zh-CN"/>
          <w14:textFill>
            <w14:solidFill>
              <w14:schemeClr w14:val="tx1"/>
            </w14:solidFill>
          </w14:textFill>
        </w:rPr>
        <w:t>度</w:t>
      </w:r>
      <w:r>
        <w:rPr>
          <w:rFonts w:hint="eastAsia" w:ascii="仿宋" w:hAnsi="仿宋" w:eastAsia="仿宋"/>
          <w:color w:val="000000" w:themeColor="text1"/>
          <w:sz w:val="32"/>
          <w:szCs w:val="32"/>
          <w:highlight w:val="none"/>
          <w14:textFill>
            <w14:solidFill>
              <w14:schemeClr w14:val="tx1"/>
            </w14:solidFill>
          </w14:textFill>
        </w:rPr>
        <w:t>“三公”经费财政拨款支出决算中，</w:t>
      </w:r>
      <w:r>
        <w:rPr>
          <w:rFonts w:hint="eastAsia" w:ascii="仿宋" w:hAnsi="仿宋" w:eastAsia="仿宋"/>
          <w:color w:val="auto"/>
          <w:sz w:val="32"/>
          <w:szCs w:val="32"/>
          <w:highlight w:val="none"/>
          <w:lang w:eastAsia="zh-CN"/>
        </w:rPr>
        <w:t>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万元，占</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w:t>
      </w:r>
      <w:r>
        <w:rPr>
          <w:rFonts w:hint="eastAsia" w:ascii="仿宋" w:hAnsi="仿宋" w:eastAsia="仿宋"/>
          <w:color w:val="000000" w:themeColor="text1"/>
          <w:sz w:val="32"/>
          <w:szCs w:val="32"/>
          <w:highlight w:val="none"/>
          <w14:textFill>
            <w14:solidFill>
              <w14:schemeClr w14:val="tx1"/>
            </w14:solidFill>
          </w14:textFill>
        </w:rPr>
        <w:t>公务用车购置及运行维护费支出决算</w:t>
      </w:r>
      <w:r>
        <w:rPr>
          <w:rFonts w:hint="eastAsia" w:ascii="仿宋" w:hAnsi="仿宋" w:eastAsia="仿宋"/>
          <w:color w:val="000000" w:themeColor="text1"/>
          <w:sz w:val="32"/>
          <w:szCs w:val="32"/>
          <w:highlight w:val="none"/>
          <w:lang w:val="en-US" w:eastAsia="zh-CN"/>
          <w14:textFill>
            <w14:solidFill>
              <w14:schemeClr w14:val="tx1"/>
            </w14:solidFill>
          </w14:textFill>
        </w:rPr>
        <w:t>15.52</w:t>
      </w:r>
      <w:r>
        <w:rPr>
          <w:rFonts w:hint="eastAsia" w:ascii="仿宋" w:hAnsi="仿宋" w:eastAsia="仿宋"/>
          <w:color w:val="000000" w:themeColor="text1"/>
          <w:sz w:val="32"/>
          <w:szCs w:val="32"/>
          <w:highlight w:val="none"/>
          <w14:textFill>
            <w14:solidFill>
              <w14:schemeClr w14:val="tx1"/>
            </w14:solidFill>
          </w14:textFill>
        </w:rPr>
        <w:t>万元，占</w:t>
      </w:r>
      <w:r>
        <w:rPr>
          <w:rFonts w:hint="eastAsia" w:ascii="仿宋" w:hAnsi="仿宋" w:eastAsia="仿宋"/>
          <w:color w:val="000000" w:themeColor="text1"/>
          <w:sz w:val="32"/>
          <w:szCs w:val="32"/>
          <w:highlight w:val="none"/>
          <w:lang w:val="en-US" w:eastAsia="zh-CN"/>
          <w14:textFill>
            <w14:solidFill>
              <w14:schemeClr w14:val="tx1"/>
            </w14:solidFill>
          </w14:textFill>
        </w:rPr>
        <w:t>98.9</w:t>
      </w: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；公务接待费支出决算</w:t>
      </w:r>
      <w:r>
        <w:rPr>
          <w:rFonts w:hint="eastAsia" w:ascii="仿宋" w:hAnsi="仿宋" w:eastAsia="仿宋"/>
          <w:color w:val="000000" w:themeColor="text1"/>
          <w:sz w:val="32"/>
          <w:szCs w:val="32"/>
          <w:highlight w:val="none"/>
          <w:lang w:val="en-US" w:eastAsia="zh-CN"/>
          <w14:textFill>
            <w14:solidFill>
              <w14:schemeClr w14:val="tx1"/>
            </w14:solidFill>
          </w14:textFill>
        </w:rPr>
        <w:t>0.17</w:t>
      </w:r>
      <w:r>
        <w:rPr>
          <w:rFonts w:hint="eastAsia" w:ascii="仿宋" w:hAnsi="仿宋" w:eastAsia="仿宋"/>
          <w:color w:val="000000" w:themeColor="text1"/>
          <w:sz w:val="32"/>
          <w:szCs w:val="32"/>
          <w:highlight w:val="none"/>
          <w14:textFill>
            <w14:solidFill>
              <w14:schemeClr w14:val="tx1"/>
            </w14:solidFill>
          </w14:textFill>
        </w:rPr>
        <w:t>万元，占</w:t>
      </w:r>
      <w:r>
        <w:rPr>
          <w:rFonts w:hint="eastAsia" w:ascii="仿宋" w:hAnsi="仿宋" w:eastAsia="仿宋"/>
          <w:color w:val="000000" w:themeColor="text1"/>
          <w:sz w:val="32"/>
          <w:szCs w:val="32"/>
          <w:highlight w:val="none"/>
          <w:lang w:val="en-US" w:eastAsia="zh-CN"/>
          <w14:textFill>
            <w14:solidFill>
              <w14:schemeClr w14:val="tx1"/>
            </w14:solidFill>
          </w14:textFill>
        </w:rPr>
        <w:t>1.1</w:t>
      </w: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。具体</w:t>
      </w:r>
      <w:r>
        <w:rPr>
          <w:rFonts w:hint="eastAsia" w:ascii="仿宋" w:hAnsi="仿宋" w:eastAsia="仿宋"/>
          <w:color w:val="auto"/>
          <w:sz w:val="32"/>
          <w:szCs w:val="32"/>
          <w:highlight w:val="none"/>
        </w:rPr>
        <w:t>情况如下</w:t>
      </w:r>
      <w:r>
        <w:rPr>
          <w:rFonts w:hint="eastAsia" w:ascii="仿宋" w:hAnsi="仿宋" w:eastAsia="仿宋"/>
          <w:color w:val="000000" w:themeColor="text1"/>
          <w:sz w:val="32"/>
          <w:szCs w:val="32"/>
          <w:highlight w:val="none"/>
          <w14:textFill>
            <w14:solidFill>
              <w14:schemeClr w14:val="tx1"/>
            </w14:solidFill>
          </w14:textFill>
        </w:rPr>
        <w:t>：</w:t>
      </w:r>
    </w:p>
    <w:p w14:paraId="6DD8EA21">
      <w:pPr>
        <w:pStyle w:val="2"/>
        <w:rPr>
          <w:rFonts w:hint="eastAsia" w:ascii="仿宋" w:hAnsi="仿宋" w:eastAsia="仿宋"/>
          <w:color w:val="auto"/>
          <w:sz w:val="32"/>
          <w:szCs w:val="32"/>
          <w:highlight w:val="none"/>
        </w:rPr>
      </w:pPr>
    </w:p>
    <w:p w14:paraId="625BEAEE">
      <w:pPr>
        <w:pStyle w:val="2"/>
        <w:rPr>
          <w:rFonts w:hint="eastAsia" w:ascii="仿宋" w:hAnsi="仿宋" w:eastAsia="仿宋"/>
          <w:color w:val="auto"/>
          <w:sz w:val="32"/>
          <w:szCs w:val="32"/>
          <w:highlight w:val="none"/>
        </w:rPr>
      </w:pPr>
      <w:r>
        <w:rPr>
          <w:rFonts w:hint="eastAsia" w:eastAsia="仿宋"/>
          <w:lang w:eastAsia="zh-CN"/>
        </w:rPr>
        <w:drawing>
          <wp:inline distT="0" distB="0" distL="114300" distR="114300">
            <wp:extent cx="5256530" cy="3242945"/>
            <wp:effectExtent l="4445" t="4445" r="15875" b="1016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25A0D69">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（图7：“三公”经费财政拨款支出结构）</w:t>
      </w:r>
    </w:p>
    <w:p w14:paraId="5ED7A54F">
      <w:pPr>
        <w:spacing w:line="600" w:lineRule="exact"/>
        <w:ind w:firstLine="640"/>
        <w:rPr>
          <w:rFonts w:hint="eastAsia" w:ascii="仿宋_GB2312" w:hAnsi="Times New Roman" w:eastAsia="仿宋_GB2312" w:cs="Times New Roman"/>
          <w:color w:val="auto"/>
          <w:sz w:val="32"/>
          <w:szCs w:val="32"/>
          <w:highlight w:val="none"/>
          <w:lang w:val="en-US" w:eastAsia="zh-CN"/>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hAnsi="Times New Roman" w:eastAsia="仿宋_GB2312" w:cs="Times New Roman"/>
          <w:color w:val="auto"/>
          <w:sz w:val="32"/>
          <w:szCs w:val="32"/>
          <w:highlight w:val="none"/>
        </w:rPr>
        <w:t>人。因公出国（境）支出决算</w:t>
      </w:r>
      <w:r>
        <w:rPr>
          <w:rFonts w:hint="eastAsia" w:ascii="仿宋_GB2312" w:hAnsi="Times New Roman" w:eastAsia="仿宋_GB2312" w:cs="Times New Roman"/>
          <w:color w:val="auto"/>
          <w:sz w:val="32"/>
          <w:szCs w:val="32"/>
          <w:highlight w:val="none"/>
          <w:lang w:val="en-US" w:eastAsia="zh-CN"/>
        </w:rPr>
        <w:t>与</w:t>
      </w:r>
      <w:r>
        <w:rPr>
          <w:rFonts w:hint="eastAsia" w:ascii="仿宋_GB2312" w:hAnsi="Times New Roman" w:eastAsia="仿宋_GB2312" w:cs="Times New Roman"/>
          <w:color w:val="auto"/>
          <w:sz w:val="32"/>
          <w:szCs w:val="32"/>
          <w:highlight w:val="none"/>
          <w:lang w:eastAsia="zh-CN"/>
        </w:rPr>
        <w:t>2022</w:t>
      </w:r>
      <w:r>
        <w:rPr>
          <w:rFonts w:hint="eastAsia" w:ascii="仿宋_GB2312" w:hAnsi="Times New Roman" w:eastAsia="仿宋_GB2312" w:cs="Times New Roman"/>
          <w:color w:val="auto"/>
          <w:sz w:val="32"/>
          <w:szCs w:val="32"/>
          <w:highlight w:val="none"/>
        </w:rPr>
        <w:t>年</w:t>
      </w:r>
      <w:r>
        <w:rPr>
          <w:rFonts w:hint="eastAsia" w:ascii="仿宋_GB2312" w:hAnsi="Times New Roman" w:eastAsia="仿宋_GB2312" w:cs="Times New Roman"/>
          <w:color w:val="auto"/>
          <w:sz w:val="32"/>
          <w:szCs w:val="32"/>
          <w:highlight w:val="none"/>
          <w:lang w:eastAsia="zh-CN"/>
        </w:rPr>
        <w:t>度</w:t>
      </w:r>
      <w:r>
        <w:rPr>
          <w:rFonts w:hint="eastAsia" w:ascii="仿宋_GB2312" w:hAnsi="Times New Roman" w:eastAsia="仿宋_GB2312" w:cs="Times New Roman"/>
          <w:color w:val="auto"/>
          <w:sz w:val="32"/>
          <w:szCs w:val="32"/>
          <w:highlight w:val="none"/>
          <w:lang w:val="en-US" w:eastAsia="zh-CN"/>
        </w:rPr>
        <w:t>持平。</w:t>
      </w:r>
    </w:p>
    <w:p w14:paraId="35019BD6">
      <w:pPr>
        <w:spacing w:line="600" w:lineRule="exact"/>
        <w:ind w:firstLine="640"/>
        <w:rPr>
          <w:rFonts w:ascii="仿宋_GB2312" w:eastAsia="仿宋_GB2312"/>
          <w:b/>
          <w:color w:val="auto"/>
          <w:sz w:val="32"/>
          <w:szCs w:val="32"/>
          <w:highlight w:val="none"/>
        </w:rPr>
      </w:pPr>
      <w:r>
        <w:rPr>
          <w:rFonts w:hint="eastAsia" w:ascii="仿宋_GB2312" w:eastAsia="仿宋_GB2312"/>
          <w:b/>
          <w:color w:val="auto"/>
          <w:sz w:val="32"/>
          <w:szCs w:val="32"/>
          <w:highlight w:val="none"/>
          <w:lang w:val="en-US" w:eastAsia="zh-CN"/>
        </w:rPr>
        <w:t>2</w:t>
      </w:r>
      <w:r>
        <w:rPr>
          <w:rFonts w:ascii="仿宋_GB2312" w:eastAsia="仿宋_GB2312"/>
          <w:b/>
          <w:color w:val="auto"/>
          <w:sz w:val="32"/>
          <w:szCs w:val="32"/>
          <w:highlight w:val="none"/>
        </w:rPr>
        <w:t>.</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15.52</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81.68</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增加</w:t>
      </w:r>
      <w:r>
        <w:rPr>
          <w:rFonts w:hint="eastAsia" w:ascii="仿宋_GB2312" w:eastAsia="仿宋_GB2312"/>
          <w:color w:val="auto"/>
          <w:sz w:val="32"/>
          <w:szCs w:val="32"/>
          <w:highlight w:val="none"/>
          <w:lang w:val="en-US" w:eastAsia="zh-CN"/>
        </w:rPr>
        <w:t>5.24</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51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。主要原因是公务用车购置及运行维护费较上年增加。</w:t>
      </w:r>
    </w:p>
    <w:p w14:paraId="0646C915">
      <w:pPr>
        <w:spacing w:line="600" w:lineRule="exact"/>
        <w:ind w:firstLine="640" w:firstLineChars="200"/>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辆，其中：应急保障用车</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p>
    <w:p w14:paraId="7A019C86">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15.52</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17975F56">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lang w:val="en-US" w:eastAsia="zh-CN"/>
        </w:rPr>
        <w:t>3</w:t>
      </w:r>
      <w:r>
        <w:rPr>
          <w:rFonts w:ascii="仿宋_GB2312" w:eastAsia="仿宋_GB2312"/>
          <w:b/>
          <w:color w:val="auto"/>
          <w:sz w:val="32"/>
          <w:szCs w:val="32"/>
          <w:highlight w:val="none"/>
        </w:rPr>
        <w:t>.</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0.17</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0.13</w:t>
      </w:r>
      <w:r>
        <w:rPr>
          <w:rFonts w:hint="eastAsia" w:ascii="仿宋_GB2312" w:eastAsia="仿宋_GB2312"/>
          <w:color w:val="auto"/>
          <w:sz w:val="32"/>
          <w:szCs w:val="32"/>
          <w:highlight w:val="none"/>
        </w:rPr>
        <w:t>万元，下降43.</w:t>
      </w:r>
      <w:r>
        <w:rPr>
          <w:rFonts w:hint="eastAsia" w:ascii="仿宋_GB2312" w:eastAsia="仿宋_GB2312"/>
          <w:color w:val="auto"/>
          <w:sz w:val="32"/>
          <w:szCs w:val="32"/>
          <w:highlight w:val="none"/>
          <w:lang w:val="en-US" w:eastAsia="zh-CN"/>
        </w:rPr>
        <w:t>5</w:t>
      </w:r>
      <w:bookmarkStart w:id="70" w:name="_GoBack"/>
      <w:bookmarkEnd w:id="70"/>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本单位依据厉行节约原则，缩减“三公”经费</w:t>
      </w:r>
      <w:r>
        <w:rPr>
          <w:rFonts w:hint="eastAsia" w:ascii="仿宋_GB2312" w:eastAsia="仿宋_GB2312"/>
          <w:color w:val="auto"/>
          <w:sz w:val="32"/>
          <w:szCs w:val="32"/>
          <w:highlight w:val="none"/>
        </w:rPr>
        <w:t>。其中：</w:t>
      </w:r>
    </w:p>
    <w:p w14:paraId="1D2A7425">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0.17</w:t>
      </w:r>
      <w:r>
        <w:rPr>
          <w:rFonts w:hint="eastAsia" w:ascii="仿宋_GB2312" w:eastAsia="仿宋_GB2312"/>
          <w:color w:val="auto"/>
          <w:sz w:val="32"/>
          <w:szCs w:val="32"/>
          <w:highlight w:val="none"/>
        </w:rPr>
        <w:t>万元，主要用于2023年全州国省干线公路第一季度养护考核接待费</w:t>
      </w:r>
      <w:r>
        <w:rPr>
          <w:rFonts w:hint="eastAsia" w:ascii="仿宋_GB2312" w:eastAsia="仿宋_GB2312"/>
          <w:color w:val="auto"/>
          <w:sz w:val="32"/>
          <w:szCs w:val="32"/>
          <w:highlight w:val="none"/>
          <w:lang w:eastAsia="zh-CN"/>
        </w:rPr>
        <w:t>、2023年全州国省干线公路第二季度养护考核接待费</w:t>
      </w:r>
      <w:r>
        <w:rPr>
          <w:rFonts w:hint="eastAsia" w:ascii="仿宋_GB2312" w:eastAsia="仿宋_GB2312"/>
          <w:color w:val="auto"/>
          <w:sz w:val="32"/>
          <w:szCs w:val="32"/>
          <w:highlight w:val="none"/>
          <w:lang w:val="en-US" w:eastAsia="zh-CN"/>
        </w:rPr>
        <w:t>等</w:t>
      </w:r>
      <w:r>
        <w:rPr>
          <w:rFonts w:hint="eastAsia" w:ascii="仿宋_GB2312" w:eastAsia="仿宋_GB2312"/>
          <w:color w:val="auto"/>
          <w:sz w:val="32"/>
          <w:szCs w:val="32"/>
          <w:highlight w:val="none"/>
        </w:rPr>
        <w:t>活动开支的交通费、住宿费、用餐费等。国内公务接待</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0.17</w:t>
      </w:r>
      <w:r>
        <w:rPr>
          <w:rFonts w:hint="eastAsia" w:ascii="仿宋_GB2312" w:eastAsia="仿宋_GB2312"/>
          <w:color w:val="auto"/>
          <w:sz w:val="32"/>
          <w:szCs w:val="32"/>
          <w:highlight w:val="none"/>
        </w:rPr>
        <w:t>万元，具体内容包括：2023年全州国省干线公路第一季度养护考核接待费</w:t>
      </w:r>
      <w:r>
        <w:rPr>
          <w:rFonts w:hint="eastAsia" w:ascii="仿宋_GB2312" w:eastAsia="仿宋_GB2312"/>
          <w:color w:val="auto"/>
          <w:sz w:val="32"/>
          <w:szCs w:val="32"/>
          <w:highlight w:val="none"/>
          <w:lang w:val="en-US" w:eastAsia="zh-CN"/>
        </w:rPr>
        <w:t>支出480元</w:t>
      </w:r>
      <w:r>
        <w:rPr>
          <w:rFonts w:hint="eastAsia" w:ascii="仿宋_GB2312" w:eastAsia="仿宋_GB2312"/>
          <w:color w:val="auto"/>
          <w:sz w:val="32"/>
          <w:szCs w:val="32"/>
          <w:highlight w:val="none"/>
          <w:lang w:eastAsia="zh-CN"/>
        </w:rPr>
        <w:t>、2023年全州国省干线公路第二季度养护考核接待费</w:t>
      </w:r>
      <w:r>
        <w:rPr>
          <w:rFonts w:hint="eastAsia" w:ascii="仿宋_GB2312" w:eastAsia="仿宋_GB2312"/>
          <w:color w:val="auto"/>
          <w:sz w:val="32"/>
          <w:szCs w:val="32"/>
          <w:highlight w:val="none"/>
          <w:lang w:val="en-US" w:eastAsia="zh-CN"/>
        </w:rPr>
        <w:t>支出560元</w:t>
      </w:r>
      <w:r>
        <w:rPr>
          <w:rFonts w:hint="eastAsia" w:ascii="仿宋_GB2312" w:eastAsia="仿宋_GB2312"/>
          <w:color w:val="auto"/>
          <w:sz w:val="32"/>
          <w:szCs w:val="32"/>
          <w:highlight w:val="none"/>
          <w:lang w:eastAsia="zh-CN"/>
        </w:rPr>
        <w:t>、隧道管养及安全运行情况指导接待费</w:t>
      </w:r>
      <w:r>
        <w:rPr>
          <w:rFonts w:hint="eastAsia" w:ascii="仿宋_GB2312" w:eastAsia="仿宋_GB2312"/>
          <w:color w:val="auto"/>
          <w:sz w:val="32"/>
          <w:szCs w:val="32"/>
          <w:highlight w:val="none"/>
          <w:lang w:val="en-US" w:eastAsia="zh-CN"/>
        </w:rPr>
        <w:t>支出250元、隧道管养及安全运行情况指导接待费支出200元</w:t>
      </w:r>
      <w:r>
        <w:rPr>
          <w:rFonts w:hint="eastAsia" w:ascii="仿宋_GB2312" w:eastAsia="仿宋_GB2312"/>
          <w:color w:val="auto"/>
          <w:sz w:val="32"/>
          <w:szCs w:val="32"/>
          <w:highlight w:val="none"/>
          <w:lang w:eastAsia="zh-CN"/>
        </w:rPr>
        <w:t>、隧道隐患排查整治接待费</w:t>
      </w:r>
      <w:r>
        <w:rPr>
          <w:rFonts w:hint="eastAsia" w:ascii="仿宋_GB2312" w:eastAsia="仿宋_GB2312"/>
          <w:color w:val="auto"/>
          <w:sz w:val="32"/>
          <w:szCs w:val="32"/>
          <w:highlight w:val="none"/>
          <w:lang w:val="en-US" w:eastAsia="zh-CN"/>
        </w:rPr>
        <w:t>200元</w:t>
      </w:r>
      <w:r>
        <w:rPr>
          <w:rFonts w:hint="eastAsia" w:ascii="仿宋_GB2312" w:eastAsia="仿宋_GB2312"/>
          <w:color w:val="auto"/>
          <w:sz w:val="32"/>
          <w:szCs w:val="32"/>
          <w:highlight w:val="none"/>
        </w:rPr>
        <w:t>。</w:t>
      </w:r>
    </w:p>
    <w:p w14:paraId="37450C5D">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7CA29214">
      <w:pPr>
        <w:spacing w:line="600" w:lineRule="exact"/>
        <w:ind w:firstLine="640"/>
        <w:outlineLvl w:val="9"/>
        <w:rPr>
          <w:rFonts w:ascii="黑体" w:eastAsia="黑体"/>
          <w:color w:val="auto"/>
          <w:sz w:val="32"/>
          <w:szCs w:val="32"/>
          <w:highlight w:val="none"/>
        </w:rPr>
      </w:pPr>
    </w:p>
    <w:p w14:paraId="426DA5F7">
      <w:pPr>
        <w:spacing w:line="600" w:lineRule="exact"/>
        <w:ind w:firstLine="640"/>
        <w:outlineLvl w:val="1"/>
        <w:rPr>
          <w:rStyle w:val="17"/>
          <w:rFonts w:ascii="黑体" w:hAnsi="黑体" w:eastAsia="黑体"/>
          <w:color w:val="auto"/>
          <w:highlight w:val="none"/>
        </w:rPr>
      </w:pPr>
      <w:bookmarkStart w:id="28" w:name="_Toc17044"/>
      <w:bookmarkStart w:id="29" w:name="_Toc6949"/>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28"/>
      <w:bookmarkEnd w:id="29"/>
    </w:p>
    <w:p w14:paraId="56CC123D">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29996505">
      <w:pPr>
        <w:spacing w:line="600" w:lineRule="exact"/>
        <w:ind w:firstLine="640"/>
        <w:rPr>
          <w:rFonts w:ascii="仿宋_GB2312" w:eastAsia="仿宋_GB2312"/>
          <w:color w:val="auto"/>
          <w:sz w:val="32"/>
          <w:szCs w:val="32"/>
          <w:highlight w:val="none"/>
        </w:rPr>
      </w:pPr>
    </w:p>
    <w:p w14:paraId="765A6AC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7"/>
          <w:rFonts w:ascii="黑体" w:hAnsi="黑体" w:eastAsia="黑体"/>
          <w:b w:val="0"/>
          <w:color w:val="auto"/>
          <w:highlight w:val="none"/>
        </w:rPr>
      </w:pPr>
      <w:bookmarkStart w:id="30" w:name="_Toc27184"/>
      <w:bookmarkStart w:id="31" w:name="_Toc9400"/>
      <w:r>
        <w:rPr>
          <w:rStyle w:val="17"/>
          <w:rFonts w:hint="eastAsia" w:ascii="黑体" w:hAnsi="黑体" w:eastAsia="黑体"/>
          <w:b w:val="0"/>
          <w:color w:val="auto"/>
          <w:highlight w:val="none"/>
          <w:lang w:eastAsia="zh-CN"/>
        </w:rPr>
        <w:t>九、</w:t>
      </w:r>
      <w:r>
        <w:rPr>
          <w:rStyle w:val="17"/>
          <w:rFonts w:hint="eastAsia" w:ascii="黑体" w:hAnsi="黑体" w:eastAsia="黑体"/>
          <w:b w:val="0"/>
          <w:color w:val="auto"/>
          <w:highlight w:val="none"/>
        </w:rPr>
        <w:t>国有资本经营预算支出决算情况说明</w:t>
      </w:r>
      <w:bookmarkEnd w:id="30"/>
      <w:bookmarkEnd w:id="31"/>
    </w:p>
    <w:p w14:paraId="2850F472">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0803AB8">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37AE4D3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7"/>
          <w:rFonts w:hint="eastAsia" w:ascii="黑体" w:hAnsi="黑体" w:eastAsia="黑体"/>
          <w:b w:val="0"/>
          <w:color w:val="auto"/>
          <w:highlight w:val="none"/>
        </w:rPr>
      </w:pPr>
      <w:bookmarkStart w:id="32" w:name="_Toc23272"/>
      <w:bookmarkStart w:id="33" w:name="_Toc45"/>
      <w:r>
        <w:rPr>
          <w:rStyle w:val="17"/>
          <w:rFonts w:hint="eastAsia" w:ascii="黑体" w:hAnsi="黑体" w:eastAsia="黑体"/>
          <w:b w:val="0"/>
          <w:color w:val="auto"/>
          <w:highlight w:val="none"/>
          <w:lang w:eastAsia="zh-CN"/>
        </w:rPr>
        <w:t>十、</w:t>
      </w:r>
      <w:r>
        <w:rPr>
          <w:rStyle w:val="17"/>
          <w:rFonts w:hint="eastAsia" w:ascii="黑体" w:hAnsi="黑体" w:eastAsia="黑体"/>
          <w:b w:val="0"/>
          <w:color w:val="auto"/>
          <w:highlight w:val="none"/>
        </w:rPr>
        <w:t>其他重要事项的情况说明</w:t>
      </w:r>
      <w:bookmarkEnd w:id="32"/>
      <w:bookmarkEnd w:id="33"/>
    </w:p>
    <w:p w14:paraId="315D3A39">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6A048B07">
      <w:pPr>
        <w:spacing w:line="600" w:lineRule="exact"/>
        <w:ind w:firstLine="640" w:firstLineChars="200"/>
        <w:rPr>
          <w:rFonts w:hint="eastAsia" w:ascii="仿宋" w:hAnsi="仿宋" w:eastAsia="仿宋_GB2312"/>
          <w:b/>
          <w:color w:val="auto"/>
          <w:sz w:val="32"/>
          <w:szCs w:val="32"/>
          <w:highlight w:val="none"/>
          <w:lang w:val="en-US"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Times New Roman" w:eastAsia="仿宋_GB2312" w:cs="Times New Roman"/>
          <w:color w:val="auto"/>
          <w:sz w:val="32"/>
          <w:szCs w:val="32"/>
          <w:highlight w:val="none"/>
        </w:rPr>
        <w:t>与</w:t>
      </w:r>
      <w:r>
        <w:rPr>
          <w:rFonts w:hint="eastAsia" w:ascii="仿宋_GB2312" w:hAnsi="Times New Roman" w:eastAsia="仿宋_GB2312" w:cs="Times New Roman"/>
          <w:color w:val="auto"/>
          <w:sz w:val="32"/>
          <w:szCs w:val="32"/>
          <w:highlight w:val="none"/>
          <w:lang w:eastAsia="zh-CN"/>
        </w:rPr>
        <w:t>2022</w:t>
      </w:r>
      <w:r>
        <w:rPr>
          <w:rFonts w:hint="eastAsia" w:ascii="仿宋_GB2312" w:hAnsi="Times New Roman" w:eastAsia="仿宋_GB2312" w:cs="Times New Roman"/>
          <w:color w:val="auto"/>
          <w:sz w:val="32"/>
          <w:szCs w:val="32"/>
          <w:highlight w:val="none"/>
        </w:rPr>
        <w:t>年</w:t>
      </w:r>
      <w:r>
        <w:rPr>
          <w:rFonts w:hint="eastAsia" w:ascii="仿宋_GB2312" w:hAnsi="Times New Roman" w:eastAsia="仿宋_GB2312" w:cs="Times New Roman"/>
          <w:color w:val="auto"/>
          <w:sz w:val="32"/>
          <w:szCs w:val="32"/>
          <w:highlight w:val="none"/>
          <w:lang w:eastAsia="zh-CN"/>
        </w:rPr>
        <w:t>度</w:t>
      </w:r>
      <w:r>
        <w:rPr>
          <w:rFonts w:hint="eastAsia" w:ascii="仿宋_GB2312" w:hAnsi="Times New Roman" w:eastAsia="仿宋_GB2312" w:cs="Times New Roman"/>
          <w:color w:val="auto"/>
          <w:sz w:val="32"/>
          <w:szCs w:val="32"/>
          <w:highlight w:val="none"/>
        </w:rPr>
        <w:t>决算数持平</w:t>
      </w:r>
      <w:r>
        <w:rPr>
          <w:rFonts w:hint="eastAsia" w:ascii="仿宋_GB2312" w:hAnsi="Times New Roman" w:eastAsia="仿宋_GB2312" w:cs="Times New Roman"/>
          <w:color w:val="auto"/>
          <w:sz w:val="32"/>
          <w:szCs w:val="32"/>
          <w:highlight w:val="none"/>
          <w:lang w:eastAsia="zh-CN"/>
        </w:rPr>
        <w:t>。</w:t>
      </w:r>
    </w:p>
    <w:p w14:paraId="6E3B1732">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3AAD250B">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39.8</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39.8</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万元。主要用于公务用车购置。授予中小企业合同金额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1B04562E">
      <w:pPr>
        <w:spacing w:line="600" w:lineRule="exact"/>
        <w:ind w:firstLine="643" w:firstLineChars="200"/>
        <w:rPr>
          <w:rFonts w:ascii="仿宋" w:hAnsi="仿宋" w:eastAsia="仿宋"/>
          <w:b/>
          <w:color w:val="auto"/>
          <w:sz w:val="32"/>
          <w:szCs w:val="32"/>
          <w:highlight w:val="none"/>
        </w:rPr>
      </w:pPr>
    </w:p>
    <w:p w14:paraId="37AEC540">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69C2CE0D">
      <w:pPr>
        <w:autoSpaceDE w:val="0"/>
        <w:autoSpaceDN w:val="0"/>
        <w:adjustRightInd w:val="0"/>
        <w:spacing w:line="600" w:lineRule="exact"/>
        <w:ind w:firstLine="640" w:firstLineChars="200"/>
        <w:jc w:val="left"/>
        <w:rPr>
          <w:rFonts w:ascii="仿宋" w:hAnsi="仿宋" w:eastAsia="仿宋"/>
          <w:b/>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69957B99">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7092EE1E">
      <w:pPr>
        <w:spacing w:line="600" w:lineRule="exact"/>
        <w:ind w:firstLine="640" w:firstLineChars="200"/>
        <w:rPr>
          <w:rFonts w:hint="default" w:ascii="仿宋_GB2312" w:hAnsi="Times New Roman"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2023年本单位完成整体绩效自评，并撰写自评报告，自评得分95.80。不涉及项目绩效自评，故无项目绩效自评表。</w:t>
      </w:r>
    </w:p>
    <w:p w14:paraId="2EF3B774">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4AA989AD">
      <w:pPr>
        <w:numPr>
          <w:ilvl w:val="0"/>
          <w:numId w:val="0"/>
        </w:numPr>
        <w:spacing w:line="600" w:lineRule="exact"/>
        <w:jc w:val="center"/>
        <w:outlineLvl w:val="0"/>
        <w:rPr>
          <w:rStyle w:val="16"/>
          <w:rFonts w:ascii="黑体" w:hAnsi="黑体" w:eastAsia="黑体"/>
          <w:b w:val="0"/>
          <w:color w:val="auto"/>
          <w:highlight w:val="none"/>
        </w:rPr>
      </w:pPr>
      <w:bookmarkStart w:id="34" w:name="_Toc15245"/>
      <w:bookmarkStart w:id="35" w:name="_Toc10352"/>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6"/>
          <w:rFonts w:hint="eastAsia" w:ascii="黑体" w:hAnsi="黑体" w:eastAsia="黑体"/>
          <w:b w:val="0"/>
          <w:color w:val="auto"/>
          <w:highlight w:val="none"/>
        </w:rPr>
        <w:t>词解释</w:t>
      </w:r>
      <w:bookmarkEnd w:id="34"/>
      <w:bookmarkEnd w:id="35"/>
    </w:p>
    <w:p w14:paraId="6EFA0398">
      <w:pPr>
        <w:spacing w:line="600" w:lineRule="exact"/>
        <w:jc w:val="left"/>
        <w:rPr>
          <w:rFonts w:ascii="宋体"/>
          <w:b/>
          <w:color w:val="auto"/>
          <w:sz w:val="44"/>
          <w:szCs w:val="44"/>
          <w:highlight w:val="none"/>
        </w:rPr>
      </w:pPr>
    </w:p>
    <w:p w14:paraId="73A0ECB8">
      <w:pPr>
        <w:pStyle w:val="19"/>
        <w:spacing w:line="560" w:lineRule="exact"/>
        <w:ind w:firstLine="640" w:firstLineChars="200"/>
        <w:outlineLvl w:val="1"/>
        <w:rPr>
          <w:rFonts w:ascii="仿宋_GB2312" w:eastAsia="仿宋_GB2312"/>
          <w:color w:val="auto"/>
          <w:sz w:val="32"/>
          <w:szCs w:val="32"/>
          <w:highlight w:val="none"/>
        </w:rPr>
      </w:pPr>
      <w:bookmarkStart w:id="36" w:name="_Toc1254"/>
      <w:bookmarkStart w:id="37" w:name="_Toc22062"/>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36"/>
      <w:bookmarkEnd w:id="37"/>
    </w:p>
    <w:p w14:paraId="10F9277E">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1B158AC8">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38F2C9E9">
      <w:pPr>
        <w:pStyle w:val="19"/>
        <w:spacing w:line="560" w:lineRule="exact"/>
        <w:ind w:firstLine="640" w:firstLineChars="200"/>
        <w:outlineLvl w:val="1"/>
        <w:rPr>
          <w:rFonts w:ascii="仿宋_GB2312" w:eastAsia="仿宋_GB2312"/>
          <w:color w:val="auto"/>
          <w:sz w:val="32"/>
          <w:szCs w:val="32"/>
          <w:highlight w:val="none"/>
        </w:rPr>
      </w:pPr>
      <w:bookmarkStart w:id="38" w:name="_Toc7151"/>
      <w:bookmarkStart w:id="39" w:name="_Toc5647"/>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38"/>
      <w:bookmarkEnd w:id="39"/>
      <w:r>
        <w:rPr>
          <w:rFonts w:ascii="仿宋_GB2312" w:eastAsia="仿宋_GB2312"/>
          <w:color w:val="auto"/>
          <w:sz w:val="32"/>
          <w:szCs w:val="32"/>
          <w:highlight w:val="none"/>
        </w:rPr>
        <w:t xml:space="preserve"> </w:t>
      </w:r>
    </w:p>
    <w:p w14:paraId="17B66B7F">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6DCCEE4D">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05D36164">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50CEF16B">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65A618A4">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 保险费支出。</w:t>
      </w:r>
    </w:p>
    <w:p w14:paraId="52D59C8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指反映机关事业单位实施养老保险制度由单位实际缴纳的职业年金支出</w:t>
      </w:r>
      <w:r>
        <w:rPr>
          <w:rFonts w:hint="eastAsia" w:ascii="仿宋_GB2312" w:eastAsia="仿宋_GB2312"/>
          <w:color w:val="auto"/>
          <w:sz w:val="32"/>
          <w:szCs w:val="32"/>
          <w:highlight w:val="none"/>
        </w:rPr>
        <w:t>。</w:t>
      </w:r>
    </w:p>
    <w:p w14:paraId="5BA1E51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7E73B7ED">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w:t>
      </w:r>
    </w:p>
    <w:p w14:paraId="3BA1606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7F0B30AE">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反映行政事业单位按人力资源和社会保障部、财政部规定的 基本工资和津贴补贴以及规定比例为职工缴纳的住房公积金。</w:t>
      </w:r>
    </w:p>
    <w:p w14:paraId="1CD3B541">
      <w:pPr>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退休人员）、军队（含武警）向转役复员离退休人员发放的用于购买住房的补贴。</w:t>
      </w:r>
    </w:p>
    <w:p w14:paraId="5142673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3D3DDE10">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2A0F0F4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4AB10FFD">
      <w:pPr>
        <w:pStyle w:val="1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C751DEF">
      <w:pPr>
        <w:pStyle w:val="1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FFBF134">
      <w:pPr>
        <w:pStyle w:val="19"/>
        <w:spacing w:line="560" w:lineRule="exact"/>
        <w:ind w:firstLine="640" w:firstLineChars="200"/>
        <w:rPr>
          <w:rFonts w:ascii="仿宋_GB2312" w:eastAsia="仿宋_GB2312" w:cs="黑体"/>
          <w:color w:val="auto"/>
          <w:sz w:val="32"/>
          <w:szCs w:val="32"/>
          <w:highlight w:val="none"/>
        </w:rPr>
      </w:pPr>
    </w:p>
    <w:p w14:paraId="202E6C1C">
      <w:pPr>
        <w:spacing w:line="600" w:lineRule="exact"/>
        <w:jc w:val="center"/>
        <w:outlineLvl w:val="0"/>
        <w:rPr>
          <w:rStyle w:val="16"/>
          <w:rFonts w:ascii="黑体" w:hAnsi="黑体" w:eastAsia="黑体"/>
          <w:b w:val="0"/>
          <w:color w:val="auto"/>
          <w:highlight w:val="none"/>
        </w:rPr>
      </w:pPr>
      <w:r>
        <w:rPr>
          <w:rFonts w:ascii="宋体"/>
          <w:b/>
          <w:color w:val="auto"/>
          <w:sz w:val="44"/>
          <w:szCs w:val="44"/>
          <w:highlight w:val="none"/>
        </w:rPr>
        <w:br w:type="page"/>
      </w:r>
      <w:bookmarkStart w:id="40" w:name="_Toc1295"/>
      <w:bookmarkStart w:id="41" w:name="_Toc7873"/>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四部分 附件</w:t>
      </w:r>
      <w:bookmarkEnd w:id="40"/>
      <w:bookmarkEnd w:id="41"/>
    </w:p>
    <w:p w14:paraId="07B8A269">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5CE90D7C">
      <w:pPr>
        <w:pStyle w:val="7"/>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Calibri" w:eastAsia="仿宋_GB2312" w:cs="仿宋"/>
          <w:color w:val="auto"/>
          <w:sz w:val="32"/>
          <w:szCs w:val="32"/>
          <w:highlight w:val="none"/>
          <w:lang w:val="zh-CN" w:eastAsia="zh-CN" w:bidi="ar-SA"/>
        </w:rPr>
      </w:pPr>
      <w:r>
        <w:rPr>
          <w:rFonts w:hint="eastAsia" w:cs="Times New Roman"/>
          <w:sz w:val="32"/>
          <w:szCs w:val="32"/>
          <w:highlight w:val="none"/>
          <w:lang w:val="en-US" w:eastAsia="zh-CN"/>
        </w:rPr>
        <w:t>2023年阿坝藏族羌族自治州公路管理局黑水公路管理分局无单位</w:t>
      </w:r>
      <w:r>
        <w:rPr>
          <w:rFonts w:hint="eastAsia" w:hAnsi="Times New Roman" w:cs="Times New Roman"/>
          <w:sz w:val="32"/>
          <w:szCs w:val="32"/>
          <w:highlight w:val="none"/>
          <w:lang w:val="en-US" w:eastAsia="zh-CN"/>
        </w:rPr>
        <w:t>预算项目支出绩效自评表</w:t>
      </w:r>
      <w:r>
        <w:rPr>
          <w:rFonts w:hint="eastAsia" w:cs="Times New Roman"/>
          <w:sz w:val="32"/>
          <w:szCs w:val="32"/>
          <w:highlight w:val="none"/>
          <w:lang w:val="en-US" w:eastAsia="zh-CN"/>
        </w:rPr>
        <w:t>。</w:t>
      </w:r>
    </w:p>
    <w:p w14:paraId="7485CEDF">
      <w:pPr>
        <w:pStyle w:val="2"/>
        <w:rPr>
          <w:rFonts w:hint="eastAsia" w:ascii="仿宋_GB2312" w:hAnsi="Calibri" w:eastAsia="仿宋_GB2312" w:cs="仿宋"/>
          <w:color w:val="auto"/>
          <w:kern w:val="0"/>
          <w:sz w:val="32"/>
          <w:szCs w:val="32"/>
          <w:highlight w:val="none"/>
          <w:lang w:val="en-US" w:eastAsia="zh-CN" w:bidi="ar-SA"/>
        </w:rPr>
      </w:pPr>
    </w:p>
    <w:p w14:paraId="7E60AC51">
      <w:pPr>
        <w:pStyle w:val="2"/>
        <w:rPr>
          <w:rFonts w:hint="eastAsia" w:ascii="仿宋_GB2312" w:hAnsi="Calibri" w:eastAsia="仿宋_GB2312" w:cs="仿宋"/>
          <w:color w:val="auto"/>
          <w:kern w:val="0"/>
          <w:sz w:val="32"/>
          <w:szCs w:val="32"/>
          <w:highlight w:val="none"/>
          <w:lang w:val="en-US" w:eastAsia="zh-CN" w:bidi="ar-SA"/>
        </w:rPr>
      </w:pPr>
    </w:p>
    <w:p w14:paraId="6CF2DAAA">
      <w:pPr>
        <w:pStyle w:val="2"/>
        <w:rPr>
          <w:rFonts w:hint="eastAsia" w:ascii="仿宋_GB2312" w:hAnsi="Calibri" w:eastAsia="仿宋_GB2312" w:cs="仿宋"/>
          <w:color w:val="auto"/>
          <w:kern w:val="0"/>
          <w:sz w:val="32"/>
          <w:szCs w:val="32"/>
          <w:highlight w:val="none"/>
          <w:lang w:val="en-US" w:eastAsia="zh-CN" w:bidi="ar-SA"/>
        </w:rPr>
      </w:pPr>
    </w:p>
    <w:p w14:paraId="4A55B9E8">
      <w:pPr>
        <w:pStyle w:val="2"/>
        <w:rPr>
          <w:rFonts w:hint="eastAsia" w:ascii="仿宋_GB2312" w:hAnsi="Calibri" w:eastAsia="仿宋_GB2312" w:cs="仿宋"/>
          <w:color w:val="auto"/>
          <w:kern w:val="0"/>
          <w:sz w:val="32"/>
          <w:szCs w:val="32"/>
          <w:highlight w:val="none"/>
          <w:lang w:val="en-US" w:eastAsia="zh-CN" w:bidi="ar-SA"/>
        </w:rPr>
      </w:pPr>
    </w:p>
    <w:p w14:paraId="69AB9994">
      <w:pPr>
        <w:pStyle w:val="2"/>
        <w:rPr>
          <w:rFonts w:hint="eastAsia" w:ascii="仿宋_GB2312" w:hAnsi="Calibri" w:eastAsia="仿宋_GB2312" w:cs="仿宋"/>
          <w:color w:val="auto"/>
          <w:kern w:val="0"/>
          <w:sz w:val="32"/>
          <w:szCs w:val="32"/>
          <w:highlight w:val="none"/>
          <w:lang w:val="en-US" w:eastAsia="zh-CN" w:bidi="ar-SA"/>
        </w:rPr>
      </w:pPr>
    </w:p>
    <w:p w14:paraId="108FF6BA">
      <w:pPr>
        <w:pStyle w:val="2"/>
        <w:rPr>
          <w:rFonts w:hint="eastAsia" w:ascii="仿宋_GB2312" w:hAnsi="Calibri" w:eastAsia="仿宋_GB2312" w:cs="仿宋"/>
          <w:color w:val="auto"/>
          <w:kern w:val="0"/>
          <w:sz w:val="32"/>
          <w:szCs w:val="32"/>
          <w:highlight w:val="none"/>
          <w:lang w:val="en-US" w:eastAsia="zh-CN" w:bidi="ar-SA"/>
        </w:rPr>
      </w:pPr>
    </w:p>
    <w:p w14:paraId="661AC0D9">
      <w:pPr>
        <w:pStyle w:val="2"/>
        <w:rPr>
          <w:rFonts w:hint="eastAsia" w:ascii="仿宋_GB2312" w:hAnsi="Calibri" w:eastAsia="仿宋_GB2312" w:cs="仿宋"/>
          <w:color w:val="auto"/>
          <w:kern w:val="0"/>
          <w:sz w:val="32"/>
          <w:szCs w:val="32"/>
          <w:highlight w:val="none"/>
          <w:lang w:val="en-US" w:eastAsia="zh-CN" w:bidi="ar-SA"/>
        </w:rPr>
      </w:pPr>
    </w:p>
    <w:p w14:paraId="02E74D79">
      <w:pPr>
        <w:pStyle w:val="2"/>
        <w:rPr>
          <w:rFonts w:hint="eastAsia" w:ascii="仿宋_GB2312" w:hAnsi="Calibri" w:eastAsia="仿宋_GB2312" w:cs="仿宋"/>
          <w:color w:val="auto"/>
          <w:kern w:val="0"/>
          <w:sz w:val="32"/>
          <w:szCs w:val="32"/>
          <w:highlight w:val="none"/>
          <w:lang w:val="en-US" w:eastAsia="zh-CN" w:bidi="ar-SA"/>
        </w:rPr>
      </w:pPr>
    </w:p>
    <w:p w14:paraId="449235B5">
      <w:pPr>
        <w:pStyle w:val="2"/>
        <w:rPr>
          <w:rFonts w:hint="eastAsia" w:ascii="仿宋_GB2312" w:hAnsi="Calibri" w:eastAsia="仿宋_GB2312" w:cs="仿宋"/>
          <w:color w:val="auto"/>
          <w:kern w:val="0"/>
          <w:sz w:val="32"/>
          <w:szCs w:val="32"/>
          <w:highlight w:val="none"/>
          <w:lang w:val="en-US" w:eastAsia="zh-CN" w:bidi="ar-SA"/>
        </w:rPr>
      </w:pPr>
    </w:p>
    <w:p w14:paraId="03F5AFE2">
      <w:pPr>
        <w:pStyle w:val="2"/>
        <w:rPr>
          <w:rFonts w:hint="eastAsia" w:ascii="仿宋_GB2312" w:hAnsi="Calibri" w:eastAsia="仿宋_GB2312" w:cs="仿宋"/>
          <w:color w:val="auto"/>
          <w:kern w:val="0"/>
          <w:sz w:val="32"/>
          <w:szCs w:val="32"/>
          <w:highlight w:val="none"/>
          <w:lang w:val="en-US" w:eastAsia="zh-CN" w:bidi="ar-SA"/>
        </w:rPr>
      </w:pPr>
    </w:p>
    <w:p w14:paraId="6BACB805">
      <w:pPr>
        <w:pStyle w:val="2"/>
        <w:rPr>
          <w:rFonts w:hint="eastAsia" w:ascii="仿宋_GB2312" w:hAnsi="Calibri" w:eastAsia="仿宋_GB2312" w:cs="仿宋"/>
          <w:color w:val="auto"/>
          <w:kern w:val="0"/>
          <w:sz w:val="32"/>
          <w:szCs w:val="32"/>
          <w:highlight w:val="none"/>
          <w:lang w:val="en-US" w:eastAsia="zh-CN" w:bidi="ar-SA"/>
        </w:rPr>
      </w:pPr>
    </w:p>
    <w:p w14:paraId="53315D6C">
      <w:pPr>
        <w:pStyle w:val="2"/>
        <w:rPr>
          <w:rFonts w:hint="eastAsia" w:ascii="仿宋_GB2312" w:hAnsi="Calibri" w:eastAsia="仿宋_GB2312" w:cs="仿宋"/>
          <w:color w:val="auto"/>
          <w:kern w:val="0"/>
          <w:sz w:val="32"/>
          <w:szCs w:val="32"/>
          <w:highlight w:val="none"/>
          <w:lang w:val="en-US" w:eastAsia="zh-CN" w:bidi="ar-SA"/>
        </w:rPr>
      </w:pPr>
    </w:p>
    <w:p w14:paraId="24D170DA">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64923E71">
      <w:pPr>
        <w:spacing w:line="600" w:lineRule="exact"/>
        <w:jc w:val="center"/>
        <w:outlineLvl w:val="0"/>
        <w:rPr>
          <w:rFonts w:hint="eastAsia" w:ascii="仿宋" w:hAnsi="仿宋" w:eastAsia="仿宋"/>
          <w:b w:val="0"/>
          <w:color w:val="auto"/>
          <w:highlight w:val="none"/>
        </w:rPr>
      </w:pPr>
      <w:bookmarkStart w:id="42" w:name="_Toc6903"/>
      <w:bookmarkStart w:id="43" w:name="_Toc20054"/>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五部分 附表</w:t>
      </w:r>
      <w:bookmarkEnd w:id="42"/>
      <w:bookmarkEnd w:id="43"/>
    </w:p>
    <w:p w14:paraId="2AC3300C">
      <w:pPr>
        <w:pStyle w:val="4"/>
        <w:rPr>
          <w:rFonts w:ascii="仿宋" w:hAnsi="仿宋" w:eastAsia="仿宋"/>
          <w:color w:val="auto"/>
          <w:highlight w:val="none"/>
        </w:rPr>
      </w:pPr>
      <w:bookmarkStart w:id="44" w:name="_Toc2331"/>
      <w:bookmarkStart w:id="45" w:name="_Toc17155"/>
      <w:r>
        <w:rPr>
          <w:rFonts w:hint="eastAsia" w:ascii="仿宋" w:hAnsi="仿宋" w:eastAsia="仿宋"/>
          <w:b w:val="0"/>
          <w:color w:val="auto"/>
          <w:highlight w:val="none"/>
        </w:rPr>
        <w:t>一、收</w:t>
      </w:r>
      <w:r>
        <w:rPr>
          <w:rStyle w:val="17"/>
          <w:rFonts w:hint="eastAsia" w:ascii="仿宋" w:hAnsi="仿宋" w:eastAsia="仿宋"/>
          <w:b w:val="0"/>
          <w:bCs w:val="0"/>
          <w:color w:val="auto"/>
          <w:highlight w:val="none"/>
        </w:rPr>
        <w:t>入支出决算总表</w:t>
      </w:r>
      <w:bookmarkEnd w:id="44"/>
      <w:bookmarkEnd w:id="45"/>
    </w:p>
    <w:p w14:paraId="753E8E6D">
      <w:pPr>
        <w:pStyle w:val="4"/>
        <w:rPr>
          <w:rFonts w:ascii="仿宋" w:hAnsi="仿宋" w:eastAsia="仿宋"/>
          <w:color w:val="auto"/>
          <w:highlight w:val="none"/>
        </w:rPr>
      </w:pPr>
      <w:bookmarkStart w:id="46" w:name="_Toc18608"/>
      <w:bookmarkStart w:id="47" w:name="_Toc13506"/>
      <w:r>
        <w:rPr>
          <w:rFonts w:hint="eastAsia" w:ascii="仿宋" w:hAnsi="仿宋" w:eastAsia="仿宋"/>
          <w:b w:val="0"/>
          <w:color w:val="auto"/>
          <w:highlight w:val="none"/>
        </w:rPr>
        <w:t>二、收</w:t>
      </w:r>
      <w:r>
        <w:rPr>
          <w:rStyle w:val="17"/>
          <w:rFonts w:hint="eastAsia" w:ascii="仿宋" w:hAnsi="仿宋" w:eastAsia="仿宋"/>
          <w:b w:val="0"/>
          <w:bCs w:val="0"/>
          <w:color w:val="auto"/>
          <w:highlight w:val="none"/>
        </w:rPr>
        <w:t>入决算表</w:t>
      </w:r>
      <w:bookmarkEnd w:id="46"/>
      <w:bookmarkEnd w:id="47"/>
    </w:p>
    <w:p w14:paraId="5AFA7883">
      <w:pPr>
        <w:pStyle w:val="4"/>
        <w:rPr>
          <w:rFonts w:ascii="仿宋" w:hAnsi="仿宋" w:eastAsia="仿宋"/>
          <w:color w:val="auto"/>
          <w:highlight w:val="none"/>
        </w:rPr>
      </w:pPr>
      <w:bookmarkStart w:id="48" w:name="_Toc8717"/>
      <w:bookmarkStart w:id="49" w:name="_Toc24373"/>
      <w:r>
        <w:rPr>
          <w:rStyle w:val="1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7"/>
          <w:rFonts w:hint="eastAsia" w:ascii="仿宋" w:hAnsi="仿宋" w:eastAsia="仿宋"/>
          <w:b w:val="0"/>
          <w:bCs w:val="0"/>
          <w:color w:val="auto"/>
          <w:highlight w:val="none"/>
        </w:rPr>
        <w:t>出决算表</w:t>
      </w:r>
      <w:bookmarkEnd w:id="48"/>
      <w:bookmarkEnd w:id="49"/>
    </w:p>
    <w:p w14:paraId="7B873F7D">
      <w:pPr>
        <w:pStyle w:val="4"/>
        <w:rPr>
          <w:rFonts w:ascii="仿宋" w:hAnsi="仿宋" w:eastAsia="仿宋"/>
          <w:b w:val="0"/>
          <w:color w:val="auto"/>
          <w:highlight w:val="none"/>
        </w:rPr>
      </w:pPr>
      <w:bookmarkStart w:id="50" w:name="_Toc27918"/>
      <w:bookmarkStart w:id="51" w:name="_Toc20994"/>
      <w:r>
        <w:rPr>
          <w:rStyle w:val="1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政拨款收入支出决算总表</w:t>
      </w:r>
      <w:bookmarkEnd w:id="50"/>
      <w:bookmarkEnd w:id="51"/>
    </w:p>
    <w:p w14:paraId="6343C76D">
      <w:pPr>
        <w:pStyle w:val="4"/>
        <w:rPr>
          <w:rStyle w:val="17"/>
          <w:rFonts w:ascii="仿宋" w:hAnsi="仿宋" w:eastAsia="仿宋"/>
          <w:b w:val="0"/>
          <w:bCs w:val="0"/>
          <w:color w:val="auto"/>
          <w:highlight w:val="none"/>
        </w:rPr>
      </w:pPr>
      <w:bookmarkStart w:id="52" w:name="_Toc7098"/>
      <w:bookmarkStart w:id="53" w:name="_Toc23638"/>
      <w:r>
        <w:rPr>
          <w:rStyle w:val="1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政拨款支出决算明细表</w:t>
      </w:r>
      <w:bookmarkEnd w:id="52"/>
      <w:bookmarkEnd w:id="53"/>
    </w:p>
    <w:p w14:paraId="1AD4D302">
      <w:pPr>
        <w:pStyle w:val="4"/>
        <w:rPr>
          <w:rFonts w:ascii="仿宋" w:hAnsi="仿宋" w:eastAsia="仿宋"/>
          <w:color w:val="auto"/>
          <w:highlight w:val="none"/>
        </w:rPr>
      </w:pPr>
      <w:bookmarkStart w:id="54" w:name="_Toc10675"/>
      <w:bookmarkStart w:id="55" w:name="_Toc25025"/>
      <w:r>
        <w:rPr>
          <w:rStyle w:val="1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般公共预算财政拨款支出决算表</w:t>
      </w:r>
      <w:bookmarkEnd w:id="54"/>
      <w:bookmarkEnd w:id="55"/>
    </w:p>
    <w:p w14:paraId="29CF1DB0">
      <w:pPr>
        <w:pStyle w:val="4"/>
        <w:rPr>
          <w:rFonts w:ascii="仿宋" w:hAnsi="仿宋" w:eastAsia="仿宋"/>
          <w:color w:val="auto"/>
          <w:highlight w:val="none"/>
        </w:rPr>
      </w:pPr>
      <w:bookmarkStart w:id="56" w:name="_Toc18811"/>
      <w:bookmarkStart w:id="57" w:name="_Toc3006"/>
      <w:r>
        <w:rPr>
          <w:rStyle w:val="1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般公共预算财政拨款支出决算明细表</w:t>
      </w:r>
      <w:bookmarkEnd w:id="56"/>
      <w:bookmarkEnd w:id="57"/>
    </w:p>
    <w:p w14:paraId="1E821D41">
      <w:pPr>
        <w:pStyle w:val="4"/>
        <w:rPr>
          <w:rFonts w:ascii="仿宋" w:hAnsi="仿宋" w:eastAsia="仿宋"/>
          <w:color w:val="auto"/>
          <w:highlight w:val="none"/>
        </w:rPr>
      </w:pPr>
      <w:bookmarkStart w:id="58" w:name="_Toc5393"/>
      <w:bookmarkStart w:id="59" w:name="_Toc6568"/>
      <w:r>
        <w:rPr>
          <w:rStyle w:val="1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般公共预算财政拨款基本支出决算表</w:t>
      </w:r>
      <w:bookmarkEnd w:id="58"/>
      <w:bookmarkEnd w:id="59"/>
    </w:p>
    <w:p w14:paraId="6243580D">
      <w:pPr>
        <w:pStyle w:val="4"/>
        <w:rPr>
          <w:rFonts w:ascii="仿宋" w:hAnsi="仿宋" w:eastAsia="仿宋"/>
          <w:color w:val="auto"/>
          <w:highlight w:val="none"/>
        </w:rPr>
      </w:pPr>
      <w:bookmarkStart w:id="60" w:name="_Toc22895"/>
      <w:bookmarkStart w:id="61" w:name="_Toc23674"/>
      <w:r>
        <w:rPr>
          <w:rStyle w:val="1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般公共预算财政拨款项目支出决算表</w:t>
      </w:r>
      <w:bookmarkEnd w:id="60"/>
      <w:bookmarkEnd w:id="61"/>
    </w:p>
    <w:p w14:paraId="5EB1AC58">
      <w:pPr>
        <w:pStyle w:val="4"/>
        <w:rPr>
          <w:rFonts w:ascii="仿宋" w:hAnsi="仿宋" w:eastAsia="仿宋"/>
          <w:color w:val="auto"/>
          <w:highlight w:val="none"/>
        </w:rPr>
      </w:pPr>
      <w:bookmarkStart w:id="62" w:name="_Toc29761"/>
      <w:bookmarkStart w:id="63" w:name="_Toc18594"/>
      <w:r>
        <w:rPr>
          <w:rStyle w:val="17"/>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7"/>
          <w:rFonts w:hint="eastAsia" w:ascii="仿宋" w:hAnsi="仿宋" w:eastAsia="仿宋"/>
          <w:b w:val="0"/>
          <w:bCs w:val="0"/>
          <w:color w:val="auto"/>
          <w:highlight w:val="none"/>
        </w:rPr>
        <w:t>府性基金预算财政拨款收入支出决算表</w:t>
      </w:r>
      <w:bookmarkEnd w:id="62"/>
      <w:bookmarkEnd w:id="63"/>
    </w:p>
    <w:p w14:paraId="58C06713">
      <w:pPr>
        <w:pStyle w:val="4"/>
        <w:rPr>
          <w:rFonts w:ascii="仿宋" w:hAnsi="仿宋" w:eastAsia="仿宋"/>
          <w:color w:val="auto"/>
          <w:highlight w:val="none"/>
        </w:rPr>
      </w:pPr>
      <w:bookmarkStart w:id="64" w:name="_Toc28944"/>
      <w:bookmarkStart w:id="65" w:name="_Toc23140"/>
      <w:r>
        <w:rPr>
          <w:rStyle w:val="17"/>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7"/>
          <w:rFonts w:hint="eastAsia" w:ascii="仿宋" w:hAnsi="仿宋" w:eastAsia="仿宋"/>
          <w:b w:val="0"/>
          <w:bCs w:val="0"/>
          <w:color w:val="auto"/>
          <w:highlight w:val="none"/>
        </w:rPr>
        <w:t>有资本经营预算</w:t>
      </w:r>
      <w:r>
        <w:rPr>
          <w:rStyle w:val="17"/>
          <w:rFonts w:hint="eastAsia" w:ascii="仿宋" w:hAnsi="仿宋" w:eastAsia="仿宋"/>
          <w:b w:val="0"/>
          <w:bCs w:val="0"/>
          <w:color w:val="auto"/>
          <w:highlight w:val="none"/>
          <w:lang w:eastAsia="zh-CN"/>
        </w:rPr>
        <w:t>财政拨款收入</w:t>
      </w:r>
      <w:r>
        <w:rPr>
          <w:rStyle w:val="17"/>
          <w:rFonts w:hint="eastAsia" w:ascii="仿宋" w:hAnsi="仿宋" w:eastAsia="仿宋"/>
          <w:b w:val="0"/>
          <w:bCs w:val="0"/>
          <w:color w:val="auto"/>
          <w:highlight w:val="none"/>
        </w:rPr>
        <w:t>支出决算表</w:t>
      </w:r>
      <w:bookmarkEnd w:id="64"/>
      <w:bookmarkEnd w:id="65"/>
    </w:p>
    <w:p w14:paraId="36E1831F">
      <w:pPr>
        <w:pStyle w:val="4"/>
        <w:rPr>
          <w:rFonts w:ascii="仿宋" w:hAnsi="仿宋" w:eastAsia="仿宋"/>
          <w:color w:val="auto"/>
          <w:highlight w:val="none"/>
        </w:rPr>
      </w:pPr>
      <w:bookmarkStart w:id="66" w:name="_Toc21733"/>
      <w:bookmarkStart w:id="67" w:name="_Toc29958"/>
      <w:r>
        <w:rPr>
          <w:rStyle w:val="17"/>
          <w:rFonts w:hint="eastAsia" w:ascii="仿宋" w:hAnsi="仿宋" w:eastAsia="仿宋"/>
          <w:b w:val="0"/>
          <w:bCs w:val="0"/>
          <w:color w:val="auto"/>
          <w:highlight w:val="none"/>
        </w:rPr>
        <w:t>十二、</w:t>
      </w:r>
      <w:r>
        <w:rPr>
          <w:rStyle w:val="17"/>
          <w:rFonts w:hint="eastAsia" w:ascii="仿宋" w:hAnsi="仿宋" w:eastAsia="仿宋"/>
          <w:b w:val="0"/>
          <w:bCs w:val="0"/>
          <w:color w:val="auto"/>
          <w:highlight w:val="none"/>
          <w:lang w:eastAsia="zh-CN"/>
        </w:rPr>
        <w:t>国有资本经营预算财政拨款支出决算表</w:t>
      </w:r>
      <w:bookmarkEnd w:id="66"/>
      <w:bookmarkEnd w:id="67"/>
    </w:p>
    <w:p w14:paraId="7C699795">
      <w:pPr>
        <w:pStyle w:val="4"/>
        <w:rPr>
          <w:rFonts w:hint="eastAsia" w:eastAsia="仿宋"/>
          <w:color w:val="auto"/>
          <w:highlight w:val="none"/>
          <w:lang w:eastAsia="zh-CN"/>
        </w:rPr>
      </w:pPr>
      <w:bookmarkStart w:id="68" w:name="_Toc5244"/>
      <w:bookmarkStart w:id="69" w:name="_Toc32173"/>
      <w:r>
        <w:rPr>
          <w:rStyle w:val="17"/>
          <w:rFonts w:hint="eastAsia" w:ascii="仿宋" w:hAnsi="仿宋" w:eastAsia="仿宋"/>
          <w:b w:val="0"/>
          <w:bCs w:val="0"/>
          <w:color w:val="auto"/>
          <w:highlight w:val="none"/>
        </w:rPr>
        <w:t>十三、</w:t>
      </w:r>
      <w:r>
        <w:rPr>
          <w:rStyle w:val="17"/>
          <w:rFonts w:hint="eastAsia" w:ascii="仿宋" w:hAnsi="仿宋" w:eastAsia="仿宋"/>
          <w:b w:val="0"/>
          <w:bCs w:val="0"/>
          <w:color w:val="auto"/>
          <w:highlight w:val="none"/>
          <w:lang w:eastAsia="zh-CN"/>
        </w:rPr>
        <w:t>财政拨款“三公”经费支出决算表</w:t>
      </w:r>
      <w:bookmarkEnd w:id="68"/>
      <w:bookmarkEnd w:id="69"/>
    </w:p>
    <w:p w14:paraId="5D91F3B2">
      <w:pPr>
        <w:rPr>
          <w:rFonts w:hint="eastAsia"/>
          <w:lang w:eastAsia="zh-CN"/>
        </w:rPr>
      </w:pPr>
    </w:p>
    <w:p w14:paraId="2399900D"/>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9A1EF">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1B486ED8">
                              <w:pPr>
                                <w:pStyle w:val="8"/>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03B9FDBB">
                          <w:pPr>
                            <w:pStyle w:val="1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1B486ED8">
                        <w:pPr>
                          <w:pStyle w:val="8"/>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03B9FDBB">
                    <w:pPr>
                      <w:pStyle w:val="10"/>
                    </w:pPr>
                  </w:p>
                </w:txbxContent>
              </v:textbox>
            </v:shape>
          </w:pict>
        </mc:Fallback>
      </mc:AlternateContent>
    </w:r>
  </w:p>
  <w:p w14:paraId="102DB9E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CFC7D">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80B42E">
                          <w:pPr>
                            <w:pStyle w:val="8"/>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4680B42E">
                    <w:pPr>
                      <w:pStyle w:val="8"/>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16D2D5B"/>
    <w:rsid w:val="02FB2F3A"/>
    <w:rsid w:val="04BC5601"/>
    <w:rsid w:val="08D212FD"/>
    <w:rsid w:val="140A6E54"/>
    <w:rsid w:val="1D4662F1"/>
    <w:rsid w:val="1E2F4C1E"/>
    <w:rsid w:val="1FA348AA"/>
    <w:rsid w:val="24ED6B54"/>
    <w:rsid w:val="28EE08D1"/>
    <w:rsid w:val="34B27EEA"/>
    <w:rsid w:val="382D5279"/>
    <w:rsid w:val="3A221FB6"/>
    <w:rsid w:val="3BD00DB6"/>
    <w:rsid w:val="44BA2AC9"/>
    <w:rsid w:val="482F19AD"/>
    <w:rsid w:val="48FC5EF5"/>
    <w:rsid w:val="4D854CA2"/>
    <w:rsid w:val="4DCA5C65"/>
    <w:rsid w:val="598F08FB"/>
    <w:rsid w:val="5DF75A6F"/>
    <w:rsid w:val="5F88394B"/>
    <w:rsid w:val="60DE253A"/>
    <w:rsid w:val="61500EBB"/>
    <w:rsid w:val="61CC2947"/>
    <w:rsid w:val="61FE71CE"/>
    <w:rsid w:val="67A24A5E"/>
    <w:rsid w:val="72500DD4"/>
    <w:rsid w:val="739C2D32"/>
    <w:rsid w:val="78ED301C"/>
    <w:rsid w:val="7B710B8F"/>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iPriority="99"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beforeLines="30"/>
    </w:pPr>
    <w:rPr>
      <w:rFonts w:ascii="仿宋_GB2312" w:eastAsia="仿宋_GB2312"/>
      <w:kern w:val="0"/>
      <w:sz w:val="30"/>
    </w:rPr>
  </w:style>
  <w:style w:type="paragraph" w:styleId="5">
    <w:name w:val="annotation text"/>
    <w:basedOn w:val="1"/>
    <w:semiHidden/>
    <w:unhideWhenUsed/>
    <w:qFormat/>
    <w:uiPriority w:val="99"/>
    <w:pPr>
      <w:jc w:val="left"/>
    </w:p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9">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0">
    <w:name w:val="footnote text"/>
    <w:basedOn w:val="1"/>
    <w:next w:val="7"/>
    <w:semiHidden/>
    <w:qFormat/>
    <w:uiPriority w:val="0"/>
    <w:pPr>
      <w:snapToGrid w:val="0"/>
      <w:jc w:val="left"/>
    </w:pPr>
    <w:rPr>
      <w:sz w:val="18"/>
      <w:szCs w:val="1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99"/>
    <w:pPr>
      <w:spacing w:beforeAutospacing="1" w:afterAutospacing="1"/>
      <w:jc w:val="left"/>
    </w:pPr>
    <w:rPr>
      <w:kern w:val="0"/>
      <w:sz w:val="24"/>
    </w:rPr>
  </w:style>
  <w:style w:type="character" w:styleId="15">
    <w:name w:val="Strong"/>
    <w:basedOn w:val="14"/>
    <w:qFormat/>
    <w:uiPriority w:val="99"/>
    <w:rPr>
      <w:b/>
    </w:rPr>
  </w:style>
  <w:style w:type="character" w:customStyle="1" w:styleId="16">
    <w:name w:val="标题 1 Char"/>
    <w:basedOn w:val="14"/>
    <w:link w:val="3"/>
    <w:qFormat/>
    <w:uiPriority w:val="9"/>
    <w:rPr>
      <w:b/>
      <w:bCs/>
      <w:kern w:val="44"/>
      <w:sz w:val="44"/>
      <w:szCs w:val="44"/>
    </w:rPr>
  </w:style>
  <w:style w:type="character" w:customStyle="1" w:styleId="17">
    <w:name w:val="标题 2 Char"/>
    <w:basedOn w:val="14"/>
    <w:link w:val="4"/>
    <w:qFormat/>
    <w:uiPriority w:val="9"/>
    <w:rPr>
      <w:rFonts w:asciiTheme="majorHAnsi" w:hAnsiTheme="majorHAnsi" w:eastAsiaTheme="majorEastAsia" w:cstheme="majorBidi"/>
      <w:b/>
      <w:bCs/>
      <w:sz w:val="32"/>
      <w:szCs w:val="32"/>
    </w:rPr>
  </w:style>
  <w:style w:type="paragraph" w:styleId="18">
    <w:name w:val="List Paragraph"/>
    <w:basedOn w:val="1"/>
    <w:qFormat/>
    <w:uiPriority w:val="34"/>
    <w:pPr>
      <w:ind w:firstLine="420" w:firstLineChars="200"/>
    </w:pPr>
  </w:style>
  <w:style w:type="paragraph" w:customStyle="1" w:styleId="1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0">
    <w:name w:val="WPSOffice手动目录 1"/>
    <w:qFormat/>
    <w:uiPriority w:val="0"/>
    <w:pPr>
      <w:ind w:leftChars="0"/>
    </w:pPr>
    <w:rPr>
      <w:rFonts w:asciiTheme="minorHAnsi" w:hAnsiTheme="minorHAnsi" w:eastAsiaTheme="minorEastAsia" w:cstheme="minorBidi"/>
      <w:sz w:val="20"/>
      <w:szCs w:val="20"/>
    </w:rPr>
  </w:style>
  <w:style w:type="paragraph" w:customStyle="1" w:styleId="21">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0.00_ </c:formatCode>
                <c:ptCount val="2"/>
                <c:pt idx="0">
                  <c:v>2334.05</c:v>
                </c:pt>
                <c:pt idx="1">
                  <c:v>2334.05</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1691.74</c:v>
                </c:pt>
                <c:pt idx="1">
                  <c:v>1691.74</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manualLayout>
                  <c:x val="0.00483208504469679"/>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3339.92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支出决算结构图</a:t>
            </a:r>
            <a:endParaRPr lang="en-US" altLang="zh-CN"/>
          </a:p>
        </c:rich>
      </c:tx>
      <c:layout>
        <c:manualLayout>
          <c:xMode val="edge"/>
          <c:yMode val="edge"/>
          <c:x val="0.372432954820005"/>
          <c:y val="0.0254993625159371"/>
        </c:manualLayout>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101473785938633"/>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2230.27,</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95.55</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0523073206088427"/>
                  <c:y val="0.016787080322991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103.78</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4.45</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2230.27</c:v>
                </c:pt>
                <c:pt idx="1" c:formatCode="General">
                  <c:v>103.78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0.00_ </c:formatCode>
                <c:ptCount val="2"/>
                <c:pt idx="0">
                  <c:v>2334.05</c:v>
                </c:pt>
                <c:pt idx="1">
                  <c:v>2334.05</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General</c:formatCode>
                <c:ptCount val="2"/>
                <c:pt idx="0">
                  <c:v>1691.74</c:v>
                </c:pt>
                <c:pt idx="1">
                  <c:v>1691.74</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manualLayout>
          <c:layoutTarget val="inner"/>
          <c:xMode val="edge"/>
          <c:yMode val="edge"/>
          <c:x val="0.105170330997826"/>
          <c:y val="0.161920951976201"/>
          <c:w val="0.754215994201498"/>
          <c:h val="0.735741606459839"/>
        </c:manualLayout>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0.00_ </c:formatCode>
                <c:ptCount val="1"/>
                <c:pt idx="0">
                  <c:v>2334.05</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1691.74</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manualLayout>
                  <c:x val="-0.00157042763952646"/>
                  <c:y val="0.0029749256268593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249.63</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10.7</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121.50</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5.2</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manualLayout>
                  <c:x val="-0.00338245953128775"/>
                  <c:y val="0.014874628134296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1829.57,</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78.4</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133.35,</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5.7</a:t>
                    </a:r>
                    <a:r>
                      <a:t>%</a:t>
                    </a:r>
                  </a:p>
                </c:rich>
              </c:tx>
              <c:dLblPos val="out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249.63</c:v>
                </c:pt>
                <c:pt idx="1">
                  <c:v>121.5</c:v>
                </c:pt>
                <c:pt idx="2" c:formatCode="#,##0.00">
                  <c:v>1829.57</c:v>
                </c:pt>
                <c:pt idx="3">
                  <c:v>133.35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a:t>
            </a:r>
            <a:r>
              <a:rPr altLang="en-US"/>
              <a:t>三公</a:t>
            </a:r>
            <a:r>
              <a:rPr lang="en-US" altLang="zh-CN"/>
              <a:t>”</a:t>
            </a:r>
            <a:r>
              <a:rPr altLang="en-US"/>
              <a:t>经费财政拨款支出</a:t>
            </a:r>
            <a:endParaRPr lang="en-US" altLang="zh-CN"/>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0488040589514375"/>
                  <c:y val="0.0089247768805779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0.17</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1.1</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15.52</a:t>
                    </a:r>
                    <a:r>
                      <a:rPr altLang="en-US"/>
                      <a:t>，</a:t>
                    </a:r>
                    <a:endParaRPr altLang="en-US"/>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98.9</a:t>
                    </a:r>
                    <a:r>
                      <a:t>%</a:t>
                    </a:r>
                  </a:p>
                </c:rich>
              </c:tx>
              <c:dLblPos val="out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公务用车购置及运行维护费支出</c:v>
                </c:pt>
                <c:pt idx="1">
                  <c:v>公务接待费支出</c:v>
                </c:pt>
              </c:strCache>
            </c:strRef>
          </c:cat>
          <c:val>
            <c:numRef>
              <c:f>Sheet1!$B$2:$B$3</c:f>
              <c:numCache>
                <c:formatCode>General</c:formatCode>
                <c:ptCount val="2"/>
                <c:pt idx="0">
                  <c:v>15.52</c:v>
                </c:pt>
                <c:pt idx="1">
                  <c:v>0.17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6925</Words>
  <Characters>7410</Characters>
  <Lines>0</Lines>
  <Paragraphs>0</Paragraphs>
  <TotalTime>6</TotalTime>
  <ScaleCrop>false</ScaleCrop>
  <LinksUpToDate>false</LinksUpToDate>
  <CharactersWithSpaces>7591</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2024-09-18T01:49:50Z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6011016E050C4EB895BC91F89247B02C_13</vt:lpwstr>
  </property>
</Properties>
</file>