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7D97C">
      <w:pPr>
        <w:pStyle w:val="2"/>
        <w:jc w:val="center"/>
        <w:rPr>
          <w:rFonts w:hint="eastAsia" w:ascii="方正小标宋简体" w:hAnsi="宋体" w:eastAsia="方正小标宋简体" w:cs="Times New Roman"/>
          <w:color w:val="auto"/>
          <w:kern w:val="2"/>
          <w:sz w:val="44"/>
          <w:szCs w:val="44"/>
          <w:highlight w:val="none"/>
          <w:lang w:val="en-US" w:eastAsia="zh-CN" w:bidi="ar-SA"/>
        </w:rPr>
      </w:pPr>
    </w:p>
    <w:p w14:paraId="4113C436">
      <w:pPr>
        <w:pStyle w:val="2"/>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2023年度阿坝藏族羌族自治州公路管理局九寨沟公路管理分局单位决算</w:t>
      </w:r>
    </w:p>
    <w:p w14:paraId="140F47AF">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669BB0CD">
      <w:pPr>
        <w:widowControl/>
        <w:jc w:val="center"/>
        <w:rPr>
          <w:rFonts w:ascii="黑体" w:hAnsi="黑体" w:eastAsia="黑体" w:cstheme="minorBidi"/>
          <w:color w:val="auto"/>
          <w:sz w:val="28"/>
          <w:szCs w:val="28"/>
          <w:highlight w:val="none"/>
        </w:rPr>
      </w:pPr>
    </w:p>
    <w:p w14:paraId="7949819D">
      <w:pPr>
        <w:pStyle w:val="8"/>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14:paraId="59AB3E2E">
      <w:pPr>
        <w:rPr>
          <w:color w:val="auto"/>
          <w:highlight w:val="none"/>
        </w:rPr>
      </w:pPr>
    </w:p>
    <w:sdt>
      <w:sdtPr>
        <w:rPr>
          <w:rFonts w:ascii="宋体" w:hAnsi="宋体" w:eastAsia="宋体" w:cs="Times New Roman"/>
          <w:kern w:val="2"/>
          <w:sz w:val="21"/>
          <w:szCs w:val="24"/>
          <w:lang w:val="en-US" w:eastAsia="zh-CN" w:bidi="ar-SA"/>
        </w:rPr>
        <w:id w:val="147474909"/>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163179E8">
          <w:pPr>
            <w:spacing w:before="0" w:beforeLines="0" w:after="0" w:afterLines="0" w:line="240" w:lineRule="auto"/>
            <w:ind w:left="0" w:leftChars="0" w:right="0" w:rightChars="0" w:firstLine="0" w:firstLineChars="0"/>
            <w:jc w:val="center"/>
          </w:pPr>
        </w:p>
        <w:p w14:paraId="18B8AB6C">
          <w:pPr>
            <w:pStyle w:val="18"/>
            <w:tabs>
              <w:tab w:val="right" w:leader="dot" w:pos="8306"/>
            </w:tabs>
            <w:rPr>
              <w:rFonts w:hint="eastAsia" w:ascii="仿宋" w:hAnsi="仿宋" w:eastAsia="仿宋" w:cs="仿宋"/>
              <w:b/>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_Toc5358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_Toc5358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5BF39651">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_Toc28138 </w:instrText>
          </w:r>
          <w:r>
            <w:rPr>
              <w:rFonts w:hint="eastAsia" w:ascii="仿宋" w:hAnsi="仿宋" w:eastAsia="仿宋" w:cs="仿宋"/>
              <w:sz w:val="28"/>
              <w:szCs w:val="28"/>
            </w:rPr>
            <w:fldChar w:fldCharType="separate"/>
          </w:r>
          <w:r>
            <w:rPr>
              <w:rFonts w:hint="eastAsia" w:ascii="仿宋" w:hAnsi="仿宋" w:eastAsia="仿宋" w:cs="仿宋"/>
              <w:bCs w:val="0"/>
              <w:sz w:val="28"/>
              <w:szCs w:val="28"/>
              <w:lang w:eastAsia="zh-CN"/>
            </w:rPr>
            <w:t>一、</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_Toc28138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B6BB5A0">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_Toc11255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_Toc11255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6CDA3A3">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_Toc19901 </w:instrText>
          </w:r>
          <w:r>
            <w:rPr>
              <w:rFonts w:hint="eastAsia" w:ascii="仿宋" w:hAnsi="仿宋" w:eastAsia="仿宋" w:cs="仿宋"/>
              <w:b/>
              <w:sz w:val="28"/>
              <w:szCs w:val="28"/>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_Toc19901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- 2 -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21B172CC">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_Toc28629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_Toc28629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01B075E">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_Toc25027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_Toc25027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43FB377">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_Toc21240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_Toc21240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9D120C2">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_Toc8540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_Toc8540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CDA8BCF">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_Toc9805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_Toc9805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64D883E">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_Toc14429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_Toc14429 \h </w:instrText>
          </w:r>
          <w:r>
            <w:rPr>
              <w:rFonts w:hint="eastAsia" w:ascii="仿宋" w:hAnsi="仿宋" w:eastAsia="仿宋" w:cs="仿宋"/>
              <w:sz w:val="28"/>
              <w:szCs w:val="28"/>
            </w:rPr>
            <w:fldChar w:fldCharType="separate"/>
          </w:r>
          <w:r>
            <w:rPr>
              <w:rFonts w:hint="eastAsia" w:ascii="仿宋" w:hAnsi="仿宋" w:eastAsia="仿宋" w:cs="仿宋"/>
              <w:sz w:val="28"/>
              <w:szCs w:val="28"/>
            </w:rPr>
            <w:t>- 7 -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FBD8BE4">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_Toc17310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_Toc17310 \h </w:instrText>
          </w:r>
          <w:r>
            <w:rPr>
              <w:rFonts w:hint="eastAsia" w:ascii="仿宋" w:hAnsi="仿宋" w:eastAsia="仿宋" w:cs="仿宋"/>
              <w:sz w:val="28"/>
              <w:szCs w:val="28"/>
            </w:rPr>
            <w:fldChar w:fldCharType="separate"/>
          </w:r>
          <w:r>
            <w:rPr>
              <w:rFonts w:hint="eastAsia" w:ascii="仿宋" w:hAnsi="仿宋" w:eastAsia="仿宋" w:cs="仿宋"/>
              <w:sz w:val="28"/>
              <w:szCs w:val="28"/>
            </w:rPr>
            <w:t>- 8 -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C0009FB">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_Toc13979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_Toc13979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F25FDCB">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_Toc10065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_Toc10065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CDC4BD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_Toc8284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_Toc8284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D054F16">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_Toc6952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_Toc6952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- 11 -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60A7208A">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_Toc32381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_Toc32381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- 14 -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5B7A4F40">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_Toc25493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_Toc25493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- 15 -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2BD765E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_Toc9778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_Toc9778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DDD88B8">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_Toc30371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_Toc30371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B0F53B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_Toc12969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_Toc12969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7FF361C">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_Toc21501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_Toc21501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909C7E3">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_Toc6013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_Toc6013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2BB5A7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_Toc8052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_Toc8052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22B4891">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_Toc30041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_Toc30041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18F2B83">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_Toc15038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_Toc15038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91C5643">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_Toc9219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_Toc9219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67665CC">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_Toc20423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_Toc20423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540B1F2">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_Toc6643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_Toc6643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DB315AC">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_Toc1660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_Toc1660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4BFE389">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_Toc1383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_Toc1383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16A9121">
          <w:pPr>
            <w:rPr>
              <w:b/>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rFonts w:hint="eastAsia" w:ascii="仿宋" w:hAnsi="仿宋" w:eastAsia="仿宋" w:cs="仿宋"/>
              <w:b/>
              <w:sz w:val="28"/>
              <w:szCs w:val="28"/>
            </w:rPr>
            <w:fldChar w:fldCharType="end"/>
          </w:r>
        </w:p>
      </w:sdtContent>
    </w:sdt>
    <w:p w14:paraId="7B4F7729">
      <w:pPr>
        <w:pStyle w:val="3"/>
        <w:jc w:val="center"/>
        <w:rPr>
          <w:rStyle w:val="14"/>
          <w:rFonts w:ascii="黑体" w:hAnsi="黑体" w:eastAsia="黑体"/>
          <w:b/>
          <w:bCs w:val="0"/>
          <w:color w:val="auto"/>
          <w:highlight w:val="none"/>
        </w:rPr>
      </w:pPr>
      <w:bookmarkStart w:id="0" w:name="_Toc5358"/>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4"/>
          <w:rFonts w:hint="eastAsia" w:ascii="黑体" w:hAnsi="黑体" w:eastAsia="黑体"/>
          <w:b w:val="0"/>
          <w:bCs w:val="0"/>
          <w:color w:val="auto"/>
          <w:highlight w:val="none"/>
        </w:rPr>
        <w:t>概况</w:t>
      </w:r>
      <w:bookmarkEnd w:id="0"/>
    </w:p>
    <w:p w14:paraId="32991270">
      <w:pPr>
        <w:widowControl/>
        <w:jc w:val="left"/>
        <w:rPr>
          <w:rFonts w:ascii="黑体" w:eastAsia="黑体"/>
          <w:color w:val="auto"/>
          <w:sz w:val="32"/>
          <w:szCs w:val="32"/>
          <w:highlight w:val="none"/>
        </w:rPr>
      </w:pPr>
    </w:p>
    <w:p w14:paraId="353BFC97">
      <w:pPr>
        <w:pStyle w:val="4"/>
        <w:numPr>
          <w:ilvl w:val="0"/>
          <w:numId w:val="1"/>
        </w:numPr>
        <w:rPr>
          <w:rStyle w:val="15"/>
          <w:rFonts w:hint="eastAsia" w:ascii="黑体" w:hAnsi="黑体" w:eastAsia="黑体"/>
          <w:b w:val="0"/>
          <w:bCs w:val="0"/>
          <w:color w:val="auto"/>
          <w:highlight w:val="none"/>
          <w:lang w:eastAsia="zh-CN"/>
        </w:rPr>
      </w:pPr>
      <w:bookmarkStart w:id="1" w:name="_Toc28138"/>
      <w:r>
        <w:rPr>
          <w:rStyle w:val="15"/>
          <w:rFonts w:hint="eastAsia" w:ascii="黑体" w:hAnsi="黑体" w:eastAsia="黑体"/>
          <w:b w:val="0"/>
          <w:bCs w:val="0"/>
          <w:color w:val="auto"/>
          <w:highlight w:val="none"/>
          <w:lang w:eastAsia="zh-CN"/>
        </w:rPr>
        <w:t>主要职责</w:t>
      </w:r>
      <w:bookmarkEnd w:id="1"/>
    </w:p>
    <w:p w14:paraId="163F0CD6">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1.贯彻执行国家有关公路的法律法规、规章和技术规范。</w:t>
      </w:r>
    </w:p>
    <w:p w14:paraId="601D19E4">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2.负责辖区国省干线公路养护，指导、监督、协调公路养护。</w:t>
      </w:r>
    </w:p>
    <w:p w14:paraId="486CDD03">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3.负责指导管理辖区国省干线公路养护工作，组织检查评定公路养护质量，组织协调自然灾害毁损公路的抢修工作，管理公路养护市场，负责辖区国省干线公路养护计划的编制和执行。</w:t>
      </w:r>
    </w:p>
    <w:p w14:paraId="516DB75A">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4.负责辖区国省干线公路行业的财务预、决算编制，指导监督行业会计核算和财务管理工作。</w:t>
      </w:r>
    </w:p>
    <w:p w14:paraId="762C1487">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5.负责辖区国省干线公路行业的统计和信息管理，指导管理行业科技工作和职工教育培训工作。</w:t>
      </w:r>
    </w:p>
    <w:p w14:paraId="0738377F">
      <w:pPr>
        <w:spacing w:line="60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6.指导辖区国省干线公路行业精神文明建设，行风建设和职工队伍建设工作。</w:t>
      </w:r>
    </w:p>
    <w:p w14:paraId="46712848">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s="Times New Roman"/>
          <w:color w:val="auto"/>
          <w:sz w:val="32"/>
          <w:szCs w:val="32"/>
          <w:highlight w:val="none"/>
          <w:lang w:val="en-US" w:eastAsia="zh-CN"/>
        </w:rPr>
        <w:t>7.负责协助辖区国省干线公路建设和规划工作</w:t>
      </w:r>
      <w:r>
        <w:rPr>
          <w:rFonts w:hint="eastAsia" w:ascii="仿宋" w:hAnsi="仿宋" w:eastAsia="仿宋"/>
          <w:color w:val="auto"/>
          <w:sz w:val="32"/>
          <w:szCs w:val="32"/>
          <w:highlight w:val="none"/>
          <w:lang w:eastAsia="zh-CN"/>
        </w:rPr>
        <w:t>。</w:t>
      </w:r>
    </w:p>
    <w:p w14:paraId="49ED73E5">
      <w:pPr>
        <w:pStyle w:val="4"/>
        <w:numPr>
          <w:ilvl w:val="0"/>
          <w:numId w:val="0"/>
        </w:numPr>
        <w:rPr>
          <w:rFonts w:hint="eastAsia" w:ascii="黑体" w:hAnsi="黑体" w:eastAsia="黑体"/>
          <w:b w:val="0"/>
          <w:color w:val="auto"/>
          <w:highlight w:val="none"/>
          <w:lang w:val="en-US" w:eastAsia="zh-CN"/>
        </w:rPr>
      </w:pPr>
      <w:bookmarkStart w:id="2" w:name="_Toc11255"/>
      <w:r>
        <w:rPr>
          <w:rFonts w:hint="eastAsia" w:ascii="黑体" w:hAnsi="黑体" w:eastAsia="黑体"/>
          <w:b w:val="0"/>
          <w:color w:val="auto"/>
          <w:highlight w:val="none"/>
          <w:lang w:val="en-US" w:eastAsia="zh-CN"/>
        </w:rPr>
        <w:t>二、机构设置</w:t>
      </w:r>
      <w:bookmarkEnd w:id="2"/>
    </w:p>
    <w:p w14:paraId="01DA1C89">
      <w:pPr>
        <w:widowControl/>
        <w:ind w:firstLine="640" w:firstLineChars="200"/>
        <w:jc w:val="left"/>
        <w:rPr>
          <w:rFonts w:ascii="仿宋" w:hAnsi="仿宋" w:eastAsia="仿宋"/>
          <w:color w:val="auto"/>
          <w:kern w:val="0"/>
          <w:sz w:val="32"/>
          <w:szCs w:val="32"/>
          <w:highlight w:val="none"/>
        </w:rPr>
      </w:pPr>
      <w:r>
        <w:rPr>
          <w:rFonts w:hint="eastAsia" w:ascii="仿宋" w:hAnsi="仿宋" w:eastAsia="仿宋"/>
          <w:color w:val="auto"/>
          <w:sz w:val="32"/>
          <w:szCs w:val="32"/>
          <w:highlight w:val="none"/>
        </w:rPr>
        <w:t>本单位本年度纳入本套决算编制范围的独立编制机构数共1个，比上年增加0个</w:t>
      </w:r>
      <w:r>
        <w:rPr>
          <w:rFonts w:hint="eastAsia" w:ascii="仿宋" w:hAnsi="仿宋" w:eastAsia="仿宋"/>
          <w:color w:val="auto"/>
          <w:sz w:val="32"/>
          <w:szCs w:val="32"/>
          <w:highlight w:val="none"/>
          <w:lang w:eastAsia="zh-CN"/>
        </w:rPr>
        <w:t>。</w:t>
      </w:r>
      <w:r>
        <w:rPr>
          <w:rFonts w:ascii="仿宋" w:hAnsi="仿宋" w:eastAsia="仿宋"/>
          <w:color w:val="auto"/>
          <w:sz w:val="32"/>
          <w:szCs w:val="32"/>
          <w:highlight w:val="none"/>
        </w:rPr>
        <w:br w:type="page"/>
      </w:r>
    </w:p>
    <w:p w14:paraId="1F8F4259">
      <w:pPr>
        <w:pStyle w:val="3"/>
        <w:ind w:right="440"/>
        <w:jc w:val="center"/>
        <w:rPr>
          <w:rStyle w:val="14"/>
          <w:rFonts w:ascii="黑体" w:hAnsi="黑体" w:eastAsia="黑体"/>
          <w:b w:val="0"/>
          <w:bCs/>
          <w:color w:val="auto"/>
          <w:highlight w:val="none"/>
        </w:rPr>
      </w:pPr>
      <w:bookmarkStart w:id="3" w:name="_Toc19901"/>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4"/>
          <w:rFonts w:hint="eastAsia" w:ascii="黑体" w:hAnsi="黑体" w:eastAsia="黑体"/>
          <w:b w:val="0"/>
          <w:bCs/>
          <w:color w:val="auto"/>
          <w:highlight w:val="none"/>
          <w:lang w:eastAsia="zh-CN"/>
        </w:rPr>
        <w:t>单位</w:t>
      </w:r>
      <w:r>
        <w:rPr>
          <w:rStyle w:val="14"/>
          <w:rFonts w:hint="eastAsia" w:ascii="黑体" w:hAnsi="黑体" w:eastAsia="黑体"/>
          <w:b w:val="0"/>
          <w:bCs/>
          <w:color w:val="auto"/>
          <w:highlight w:val="none"/>
        </w:rPr>
        <w:t>决算情况说明</w:t>
      </w:r>
      <w:bookmarkEnd w:id="3"/>
    </w:p>
    <w:p w14:paraId="5646B8B2">
      <w:pPr>
        <w:rPr>
          <w:color w:val="auto"/>
          <w:highlight w:val="none"/>
        </w:rPr>
      </w:pPr>
    </w:p>
    <w:p w14:paraId="3CD3CD82">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4" w:name="_Toc2862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入支出决算总体情况说明</w:t>
      </w:r>
      <w:bookmarkEnd w:id="4"/>
    </w:p>
    <w:p w14:paraId="0FCD27B1">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均为2,898.57</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相比，收、支总计各增加698.76万元，增长31.</w:t>
      </w:r>
      <w:r>
        <w:rPr>
          <w:rFonts w:hint="eastAsia" w:ascii="仿宋" w:hAnsi="仿宋" w:eastAsia="仿宋"/>
          <w:color w:val="auto"/>
          <w:sz w:val="32"/>
          <w:szCs w:val="32"/>
          <w:highlight w:val="none"/>
          <w:lang w:val="en-US" w:eastAsia="zh-CN"/>
        </w:rPr>
        <w:t>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社保调标人员经费增加，培训费会议费等增加，公用经费增加</w:t>
      </w:r>
      <w:r>
        <w:rPr>
          <w:rFonts w:hint="eastAsia" w:ascii="仿宋" w:hAnsi="仿宋" w:eastAsia="仿宋"/>
          <w:color w:val="auto"/>
          <w:sz w:val="32"/>
          <w:szCs w:val="32"/>
          <w:highlight w:val="none"/>
          <w:lang w:eastAsia="zh-CN"/>
        </w:rPr>
        <w:t>。</w:t>
      </w:r>
    </w:p>
    <w:p w14:paraId="1AD2BC38">
      <w:pPr>
        <w:pStyle w:val="2"/>
        <w:rPr>
          <w:rFonts w:hint="eastAsia"/>
          <w:lang w:eastAsia="zh-CN"/>
        </w:rPr>
      </w:pPr>
      <w:r>
        <w:rPr>
          <w:rFonts w:hint="eastAsia"/>
          <w:lang w:eastAsia="zh-CN"/>
        </w:rPr>
        <w:drawing>
          <wp:inline distT="0" distB="0" distL="114300" distR="114300">
            <wp:extent cx="5256530" cy="2988310"/>
            <wp:effectExtent l="5080"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EB09A55">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6185C022">
      <w:pPr>
        <w:spacing w:line="600" w:lineRule="exact"/>
        <w:ind w:firstLine="640" w:firstLineChars="200"/>
        <w:jc w:val="left"/>
        <w:rPr>
          <w:rFonts w:ascii="仿宋_GB2312" w:eastAsia="仿宋_GB2312"/>
          <w:color w:val="auto"/>
          <w:sz w:val="32"/>
          <w:szCs w:val="32"/>
          <w:highlight w:val="none"/>
        </w:rPr>
      </w:pPr>
    </w:p>
    <w:p w14:paraId="605F9DCA">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5" w:name="_Toc25027"/>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入决算情况说明</w:t>
      </w:r>
      <w:bookmarkEnd w:id="5"/>
    </w:p>
    <w:p w14:paraId="5B8A77D6">
      <w:pPr>
        <w:spacing w:line="600" w:lineRule="exact"/>
        <w:ind w:firstLine="640" w:firstLineChars="200"/>
        <w:outlineLvl w:val="1"/>
        <w:rPr>
          <w:rFonts w:ascii="仿宋" w:hAnsi="仿宋" w:eastAsia="仿宋"/>
          <w:color w:val="auto"/>
          <w:sz w:val="32"/>
          <w:szCs w:val="32"/>
          <w:highlight w:val="none"/>
        </w:rPr>
      </w:pPr>
      <w:bookmarkStart w:id="6" w:name="_Toc30729"/>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本年收入合计2,898.57万元，其中：一般公共预算财政拨款收入2,898.57万元，占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6"/>
    </w:p>
    <w:p w14:paraId="728F12FA">
      <w:pPr>
        <w:spacing w:line="240" w:lineRule="auto"/>
        <w:ind w:firstLine="0" w:firstLineChars="0"/>
        <w:outlineLvl w:val="9"/>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FEDEC0C">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14:paraId="0C867BA3">
      <w:pPr>
        <w:spacing w:line="600" w:lineRule="exact"/>
        <w:ind w:firstLine="640" w:firstLineChars="200"/>
        <w:rPr>
          <w:rFonts w:ascii="仿宋_GB2312" w:eastAsia="仿宋_GB2312"/>
          <w:color w:val="auto"/>
          <w:sz w:val="32"/>
          <w:szCs w:val="32"/>
          <w:highlight w:val="none"/>
        </w:rPr>
      </w:pPr>
    </w:p>
    <w:p w14:paraId="2E1900B0">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7" w:name="_Toc21240"/>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5"/>
          <w:rFonts w:hint="eastAsia" w:ascii="黑体" w:hAnsi="黑体" w:eastAsia="黑体"/>
          <w:b w:val="0"/>
          <w:color w:val="auto"/>
          <w:highlight w:val="none"/>
        </w:rPr>
        <w:t>出决算情况说明</w:t>
      </w:r>
      <w:bookmarkEnd w:id="7"/>
    </w:p>
    <w:p w14:paraId="0A86EE27">
      <w:pPr>
        <w:spacing w:line="600" w:lineRule="exact"/>
        <w:ind w:firstLine="640" w:firstLineChars="200"/>
        <w:outlineLvl w:val="1"/>
        <w:rPr>
          <w:rFonts w:ascii="仿宋" w:hAnsi="仿宋" w:eastAsia="仿宋"/>
          <w:color w:val="auto"/>
          <w:sz w:val="32"/>
          <w:szCs w:val="32"/>
          <w:highlight w:val="none"/>
        </w:rPr>
      </w:pPr>
      <w:bookmarkStart w:id="8" w:name="_Toc793"/>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本年支出合计2,898.57万元，其中：基本支出2,677.87万元，占</w:t>
      </w:r>
      <w:r>
        <w:rPr>
          <w:rFonts w:hint="eastAsia" w:ascii="仿宋" w:hAnsi="仿宋" w:eastAsia="仿宋"/>
          <w:color w:val="auto"/>
          <w:sz w:val="32"/>
          <w:szCs w:val="32"/>
          <w:highlight w:val="none"/>
          <w:lang w:val="en-US" w:eastAsia="zh-CN"/>
        </w:rPr>
        <w:t>92.4</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；项目支出220.7万元，占</w:t>
      </w:r>
      <w:r>
        <w:rPr>
          <w:rFonts w:hint="eastAsia" w:ascii="仿宋" w:hAnsi="仿宋" w:eastAsia="仿宋"/>
          <w:color w:val="auto"/>
          <w:sz w:val="32"/>
          <w:szCs w:val="32"/>
          <w:highlight w:val="none"/>
          <w:lang w:val="en-US" w:eastAsia="zh-CN"/>
        </w:rPr>
        <w:t>7.6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8"/>
    </w:p>
    <w:p w14:paraId="4B3D4443">
      <w:pPr>
        <w:spacing w:line="240" w:lineRule="auto"/>
        <w:ind w:firstLine="0"/>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8890" b="76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5D7B86A">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66647905">
      <w:pPr>
        <w:spacing w:line="600" w:lineRule="exact"/>
        <w:ind w:firstLine="640" w:firstLineChars="200"/>
        <w:rPr>
          <w:rFonts w:ascii="仿宋_GB2312" w:eastAsia="仿宋_GB2312"/>
          <w:color w:val="auto"/>
          <w:sz w:val="32"/>
          <w:szCs w:val="32"/>
          <w:highlight w:val="none"/>
        </w:rPr>
      </w:pPr>
    </w:p>
    <w:p w14:paraId="1414884C">
      <w:pPr>
        <w:spacing w:line="600" w:lineRule="exact"/>
        <w:ind w:firstLine="640" w:firstLineChars="200"/>
        <w:outlineLvl w:val="1"/>
        <w:rPr>
          <w:rStyle w:val="15"/>
          <w:rFonts w:ascii="黑体" w:hAnsi="黑体" w:eastAsia="黑体"/>
          <w:b w:val="0"/>
          <w:color w:val="auto"/>
          <w:highlight w:val="none"/>
        </w:rPr>
      </w:pPr>
      <w:bookmarkStart w:id="9" w:name="_Toc8540"/>
      <w:r>
        <w:rPr>
          <w:rFonts w:hint="eastAsia" w:ascii="黑体" w:hAnsi="黑体" w:eastAsia="黑体"/>
          <w:color w:val="auto"/>
          <w:sz w:val="32"/>
          <w:szCs w:val="32"/>
          <w:highlight w:val="none"/>
        </w:rPr>
        <w:t>四、财</w:t>
      </w:r>
      <w:r>
        <w:rPr>
          <w:rStyle w:val="15"/>
          <w:rFonts w:hint="eastAsia" w:ascii="黑体" w:hAnsi="黑体" w:eastAsia="黑体"/>
          <w:b w:val="0"/>
          <w:color w:val="auto"/>
          <w:highlight w:val="none"/>
        </w:rPr>
        <w:t>政拨款收入支出决算总体情况说明</w:t>
      </w:r>
      <w:bookmarkEnd w:id="9"/>
    </w:p>
    <w:p w14:paraId="243DF562">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均为2,898.57</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相比，财政拨款收、支总计各增加698.76万元，增长31.</w:t>
      </w:r>
      <w:r>
        <w:rPr>
          <w:rFonts w:hint="eastAsia" w:ascii="仿宋" w:hAnsi="仿宋" w:eastAsia="仿宋"/>
          <w:color w:val="auto"/>
          <w:sz w:val="32"/>
          <w:szCs w:val="32"/>
          <w:highlight w:val="none"/>
          <w:lang w:val="en-US" w:eastAsia="zh-CN"/>
        </w:rPr>
        <w:t>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社保调标人员经费增加，培训费会议费等增加，公用经费增加。</w:t>
      </w:r>
    </w:p>
    <w:p w14:paraId="04DF3D29">
      <w:pPr>
        <w:spacing w:line="240" w:lineRule="auto"/>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EA51B1D">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45CBD745">
      <w:pPr>
        <w:spacing w:line="600" w:lineRule="exact"/>
        <w:ind w:firstLine="640"/>
        <w:rPr>
          <w:rFonts w:ascii="仿宋" w:hAnsi="仿宋" w:eastAsia="仿宋"/>
          <w:b/>
          <w:color w:val="auto"/>
          <w:sz w:val="32"/>
          <w:szCs w:val="32"/>
          <w:highlight w:val="none"/>
        </w:rPr>
      </w:pPr>
    </w:p>
    <w:p w14:paraId="6565EB9C">
      <w:pPr>
        <w:spacing w:line="600" w:lineRule="exact"/>
        <w:ind w:firstLine="640" w:firstLineChars="200"/>
        <w:outlineLvl w:val="1"/>
        <w:rPr>
          <w:rStyle w:val="15"/>
          <w:rFonts w:ascii="黑体" w:hAnsi="黑体" w:eastAsia="黑体"/>
          <w:b w:val="0"/>
          <w:color w:val="auto"/>
          <w:highlight w:val="none"/>
        </w:rPr>
      </w:pPr>
      <w:bookmarkStart w:id="10" w:name="_Toc9805"/>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般公共预算财政拨款支出决算情况说明</w:t>
      </w:r>
      <w:bookmarkEnd w:id="10"/>
    </w:p>
    <w:p w14:paraId="160E7512">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5669A6B7">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eastAsia="zh-CN"/>
        </w:rPr>
        <w:t>2,898.57</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增加698.76万元，增长31.</w:t>
      </w:r>
      <w:r>
        <w:rPr>
          <w:rFonts w:hint="eastAsia" w:ascii="仿宋" w:hAnsi="仿宋" w:eastAsia="仿宋"/>
          <w:color w:val="auto"/>
          <w:sz w:val="32"/>
          <w:szCs w:val="32"/>
          <w:highlight w:val="none"/>
          <w:lang w:val="en-US" w:eastAsia="zh-CN"/>
        </w:rPr>
        <w:t>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社保调标人员经费增加，培训费会议费等增加，公用经费增加。</w:t>
      </w:r>
    </w:p>
    <w:p w14:paraId="47DB6091">
      <w:pPr>
        <w:spacing w:line="240" w:lineRule="auto"/>
        <w:ind w:firstLine="0" w:firstLineChars="0"/>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FC49593">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3E282FFC">
      <w:pPr>
        <w:spacing w:line="600" w:lineRule="exact"/>
        <w:ind w:firstLine="640" w:firstLineChars="200"/>
        <w:rPr>
          <w:rFonts w:ascii="仿宋" w:hAnsi="仿宋" w:eastAsia="仿宋"/>
          <w:color w:val="auto"/>
          <w:sz w:val="32"/>
          <w:szCs w:val="32"/>
          <w:highlight w:val="none"/>
        </w:rPr>
      </w:pPr>
    </w:p>
    <w:p w14:paraId="4D9954EA">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52FC2D62">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一般公共预算财政拨款支出2,898.57万元，主要用于以下方面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社会保障和就业支出314.44</w:t>
      </w:r>
      <w:r>
        <w:rPr>
          <w:rFonts w:hint="eastAsia" w:ascii="仿宋" w:hAnsi="仿宋" w:eastAsia="仿宋"/>
          <w:color w:val="auto"/>
          <w:sz w:val="32"/>
          <w:szCs w:val="32"/>
          <w:highlight w:val="none"/>
        </w:rPr>
        <w:t>万元，占10.</w:t>
      </w:r>
      <w:r>
        <w:rPr>
          <w:rFonts w:hint="eastAsia" w:ascii="仿宋" w:hAnsi="仿宋" w:eastAsia="仿宋"/>
          <w:color w:val="auto"/>
          <w:sz w:val="32"/>
          <w:szCs w:val="32"/>
          <w:highlight w:val="none"/>
          <w:lang w:val="en-US" w:eastAsia="zh-CN"/>
        </w:rPr>
        <w:t>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卫生健康支出133.88</w:t>
      </w:r>
      <w:r>
        <w:rPr>
          <w:rFonts w:hint="eastAsia" w:ascii="仿宋" w:hAnsi="仿宋" w:eastAsia="仿宋"/>
          <w:color w:val="auto"/>
          <w:sz w:val="32"/>
          <w:szCs w:val="32"/>
          <w:highlight w:val="none"/>
        </w:rPr>
        <w:t>万元，占4.6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交通运输支出2,277.03</w:t>
      </w:r>
      <w:r>
        <w:rPr>
          <w:rFonts w:hint="eastAsia" w:ascii="仿宋" w:hAnsi="仿宋" w:eastAsia="仿宋"/>
          <w:color w:val="auto"/>
          <w:sz w:val="32"/>
          <w:szCs w:val="32"/>
          <w:highlight w:val="none"/>
        </w:rPr>
        <w:t>万元，占78.</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住房保障支出173.23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5064063C">
      <w:pPr>
        <w:spacing w:line="240" w:lineRule="auto"/>
        <w:ind w:firstLine="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4200796">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5C1AEB43">
      <w:pPr>
        <w:spacing w:line="600" w:lineRule="exact"/>
        <w:ind w:firstLine="640" w:firstLineChars="200"/>
        <w:rPr>
          <w:rFonts w:ascii="仿宋" w:hAnsi="仿宋" w:eastAsia="仿宋"/>
          <w:color w:val="auto"/>
          <w:sz w:val="32"/>
          <w:szCs w:val="32"/>
          <w:highlight w:val="none"/>
        </w:rPr>
      </w:pPr>
    </w:p>
    <w:p w14:paraId="2DBF8CC6">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306E90E8">
      <w:pPr>
        <w:spacing w:line="600" w:lineRule="exact"/>
        <w:ind w:firstLine="643" w:firstLineChars="200"/>
        <w:outlineLvl w:val="1"/>
        <w:rPr>
          <w:rFonts w:ascii="仿宋" w:hAnsi="仿宋" w:eastAsia="仿宋"/>
          <w:color w:val="auto"/>
          <w:sz w:val="32"/>
          <w:szCs w:val="32"/>
          <w:highlight w:val="none"/>
        </w:rPr>
      </w:pPr>
      <w:bookmarkStart w:id="11" w:name="_Toc30012"/>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般公共预算支出决算数为2,898.57</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3"/>
          <w:rFonts w:hint="eastAsia" w:ascii="仿宋" w:hAnsi="仿宋" w:eastAsia="仿宋"/>
          <w:bCs/>
          <w:color w:val="auto"/>
          <w:sz w:val="32"/>
          <w:szCs w:val="32"/>
          <w:highlight w:val="none"/>
        </w:rPr>
        <w:t>完成预算</w:t>
      </w:r>
      <w:r>
        <w:rPr>
          <w:rStyle w:val="13"/>
          <w:rFonts w:hint="eastAsia" w:ascii="仿宋" w:hAnsi="仿宋" w:eastAsia="仿宋"/>
          <w:bCs/>
          <w:color w:val="auto"/>
          <w:sz w:val="32"/>
          <w:szCs w:val="32"/>
          <w:highlight w:val="none"/>
          <w:lang w:val="en-US" w:eastAsia="zh-CN"/>
        </w:rPr>
        <w:t>100</w:t>
      </w:r>
      <w:r>
        <w:rPr>
          <w:rStyle w:val="13"/>
          <w:rFonts w:ascii="仿宋" w:hAnsi="仿宋" w:eastAsia="仿宋"/>
          <w:bCs/>
          <w:color w:val="auto"/>
          <w:sz w:val="32"/>
          <w:szCs w:val="32"/>
          <w:highlight w:val="none"/>
        </w:rPr>
        <w:t>%</w:t>
      </w:r>
      <w:r>
        <w:rPr>
          <w:rStyle w:val="13"/>
          <w:rFonts w:hint="eastAsia" w:ascii="仿宋" w:hAnsi="仿宋" w:eastAsia="仿宋"/>
          <w:bCs/>
          <w:color w:val="auto"/>
          <w:sz w:val="32"/>
          <w:szCs w:val="32"/>
          <w:highlight w:val="none"/>
        </w:rPr>
        <w:t>。其中：</w:t>
      </w:r>
      <w:bookmarkEnd w:id="11"/>
    </w:p>
    <w:p w14:paraId="70DAE47E">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1.</w:t>
      </w:r>
      <w:r>
        <w:rPr>
          <w:rStyle w:val="13"/>
          <w:rFonts w:hint="eastAsia" w:ascii="仿宋" w:hAnsi="仿宋" w:eastAsia="仿宋"/>
          <w:bCs/>
          <w:color w:val="auto"/>
          <w:sz w:val="32"/>
          <w:szCs w:val="32"/>
          <w:highlight w:val="none"/>
        </w:rPr>
        <w:t>社会保障和就业支出（类）行政事业单位养老支出（款）机关事业单位基本养老保险缴费支出（项）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支出决算为210.22万元，完成预算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6D854FDF">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2.</w:t>
      </w:r>
      <w:r>
        <w:rPr>
          <w:rStyle w:val="13"/>
          <w:rFonts w:hint="eastAsia" w:ascii="仿宋" w:hAnsi="仿宋" w:eastAsia="仿宋"/>
          <w:bCs/>
          <w:color w:val="auto"/>
          <w:sz w:val="32"/>
          <w:szCs w:val="32"/>
          <w:highlight w:val="none"/>
        </w:rPr>
        <w:t>社会保障和就业支出（类）行政事业单位养老支出（款）机关事业单位职业年金缴费支出（项）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支出决算为104.21万元，完成预算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656ED11">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3.</w:t>
      </w:r>
      <w:r>
        <w:rPr>
          <w:rStyle w:val="13"/>
          <w:rFonts w:hint="eastAsia" w:ascii="仿宋" w:hAnsi="仿宋" w:eastAsia="仿宋"/>
          <w:bCs/>
          <w:color w:val="auto"/>
          <w:sz w:val="32"/>
          <w:szCs w:val="32"/>
          <w:highlight w:val="none"/>
        </w:rPr>
        <w:t>卫生健康支出（类）行政事业单位医疗（款）事业单位医疗（项）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支出决算为88.28万元，完成预算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C8A97CB">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4.</w:t>
      </w:r>
      <w:r>
        <w:rPr>
          <w:rStyle w:val="13"/>
          <w:rFonts w:hint="eastAsia" w:ascii="仿宋" w:hAnsi="仿宋" w:eastAsia="仿宋"/>
          <w:bCs/>
          <w:color w:val="auto"/>
          <w:sz w:val="32"/>
          <w:szCs w:val="32"/>
          <w:highlight w:val="none"/>
        </w:rPr>
        <w:t>卫生健康支出（类）行政事业单位医疗（款）其他行政事业单位医疗支出（项）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支出决算为45.6万元，完成预算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6C98AD0C">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5.</w:t>
      </w:r>
      <w:r>
        <w:rPr>
          <w:rStyle w:val="13"/>
          <w:rFonts w:hint="eastAsia" w:ascii="仿宋" w:hAnsi="仿宋" w:eastAsia="仿宋"/>
          <w:bCs/>
          <w:color w:val="auto"/>
          <w:sz w:val="32"/>
          <w:szCs w:val="32"/>
          <w:highlight w:val="none"/>
        </w:rPr>
        <w:t>交通运输支出（类）公路水路运输（款）公路养护（项）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支出决算为2,251.03万元，完成预算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690878A">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6.</w:t>
      </w:r>
      <w:r>
        <w:rPr>
          <w:rStyle w:val="13"/>
          <w:rFonts w:hint="eastAsia" w:ascii="仿宋" w:hAnsi="仿宋" w:eastAsia="仿宋"/>
          <w:bCs/>
          <w:color w:val="auto"/>
          <w:sz w:val="32"/>
          <w:szCs w:val="32"/>
          <w:highlight w:val="none"/>
        </w:rPr>
        <w:t>交通运输支出（类）公路水路运输（款）其他公路水路运输支出（项）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支出决算为26万元，完成预算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4C922803">
      <w:pPr>
        <w:spacing w:line="600" w:lineRule="exact"/>
        <w:ind w:firstLine="643" w:firstLineChars="200"/>
        <w:rPr>
          <w:rFonts w:hint="eastAsia" w:ascii="仿宋" w:hAnsi="仿宋" w:eastAsia="仿宋"/>
          <w:color w:val="auto"/>
          <w:sz w:val="32"/>
          <w:szCs w:val="32"/>
          <w:highlight w:val="none"/>
          <w:lang w:eastAsia="zh-CN"/>
        </w:rPr>
      </w:pPr>
      <w:r>
        <w:rPr>
          <w:rStyle w:val="13"/>
          <w:rFonts w:hint="eastAsia" w:ascii="仿宋" w:hAnsi="仿宋" w:eastAsia="仿宋" w:cs="Times New Roman"/>
          <w:bCs/>
          <w:color w:val="auto"/>
          <w:sz w:val="32"/>
          <w:szCs w:val="32"/>
          <w:highlight w:val="none"/>
          <w:lang w:val="en-US" w:eastAsia="zh-CN"/>
        </w:rPr>
        <w:t>7.</w:t>
      </w:r>
      <w:r>
        <w:rPr>
          <w:rStyle w:val="13"/>
          <w:rFonts w:hint="eastAsia" w:ascii="仿宋" w:hAnsi="仿宋" w:eastAsia="仿宋" w:cs="Times New Roman"/>
          <w:bCs/>
          <w:color w:val="auto"/>
          <w:sz w:val="32"/>
          <w:szCs w:val="32"/>
          <w:highlight w:val="none"/>
        </w:rPr>
        <w:t>住房保障支出</w:t>
      </w:r>
      <w:r>
        <w:rPr>
          <w:rStyle w:val="13"/>
          <w:rFonts w:hint="eastAsia" w:ascii="仿宋" w:hAnsi="仿宋" w:eastAsia="仿宋"/>
          <w:bCs/>
          <w:color w:val="auto"/>
          <w:sz w:val="32"/>
          <w:szCs w:val="32"/>
          <w:highlight w:val="none"/>
        </w:rPr>
        <w:t>（类）住房改革支出（款）住房公积金（项）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支出决算为172.23万元，完成预算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Fonts w:hint="eastAsia" w:ascii="仿宋" w:hAnsi="仿宋" w:eastAsia="仿宋"/>
          <w:color w:val="auto"/>
          <w:sz w:val="32"/>
          <w:szCs w:val="32"/>
          <w:highlight w:val="none"/>
          <w:lang w:eastAsia="zh-CN"/>
        </w:rPr>
        <w:t>。</w:t>
      </w:r>
    </w:p>
    <w:p w14:paraId="783D3D87">
      <w:pPr>
        <w:spacing w:line="600" w:lineRule="exact"/>
        <w:ind w:firstLine="643" w:firstLineChars="200"/>
        <w:rPr>
          <w:rFonts w:ascii="仿宋" w:hAnsi="仿宋" w:eastAsia="仿宋"/>
          <w:color w:val="auto"/>
          <w:sz w:val="32"/>
          <w:szCs w:val="32"/>
          <w:highlight w:val="none"/>
        </w:rPr>
      </w:pPr>
      <w:r>
        <w:rPr>
          <w:rStyle w:val="13"/>
          <w:rFonts w:hint="eastAsia" w:ascii="仿宋" w:hAnsi="仿宋" w:eastAsia="仿宋" w:cs="Times New Roman"/>
          <w:bCs/>
          <w:color w:val="auto"/>
          <w:kern w:val="2"/>
          <w:sz w:val="32"/>
          <w:szCs w:val="32"/>
          <w:highlight w:val="none"/>
          <w:lang w:val="en-US" w:eastAsia="zh-CN" w:bidi="ar-SA"/>
        </w:rPr>
        <w:t>8.</w:t>
      </w:r>
      <w:r>
        <w:rPr>
          <w:rStyle w:val="13"/>
          <w:rFonts w:hint="eastAsia" w:ascii="仿宋" w:hAnsi="仿宋" w:eastAsia="仿宋" w:cs="Times New Roman"/>
          <w:bCs/>
          <w:color w:val="auto"/>
          <w:sz w:val="32"/>
          <w:szCs w:val="32"/>
          <w:highlight w:val="none"/>
        </w:rPr>
        <w:t>住房保障支出</w:t>
      </w:r>
      <w:r>
        <w:rPr>
          <w:rStyle w:val="13"/>
          <w:rFonts w:hint="eastAsia" w:ascii="仿宋" w:hAnsi="仿宋" w:eastAsia="仿宋"/>
          <w:bCs/>
          <w:color w:val="auto"/>
          <w:sz w:val="32"/>
          <w:szCs w:val="32"/>
          <w:highlight w:val="none"/>
        </w:rPr>
        <w:t>（类）住房改革支出（款）购房补贴（项）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Style w:val="13"/>
          <w:rFonts w:hint="eastAsia" w:ascii="仿宋" w:hAnsi="仿宋" w:eastAsia="仿宋"/>
          <w:b w:val="0"/>
          <w:bCs/>
          <w:color w:val="auto"/>
          <w:sz w:val="32"/>
          <w:szCs w:val="32"/>
          <w:highlight w:val="none"/>
          <w:lang w:val="en-US" w:eastAsia="zh-CN"/>
        </w:rPr>
        <w:t>。</w:t>
      </w:r>
    </w:p>
    <w:p w14:paraId="7BFA6A60">
      <w:pPr>
        <w:spacing w:line="600" w:lineRule="exact"/>
        <w:ind w:firstLine="640"/>
        <w:rPr>
          <w:rFonts w:ascii="仿宋" w:hAnsi="仿宋" w:eastAsia="仿宋"/>
          <w:b/>
          <w:color w:val="auto"/>
          <w:sz w:val="32"/>
          <w:szCs w:val="32"/>
          <w:highlight w:val="none"/>
        </w:rPr>
      </w:pPr>
    </w:p>
    <w:p w14:paraId="26288F7D">
      <w:pPr>
        <w:tabs>
          <w:tab w:val="right" w:pos="8306"/>
        </w:tabs>
        <w:spacing w:line="600" w:lineRule="exact"/>
        <w:ind w:firstLine="640"/>
        <w:outlineLvl w:val="1"/>
        <w:rPr>
          <w:rStyle w:val="15"/>
          <w:color w:val="auto"/>
          <w:highlight w:val="none"/>
        </w:rPr>
      </w:pPr>
      <w:bookmarkStart w:id="12" w:name="_Toc14429"/>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般公共预算财政拨款基本支出决算情况说明</w:t>
      </w:r>
      <w:bookmarkEnd w:id="12"/>
      <w:r>
        <w:rPr>
          <w:rStyle w:val="15"/>
          <w:rFonts w:ascii="黑体" w:hAnsi="黑体" w:eastAsia="黑体"/>
          <w:b w:val="0"/>
          <w:color w:val="auto"/>
          <w:highlight w:val="none"/>
        </w:rPr>
        <w:tab/>
      </w:r>
    </w:p>
    <w:p w14:paraId="72DA5F43">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一般公共预算财政拨款基本支出2,677.87万元，其中：</w:t>
      </w:r>
    </w:p>
    <w:p w14:paraId="187BE445">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人员经费2,489.68万元，主要包括：基本工资、津贴补贴、奖金、伙食补助费、绩效工资、机关事业单位基本养老保险缴费、职业年金缴费、职工基本医疗保险缴费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其他工资福利支出、抚恤金、生活补助、奖励金等。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公用经费188.19万元，主要包括：办公费、咨询费、水费、邮电费、差旅费、维修（护）费、会议费、培训费、公务接待费、专用材料费</w:t>
      </w:r>
      <w:r>
        <w:rPr>
          <w:rFonts w:hint="eastAsia" w:ascii="仿宋" w:hAnsi="仿宋" w:eastAsia="仿宋"/>
          <w:color w:val="auto"/>
          <w:sz w:val="32"/>
          <w:szCs w:val="32"/>
          <w:highlight w:val="none"/>
          <w:lang w:eastAsia="zh-CN"/>
        </w:rPr>
        <w:t>、专用燃料费、</w:t>
      </w:r>
      <w:r>
        <w:rPr>
          <w:rFonts w:hint="eastAsia" w:ascii="仿宋" w:hAnsi="仿宋" w:eastAsia="仿宋"/>
          <w:color w:val="auto"/>
          <w:sz w:val="32"/>
          <w:szCs w:val="32"/>
          <w:highlight w:val="none"/>
        </w:rPr>
        <w:t>劳务费、福利费、公务用车运行维护费、其他交通费、其他商品和服务支出、基础设施建设等。</w:t>
      </w:r>
    </w:p>
    <w:p w14:paraId="3CA46683">
      <w:pPr>
        <w:spacing w:line="600" w:lineRule="exact"/>
        <w:ind w:firstLine="640"/>
        <w:rPr>
          <w:rFonts w:ascii="仿宋" w:hAnsi="仿宋" w:eastAsia="仿宋"/>
          <w:b/>
          <w:color w:val="auto"/>
          <w:sz w:val="32"/>
          <w:szCs w:val="32"/>
          <w:highlight w:val="none"/>
        </w:rPr>
      </w:pPr>
    </w:p>
    <w:p w14:paraId="78F557E6">
      <w:pPr>
        <w:spacing w:line="600" w:lineRule="exact"/>
        <w:ind w:firstLine="640"/>
        <w:outlineLvl w:val="1"/>
        <w:rPr>
          <w:rStyle w:val="15"/>
          <w:rFonts w:ascii="黑体" w:hAnsi="黑体" w:eastAsia="黑体"/>
          <w:b w:val="0"/>
          <w:color w:val="auto"/>
          <w:highlight w:val="none"/>
        </w:rPr>
      </w:pPr>
      <w:bookmarkStart w:id="13" w:name="_Toc17310"/>
      <w:r>
        <w:rPr>
          <w:rFonts w:hint="eastAsia" w:ascii="黑体" w:eastAsia="黑体"/>
          <w:color w:val="auto"/>
          <w:sz w:val="32"/>
          <w:szCs w:val="32"/>
          <w:highlight w:val="none"/>
        </w:rPr>
        <w:t>七、</w:t>
      </w:r>
      <w:r>
        <w:rPr>
          <w:rStyle w:val="15"/>
          <w:rFonts w:hint="eastAsia" w:ascii="黑体" w:hAnsi="黑体" w:eastAsia="黑体"/>
          <w:b w:val="0"/>
          <w:color w:val="auto"/>
          <w:highlight w:val="none"/>
        </w:rPr>
        <w:t>财政拨款</w:t>
      </w:r>
      <w:r>
        <w:rPr>
          <w:rStyle w:val="15"/>
          <w:rFonts w:hint="eastAsia" w:ascii="黑体" w:hAnsi="黑体" w:eastAsia="黑体"/>
          <w:color w:val="auto"/>
          <w:highlight w:val="none"/>
        </w:rPr>
        <w:t>“</w:t>
      </w:r>
      <w:r>
        <w:rPr>
          <w:rStyle w:val="15"/>
          <w:rFonts w:hint="eastAsia" w:ascii="黑体" w:hAnsi="黑体" w:eastAsia="黑体"/>
          <w:b w:val="0"/>
          <w:color w:val="auto"/>
          <w:highlight w:val="none"/>
        </w:rPr>
        <w:t>三公”经费支出决算情况说明</w:t>
      </w:r>
      <w:bookmarkEnd w:id="13"/>
    </w:p>
    <w:p w14:paraId="241F97D2">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735234C4">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“三公”经费财政拨款支出决算为20.37万元，完成预算</w:t>
      </w:r>
      <w:r>
        <w:rPr>
          <w:rFonts w:hint="eastAsia" w:ascii="仿宋" w:hAnsi="仿宋" w:eastAsia="仿宋"/>
          <w:color w:val="auto"/>
          <w:sz w:val="32"/>
          <w:szCs w:val="32"/>
          <w:highlight w:val="none"/>
          <w:lang w:val="en-US" w:eastAsia="zh-CN"/>
        </w:rPr>
        <w:t>83.2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w:t>
      </w:r>
      <w:r>
        <w:rPr>
          <w:rFonts w:hint="eastAsia" w:ascii="仿宋" w:hAnsi="仿宋" w:eastAsia="仿宋"/>
          <w:color w:val="auto"/>
          <w:sz w:val="32"/>
          <w:szCs w:val="32"/>
          <w:highlight w:val="none"/>
          <w:lang w:val="en-US" w:eastAsia="zh-CN"/>
        </w:rPr>
        <w:t>减少0.32万元，下降1.6%。</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公务接待减少，公务用车运行维护费减少</w:t>
      </w:r>
      <w:r>
        <w:rPr>
          <w:rFonts w:hint="eastAsia" w:ascii="仿宋" w:hAnsi="仿宋" w:eastAsia="仿宋"/>
          <w:color w:val="auto"/>
          <w:sz w:val="32"/>
          <w:szCs w:val="32"/>
          <w:highlight w:val="none"/>
        </w:rPr>
        <w:t>。</w:t>
      </w:r>
    </w:p>
    <w:p w14:paraId="5781C80C">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16112778">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；公务用车购置及运行维护费支出决算20万元，占</w:t>
      </w:r>
      <w:r>
        <w:rPr>
          <w:rFonts w:hint="eastAsia" w:ascii="仿宋" w:hAnsi="仿宋" w:eastAsia="仿宋"/>
          <w:color w:val="auto"/>
          <w:sz w:val="32"/>
          <w:szCs w:val="32"/>
          <w:highlight w:val="none"/>
          <w:lang w:val="en-US" w:eastAsia="zh-CN"/>
        </w:rPr>
        <w:t>98.2</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；公务接待费支出决算0.37万元，占</w:t>
      </w:r>
      <w:r>
        <w:rPr>
          <w:rFonts w:hint="eastAsia" w:ascii="仿宋" w:hAnsi="仿宋" w:eastAsia="仿宋"/>
          <w:color w:val="auto"/>
          <w:sz w:val="32"/>
          <w:szCs w:val="32"/>
          <w:highlight w:val="none"/>
          <w:lang w:val="en-US" w:eastAsia="zh-CN"/>
        </w:rPr>
        <w:t>1.8</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67E12CD6">
      <w:pPr>
        <w:pStyle w:val="2"/>
      </w:pPr>
      <w:r>
        <w:rPr>
          <w:rFonts w:hint="eastAsia" w:eastAsia="仿宋"/>
          <w:lang w:eastAsia="zh-CN"/>
        </w:rPr>
        <w:drawing>
          <wp:inline distT="0" distB="0" distL="114300" distR="114300">
            <wp:extent cx="5256530" cy="2988310"/>
            <wp:effectExtent l="5080" t="4445" r="11430" b="952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927DA7E">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14:paraId="5C4A25B3">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持平。</w:t>
      </w:r>
    </w:p>
    <w:p w14:paraId="7F84831D">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减少0.16万元，下降0.8</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公务接待减少，公务用车运行维护费减少</w:t>
      </w:r>
      <w:r>
        <w:rPr>
          <w:rFonts w:hint="eastAsia" w:ascii="仿宋_GB2312" w:eastAsia="仿宋_GB2312"/>
          <w:color w:val="auto"/>
          <w:sz w:val="32"/>
          <w:szCs w:val="32"/>
          <w:highlight w:val="none"/>
        </w:rPr>
        <w:t>。</w:t>
      </w:r>
    </w:p>
    <w:p w14:paraId="770E3DE4">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其他车型8</w:t>
      </w:r>
      <w:r>
        <w:rPr>
          <w:rFonts w:hint="eastAsia" w:ascii="仿宋_GB2312" w:eastAsia="仿宋_GB2312"/>
          <w:color w:val="auto"/>
          <w:sz w:val="32"/>
          <w:szCs w:val="32"/>
          <w:highlight w:val="none"/>
        </w:rPr>
        <w:t>辆。</w:t>
      </w:r>
    </w:p>
    <w:p w14:paraId="279625CD">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4AD304DA">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0.37</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8.2</w:t>
      </w:r>
      <w:bookmarkStart w:id="35" w:name="_GoBack"/>
      <w:bookmarkEnd w:id="35"/>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减少0.16万元，下降29.6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公务接待人数批次减少</w:t>
      </w:r>
      <w:r>
        <w:rPr>
          <w:rFonts w:hint="eastAsia" w:ascii="仿宋_GB2312" w:eastAsia="仿宋_GB2312"/>
          <w:color w:val="auto"/>
          <w:sz w:val="32"/>
          <w:szCs w:val="32"/>
          <w:highlight w:val="none"/>
        </w:rPr>
        <w:t>。其中：</w:t>
      </w:r>
    </w:p>
    <w:p w14:paraId="0D21EEF8">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0.37</w:t>
      </w:r>
      <w:r>
        <w:rPr>
          <w:rFonts w:hint="eastAsia" w:ascii="仿宋_GB2312" w:eastAsia="仿宋_GB2312"/>
          <w:color w:val="auto"/>
          <w:sz w:val="32"/>
          <w:szCs w:val="32"/>
          <w:highlight w:val="none"/>
        </w:rPr>
        <w:t>万元，主要用于大运会接待</w:t>
      </w:r>
      <w:r>
        <w:rPr>
          <w:rFonts w:hint="eastAsia" w:ascii="仿宋_GB2312" w:eastAsia="仿宋_GB2312"/>
          <w:color w:val="auto"/>
          <w:sz w:val="32"/>
          <w:szCs w:val="32"/>
          <w:highlight w:val="none"/>
          <w:lang w:eastAsia="zh-CN"/>
        </w:rPr>
        <w:t>、2022年第四季度考核接待</w:t>
      </w:r>
      <w:r>
        <w:rPr>
          <w:rFonts w:hint="eastAsia" w:ascii="仿宋_GB2312" w:eastAsia="仿宋_GB2312"/>
          <w:color w:val="auto"/>
          <w:sz w:val="32"/>
          <w:szCs w:val="32"/>
          <w:highlight w:val="none"/>
          <w:lang w:val="en-US" w:eastAsia="zh-CN"/>
        </w:rPr>
        <w:t>等</w:t>
      </w:r>
      <w:r>
        <w:rPr>
          <w:rFonts w:hint="eastAsia" w:ascii="仿宋_GB2312" w:eastAsia="仿宋_GB2312"/>
          <w:color w:val="auto"/>
          <w:sz w:val="32"/>
          <w:szCs w:val="32"/>
          <w:highlight w:val="none"/>
        </w:rPr>
        <w:t>活动开支的交通费、住宿费、用餐费等。国内公务接待</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31</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0.37</w:t>
      </w:r>
      <w:r>
        <w:rPr>
          <w:rFonts w:hint="eastAsia" w:ascii="仿宋_GB2312" w:eastAsia="仿宋_GB2312"/>
          <w:color w:val="auto"/>
          <w:sz w:val="32"/>
          <w:szCs w:val="32"/>
          <w:highlight w:val="none"/>
        </w:rPr>
        <w:t>万元，具体内容包括：大运会接待</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接待支出600元、2022年第四季度考核接待，接待支出1258元、第一季度养护生产考核接待，接待支出850元等</w:t>
      </w:r>
      <w:r>
        <w:rPr>
          <w:rFonts w:hint="eastAsia" w:ascii="仿宋_GB2312" w:eastAsia="仿宋_GB2312"/>
          <w:color w:val="auto"/>
          <w:sz w:val="32"/>
          <w:szCs w:val="32"/>
          <w:highlight w:val="none"/>
        </w:rPr>
        <w:t>。</w:t>
      </w:r>
    </w:p>
    <w:p w14:paraId="5A94B7C5">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2EFDA597">
      <w:pPr>
        <w:spacing w:line="600" w:lineRule="exact"/>
        <w:ind w:firstLine="640"/>
        <w:outlineLvl w:val="9"/>
        <w:rPr>
          <w:rFonts w:ascii="黑体" w:eastAsia="黑体"/>
          <w:color w:val="auto"/>
          <w:sz w:val="32"/>
          <w:szCs w:val="32"/>
          <w:highlight w:val="none"/>
        </w:rPr>
      </w:pPr>
    </w:p>
    <w:p w14:paraId="4C8AA51D">
      <w:pPr>
        <w:spacing w:line="600" w:lineRule="exact"/>
        <w:ind w:firstLine="640"/>
        <w:outlineLvl w:val="1"/>
        <w:rPr>
          <w:rStyle w:val="15"/>
          <w:rFonts w:ascii="黑体" w:hAnsi="黑体" w:eastAsia="黑体"/>
          <w:color w:val="auto"/>
          <w:highlight w:val="none"/>
        </w:rPr>
      </w:pPr>
      <w:bookmarkStart w:id="14" w:name="_Toc13979"/>
      <w:r>
        <w:rPr>
          <w:rFonts w:hint="eastAsia" w:ascii="黑体" w:eastAsia="黑体"/>
          <w:color w:val="auto"/>
          <w:sz w:val="32"/>
          <w:szCs w:val="32"/>
          <w:highlight w:val="none"/>
        </w:rPr>
        <w:t>八、</w:t>
      </w:r>
      <w:r>
        <w:rPr>
          <w:rStyle w:val="15"/>
          <w:rFonts w:hint="eastAsia" w:ascii="黑体" w:hAnsi="黑体" w:eastAsia="黑体"/>
          <w:b w:val="0"/>
          <w:color w:val="auto"/>
          <w:highlight w:val="none"/>
        </w:rPr>
        <w:t>政府性基金预算支出决算情况说明</w:t>
      </w:r>
      <w:bookmarkEnd w:id="14"/>
    </w:p>
    <w:p w14:paraId="6A93B59D">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390018E6">
      <w:pPr>
        <w:spacing w:line="600" w:lineRule="exact"/>
        <w:ind w:firstLine="640"/>
        <w:rPr>
          <w:rFonts w:ascii="仿宋_GB2312" w:eastAsia="仿宋_GB2312"/>
          <w:color w:val="auto"/>
          <w:sz w:val="32"/>
          <w:szCs w:val="32"/>
          <w:highlight w:val="none"/>
        </w:rPr>
      </w:pPr>
    </w:p>
    <w:p w14:paraId="739F460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ascii="黑体" w:hAnsi="黑体" w:eastAsia="黑体"/>
          <w:b w:val="0"/>
          <w:color w:val="auto"/>
          <w:highlight w:val="none"/>
        </w:rPr>
      </w:pPr>
      <w:bookmarkStart w:id="15" w:name="_Toc10065"/>
      <w:r>
        <w:rPr>
          <w:rStyle w:val="15"/>
          <w:rFonts w:hint="eastAsia" w:ascii="黑体" w:hAnsi="黑体" w:eastAsia="黑体"/>
          <w:b w:val="0"/>
          <w:color w:val="auto"/>
          <w:highlight w:val="none"/>
          <w:lang w:eastAsia="zh-CN"/>
        </w:rPr>
        <w:t>九、</w:t>
      </w:r>
      <w:r>
        <w:rPr>
          <w:rStyle w:val="15"/>
          <w:rFonts w:hint="eastAsia" w:ascii="黑体" w:hAnsi="黑体" w:eastAsia="黑体"/>
          <w:b w:val="0"/>
          <w:color w:val="auto"/>
          <w:highlight w:val="none"/>
        </w:rPr>
        <w:t>国有资本经营预算支出决算情况说明</w:t>
      </w:r>
      <w:bookmarkEnd w:id="15"/>
    </w:p>
    <w:p w14:paraId="70570FC6">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14F7FADE">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21CAE71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hint="eastAsia" w:ascii="黑体" w:hAnsi="黑体" w:eastAsia="黑体"/>
          <w:b w:val="0"/>
          <w:color w:val="auto"/>
          <w:highlight w:val="none"/>
        </w:rPr>
      </w:pPr>
      <w:bookmarkStart w:id="16" w:name="_Toc8284"/>
      <w:r>
        <w:rPr>
          <w:rStyle w:val="15"/>
          <w:rFonts w:hint="eastAsia" w:ascii="黑体" w:hAnsi="黑体" w:eastAsia="黑体"/>
          <w:b w:val="0"/>
          <w:color w:val="auto"/>
          <w:highlight w:val="none"/>
          <w:lang w:eastAsia="zh-CN"/>
        </w:rPr>
        <w:t>十、</w:t>
      </w:r>
      <w:r>
        <w:rPr>
          <w:rStyle w:val="15"/>
          <w:rFonts w:hint="eastAsia" w:ascii="黑体" w:hAnsi="黑体" w:eastAsia="黑体"/>
          <w:b w:val="0"/>
          <w:color w:val="auto"/>
          <w:highlight w:val="none"/>
        </w:rPr>
        <w:t>其他重要事项的情况说明</w:t>
      </w:r>
      <w:bookmarkEnd w:id="16"/>
    </w:p>
    <w:p w14:paraId="3B151036">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253A67D3">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r>
        <w:rPr>
          <w:rFonts w:hint="eastAsia" w:ascii="仿宋_GB2312" w:eastAsia="仿宋_GB2312"/>
          <w:color w:val="auto"/>
          <w:sz w:val="32"/>
          <w:szCs w:val="32"/>
          <w:highlight w:val="none"/>
          <w:lang w:eastAsia="zh-CN"/>
        </w:rPr>
        <w:t>。</w:t>
      </w:r>
    </w:p>
    <w:p w14:paraId="57CE160D">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62252F7C">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378F749B">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20A4F0CF">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辆，其中：应急保障用车</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道路养护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3B7D973A">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6643DC56">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2023年本单位完成整体绩效自评，并撰写自评报告，自评得分92.18。不涉及项目绩效自评，故无项目绩效自评表</w:t>
      </w:r>
      <w:r>
        <w:rPr>
          <w:rFonts w:hint="eastAsia" w:ascii="仿宋_GB2312" w:hAnsi="Times New Roman" w:eastAsia="仿宋_GB2312" w:cs="Times New Roman"/>
          <w:color w:val="auto"/>
          <w:sz w:val="32"/>
          <w:szCs w:val="32"/>
          <w:highlight w:val="none"/>
          <w:lang w:val="en-US" w:eastAsia="zh-CN"/>
        </w:rPr>
        <w:t>。</w:t>
      </w:r>
    </w:p>
    <w:p w14:paraId="20B7E58F">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653229E7">
      <w:pPr>
        <w:numPr>
          <w:ilvl w:val="0"/>
          <w:numId w:val="0"/>
        </w:numPr>
        <w:spacing w:line="600" w:lineRule="exact"/>
        <w:jc w:val="center"/>
        <w:outlineLvl w:val="0"/>
        <w:rPr>
          <w:rStyle w:val="14"/>
          <w:rFonts w:ascii="黑体" w:hAnsi="黑体" w:eastAsia="黑体"/>
          <w:b w:val="0"/>
          <w:color w:val="auto"/>
          <w:highlight w:val="none"/>
        </w:rPr>
      </w:pPr>
      <w:bookmarkStart w:id="17" w:name="_Toc6952"/>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4"/>
          <w:rFonts w:hint="eastAsia" w:ascii="黑体" w:hAnsi="黑体" w:eastAsia="黑体"/>
          <w:b w:val="0"/>
          <w:color w:val="auto"/>
          <w:highlight w:val="none"/>
        </w:rPr>
        <w:t>词解释</w:t>
      </w:r>
      <w:bookmarkEnd w:id="17"/>
    </w:p>
    <w:p w14:paraId="35922363">
      <w:pPr>
        <w:spacing w:line="600" w:lineRule="exact"/>
        <w:jc w:val="left"/>
        <w:rPr>
          <w:rFonts w:ascii="宋体"/>
          <w:b/>
          <w:color w:val="auto"/>
          <w:sz w:val="44"/>
          <w:szCs w:val="44"/>
          <w:highlight w:val="none"/>
        </w:rPr>
      </w:pPr>
    </w:p>
    <w:p w14:paraId="2246E811">
      <w:pPr>
        <w:pStyle w:val="17"/>
        <w:spacing w:line="560" w:lineRule="exact"/>
        <w:ind w:firstLine="640" w:firstLineChars="200"/>
        <w:outlineLvl w:val="1"/>
        <w:rPr>
          <w:rFonts w:ascii="仿宋_GB2312" w:eastAsia="仿宋_GB2312"/>
          <w:color w:val="auto"/>
          <w:sz w:val="32"/>
          <w:szCs w:val="32"/>
          <w:highlight w:val="none"/>
        </w:rPr>
      </w:pPr>
      <w:bookmarkStart w:id="18" w:name="_Toc25255"/>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18"/>
    </w:p>
    <w:p w14:paraId="5D51EA6E">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05BA0589">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26D87A54">
      <w:pPr>
        <w:pStyle w:val="17"/>
        <w:spacing w:line="560" w:lineRule="exact"/>
        <w:ind w:firstLine="640" w:firstLineChars="200"/>
        <w:outlineLvl w:val="1"/>
        <w:rPr>
          <w:rFonts w:ascii="仿宋_GB2312" w:eastAsia="仿宋_GB2312"/>
          <w:color w:val="auto"/>
          <w:sz w:val="32"/>
          <w:szCs w:val="32"/>
          <w:highlight w:val="none"/>
        </w:rPr>
      </w:pPr>
      <w:bookmarkStart w:id="19" w:name="_Toc26478"/>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19"/>
      <w:r>
        <w:rPr>
          <w:rFonts w:ascii="仿宋_GB2312" w:eastAsia="仿宋_GB2312"/>
          <w:color w:val="auto"/>
          <w:sz w:val="32"/>
          <w:szCs w:val="32"/>
          <w:highlight w:val="none"/>
        </w:rPr>
        <w:t xml:space="preserve"> </w:t>
      </w:r>
    </w:p>
    <w:p w14:paraId="547B4385">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600E8A0E">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5AFB1833">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588AB2BC">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109D9DE1">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反映机关事业单位实施养老保险制度由单位缴纳的基本养老保险费支出。</w:t>
      </w:r>
    </w:p>
    <w:p w14:paraId="7A1537A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指反映机关事业单位实施养老保险制度由单位实际缴纳的职业年金支出</w:t>
      </w:r>
      <w:r>
        <w:rPr>
          <w:rFonts w:hint="eastAsia" w:ascii="仿宋_GB2312" w:eastAsia="仿宋_GB2312"/>
          <w:color w:val="auto"/>
          <w:sz w:val="32"/>
          <w:szCs w:val="32"/>
          <w:highlight w:val="none"/>
        </w:rPr>
        <w:t>。</w:t>
      </w:r>
    </w:p>
    <w:p w14:paraId="3EC7EFE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54C5DC82">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w:t>
      </w:r>
    </w:p>
    <w:p w14:paraId="7A2A16DF">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162873A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.交通运输支出（类）公路水路运输（款）其他公路水路运输支出（项）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反映除上述项目以外其他用于公路水路运输方面的支出。</w:t>
      </w:r>
    </w:p>
    <w:p w14:paraId="20B94BC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反映行政事业单位按人力资源和社会保障部、财政部规定的基本工资和津贴补贴以及规定比例为职工缴纳的住房公积金。</w:t>
      </w:r>
    </w:p>
    <w:p w14:paraId="5CA38293">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退休人员）、军队（含武警）向转役复员离退休人员发放的用于购买住房的补贴。</w:t>
      </w:r>
    </w:p>
    <w:p w14:paraId="354E70F3">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7.</w:t>
      </w:r>
      <w:r>
        <w:rPr>
          <w:rFonts w:hint="eastAsia" w:ascii="仿宋_GB2312" w:eastAsia="仿宋_GB2312"/>
          <w:color w:val="auto"/>
          <w:sz w:val="32"/>
          <w:szCs w:val="32"/>
          <w:highlight w:val="none"/>
        </w:rPr>
        <w:t>基本支出：指为保障机构正常运转、完成日常工作任务而发生的人员支出和公用支出。</w:t>
      </w:r>
    </w:p>
    <w:p w14:paraId="7A21F316">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8.</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303E339A">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9.</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64F5E4BC">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0.</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02DE7FA3">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1.</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D92813B">
      <w:pPr>
        <w:pStyle w:val="17"/>
        <w:spacing w:line="560" w:lineRule="exact"/>
        <w:ind w:firstLine="640" w:firstLineChars="200"/>
        <w:rPr>
          <w:rFonts w:ascii="仿宋_GB2312" w:eastAsia="仿宋_GB2312"/>
          <w:color w:val="auto"/>
          <w:sz w:val="32"/>
          <w:szCs w:val="32"/>
          <w:highlight w:val="none"/>
        </w:rPr>
      </w:pPr>
    </w:p>
    <w:p w14:paraId="39C280AE">
      <w:pPr>
        <w:spacing w:line="600" w:lineRule="exact"/>
        <w:jc w:val="center"/>
        <w:outlineLvl w:val="0"/>
        <w:rPr>
          <w:rStyle w:val="14"/>
          <w:rFonts w:ascii="黑体" w:hAnsi="黑体" w:eastAsia="黑体"/>
          <w:b w:val="0"/>
          <w:color w:val="auto"/>
          <w:highlight w:val="none"/>
        </w:rPr>
      </w:pPr>
      <w:r>
        <w:rPr>
          <w:rFonts w:ascii="宋体"/>
          <w:b/>
          <w:color w:val="auto"/>
          <w:sz w:val="44"/>
          <w:szCs w:val="44"/>
          <w:highlight w:val="none"/>
        </w:rPr>
        <w:br w:type="page"/>
      </w:r>
      <w:bookmarkStart w:id="20" w:name="_Toc32381"/>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四部分 附件</w:t>
      </w:r>
      <w:bookmarkEnd w:id="20"/>
    </w:p>
    <w:p w14:paraId="1022423C">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76695E90">
      <w:pPr>
        <w:pStyle w:val="6"/>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Calibri" w:eastAsia="仿宋_GB2312" w:cs="仿宋"/>
          <w:color w:val="auto"/>
          <w:sz w:val="32"/>
          <w:szCs w:val="32"/>
          <w:highlight w:val="none"/>
          <w:lang w:val="zh-CN" w:eastAsia="zh-CN" w:bidi="ar-SA"/>
        </w:rPr>
      </w:pPr>
      <w:r>
        <w:rPr>
          <w:rFonts w:hint="eastAsia" w:cs="Times New Roman"/>
          <w:sz w:val="32"/>
          <w:szCs w:val="32"/>
          <w:highlight w:val="none"/>
          <w:lang w:val="en-US" w:eastAsia="zh-CN"/>
        </w:rPr>
        <w:t>2023年阿坝藏族羌族自治州公路管理局九寨沟公路管理分局无单位</w:t>
      </w:r>
      <w:r>
        <w:rPr>
          <w:rFonts w:hint="eastAsia" w:hAnsi="Times New Roman" w:cs="Times New Roman"/>
          <w:sz w:val="32"/>
          <w:szCs w:val="32"/>
          <w:highlight w:val="none"/>
          <w:lang w:val="en-US" w:eastAsia="zh-CN"/>
        </w:rPr>
        <w:t>预算项目支出绩效自评表</w:t>
      </w:r>
      <w:r>
        <w:rPr>
          <w:rFonts w:hint="eastAsia" w:cs="Times New Roman"/>
          <w:sz w:val="32"/>
          <w:szCs w:val="32"/>
          <w:highlight w:val="none"/>
          <w:lang w:val="en-US" w:eastAsia="zh-CN"/>
        </w:rPr>
        <w:t>。</w:t>
      </w:r>
    </w:p>
    <w:p w14:paraId="6FDEB0FA">
      <w:pPr>
        <w:pStyle w:val="2"/>
        <w:rPr>
          <w:rFonts w:hint="eastAsia" w:ascii="仿宋_GB2312" w:hAnsi="Calibri" w:eastAsia="仿宋_GB2312" w:cs="仿宋"/>
          <w:color w:val="auto"/>
          <w:kern w:val="0"/>
          <w:sz w:val="32"/>
          <w:szCs w:val="32"/>
          <w:highlight w:val="none"/>
          <w:lang w:val="en-US" w:eastAsia="zh-CN" w:bidi="ar-SA"/>
        </w:rPr>
      </w:pPr>
    </w:p>
    <w:p w14:paraId="1375710C">
      <w:pPr>
        <w:pStyle w:val="2"/>
        <w:rPr>
          <w:rFonts w:hint="eastAsia" w:ascii="仿宋_GB2312" w:hAnsi="Calibri" w:eastAsia="仿宋_GB2312" w:cs="仿宋"/>
          <w:color w:val="auto"/>
          <w:kern w:val="0"/>
          <w:sz w:val="32"/>
          <w:szCs w:val="32"/>
          <w:highlight w:val="none"/>
          <w:lang w:val="en-US" w:eastAsia="zh-CN" w:bidi="ar-SA"/>
        </w:rPr>
      </w:pPr>
    </w:p>
    <w:p w14:paraId="655E14E9">
      <w:pPr>
        <w:pStyle w:val="2"/>
        <w:rPr>
          <w:rFonts w:hint="eastAsia" w:ascii="仿宋_GB2312" w:hAnsi="Calibri" w:eastAsia="仿宋_GB2312" w:cs="仿宋"/>
          <w:color w:val="auto"/>
          <w:kern w:val="0"/>
          <w:sz w:val="32"/>
          <w:szCs w:val="32"/>
          <w:highlight w:val="none"/>
          <w:lang w:val="en-US" w:eastAsia="zh-CN" w:bidi="ar-SA"/>
        </w:rPr>
      </w:pPr>
    </w:p>
    <w:p w14:paraId="3E962620">
      <w:pPr>
        <w:pStyle w:val="2"/>
        <w:rPr>
          <w:rFonts w:hint="eastAsia" w:ascii="仿宋_GB2312" w:hAnsi="Calibri" w:eastAsia="仿宋_GB2312" w:cs="仿宋"/>
          <w:color w:val="auto"/>
          <w:kern w:val="0"/>
          <w:sz w:val="32"/>
          <w:szCs w:val="32"/>
          <w:highlight w:val="none"/>
          <w:lang w:val="en-US" w:eastAsia="zh-CN" w:bidi="ar-SA"/>
        </w:rPr>
      </w:pPr>
    </w:p>
    <w:p w14:paraId="577D9F1D">
      <w:pPr>
        <w:pStyle w:val="2"/>
        <w:rPr>
          <w:rFonts w:hint="eastAsia" w:ascii="仿宋_GB2312" w:hAnsi="Calibri" w:eastAsia="仿宋_GB2312" w:cs="仿宋"/>
          <w:color w:val="auto"/>
          <w:kern w:val="0"/>
          <w:sz w:val="32"/>
          <w:szCs w:val="32"/>
          <w:highlight w:val="none"/>
          <w:lang w:val="en-US" w:eastAsia="zh-CN" w:bidi="ar-SA"/>
        </w:rPr>
      </w:pPr>
    </w:p>
    <w:p w14:paraId="3A8C0984">
      <w:pPr>
        <w:pStyle w:val="2"/>
        <w:rPr>
          <w:rFonts w:hint="eastAsia" w:ascii="仿宋_GB2312" w:hAnsi="Calibri" w:eastAsia="仿宋_GB2312" w:cs="仿宋"/>
          <w:color w:val="auto"/>
          <w:kern w:val="0"/>
          <w:sz w:val="32"/>
          <w:szCs w:val="32"/>
          <w:highlight w:val="none"/>
          <w:lang w:val="en-US" w:eastAsia="zh-CN" w:bidi="ar-SA"/>
        </w:rPr>
      </w:pPr>
    </w:p>
    <w:p w14:paraId="6308E4D9">
      <w:pPr>
        <w:pStyle w:val="2"/>
        <w:rPr>
          <w:rFonts w:hint="eastAsia" w:ascii="仿宋_GB2312" w:hAnsi="Calibri" w:eastAsia="仿宋_GB2312" w:cs="仿宋"/>
          <w:color w:val="auto"/>
          <w:kern w:val="0"/>
          <w:sz w:val="32"/>
          <w:szCs w:val="32"/>
          <w:highlight w:val="none"/>
          <w:lang w:val="en-US" w:eastAsia="zh-CN" w:bidi="ar-SA"/>
        </w:rPr>
      </w:pPr>
    </w:p>
    <w:p w14:paraId="21AADDA3">
      <w:pPr>
        <w:pStyle w:val="2"/>
        <w:rPr>
          <w:rFonts w:hint="eastAsia" w:ascii="仿宋_GB2312" w:hAnsi="Calibri" w:eastAsia="仿宋_GB2312" w:cs="仿宋"/>
          <w:color w:val="auto"/>
          <w:kern w:val="0"/>
          <w:sz w:val="32"/>
          <w:szCs w:val="32"/>
          <w:highlight w:val="none"/>
          <w:lang w:val="en-US" w:eastAsia="zh-CN" w:bidi="ar-SA"/>
        </w:rPr>
      </w:pPr>
    </w:p>
    <w:p w14:paraId="20DFB4BC">
      <w:pPr>
        <w:pStyle w:val="2"/>
        <w:rPr>
          <w:rFonts w:hint="eastAsia" w:ascii="仿宋_GB2312" w:hAnsi="Calibri" w:eastAsia="仿宋_GB2312" w:cs="仿宋"/>
          <w:color w:val="auto"/>
          <w:kern w:val="0"/>
          <w:sz w:val="32"/>
          <w:szCs w:val="32"/>
          <w:highlight w:val="none"/>
          <w:lang w:val="en-US" w:eastAsia="zh-CN" w:bidi="ar-SA"/>
        </w:rPr>
      </w:pPr>
    </w:p>
    <w:p w14:paraId="22159024">
      <w:pPr>
        <w:pStyle w:val="2"/>
        <w:rPr>
          <w:rFonts w:hint="eastAsia" w:ascii="仿宋_GB2312" w:hAnsi="Calibri" w:eastAsia="仿宋_GB2312" w:cs="仿宋"/>
          <w:color w:val="auto"/>
          <w:kern w:val="0"/>
          <w:sz w:val="32"/>
          <w:szCs w:val="32"/>
          <w:highlight w:val="none"/>
          <w:lang w:val="en-US" w:eastAsia="zh-CN" w:bidi="ar-SA"/>
        </w:rPr>
      </w:pPr>
    </w:p>
    <w:p w14:paraId="32C93E33">
      <w:pPr>
        <w:pStyle w:val="2"/>
        <w:rPr>
          <w:rFonts w:hint="eastAsia" w:ascii="仿宋_GB2312" w:hAnsi="Calibri" w:eastAsia="仿宋_GB2312" w:cs="仿宋"/>
          <w:color w:val="auto"/>
          <w:kern w:val="0"/>
          <w:sz w:val="32"/>
          <w:szCs w:val="32"/>
          <w:highlight w:val="none"/>
          <w:lang w:val="en-US" w:eastAsia="zh-CN" w:bidi="ar-SA"/>
        </w:rPr>
      </w:pPr>
    </w:p>
    <w:p w14:paraId="62998FF2">
      <w:pPr>
        <w:pStyle w:val="2"/>
        <w:rPr>
          <w:rFonts w:hint="eastAsia" w:ascii="仿宋_GB2312" w:hAnsi="Calibri" w:eastAsia="仿宋_GB2312" w:cs="仿宋"/>
          <w:color w:val="auto"/>
          <w:kern w:val="0"/>
          <w:sz w:val="32"/>
          <w:szCs w:val="32"/>
          <w:highlight w:val="none"/>
          <w:lang w:val="en-US" w:eastAsia="zh-CN" w:bidi="ar-SA"/>
        </w:rPr>
      </w:pPr>
    </w:p>
    <w:p w14:paraId="0514B43A">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483F1939">
      <w:pPr>
        <w:spacing w:line="600" w:lineRule="exact"/>
        <w:jc w:val="center"/>
        <w:outlineLvl w:val="0"/>
        <w:rPr>
          <w:rFonts w:hint="eastAsia" w:ascii="仿宋" w:hAnsi="仿宋" w:eastAsia="仿宋"/>
          <w:b w:val="0"/>
          <w:color w:val="auto"/>
          <w:highlight w:val="none"/>
        </w:rPr>
      </w:pPr>
      <w:bookmarkStart w:id="21" w:name="_Toc25493"/>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五部分 附表</w:t>
      </w:r>
      <w:bookmarkEnd w:id="21"/>
    </w:p>
    <w:p w14:paraId="7DB8D4E2">
      <w:pPr>
        <w:pStyle w:val="4"/>
        <w:rPr>
          <w:rFonts w:ascii="仿宋" w:hAnsi="仿宋" w:eastAsia="仿宋"/>
          <w:color w:val="auto"/>
          <w:highlight w:val="none"/>
        </w:rPr>
      </w:pPr>
      <w:bookmarkStart w:id="22" w:name="_Toc9778"/>
      <w:r>
        <w:rPr>
          <w:rFonts w:hint="eastAsia" w:ascii="仿宋" w:hAnsi="仿宋" w:eastAsia="仿宋"/>
          <w:b w:val="0"/>
          <w:color w:val="auto"/>
          <w:highlight w:val="none"/>
        </w:rPr>
        <w:t>一、收</w:t>
      </w:r>
      <w:r>
        <w:rPr>
          <w:rStyle w:val="15"/>
          <w:rFonts w:hint="eastAsia" w:ascii="仿宋" w:hAnsi="仿宋" w:eastAsia="仿宋"/>
          <w:b w:val="0"/>
          <w:bCs w:val="0"/>
          <w:color w:val="auto"/>
          <w:highlight w:val="none"/>
        </w:rPr>
        <w:t>入支出决算总表</w:t>
      </w:r>
      <w:bookmarkEnd w:id="22"/>
    </w:p>
    <w:p w14:paraId="6899E108">
      <w:pPr>
        <w:pStyle w:val="4"/>
        <w:rPr>
          <w:rFonts w:ascii="仿宋" w:hAnsi="仿宋" w:eastAsia="仿宋"/>
          <w:color w:val="auto"/>
          <w:highlight w:val="none"/>
        </w:rPr>
      </w:pPr>
      <w:bookmarkStart w:id="23" w:name="_Toc30371"/>
      <w:r>
        <w:rPr>
          <w:rFonts w:hint="eastAsia" w:ascii="仿宋" w:hAnsi="仿宋" w:eastAsia="仿宋"/>
          <w:b w:val="0"/>
          <w:color w:val="auto"/>
          <w:highlight w:val="none"/>
        </w:rPr>
        <w:t>二、收</w:t>
      </w:r>
      <w:r>
        <w:rPr>
          <w:rStyle w:val="15"/>
          <w:rFonts w:hint="eastAsia" w:ascii="仿宋" w:hAnsi="仿宋" w:eastAsia="仿宋"/>
          <w:b w:val="0"/>
          <w:bCs w:val="0"/>
          <w:color w:val="auto"/>
          <w:highlight w:val="none"/>
        </w:rPr>
        <w:t>入决算表</w:t>
      </w:r>
      <w:bookmarkEnd w:id="23"/>
    </w:p>
    <w:p w14:paraId="5651690A">
      <w:pPr>
        <w:pStyle w:val="4"/>
        <w:rPr>
          <w:rFonts w:ascii="仿宋" w:hAnsi="仿宋" w:eastAsia="仿宋"/>
          <w:color w:val="auto"/>
          <w:highlight w:val="none"/>
        </w:rPr>
      </w:pPr>
      <w:bookmarkStart w:id="24" w:name="_Toc12969"/>
      <w:r>
        <w:rPr>
          <w:rStyle w:val="15"/>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5"/>
          <w:rFonts w:hint="eastAsia" w:ascii="仿宋" w:hAnsi="仿宋" w:eastAsia="仿宋"/>
          <w:b w:val="0"/>
          <w:bCs w:val="0"/>
          <w:color w:val="auto"/>
          <w:highlight w:val="none"/>
        </w:rPr>
        <w:t>出决算表</w:t>
      </w:r>
      <w:bookmarkEnd w:id="24"/>
    </w:p>
    <w:p w14:paraId="2E32FAB9">
      <w:pPr>
        <w:pStyle w:val="4"/>
        <w:rPr>
          <w:rFonts w:ascii="仿宋" w:hAnsi="仿宋" w:eastAsia="仿宋"/>
          <w:b w:val="0"/>
          <w:color w:val="auto"/>
          <w:highlight w:val="none"/>
        </w:rPr>
      </w:pPr>
      <w:bookmarkStart w:id="25" w:name="_Toc21501"/>
      <w:r>
        <w:rPr>
          <w:rStyle w:val="15"/>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政拨款收入支出决算总表</w:t>
      </w:r>
      <w:bookmarkEnd w:id="25"/>
    </w:p>
    <w:p w14:paraId="128A06CA">
      <w:pPr>
        <w:pStyle w:val="4"/>
        <w:rPr>
          <w:rStyle w:val="15"/>
          <w:rFonts w:ascii="仿宋" w:hAnsi="仿宋" w:eastAsia="仿宋"/>
          <w:b w:val="0"/>
          <w:bCs w:val="0"/>
          <w:color w:val="auto"/>
          <w:highlight w:val="none"/>
        </w:rPr>
      </w:pPr>
      <w:bookmarkStart w:id="26" w:name="_Toc6013"/>
      <w:r>
        <w:rPr>
          <w:rStyle w:val="15"/>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政拨款支出决算明细表</w:t>
      </w:r>
      <w:bookmarkEnd w:id="26"/>
    </w:p>
    <w:p w14:paraId="2ECB00AD">
      <w:pPr>
        <w:pStyle w:val="4"/>
        <w:rPr>
          <w:rFonts w:ascii="仿宋" w:hAnsi="仿宋" w:eastAsia="仿宋"/>
          <w:color w:val="auto"/>
          <w:highlight w:val="none"/>
        </w:rPr>
      </w:pPr>
      <w:bookmarkStart w:id="27" w:name="_Toc8052"/>
      <w:r>
        <w:rPr>
          <w:rStyle w:val="15"/>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般公共预算财政拨款支出决算表</w:t>
      </w:r>
      <w:bookmarkEnd w:id="27"/>
    </w:p>
    <w:p w14:paraId="1CCF5FB5">
      <w:pPr>
        <w:pStyle w:val="4"/>
        <w:rPr>
          <w:rFonts w:ascii="仿宋" w:hAnsi="仿宋" w:eastAsia="仿宋"/>
          <w:color w:val="auto"/>
          <w:highlight w:val="none"/>
        </w:rPr>
      </w:pPr>
      <w:bookmarkStart w:id="28" w:name="_Toc30041"/>
      <w:r>
        <w:rPr>
          <w:rStyle w:val="15"/>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般公共预算财政拨款支出决算明细表</w:t>
      </w:r>
      <w:bookmarkEnd w:id="28"/>
    </w:p>
    <w:p w14:paraId="06843398">
      <w:pPr>
        <w:pStyle w:val="4"/>
        <w:rPr>
          <w:rFonts w:ascii="仿宋" w:hAnsi="仿宋" w:eastAsia="仿宋"/>
          <w:color w:val="auto"/>
          <w:highlight w:val="none"/>
        </w:rPr>
      </w:pPr>
      <w:bookmarkStart w:id="29" w:name="_Toc15038"/>
      <w:r>
        <w:rPr>
          <w:rStyle w:val="15"/>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般公共预算财政拨款基本支出决算表</w:t>
      </w:r>
      <w:bookmarkEnd w:id="29"/>
    </w:p>
    <w:p w14:paraId="6BAFAC5E">
      <w:pPr>
        <w:pStyle w:val="4"/>
        <w:rPr>
          <w:rFonts w:ascii="仿宋" w:hAnsi="仿宋" w:eastAsia="仿宋"/>
          <w:color w:val="auto"/>
          <w:highlight w:val="none"/>
        </w:rPr>
      </w:pPr>
      <w:bookmarkStart w:id="30" w:name="_Toc9219"/>
      <w:r>
        <w:rPr>
          <w:rStyle w:val="15"/>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般公共预算财政拨款项目支出决算表</w:t>
      </w:r>
      <w:bookmarkEnd w:id="30"/>
    </w:p>
    <w:p w14:paraId="20675E89">
      <w:pPr>
        <w:pStyle w:val="4"/>
        <w:rPr>
          <w:rFonts w:ascii="仿宋" w:hAnsi="仿宋" w:eastAsia="仿宋"/>
          <w:color w:val="auto"/>
          <w:highlight w:val="none"/>
        </w:rPr>
      </w:pPr>
      <w:bookmarkStart w:id="31" w:name="_Toc20423"/>
      <w:r>
        <w:rPr>
          <w:rStyle w:val="15"/>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5"/>
          <w:rFonts w:hint="eastAsia" w:ascii="仿宋" w:hAnsi="仿宋" w:eastAsia="仿宋"/>
          <w:b w:val="0"/>
          <w:bCs w:val="0"/>
          <w:color w:val="auto"/>
          <w:highlight w:val="none"/>
        </w:rPr>
        <w:t>府性基金预算财政拨款收入支出决算表</w:t>
      </w:r>
      <w:bookmarkEnd w:id="31"/>
    </w:p>
    <w:p w14:paraId="67CF43C6">
      <w:pPr>
        <w:pStyle w:val="4"/>
        <w:rPr>
          <w:rFonts w:ascii="仿宋" w:hAnsi="仿宋" w:eastAsia="仿宋"/>
          <w:color w:val="auto"/>
          <w:highlight w:val="none"/>
        </w:rPr>
      </w:pPr>
      <w:bookmarkStart w:id="32" w:name="_Toc6643"/>
      <w:r>
        <w:rPr>
          <w:rStyle w:val="15"/>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5"/>
          <w:rFonts w:hint="eastAsia" w:ascii="仿宋" w:hAnsi="仿宋" w:eastAsia="仿宋"/>
          <w:b w:val="0"/>
          <w:bCs w:val="0"/>
          <w:color w:val="auto"/>
          <w:highlight w:val="none"/>
        </w:rPr>
        <w:t>有资本经营预算</w:t>
      </w:r>
      <w:r>
        <w:rPr>
          <w:rStyle w:val="15"/>
          <w:rFonts w:hint="eastAsia" w:ascii="仿宋" w:hAnsi="仿宋" w:eastAsia="仿宋"/>
          <w:b w:val="0"/>
          <w:bCs w:val="0"/>
          <w:color w:val="auto"/>
          <w:highlight w:val="none"/>
          <w:lang w:eastAsia="zh-CN"/>
        </w:rPr>
        <w:t>财政拨款收入</w:t>
      </w:r>
      <w:r>
        <w:rPr>
          <w:rStyle w:val="15"/>
          <w:rFonts w:hint="eastAsia" w:ascii="仿宋" w:hAnsi="仿宋" w:eastAsia="仿宋"/>
          <w:b w:val="0"/>
          <w:bCs w:val="0"/>
          <w:color w:val="auto"/>
          <w:highlight w:val="none"/>
        </w:rPr>
        <w:t>支出决算表</w:t>
      </w:r>
      <w:bookmarkEnd w:id="32"/>
    </w:p>
    <w:p w14:paraId="09807FB8">
      <w:pPr>
        <w:pStyle w:val="4"/>
        <w:rPr>
          <w:rFonts w:ascii="仿宋" w:hAnsi="仿宋" w:eastAsia="仿宋"/>
          <w:color w:val="auto"/>
          <w:highlight w:val="none"/>
        </w:rPr>
      </w:pPr>
      <w:bookmarkStart w:id="33" w:name="_Toc1660"/>
      <w:r>
        <w:rPr>
          <w:rStyle w:val="15"/>
          <w:rFonts w:hint="eastAsia" w:ascii="仿宋" w:hAnsi="仿宋" w:eastAsia="仿宋"/>
          <w:b w:val="0"/>
          <w:bCs w:val="0"/>
          <w:color w:val="auto"/>
          <w:highlight w:val="none"/>
        </w:rPr>
        <w:t>十二、</w:t>
      </w:r>
      <w:r>
        <w:rPr>
          <w:rStyle w:val="15"/>
          <w:rFonts w:hint="eastAsia" w:ascii="仿宋" w:hAnsi="仿宋" w:eastAsia="仿宋"/>
          <w:b w:val="0"/>
          <w:bCs w:val="0"/>
          <w:color w:val="auto"/>
          <w:highlight w:val="none"/>
          <w:lang w:eastAsia="zh-CN"/>
        </w:rPr>
        <w:t>国有资本经营预算财政拨款支出决算表</w:t>
      </w:r>
      <w:bookmarkEnd w:id="33"/>
    </w:p>
    <w:p w14:paraId="7BA06CC5">
      <w:pPr>
        <w:pStyle w:val="4"/>
        <w:rPr>
          <w:rFonts w:hint="eastAsia" w:eastAsia="仿宋"/>
          <w:color w:val="auto"/>
          <w:highlight w:val="none"/>
          <w:lang w:eastAsia="zh-CN"/>
        </w:rPr>
      </w:pPr>
      <w:bookmarkStart w:id="34" w:name="_Toc1383"/>
      <w:r>
        <w:rPr>
          <w:rStyle w:val="15"/>
          <w:rFonts w:hint="eastAsia" w:ascii="仿宋" w:hAnsi="仿宋" w:eastAsia="仿宋"/>
          <w:b w:val="0"/>
          <w:bCs w:val="0"/>
          <w:color w:val="auto"/>
          <w:highlight w:val="none"/>
        </w:rPr>
        <w:t>十三、</w:t>
      </w:r>
      <w:r>
        <w:rPr>
          <w:rStyle w:val="15"/>
          <w:rFonts w:hint="eastAsia" w:ascii="仿宋" w:hAnsi="仿宋" w:eastAsia="仿宋"/>
          <w:b w:val="0"/>
          <w:bCs w:val="0"/>
          <w:color w:val="auto"/>
          <w:highlight w:val="none"/>
          <w:lang w:eastAsia="zh-CN"/>
        </w:rPr>
        <w:t>财政拨款“三公”经费支出决算表</w:t>
      </w:r>
      <w:bookmarkEnd w:id="34"/>
    </w:p>
    <w:p w14:paraId="3AA5A151">
      <w:pPr>
        <w:rPr>
          <w:rFonts w:hint="eastAsia"/>
          <w:lang w:eastAsia="zh-CN"/>
        </w:rPr>
      </w:pPr>
    </w:p>
    <w:p w14:paraId="08DA8CB6"/>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1C2F0">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72CAC57F">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506BEF74">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72CAC57F">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506BEF74">
                    <w:pPr>
                      <w:pStyle w:val="9"/>
                    </w:pPr>
                  </w:p>
                </w:txbxContent>
              </v:textbox>
            </v:shape>
          </w:pict>
        </mc:Fallback>
      </mc:AlternateContent>
    </w:r>
  </w:p>
  <w:p w14:paraId="31C73184">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60A29">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AAF502">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36AAF502">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99059CB"/>
    <w:rsid w:val="2C4A57C7"/>
    <w:rsid w:val="2DBF5356"/>
    <w:rsid w:val="31774B57"/>
    <w:rsid w:val="38D25817"/>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beforeLines="30"/>
    </w:pPr>
    <w:rPr>
      <w:rFonts w:ascii="仿宋_GB2312" w:eastAsia="仿宋_GB2312"/>
      <w:kern w:val="0"/>
      <w:sz w:val="30"/>
    </w:rPr>
  </w:style>
  <w:style w:type="paragraph" w:styleId="5">
    <w:name w:val="Body Text Indent"/>
    <w:basedOn w:val="1"/>
    <w:next w:val="6"/>
    <w:qFormat/>
    <w:uiPriority w:val="0"/>
    <w:pPr>
      <w:spacing w:after="120"/>
      <w:ind w:leftChars="200"/>
    </w:pPr>
    <w:rPr>
      <w:rFonts w:ascii="仿宋_GB2312"/>
      <w:szCs w:val="32"/>
    </w:rPr>
  </w:style>
  <w:style w:type="paragraph" w:styleId="6">
    <w:name w:val="Body Text First Indent 2"/>
    <w:basedOn w:val="5"/>
    <w:unhideWhenUsed/>
    <w:qFormat/>
    <w:uiPriority w:val="99"/>
    <w:pPr>
      <w:ind w:firstLine="420" w:firstLineChars="200"/>
    </w:p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8">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9">
    <w:name w:val="footnote text"/>
    <w:basedOn w:val="1"/>
    <w:next w:val="6"/>
    <w:semiHidden/>
    <w:qFormat/>
    <w:uiPriority w:val="0"/>
    <w:pPr>
      <w:snapToGrid w:val="0"/>
      <w:jc w:val="left"/>
    </w:pPr>
    <w:rPr>
      <w:sz w:val="18"/>
      <w:szCs w:val="18"/>
    </w:rPr>
  </w:style>
  <w:style w:type="paragraph" w:styleId="10">
    <w:name w:val="toc 2"/>
    <w:basedOn w:val="1"/>
    <w:next w:val="1"/>
    <w:unhideWhenUsed/>
    <w:qFormat/>
    <w:uiPriority w:val="39"/>
    <w:pPr>
      <w:tabs>
        <w:tab w:val="right" w:leader="dot" w:pos="8296"/>
      </w:tabs>
      <w:ind w:left="420" w:leftChars="200"/>
    </w:pPr>
  </w:style>
  <w:style w:type="character" w:styleId="13">
    <w:name w:val="Strong"/>
    <w:basedOn w:val="12"/>
    <w:qFormat/>
    <w:uiPriority w:val="99"/>
    <w:rPr>
      <w:b/>
    </w:rPr>
  </w:style>
  <w:style w:type="character" w:customStyle="1" w:styleId="14">
    <w:name w:val="标题 1 Char"/>
    <w:basedOn w:val="12"/>
    <w:link w:val="3"/>
    <w:qFormat/>
    <w:uiPriority w:val="9"/>
    <w:rPr>
      <w:b/>
      <w:bCs/>
      <w:kern w:val="44"/>
      <w:sz w:val="44"/>
      <w:szCs w:val="44"/>
    </w:rPr>
  </w:style>
  <w:style w:type="character" w:customStyle="1" w:styleId="15">
    <w:name w:val="标题 2 Char"/>
    <w:basedOn w:val="12"/>
    <w:link w:val="4"/>
    <w:qFormat/>
    <w:uiPriority w:val="9"/>
    <w:rPr>
      <w:rFonts w:asciiTheme="majorHAnsi" w:hAnsiTheme="majorHAnsi" w:eastAsiaTheme="majorEastAsia" w:cstheme="majorBidi"/>
      <w:b/>
      <w:bCs/>
      <w:sz w:val="32"/>
      <w:szCs w:val="32"/>
    </w:rPr>
  </w:style>
  <w:style w:type="paragraph"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_ * #,##0.00_ ;_ * \-#,##0.00_ ;_ * "-"??_ ;_ @_ </c:formatCode>
                <c:ptCount val="2"/>
                <c:pt idx="0">
                  <c:v>2898.569788</c:v>
                </c:pt>
                <c:pt idx="1">
                  <c:v>2898.569788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_ * #,##0.00_ ;_ * \-#,##0.00_ ;_ * "-"??_ ;_ @_ </c:formatCode>
                <c:ptCount val="2"/>
                <c:pt idx="0">
                  <c:v>2199.814107</c:v>
                </c:pt>
                <c:pt idx="1">
                  <c:v>2199.814107</c:v>
                </c:pt>
              </c:numCache>
            </c:numRef>
          </c:val>
        </c:ser>
        <c:dLbls>
          <c:showLegendKey val="0"/>
          <c:showVal val="1"/>
          <c:showCatName val="0"/>
          <c:showSerName val="0"/>
          <c:showPercent val="0"/>
          <c:showBubbleSize val="0"/>
        </c:dLbls>
        <c:gapWidth val="246"/>
        <c:overlap val="-28"/>
        <c:axId val="743235135"/>
        <c:axId val="626618125"/>
      </c:barChart>
      <c:catAx>
        <c:axId val="74323513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26618125"/>
        <c:crosses val="autoZero"/>
        <c:auto val="1"/>
        <c:lblAlgn val="ctr"/>
        <c:lblOffset val="100"/>
        <c:noMultiLvlLbl val="0"/>
      </c:catAx>
      <c:valAx>
        <c:axId val="62661812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3235135"/>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2898.57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a:t>
            </a:r>
          </a:p>
        </c:rich>
      </c:tx>
      <c:layout/>
      <c:overlay val="0"/>
      <c:spPr>
        <a:noFill/>
        <a:ln>
          <a:noFill/>
        </a:ln>
        <a:effectLst/>
      </c:sp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92.4</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7.6</a:t>
                    </a:r>
                    <a:r>
                      <a:t>%</a:t>
                    </a:r>
                  </a:p>
                </c:rich>
              </c:tx>
              <c:dLblPos val="out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2677.87</c:v>
                </c:pt>
                <c:pt idx="1" c:formatCode="General">
                  <c:v>220.7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_ * #,##0.00_ ;_ * \-#,##0.00_ ;_ * "-"??_ ;_ @_ </c:formatCode>
                <c:ptCount val="2"/>
                <c:pt idx="0">
                  <c:v>2898.569788</c:v>
                </c:pt>
                <c:pt idx="1">
                  <c:v>2898.569788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_ * #,##0.00_ ;_ * \-#,##0.00_ ;_ * "-"??_ ;_ @_ </c:formatCode>
                <c:ptCount val="2"/>
                <c:pt idx="0">
                  <c:v>2199.814107</c:v>
                </c:pt>
                <c:pt idx="1">
                  <c:v>2199.814107</c:v>
                </c:pt>
              </c:numCache>
            </c:numRef>
          </c:val>
        </c:ser>
        <c:dLbls>
          <c:showLegendKey val="0"/>
          <c:showVal val="1"/>
          <c:showCatName val="0"/>
          <c:showSerName val="0"/>
          <c:showPercent val="0"/>
          <c:showBubbleSize val="0"/>
        </c:dLbls>
        <c:gapWidth val="246"/>
        <c:overlap val="-28"/>
        <c:axId val="743235135"/>
        <c:axId val="626618125"/>
      </c:barChart>
      <c:catAx>
        <c:axId val="74323513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26618125"/>
        <c:crosses val="autoZero"/>
        <c:auto val="1"/>
        <c:lblAlgn val="ctr"/>
        <c:lblOffset val="100"/>
        <c:noMultiLvlLbl val="0"/>
      </c:catAx>
      <c:valAx>
        <c:axId val="62661812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3235135"/>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Sheet1!$A$2:$A$3</c15:sqref>
                  </c15:fullRef>
                </c:ext>
              </c:extLst>
              <c:f>Sheet1!$A$3</c:f>
              <c:strCache>
                <c:ptCount val="1"/>
                <c:pt idx="0">
                  <c:v>一般公共预算财政拨款支出</c:v>
                </c:pt>
              </c:strCache>
            </c:strRef>
          </c:cat>
          <c:val>
            <c:numRef>
              <c:extLst>
                <c:ext xmlns:c15="http://schemas.microsoft.com/office/drawing/2012/chart" uri="{02D57815-91ED-43cb-92C2-25804820EDAC}">
                  <c15:fullRef>
                    <c15:sqref>Sheet1!$B$2:$B$3</c15:sqref>
                  </c15:fullRef>
                </c:ext>
              </c:extLst>
              <c:f>Sheet1!$B$3</c:f>
              <c:numCache>
                <c:formatCode>_ * #,##0.00_ ;_ * \-#,##0.00_ ;_ * "-"??_ ;_ @_ </c:formatCode>
                <c:ptCount val="1"/>
                <c:pt idx="0">
                  <c:v>2898.569788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Sheet1!$A$2:$A$3</c15:sqref>
                  </c15:fullRef>
                </c:ext>
              </c:extLst>
              <c:f>Sheet1!$A$3</c:f>
              <c:strCache>
                <c:ptCount val="1"/>
                <c:pt idx="0">
                  <c:v>一般公共预算财政拨款支出</c:v>
                </c:pt>
              </c:strCache>
            </c:strRef>
          </c:cat>
          <c:val>
            <c:numRef>
              <c:extLst>
                <c:ext xmlns:c15="http://schemas.microsoft.com/office/drawing/2012/chart" uri="{02D57815-91ED-43cb-92C2-25804820EDAC}">
                  <c15:fullRef>
                    <c15:sqref>Sheet1!$C$2:$C$3</c15:sqref>
                  </c15:fullRef>
                </c:ext>
              </c:extLst>
              <c:f>Sheet1!$C$3</c:f>
              <c:numCache>
                <c:formatCode>_ * #,##0.00_ ;_ * \-#,##0.00_ ;_ * "-"??_ ;_ @_ </c:formatCode>
                <c:ptCount val="1"/>
                <c:pt idx="0">
                  <c:v>2199.814107</c:v>
                </c:pt>
              </c:numCache>
            </c:numRef>
          </c:val>
        </c:ser>
        <c:dLbls>
          <c:showLegendKey val="0"/>
          <c:showVal val="1"/>
          <c:showCatName val="0"/>
          <c:showSerName val="0"/>
          <c:showPercent val="0"/>
          <c:showBubbleSize val="0"/>
        </c:dLbls>
        <c:gapWidth val="246"/>
        <c:overlap val="-28"/>
        <c:axId val="743235135"/>
        <c:axId val="626618125"/>
      </c:barChart>
      <c:catAx>
        <c:axId val="74323513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26618125"/>
        <c:crosses val="autoZero"/>
        <c:auto val="1"/>
        <c:lblAlgn val="ctr"/>
        <c:lblOffset val="100"/>
        <c:noMultiLvlLbl val="0"/>
      </c:catAx>
      <c:valAx>
        <c:axId val="62661812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3235135"/>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10.9%</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4.6%</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78.6%</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0.00362406378352259"/>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6%</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314.44</c:v>
                </c:pt>
                <c:pt idx="1">
                  <c:v>133.88</c:v>
                </c:pt>
                <c:pt idx="2" c:formatCode="#,##0.00">
                  <c:v>2277.03</c:v>
                </c:pt>
                <c:pt idx="3">
                  <c:v>173.23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87267455907224"/>
          <c:y val="0.0284742881427964"/>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454215994201498"/>
                  <c:y val="-0.011899702507437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98.2%</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0671659821212853"/>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1.8%</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20</c:v>
                </c:pt>
                <c:pt idx="2">
                  <c:v>0.37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5051</Words>
  <Characters>5528</Characters>
  <Lines>0</Lines>
  <Paragraphs>0</Paragraphs>
  <TotalTime>4</TotalTime>
  <ScaleCrop>false</ScaleCrop>
  <LinksUpToDate>false</LinksUpToDate>
  <CharactersWithSpaces>5704</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2024-09-18T02:02:20Z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E36A57BF3CD94C2C93CB2A0CD4D0A330_13</vt:lpwstr>
  </property>
</Properties>
</file>