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02B36C">
      <w:pPr>
        <w:pStyle w:val="2"/>
        <w:jc w:val="center"/>
        <w:rPr>
          <w:rFonts w:hint="eastAsia" w:ascii="方正小标宋简体" w:hAnsi="宋体" w:eastAsia="方正小标宋简体" w:cs="Times New Roman"/>
          <w:color w:val="auto"/>
          <w:kern w:val="2"/>
          <w:sz w:val="44"/>
          <w:szCs w:val="44"/>
          <w:highlight w:val="none"/>
          <w:lang w:val="en-US" w:eastAsia="zh-CN" w:bidi="ar-SA"/>
        </w:rPr>
      </w:pPr>
    </w:p>
    <w:p w14:paraId="13B15852">
      <w:pPr>
        <w:pStyle w:val="2"/>
        <w:jc w:val="center"/>
        <w:rPr>
          <w:rFonts w:hint="eastAsia" w:ascii="方正小标宋简体" w:hAnsi="宋体" w:eastAsia="方正小标宋简体" w:cs="Times New Roman"/>
          <w:color w:val="auto"/>
          <w:kern w:val="2"/>
          <w:sz w:val="44"/>
          <w:szCs w:val="44"/>
          <w:highlight w:val="none"/>
          <w:lang w:val="en-US" w:eastAsia="zh-CN" w:bidi="ar-SA"/>
        </w:rPr>
      </w:pPr>
      <w:r>
        <w:rPr>
          <w:rFonts w:hint="eastAsia" w:ascii="方正小标宋简体" w:hAnsi="宋体" w:eastAsia="方正小标宋简体" w:cs="Times New Roman"/>
          <w:color w:val="auto"/>
          <w:kern w:val="2"/>
          <w:sz w:val="44"/>
          <w:szCs w:val="44"/>
          <w:highlight w:val="none"/>
          <w:lang w:val="en-US" w:eastAsia="zh-CN" w:bidi="ar-SA"/>
        </w:rPr>
        <w:t>2023年度阿坝藏族羌族自治州公路管理局马尔康公路管理分局单位决算</w:t>
      </w:r>
    </w:p>
    <w:p w14:paraId="75123BB9">
      <w:pPr>
        <w:widowControl/>
        <w:jc w:val="center"/>
        <w:rPr>
          <w:rFonts w:ascii="黑体" w:hAnsi="黑体" w:eastAsia="黑体"/>
          <w:color w:val="auto"/>
          <w:sz w:val="48"/>
          <w:szCs w:val="48"/>
          <w:highlight w:val="none"/>
        </w:rPr>
      </w:pPr>
      <w:r>
        <w:rPr>
          <w:rFonts w:ascii="方正小标宋简体" w:hAnsi="宋体" w:eastAsia="方正小标宋简体"/>
          <w:color w:val="auto"/>
          <w:sz w:val="36"/>
          <w:szCs w:val="36"/>
          <w:highlight w:val="none"/>
        </w:rPr>
        <w:br w:type="page"/>
      </w:r>
      <w:r>
        <w:rPr>
          <w:rFonts w:hint="eastAsia" w:ascii="黑体" w:hAnsi="黑体" w:eastAsia="黑体"/>
          <w:color w:val="auto"/>
          <w:sz w:val="48"/>
          <w:szCs w:val="48"/>
          <w:highlight w:val="none"/>
        </w:rPr>
        <w:t>目录</w:t>
      </w:r>
    </w:p>
    <w:p w14:paraId="31052014">
      <w:pPr>
        <w:widowControl/>
        <w:jc w:val="center"/>
        <w:rPr>
          <w:rFonts w:ascii="黑体" w:hAnsi="黑体" w:eastAsia="黑体" w:cstheme="minorBidi"/>
          <w:color w:val="auto"/>
          <w:sz w:val="28"/>
          <w:szCs w:val="28"/>
          <w:highlight w:val="none"/>
        </w:rPr>
      </w:pPr>
    </w:p>
    <w:p w14:paraId="3FA0DBBE">
      <w:pPr>
        <w:pStyle w:val="8"/>
        <w:rPr>
          <w:color w:val="auto"/>
          <w:highlight w:val="none"/>
        </w:rPr>
      </w:pPr>
      <w:r>
        <w:rPr>
          <w:rFonts w:hint="eastAsia"/>
          <w:color w:val="auto"/>
          <w:highlight w:val="none"/>
        </w:rPr>
        <w:t>公开时间：20</w:t>
      </w:r>
      <w:r>
        <w:rPr>
          <w:rFonts w:hint="eastAsia"/>
          <w:color w:val="auto"/>
          <w:highlight w:val="none"/>
          <w:lang w:val="en-US" w:eastAsia="zh-CN"/>
        </w:rPr>
        <w:t>24</w:t>
      </w:r>
      <w:r>
        <w:rPr>
          <w:rFonts w:hint="eastAsia"/>
          <w:color w:val="auto"/>
          <w:highlight w:val="none"/>
        </w:rPr>
        <w:t>年</w:t>
      </w:r>
      <w:r>
        <w:rPr>
          <w:rFonts w:hint="eastAsia"/>
          <w:color w:val="auto"/>
          <w:highlight w:val="none"/>
          <w:lang w:val="en-US" w:eastAsia="zh-CN"/>
        </w:rPr>
        <w:t>9</w:t>
      </w:r>
      <w:r>
        <w:rPr>
          <w:rFonts w:hint="eastAsia"/>
          <w:color w:val="auto"/>
          <w:highlight w:val="none"/>
        </w:rPr>
        <w:t>月</w:t>
      </w:r>
      <w:r>
        <w:rPr>
          <w:rFonts w:hint="eastAsia"/>
          <w:color w:val="auto"/>
          <w:highlight w:val="none"/>
          <w:lang w:val="en-US" w:eastAsia="zh-CN"/>
        </w:rPr>
        <w:t>18</w:t>
      </w:r>
      <w:r>
        <w:rPr>
          <w:rFonts w:hint="eastAsia"/>
          <w:color w:val="auto"/>
          <w:highlight w:val="none"/>
        </w:rPr>
        <w:t>日</w:t>
      </w:r>
    </w:p>
    <w:sdt>
      <w:sdtPr>
        <w:rPr>
          <w:rFonts w:ascii="宋体" w:hAnsi="宋体" w:eastAsia="宋体" w:cs="Times New Roman"/>
          <w:kern w:val="2"/>
          <w:sz w:val="21"/>
          <w:szCs w:val="24"/>
          <w:lang w:val="en-US" w:eastAsia="zh-CN" w:bidi="ar-SA"/>
        </w:rPr>
        <w:id w:val="147482291"/>
        <w15:color w:val="DBDBDB"/>
        <w:docPartObj>
          <w:docPartGallery w:val="Table of Contents"/>
          <w:docPartUnique/>
        </w:docPartObj>
      </w:sdtPr>
      <w:sdtEndPr>
        <w:rPr>
          <w:rFonts w:ascii="宋体" w:hAnsi="宋体" w:eastAsia="宋体" w:cs="Times New Roman"/>
          <w:b/>
          <w:kern w:val="2"/>
          <w:sz w:val="21"/>
          <w:szCs w:val="24"/>
          <w:lang w:val="en-US" w:eastAsia="zh-CN" w:bidi="ar-SA"/>
        </w:rPr>
      </w:sdtEndPr>
      <w:sdtContent>
        <w:p w14:paraId="09BFE2E4">
          <w:pPr>
            <w:spacing w:before="0" w:beforeLines="0" w:after="0" w:afterLines="0" w:line="240" w:lineRule="auto"/>
            <w:ind w:left="0" w:leftChars="0" w:right="0" w:rightChars="0" w:firstLine="0" w:firstLineChars="0"/>
            <w:jc w:val="center"/>
          </w:pPr>
        </w:p>
        <w:p w14:paraId="4BC51476">
          <w:pPr>
            <w:pStyle w:val="18"/>
            <w:tabs>
              <w:tab w:val="right" w:leader="dot" w:pos="8306"/>
            </w:tabs>
            <w:rPr>
              <w:rFonts w:hint="eastAsia" w:ascii="仿宋" w:hAnsi="仿宋" w:eastAsia="仿宋" w:cs="仿宋"/>
              <w:b/>
              <w:sz w:val="28"/>
              <w:szCs w:val="28"/>
            </w:rPr>
          </w:pPr>
          <w:r>
            <w:fldChar w:fldCharType="begin"/>
          </w:r>
          <w:r>
            <w:instrText xml:space="preserve">TOC \o "1-2" \h \u </w:instrText>
          </w:r>
          <w:r>
            <w:fldChar w:fldCharType="separate"/>
          </w:r>
          <w:r>
            <w:rPr>
              <w:rFonts w:hint="eastAsia" w:ascii="仿宋" w:hAnsi="仿宋" w:eastAsia="仿宋" w:cs="仿宋"/>
              <w:b/>
              <w:sz w:val="28"/>
              <w:szCs w:val="28"/>
            </w:rPr>
            <w:fldChar w:fldCharType="begin"/>
          </w:r>
          <w:r>
            <w:rPr>
              <w:rFonts w:hint="eastAsia" w:ascii="仿宋" w:hAnsi="仿宋" w:eastAsia="仿宋" w:cs="仿宋"/>
              <w:b/>
              <w:sz w:val="28"/>
              <w:szCs w:val="28"/>
            </w:rPr>
            <w:instrText xml:space="preserve"> HYPERLINK \l _Toc25957 </w:instrText>
          </w:r>
          <w:r>
            <w:rPr>
              <w:rFonts w:hint="eastAsia" w:ascii="仿宋" w:hAnsi="仿宋" w:eastAsia="仿宋" w:cs="仿宋"/>
              <w:b/>
              <w:sz w:val="28"/>
              <w:szCs w:val="28"/>
            </w:rPr>
            <w:fldChar w:fldCharType="separate"/>
          </w:r>
          <w:r>
            <w:rPr>
              <w:rFonts w:hint="eastAsia" w:ascii="仿宋" w:hAnsi="仿宋" w:eastAsia="仿宋" w:cs="仿宋"/>
              <w:b/>
              <w:sz w:val="28"/>
              <w:szCs w:val="28"/>
              <w:highlight w:val="none"/>
            </w:rPr>
            <w:t xml:space="preserve">第一部分 </w:t>
          </w:r>
          <w:r>
            <w:rPr>
              <w:rFonts w:hint="eastAsia" w:ascii="仿宋" w:hAnsi="仿宋" w:eastAsia="仿宋" w:cs="仿宋"/>
              <w:b/>
              <w:sz w:val="28"/>
              <w:szCs w:val="28"/>
              <w:highlight w:val="none"/>
              <w:lang w:eastAsia="zh-CN"/>
            </w:rPr>
            <w:t>单位</w:t>
          </w:r>
          <w:r>
            <w:rPr>
              <w:rFonts w:hint="eastAsia" w:ascii="仿宋" w:hAnsi="仿宋" w:eastAsia="仿宋" w:cs="仿宋"/>
              <w:b/>
              <w:bCs w:val="0"/>
              <w:sz w:val="28"/>
              <w:szCs w:val="28"/>
              <w:highlight w:val="none"/>
            </w:rPr>
            <w:t>概况</w:t>
          </w:r>
          <w:r>
            <w:rPr>
              <w:rFonts w:hint="eastAsia" w:ascii="仿宋" w:hAnsi="仿宋" w:eastAsia="仿宋" w:cs="仿宋"/>
              <w:b/>
              <w:sz w:val="28"/>
              <w:szCs w:val="28"/>
            </w:rPr>
            <w:tab/>
          </w:r>
          <w:r>
            <w:rPr>
              <w:rFonts w:hint="eastAsia" w:ascii="仿宋" w:hAnsi="仿宋" w:eastAsia="仿宋" w:cs="仿宋"/>
              <w:b/>
              <w:sz w:val="28"/>
              <w:szCs w:val="28"/>
            </w:rPr>
            <w:fldChar w:fldCharType="begin"/>
          </w:r>
          <w:r>
            <w:rPr>
              <w:rFonts w:hint="eastAsia" w:ascii="仿宋" w:hAnsi="仿宋" w:eastAsia="仿宋" w:cs="仿宋"/>
              <w:b/>
              <w:sz w:val="28"/>
              <w:szCs w:val="28"/>
            </w:rPr>
            <w:instrText xml:space="preserve"> PAGEREF _Toc25957 \h </w:instrText>
          </w:r>
          <w:r>
            <w:rPr>
              <w:rFonts w:hint="eastAsia" w:ascii="仿宋" w:hAnsi="仿宋" w:eastAsia="仿宋" w:cs="仿宋"/>
              <w:b/>
              <w:sz w:val="28"/>
              <w:szCs w:val="28"/>
            </w:rPr>
            <w:fldChar w:fldCharType="separate"/>
          </w:r>
          <w:r>
            <w:rPr>
              <w:rFonts w:hint="eastAsia" w:ascii="仿宋" w:hAnsi="仿宋" w:eastAsia="仿宋" w:cs="仿宋"/>
              <w:b/>
              <w:sz w:val="28"/>
              <w:szCs w:val="28"/>
            </w:rPr>
            <w:t>- 1 -</w:t>
          </w:r>
          <w:r>
            <w:rPr>
              <w:rFonts w:hint="eastAsia" w:ascii="仿宋" w:hAnsi="仿宋" w:eastAsia="仿宋" w:cs="仿宋"/>
              <w:b/>
              <w:sz w:val="28"/>
              <w:szCs w:val="28"/>
            </w:rPr>
            <w:fldChar w:fldCharType="end"/>
          </w:r>
          <w:r>
            <w:rPr>
              <w:rFonts w:hint="eastAsia" w:ascii="仿宋" w:hAnsi="仿宋" w:eastAsia="仿宋" w:cs="仿宋"/>
              <w:b/>
              <w:sz w:val="28"/>
              <w:szCs w:val="28"/>
            </w:rPr>
            <w:fldChar w:fldCharType="end"/>
          </w:r>
        </w:p>
        <w:p w14:paraId="7E3EAF66">
          <w:pPr>
            <w:pStyle w:val="19"/>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_Toc21050 </w:instrText>
          </w:r>
          <w:r>
            <w:rPr>
              <w:rFonts w:hint="eastAsia" w:ascii="仿宋" w:hAnsi="仿宋" w:eastAsia="仿宋" w:cs="仿宋"/>
              <w:sz w:val="28"/>
              <w:szCs w:val="28"/>
            </w:rPr>
            <w:fldChar w:fldCharType="separate"/>
          </w:r>
          <w:r>
            <w:rPr>
              <w:rFonts w:hint="eastAsia" w:ascii="仿宋" w:hAnsi="仿宋" w:eastAsia="仿宋" w:cs="仿宋"/>
              <w:bCs w:val="0"/>
              <w:sz w:val="28"/>
              <w:szCs w:val="28"/>
              <w:lang w:eastAsia="zh-CN"/>
            </w:rPr>
            <w:t>一、</w:t>
          </w:r>
          <w:r>
            <w:rPr>
              <w:rFonts w:hint="eastAsia" w:ascii="仿宋" w:hAnsi="仿宋" w:eastAsia="仿宋" w:cs="仿宋"/>
              <w:bCs w:val="0"/>
              <w:sz w:val="28"/>
              <w:szCs w:val="28"/>
              <w:highlight w:val="none"/>
              <w:lang w:eastAsia="zh-CN"/>
            </w:rPr>
            <w:t>主要职责</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_Toc21050 \h </w:instrText>
          </w:r>
          <w:r>
            <w:rPr>
              <w:rFonts w:hint="eastAsia" w:ascii="仿宋" w:hAnsi="仿宋" w:eastAsia="仿宋" w:cs="仿宋"/>
              <w:sz w:val="28"/>
              <w:szCs w:val="28"/>
            </w:rPr>
            <w:fldChar w:fldCharType="separate"/>
          </w:r>
          <w:r>
            <w:rPr>
              <w:rFonts w:hint="eastAsia" w:ascii="仿宋" w:hAnsi="仿宋" w:eastAsia="仿宋" w:cs="仿宋"/>
              <w:sz w:val="28"/>
              <w:szCs w:val="28"/>
            </w:rPr>
            <w:t>- 1 -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498E75A4">
          <w:pPr>
            <w:pStyle w:val="19"/>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_Toc14576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lang w:val="en-US" w:eastAsia="zh-CN"/>
            </w:rPr>
            <w:t>二、机构设置</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_Toc14576 \h </w:instrText>
          </w:r>
          <w:r>
            <w:rPr>
              <w:rFonts w:hint="eastAsia" w:ascii="仿宋" w:hAnsi="仿宋" w:eastAsia="仿宋" w:cs="仿宋"/>
              <w:sz w:val="28"/>
              <w:szCs w:val="28"/>
            </w:rPr>
            <w:fldChar w:fldCharType="separate"/>
          </w:r>
          <w:r>
            <w:rPr>
              <w:rFonts w:hint="eastAsia" w:ascii="仿宋" w:hAnsi="仿宋" w:eastAsia="仿宋" w:cs="仿宋"/>
              <w:sz w:val="28"/>
              <w:szCs w:val="28"/>
            </w:rPr>
            <w:t>- 1 -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727D16E1">
          <w:pPr>
            <w:pStyle w:val="18"/>
            <w:tabs>
              <w:tab w:val="right" w:leader="dot" w:pos="8306"/>
            </w:tabs>
            <w:rPr>
              <w:rFonts w:hint="eastAsia" w:ascii="仿宋" w:hAnsi="仿宋" w:eastAsia="仿宋" w:cs="仿宋"/>
              <w:b/>
              <w:sz w:val="28"/>
              <w:szCs w:val="28"/>
            </w:rPr>
          </w:pPr>
          <w:r>
            <w:rPr>
              <w:rFonts w:hint="eastAsia" w:ascii="仿宋" w:hAnsi="仿宋" w:eastAsia="仿宋" w:cs="仿宋"/>
              <w:b/>
              <w:sz w:val="28"/>
              <w:szCs w:val="28"/>
            </w:rPr>
            <w:fldChar w:fldCharType="begin"/>
          </w:r>
          <w:r>
            <w:rPr>
              <w:rFonts w:hint="eastAsia" w:ascii="仿宋" w:hAnsi="仿宋" w:eastAsia="仿宋" w:cs="仿宋"/>
              <w:b/>
              <w:sz w:val="28"/>
              <w:szCs w:val="28"/>
            </w:rPr>
            <w:instrText xml:space="preserve"> HYPERLINK \l _Toc18461 </w:instrText>
          </w:r>
          <w:r>
            <w:rPr>
              <w:rFonts w:hint="eastAsia" w:ascii="仿宋" w:hAnsi="仿宋" w:eastAsia="仿宋" w:cs="仿宋"/>
              <w:b/>
              <w:sz w:val="28"/>
              <w:szCs w:val="28"/>
            </w:rPr>
            <w:fldChar w:fldCharType="separate"/>
          </w:r>
          <w:r>
            <w:rPr>
              <w:rFonts w:hint="eastAsia" w:ascii="仿宋" w:hAnsi="仿宋" w:eastAsia="仿宋" w:cs="仿宋"/>
              <w:b/>
              <w:bCs/>
              <w:sz w:val="28"/>
              <w:szCs w:val="28"/>
              <w:highlight w:val="none"/>
            </w:rPr>
            <w:t xml:space="preserve">第二部分 </w:t>
          </w:r>
          <w:r>
            <w:rPr>
              <w:rFonts w:hint="eastAsia" w:ascii="仿宋" w:hAnsi="仿宋" w:eastAsia="仿宋" w:cs="仿宋"/>
              <w:b/>
              <w:bCs/>
              <w:sz w:val="28"/>
              <w:szCs w:val="28"/>
              <w:highlight w:val="none"/>
              <w:lang w:val="en-US" w:eastAsia="zh-CN"/>
            </w:rPr>
            <w:t>2023年度</w:t>
          </w:r>
          <w:r>
            <w:rPr>
              <w:rFonts w:hint="eastAsia" w:ascii="仿宋" w:hAnsi="仿宋" w:eastAsia="仿宋" w:cs="仿宋"/>
              <w:b/>
              <w:bCs/>
              <w:sz w:val="28"/>
              <w:szCs w:val="28"/>
              <w:highlight w:val="none"/>
              <w:lang w:eastAsia="zh-CN"/>
            </w:rPr>
            <w:t>单位</w:t>
          </w:r>
          <w:r>
            <w:rPr>
              <w:rFonts w:hint="eastAsia" w:ascii="仿宋" w:hAnsi="仿宋" w:eastAsia="仿宋" w:cs="仿宋"/>
              <w:b/>
              <w:bCs/>
              <w:sz w:val="28"/>
              <w:szCs w:val="28"/>
              <w:highlight w:val="none"/>
            </w:rPr>
            <w:t>决算情况说明</w:t>
          </w:r>
          <w:r>
            <w:rPr>
              <w:rFonts w:hint="eastAsia" w:ascii="仿宋" w:hAnsi="仿宋" w:eastAsia="仿宋" w:cs="仿宋"/>
              <w:b/>
              <w:sz w:val="28"/>
              <w:szCs w:val="28"/>
            </w:rPr>
            <w:tab/>
          </w:r>
          <w:r>
            <w:rPr>
              <w:rFonts w:hint="eastAsia" w:ascii="仿宋" w:hAnsi="仿宋" w:eastAsia="仿宋" w:cs="仿宋"/>
              <w:b/>
              <w:sz w:val="28"/>
              <w:szCs w:val="28"/>
            </w:rPr>
            <w:fldChar w:fldCharType="begin"/>
          </w:r>
          <w:r>
            <w:rPr>
              <w:rFonts w:hint="eastAsia" w:ascii="仿宋" w:hAnsi="仿宋" w:eastAsia="仿宋" w:cs="仿宋"/>
              <w:b/>
              <w:sz w:val="28"/>
              <w:szCs w:val="28"/>
            </w:rPr>
            <w:instrText xml:space="preserve"> PAGEREF _Toc18461 \h </w:instrText>
          </w:r>
          <w:r>
            <w:rPr>
              <w:rFonts w:hint="eastAsia" w:ascii="仿宋" w:hAnsi="仿宋" w:eastAsia="仿宋" w:cs="仿宋"/>
              <w:b/>
              <w:sz w:val="28"/>
              <w:szCs w:val="28"/>
            </w:rPr>
            <w:fldChar w:fldCharType="separate"/>
          </w:r>
          <w:r>
            <w:rPr>
              <w:rFonts w:hint="eastAsia" w:ascii="仿宋" w:hAnsi="仿宋" w:eastAsia="仿宋" w:cs="仿宋"/>
              <w:b/>
              <w:sz w:val="28"/>
              <w:szCs w:val="28"/>
            </w:rPr>
            <w:t>- 3 -</w:t>
          </w:r>
          <w:r>
            <w:rPr>
              <w:rFonts w:hint="eastAsia" w:ascii="仿宋" w:hAnsi="仿宋" w:eastAsia="仿宋" w:cs="仿宋"/>
              <w:b/>
              <w:sz w:val="28"/>
              <w:szCs w:val="28"/>
            </w:rPr>
            <w:fldChar w:fldCharType="end"/>
          </w:r>
          <w:r>
            <w:rPr>
              <w:rFonts w:hint="eastAsia" w:ascii="仿宋" w:hAnsi="仿宋" w:eastAsia="仿宋" w:cs="仿宋"/>
              <w:b/>
              <w:sz w:val="28"/>
              <w:szCs w:val="28"/>
            </w:rPr>
            <w:fldChar w:fldCharType="end"/>
          </w:r>
        </w:p>
        <w:p w14:paraId="1621B6F3">
          <w:pPr>
            <w:pStyle w:val="19"/>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_Toc12251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lang w:eastAsia="zh-CN"/>
            </w:rPr>
            <w:t>一、</w:t>
          </w:r>
          <w:r>
            <w:rPr>
              <w:rFonts w:hint="eastAsia" w:ascii="仿宋" w:hAnsi="仿宋" w:eastAsia="仿宋" w:cs="仿宋"/>
              <w:sz w:val="28"/>
              <w:szCs w:val="28"/>
              <w:highlight w:val="none"/>
            </w:rPr>
            <w:t>收入支出决算总体情况说明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_Toc12251 \h </w:instrText>
          </w:r>
          <w:r>
            <w:rPr>
              <w:rFonts w:hint="eastAsia" w:ascii="仿宋" w:hAnsi="仿宋" w:eastAsia="仿宋" w:cs="仿宋"/>
              <w:sz w:val="28"/>
              <w:szCs w:val="28"/>
            </w:rPr>
            <w:fldChar w:fldCharType="separate"/>
          </w:r>
          <w:r>
            <w:rPr>
              <w:rFonts w:hint="eastAsia" w:ascii="仿宋" w:hAnsi="仿宋" w:eastAsia="仿宋" w:cs="仿宋"/>
              <w:sz w:val="28"/>
              <w:szCs w:val="28"/>
            </w:rPr>
            <w:t>- 3 -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065A5B58">
          <w:pPr>
            <w:pStyle w:val="19"/>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_Toc23361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lang w:eastAsia="zh-CN"/>
            </w:rPr>
            <w:t>二、</w:t>
          </w:r>
          <w:r>
            <w:rPr>
              <w:rFonts w:hint="eastAsia" w:ascii="仿宋" w:hAnsi="仿宋" w:eastAsia="仿宋" w:cs="仿宋"/>
              <w:sz w:val="28"/>
              <w:szCs w:val="28"/>
              <w:highlight w:val="none"/>
            </w:rPr>
            <w:t>收入决算情况说明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_Toc23361 \h </w:instrText>
          </w:r>
          <w:r>
            <w:rPr>
              <w:rFonts w:hint="eastAsia" w:ascii="仿宋" w:hAnsi="仿宋" w:eastAsia="仿宋" w:cs="仿宋"/>
              <w:sz w:val="28"/>
              <w:szCs w:val="28"/>
            </w:rPr>
            <w:fldChar w:fldCharType="separate"/>
          </w:r>
          <w:r>
            <w:rPr>
              <w:rFonts w:hint="eastAsia" w:ascii="仿宋" w:hAnsi="仿宋" w:eastAsia="仿宋" w:cs="仿宋"/>
              <w:sz w:val="28"/>
              <w:szCs w:val="28"/>
            </w:rPr>
            <w:t>- 3 -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2CAFFF8E">
          <w:pPr>
            <w:pStyle w:val="19"/>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_Toc3748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lang w:eastAsia="zh-CN"/>
            </w:rPr>
            <w:t>三、</w:t>
          </w:r>
          <w:r>
            <w:rPr>
              <w:rFonts w:hint="eastAsia" w:ascii="仿宋" w:hAnsi="仿宋" w:eastAsia="仿宋" w:cs="仿宋"/>
              <w:sz w:val="28"/>
              <w:szCs w:val="28"/>
              <w:highlight w:val="none"/>
            </w:rPr>
            <w:t>支出决算情况说明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_Toc3748 \h </w:instrText>
          </w:r>
          <w:r>
            <w:rPr>
              <w:rFonts w:hint="eastAsia" w:ascii="仿宋" w:hAnsi="仿宋" w:eastAsia="仿宋" w:cs="仿宋"/>
              <w:sz w:val="28"/>
              <w:szCs w:val="28"/>
            </w:rPr>
            <w:fldChar w:fldCharType="separate"/>
          </w:r>
          <w:r>
            <w:rPr>
              <w:rFonts w:hint="eastAsia" w:ascii="仿宋" w:hAnsi="仿宋" w:eastAsia="仿宋" w:cs="仿宋"/>
              <w:sz w:val="28"/>
              <w:szCs w:val="28"/>
            </w:rPr>
            <w:t>- 4 -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719826DA">
          <w:pPr>
            <w:pStyle w:val="19"/>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_Toc13588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rPr>
            <w:t>四、财政拨款收入支出决算总体情况说明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_Toc13588 \h </w:instrText>
          </w:r>
          <w:r>
            <w:rPr>
              <w:rFonts w:hint="eastAsia" w:ascii="仿宋" w:hAnsi="仿宋" w:eastAsia="仿宋" w:cs="仿宋"/>
              <w:sz w:val="28"/>
              <w:szCs w:val="28"/>
            </w:rPr>
            <w:fldChar w:fldCharType="separate"/>
          </w:r>
          <w:r>
            <w:rPr>
              <w:rFonts w:hint="eastAsia" w:ascii="仿宋" w:hAnsi="仿宋" w:eastAsia="仿宋" w:cs="仿宋"/>
              <w:sz w:val="28"/>
              <w:szCs w:val="28"/>
            </w:rPr>
            <w:t>- 5 -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24AE3D2F">
          <w:pPr>
            <w:pStyle w:val="19"/>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_Toc26451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rPr>
            <w:t>五、一般公共预算财政拨款支出决算情况说明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_Toc26451 \h </w:instrText>
          </w:r>
          <w:r>
            <w:rPr>
              <w:rFonts w:hint="eastAsia" w:ascii="仿宋" w:hAnsi="仿宋" w:eastAsia="仿宋" w:cs="仿宋"/>
              <w:sz w:val="28"/>
              <w:szCs w:val="28"/>
            </w:rPr>
            <w:fldChar w:fldCharType="separate"/>
          </w:r>
          <w:r>
            <w:rPr>
              <w:rFonts w:hint="eastAsia" w:ascii="仿宋" w:hAnsi="仿宋" w:eastAsia="仿宋" w:cs="仿宋"/>
              <w:sz w:val="28"/>
              <w:szCs w:val="28"/>
            </w:rPr>
            <w:t>- 6 -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3CD5C9D3">
          <w:pPr>
            <w:pStyle w:val="19"/>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_Toc4676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rPr>
            <w:t>六、一般公共预算财政拨款基本支出决算情况说明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_Toc4676 \h </w:instrText>
          </w:r>
          <w:r>
            <w:rPr>
              <w:rFonts w:hint="eastAsia" w:ascii="仿宋" w:hAnsi="仿宋" w:eastAsia="仿宋" w:cs="仿宋"/>
              <w:sz w:val="28"/>
              <w:szCs w:val="28"/>
            </w:rPr>
            <w:fldChar w:fldCharType="separate"/>
          </w:r>
          <w:r>
            <w:rPr>
              <w:rFonts w:hint="eastAsia" w:ascii="仿宋" w:hAnsi="仿宋" w:eastAsia="仿宋" w:cs="仿宋"/>
              <w:sz w:val="28"/>
              <w:szCs w:val="28"/>
            </w:rPr>
            <w:t>- 9 -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3FDD12F5">
          <w:pPr>
            <w:pStyle w:val="19"/>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_Toc17174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rPr>
            <w:t>七、财政拨款“三公”经费支出决算情况说明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_Toc17174 \h </w:instrText>
          </w:r>
          <w:r>
            <w:rPr>
              <w:rFonts w:hint="eastAsia" w:ascii="仿宋" w:hAnsi="仿宋" w:eastAsia="仿宋" w:cs="仿宋"/>
              <w:sz w:val="28"/>
              <w:szCs w:val="28"/>
            </w:rPr>
            <w:fldChar w:fldCharType="separate"/>
          </w:r>
          <w:r>
            <w:rPr>
              <w:rFonts w:hint="eastAsia" w:ascii="仿宋" w:hAnsi="仿宋" w:eastAsia="仿宋" w:cs="仿宋"/>
              <w:sz w:val="28"/>
              <w:szCs w:val="28"/>
            </w:rPr>
            <w:t>- 10 -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779065A4">
          <w:pPr>
            <w:pStyle w:val="19"/>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_Toc30621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rPr>
            <w:t>八、政府性基金预算支出决算情况说明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_Toc30621 \h </w:instrText>
          </w:r>
          <w:r>
            <w:rPr>
              <w:rFonts w:hint="eastAsia" w:ascii="仿宋" w:hAnsi="仿宋" w:eastAsia="仿宋" w:cs="仿宋"/>
              <w:sz w:val="28"/>
              <w:szCs w:val="28"/>
            </w:rPr>
            <w:fldChar w:fldCharType="separate"/>
          </w:r>
          <w:r>
            <w:rPr>
              <w:rFonts w:hint="eastAsia" w:ascii="仿宋" w:hAnsi="仿宋" w:eastAsia="仿宋" w:cs="仿宋"/>
              <w:sz w:val="28"/>
              <w:szCs w:val="28"/>
            </w:rPr>
            <w:t>- 12 -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3CA3A7F1">
          <w:pPr>
            <w:pStyle w:val="19"/>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_Toc12609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lang w:eastAsia="zh-CN"/>
            </w:rPr>
            <w:t>九、</w:t>
          </w:r>
          <w:r>
            <w:rPr>
              <w:rFonts w:hint="eastAsia" w:ascii="仿宋" w:hAnsi="仿宋" w:eastAsia="仿宋" w:cs="仿宋"/>
              <w:sz w:val="28"/>
              <w:szCs w:val="28"/>
              <w:highlight w:val="none"/>
            </w:rPr>
            <w:t>国有资本经营预算支出决算情况说明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_Toc12609 \h </w:instrText>
          </w:r>
          <w:r>
            <w:rPr>
              <w:rFonts w:hint="eastAsia" w:ascii="仿宋" w:hAnsi="仿宋" w:eastAsia="仿宋" w:cs="仿宋"/>
              <w:sz w:val="28"/>
              <w:szCs w:val="28"/>
            </w:rPr>
            <w:fldChar w:fldCharType="separate"/>
          </w:r>
          <w:r>
            <w:rPr>
              <w:rFonts w:hint="eastAsia" w:ascii="仿宋" w:hAnsi="仿宋" w:eastAsia="仿宋" w:cs="仿宋"/>
              <w:sz w:val="28"/>
              <w:szCs w:val="28"/>
            </w:rPr>
            <w:t>- 12 -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62FD2C85">
          <w:pPr>
            <w:pStyle w:val="19"/>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_Toc14878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lang w:eastAsia="zh-CN"/>
            </w:rPr>
            <w:t>十、</w:t>
          </w:r>
          <w:r>
            <w:rPr>
              <w:rFonts w:hint="eastAsia" w:ascii="仿宋" w:hAnsi="仿宋" w:eastAsia="仿宋" w:cs="仿宋"/>
              <w:sz w:val="28"/>
              <w:szCs w:val="28"/>
              <w:highlight w:val="none"/>
            </w:rPr>
            <w:t>其他重要事项的情况说明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_Toc14878 \h </w:instrText>
          </w:r>
          <w:r>
            <w:rPr>
              <w:rFonts w:hint="eastAsia" w:ascii="仿宋" w:hAnsi="仿宋" w:eastAsia="仿宋" w:cs="仿宋"/>
              <w:sz w:val="28"/>
              <w:szCs w:val="28"/>
            </w:rPr>
            <w:fldChar w:fldCharType="separate"/>
          </w:r>
          <w:r>
            <w:rPr>
              <w:rFonts w:hint="eastAsia" w:ascii="仿宋" w:hAnsi="仿宋" w:eastAsia="仿宋" w:cs="仿宋"/>
              <w:sz w:val="28"/>
              <w:szCs w:val="28"/>
            </w:rPr>
            <w:t>- 12 -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1368EE0A">
          <w:pPr>
            <w:pStyle w:val="18"/>
            <w:tabs>
              <w:tab w:val="right" w:leader="dot" w:pos="8306"/>
            </w:tabs>
            <w:rPr>
              <w:rFonts w:hint="eastAsia" w:ascii="仿宋" w:hAnsi="仿宋" w:eastAsia="仿宋" w:cs="仿宋"/>
              <w:b/>
              <w:sz w:val="28"/>
              <w:szCs w:val="28"/>
            </w:rPr>
          </w:pPr>
          <w:r>
            <w:rPr>
              <w:rFonts w:hint="eastAsia" w:ascii="仿宋" w:hAnsi="仿宋" w:eastAsia="仿宋" w:cs="仿宋"/>
              <w:b/>
              <w:sz w:val="28"/>
              <w:szCs w:val="28"/>
            </w:rPr>
            <w:fldChar w:fldCharType="begin"/>
          </w:r>
          <w:r>
            <w:rPr>
              <w:rFonts w:hint="eastAsia" w:ascii="仿宋" w:hAnsi="仿宋" w:eastAsia="仿宋" w:cs="仿宋"/>
              <w:b/>
              <w:sz w:val="28"/>
              <w:szCs w:val="28"/>
            </w:rPr>
            <w:instrText xml:space="preserve"> HYPERLINK \l _Toc3040 </w:instrText>
          </w:r>
          <w:r>
            <w:rPr>
              <w:rFonts w:hint="eastAsia" w:ascii="仿宋" w:hAnsi="仿宋" w:eastAsia="仿宋" w:cs="仿宋"/>
              <w:b/>
              <w:sz w:val="28"/>
              <w:szCs w:val="28"/>
            </w:rPr>
            <w:fldChar w:fldCharType="separate"/>
          </w:r>
          <w:r>
            <w:rPr>
              <w:rFonts w:hint="eastAsia" w:ascii="仿宋" w:hAnsi="仿宋" w:eastAsia="仿宋" w:cs="仿宋"/>
              <w:b/>
              <w:sz w:val="28"/>
              <w:szCs w:val="28"/>
              <w:highlight w:val="none"/>
              <w:lang w:eastAsia="zh-CN"/>
            </w:rPr>
            <w:t>第三部分</w:t>
          </w:r>
          <w:r>
            <w:rPr>
              <w:rFonts w:hint="eastAsia" w:ascii="仿宋" w:hAnsi="仿宋" w:eastAsia="仿宋" w:cs="仿宋"/>
              <w:b/>
              <w:sz w:val="28"/>
              <w:szCs w:val="28"/>
              <w:highlight w:val="none"/>
              <w:lang w:val="en-US" w:eastAsia="zh-CN"/>
            </w:rPr>
            <w:t xml:space="preserve"> </w:t>
          </w:r>
          <w:r>
            <w:rPr>
              <w:rFonts w:hint="eastAsia" w:ascii="仿宋" w:hAnsi="仿宋" w:eastAsia="仿宋" w:cs="仿宋"/>
              <w:b/>
              <w:sz w:val="28"/>
              <w:szCs w:val="28"/>
              <w:highlight w:val="none"/>
            </w:rPr>
            <w:t>名词解释</w:t>
          </w:r>
          <w:r>
            <w:rPr>
              <w:rFonts w:hint="eastAsia" w:ascii="仿宋" w:hAnsi="仿宋" w:eastAsia="仿宋" w:cs="仿宋"/>
              <w:b/>
              <w:sz w:val="28"/>
              <w:szCs w:val="28"/>
            </w:rPr>
            <w:tab/>
          </w:r>
          <w:r>
            <w:rPr>
              <w:rFonts w:hint="eastAsia" w:ascii="仿宋" w:hAnsi="仿宋" w:eastAsia="仿宋" w:cs="仿宋"/>
              <w:b/>
              <w:sz w:val="28"/>
              <w:szCs w:val="28"/>
            </w:rPr>
            <w:fldChar w:fldCharType="begin"/>
          </w:r>
          <w:r>
            <w:rPr>
              <w:rFonts w:hint="eastAsia" w:ascii="仿宋" w:hAnsi="仿宋" w:eastAsia="仿宋" w:cs="仿宋"/>
              <w:b/>
              <w:sz w:val="28"/>
              <w:szCs w:val="28"/>
            </w:rPr>
            <w:instrText xml:space="preserve"> PAGEREF _Toc3040 \h </w:instrText>
          </w:r>
          <w:r>
            <w:rPr>
              <w:rFonts w:hint="eastAsia" w:ascii="仿宋" w:hAnsi="仿宋" w:eastAsia="仿宋" w:cs="仿宋"/>
              <w:b/>
              <w:sz w:val="28"/>
              <w:szCs w:val="28"/>
            </w:rPr>
            <w:fldChar w:fldCharType="separate"/>
          </w:r>
          <w:r>
            <w:rPr>
              <w:rFonts w:hint="eastAsia" w:ascii="仿宋" w:hAnsi="仿宋" w:eastAsia="仿宋" w:cs="仿宋"/>
              <w:b/>
              <w:sz w:val="28"/>
              <w:szCs w:val="28"/>
            </w:rPr>
            <w:t>- 14 -</w:t>
          </w:r>
          <w:r>
            <w:rPr>
              <w:rFonts w:hint="eastAsia" w:ascii="仿宋" w:hAnsi="仿宋" w:eastAsia="仿宋" w:cs="仿宋"/>
              <w:b/>
              <w:sz w:val="28"/>
              <w:szCs w:val="28"/>
            </w:rPr>
            <w:fldChar w:fldCharType="end"/>
          </w:r>
          <w:r>
            <w:rPr>
              <w:rFonts w:hint="eastAsia" w:ascii="仿宋" w:hAnsi="仿宋" w:eastAsia="仿宋" w:cs="仿宋"/>
              <w:b/>
              <w:sz w:val="28"/>
              <w:szCs w:val="28"/>
            </w:rPr>
            <w:fldChar w:fldCharType="end"/>
          </w:r>
        </w:p>
        <w:p w14:paraId="6562EE9F">
          <w:pPr>
            <w:pStyle w:val="18"/>
            <w:tabs>
              <w:tab w:val="right" w:leader="dot" w:pos="8306"/>
            </w:tabs>
            <w:rPr>
              <w:rFonts w:hint="eastAsia" w:ascii="仿宋" w:hAnsi="仿宋" w:eastAsia="仿宋" w:cs="仿宋"/>
              <w:sz w:val="28"/>
              <w:szCs w:val="28"/>
            </w:rPr>
          </w:pPr>
          <w:r>
            <w:rPr>
              <w:rFonts w:hint="eastAsia" w:ascii="仿宋" w:hAnsi="仿宋" w:eastAsia="仿宋" w:cs="仿宋"/>
              <w:b/>
              <w:sz w:val="28"/>
              <w:szCs w:val="28"/>
            </w:rPr>
            <w:fldChar w:fldCharType="begin"/>
          </w:r>
          <w:r>
            <w:rPr>
              <w:rFonts w:hint="eastAsia" w:ascii="仿宋" w:hAnsi="仿宋" w:eastAsia="仿宋" w:cs="仿宋"/>
              <w:b/>
              <w:sz w:val="28"/>
              <w:szCs w:val="28"/>
            </w:rPr>
            <w:instrText xml:space="preserve"> HYPERLINK \l _Toc18208 </w:instrText>
          </w:r>
          <w:r>
            <w:rPr>
              <w:rFonts w:hint="eastAsia" w:ascii="仿宋" w:hAnsi="仿宋" w:eastAsia="仿宋" w:cs="仿宋"/>
              <w:b/>
              <w:sz w:val="28"/>
              <w:szCs w:val="28"/>
            </w:rPr>
            <w:fldChar w:fldCharType="separate"/>
          </w:r>
          <w:r>
            <w:rPr>
              <w:rFonts w:hint="eastAsia" w:ascii="仿宋" w:hAnsi="仿宋" w:eastAsia="仿宋" w:cs="仿宋"/>
              <w:b/>
              <w:sz w:val="28"/>
              <w:szCs w:val="28"/>
              <w:highlight w:val="none"/>
            </w:rPr>
            <w:t>第四部分 附件</w:t>
          </w:r>
          <w:r>
            <w:rPr>
              <w:rFonts w:hint="eastAsia" w:ascii="仿宋" w:hAnsi="仿宋" w:eastAsia="仿宋" w:cs="仿宋"/>
              <w:b/>
              <w:sz w:val="28"/>
              <w:szCs w:val="28"/>
            </w:rPr>
            <w:tab/>
          </w:r>
          <w:r>
            <w:rPr>
              <w:rFonts w:hint="eastAsia" w:ascii="仿宋" w:hAnsi="仿宋" w:eastAsia="仿宋" w:cs="仿宋"/>
              <w:b/>
              <w:sz w:val="28"/>
              <w:szCs w:val="28"/>
            </w:rPr>
            <w:fldChar w:fldCharType="begin"/>
          </w:r>
          <w:r>
            <w:rPr>
              <w:rFonts w:hint="eastAsia" w:ascii="仿宋" w:hAnsi="仿宋" w:eastAsia="仿宋" w:cs="仿宋"/>
              <w:b/>
              <w:sz w:val="28"/>
              <w:szCs w:val="28"/>
            </w:rPr>
            <w:instrText xml:space="preserve"> PAGEREF _Toc18208 \h </w:instrText>
          </w:r>
          <w:r>
            <w:rPr>
              <w:rFonts w:hint="eastAsia" w:ascii="仿宋" w:hAnsi="仿宋" w:eastAsia="仿宋" w:cs="仿宋"/>
              <w:b/>
              <w:sz w:val="28"/>
              <w:szCs w:val="28"/>
            </w:rPr>
            <w:fldChar w:fldCharType="separate"/>
          </w:r>
          <w:r>
            <w:rPr>
              <w:rFonts w:hint="eastAsia" w:ascii="仿宋" w:hAnsi="仿宋" w:eastAsia="仿宋" w:cs="仿宋"/>
              <w:b/>
              <w:sz w:val="28"/>
              <w:szCs w:val="28"/>
            </w:rPr>
            <w:t>- 18 -</w:t>
          </w:r>
          <w:r>
            <w:rPr>
              <w:rFonts w:hint="eastAsia" w:ascii="仿宋" w:hAnsi="仿宋" w:eastAsia="仿宋" w:cs="仿宋"/>
              <w:b/>
              <w:sz w:val="28"/>
              <w:szCs w:val="28"/>
            </w:rPr>
            <w:fldChar w:fldCharType="end"/>
          </w:r>
          <w:r>
            <w:rPr>
              <w:rFonts w:hint="eastAsia" w:ascii="仿宋" w:hAnsi="仿宋" w:eastAsia="仿宋" w:cs="仿宋"/>
              <w:b/>
              <w:sz w:val="28"/>
              <w:szCs w:val="28"/>
            </w:rPr>
            <w:fldChar w:fldCharType="end"/>
          </w:r>
        </w:p>
        <w:p w14:paraId="0AD1EFBF">
          <w:pPr>
            <w:pStyle w:val="18"/>
            <w:tabs>
              <w:tab w:val="right" w:leader="dot" w:pos="8306"/>
            </w:tabs>
            <w:rPr>
              <w:rFonts w:hint="eastAsia" w:ascii="仿宋" w:hAnsi="仿宋" w:eastAsia="仿宋" w:cs="仿宋"/>
              <w:b/>
              <w:sz w:val="28"/>
              <w:szCs w:val="28"/>
            </w:rPr>
          </w:pPr>
          <w:r>
            <w:rPr>
              <w:rFonts w:hint="eastAsia" w:ascii="仿宋" w:hAnsi="仿宋" w:eastAsia="仿宋" w:cs="仿宋"/>
              <w:b/>
              <w:sz w:val="28"/>
              <w:szCs w:val="28"/>
            </w:rPr>
            <w:fldChar w:fldCharType="begin"/>
          </w:r>
          <w:r>
            <w:rPr>
              <w:rFonts w:hint="eastAsia" w:ascii="仿宋" w:hAnsi="仿宋" w:eastAsia="仿宋" w:cs="仿宋"/>
              <w:b/>
              <w:sz w:val="28"/>
              <w:szCs w:val="28"/>
            </w:rPr>
            <w:instrText xml:space="preserve"> HYPERLINK \l _Toc7280 </w:instrText>
          </w:r>
          <w:r>
            <w:rPr>
              <w:rFonts w:hint="eastAsia" w:ascii="仿宋" w:hAnsi="仿宋" w:eastAsia="仿宋" w:cs="仿宋"/>
              <w:b/>
              <w:sz w:val="28"/>
              <w:szCs w:val="28"/>
            </w:rPr>
            <w:fldChar w:fldCharType="separate"/>
          </w:r>
          <w:r>
            <w:rPr>
              <w:rFonts w:hint="eastAsia" w:ascii="仿宋" w:hAnsi="仿宋" w:eastAsia="仿宋" w:cs="仿宋"/>
              <w:b/>
              <w:sz w:val="28"/>
              <w:szCs w:val="28"/>
              <w:highlight w:val="none"/>
            </w:rPr>
            <w:t>第五部分 附表</w:t>
          </w:r>
          <w:r>
            <w:rPr>
              <w:rFonts w:hint="eastAsia" w:ascii="仿宋" w:hAnsi="仿宋" w:eastAsia="仿宋" w:cs="仿宋"/>
              <w:b/>
              <w:sz w:val="28"/>
              <w:szCs w:val="28"/>
            </w:rPr>
            <w:tab/>
          </w:r>
          <w:r>
            <w:rPr>
              <w:rFonts w:hint="eastAsia" w:ascii="仿宋" w:hAnsi="仿宋" w:eastAsia="仿宋" w:cs="仿宋"/>
              <w:b/>
              <w:sz w:val="28"/>
              <w:szCs w:val="28"/>
            </w:rPr>
            <w:fldChar w:fldCharType="begin"/>
          </w:r>
          <w:r>
            <w:rPr>
              <w:rFonts w:hint="eastAsia" w:ascii="仿宋" w:hAnsi="仿宋" w:eastAsia="仿宋" w:cs="仿宋"/>
              <w:b/>
              <w:sz w:val="28"/>
              <w:szCs w:val="28"/>
            </w:rPr>
            <w:instrText xml:space="preserve"> PAGEREF _Toc7280 \h </w:instrText>
          </w:r>
          <w:r>
            <w:rPr>
              <w:rFonts w:hint="eastAsia" w:ascii="仿宋" w:hAnsi="仿宋" w:eastAsia="仿宋" w:cs="仿宋"/>
              <w:b/>
              <w:sz w:val="28"/>
              <w:szCs w:val="28"/>
            </w:rPr>
            <w:fldChar w:fldCharType="separate"/>
          </w:r>
          <w:r>
            <w:rPr>
              <w:rFonts w:hint="eastAsia" w:ascii="仿宋" w:hAnsi="仿宋" w:eastAsia="仿宋" w:cs="仿宋"/>
              <w:b/>
              <w:sz w:val="28"/>
              <w:szCs w:val="28"/>
            </w:rPr>
            <w:t>- 19 -</w:t>
          </w:r>
          <w:r>
            <w:rPr>
              <w:rFonts w:hint="eastAsia" w:ascii="仿宋" w:hAnsi="仿宋" w:eastAsia="仿宋" w:cs="仿宋"/>
              <w:b/>
              <w:sz w:val="28"/>
              <w:szCs w:val="28"/>
            </w:rPr>
            <w:fldChar w:fldCharType="end"/>
          </w:r>
          <w:r>
            <w:rPr>
              <w:rFonts w:hint="eastAsia" w:ascii="仿宋" w:hAnsi="仿宋" w:eastAsia="仿宋" w:cs="仿宋"/>
              <w:b/>
              <w:sz w:val="28"/>
              <w:szCs w:val="28"/>
            </w:rPr>
            <w:fldChar w:fldCharType="end"/>
          </w:r>
        </w:p>
        <w:p w14:paraId="03591872">
          <w:pPr>
            <w:pStyle w:val="19"/>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_Toc11491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rPr>
            <w:t>一、收</w:t>
          </w:r>
          <w:r>
            <w:rPr>
              <w:rFonts w:hint="eastAsia" w:ascii="仿宋" w:hAnsi="仿宋" w:eastAsia="仿宋" w:cs="仿宋"/>
              <w:bCs w:val="0"/>
              <w:sz w:val="28"/>
              <w:szCs w:val="28"/>
              <w:highlight w:val="none"/>
            </w:rPr>
            <w:t>入支出决算总表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_Toc11491 \h </w:instrText>
          </w:r>
          <w:r>
            <w:rPr>
              <w:rFonts w:hint="eastAsia" w:ascii="仿宋" w:hAnsi="仿宋" w:eastAsia="仿宋" w:cs="仿宋"/>
              <w:sz w:val="28"/>
              <w:szCs w:val="28"/>
            </w:rPr>
            <w:fldChar w:fldCharType="separate"/>
          </w:r>
          <w:r>
            <w:rPr>
              <w:rFonts w:hint="eastAsia" w:ascii="仿宋" w:hAnsi="仿宋" w:eastAsia="仿宋" w:cs="仿宋"/>
              <w:sz w:val="28"/>
              <w:szCs w:val="28"/>
            </w:rPr>
            <w:t>- 19 -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1DC614B9">
          <w:pPr>
            <w:pStyle w:val="19"/>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_Toc22887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rPr>
            <w:t>二、收</w:t>
          </w:r>
          <w:r>
            <w:rPr>
              <w:rFonts w:hint="eastAsia" w:ascii="仿宋" w:hAnsi="仿宋" w:eastAsia="仿宋" w:cs="仿宋"/>
              <w:bCs w:val="0"/>
              <w:sz w:val="28"/>
              <w:szCs w:val="28"/>
              <w:highlight w:val="none"/>
            </w:rPr>
            <w:t>入决算表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_Toc22887 \h </w:instrText>
          </w:r>
          <w:r>
            <w:rPr>
              <w:rFonts w:hint="eastAsia" w:ascii="仿宋" w:hAnsi="仿宋" w:eastAsia="仿宋" w:cs="仿宋"/>
              <w:sz w:val="28"/>
              <w:szCs w:val="28"/>
            </w:rPr>
            <w:fldChar w:fldCharType="separate"/>
          </w:r>
          <w:r>
            <w:rPr>
              <w:rFonts w:hint="eastAsia" w:ascii="仿宋" w:hAnsi="仿宋" w:eastAsia="仿宋" w:cs="仿宋"/>
              <w:sz w:val="28"/>
              <w:szCs w:val="28"/>
            </w:rPr>
            <w:t>- 19 -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56E0F23D">
          <w:pPr>
            <w:pStyle w:val="19"/>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_Toc1518 </w:instrText>
          </w:r>
          <w:r>
            <w:rPr>
              <w:rFonts w:hint="eastAsia" w:ascii="仿宋" w:hAnsi="仿宋" w:eastAsia="仿宋" w:cs="仿宋"/>
              <w:sz w:val="28"/>
              <w:szCs w:val="28"/>
            </w:rPr>
            <w:fldChar w:fldCharType="separate"/>
          </w:r>
          <w:r>
            <w:rPr>
              <w:rFonts w:hint="eastAsia" w:ascii="仿宋" w:hAnsi="仿宋" w:eastAsia="仿宋" w:cs="仿宋"/>
              <w:bCs w:val="0"/>
              <w:sz w:val="28"/>
              <w:szCs w:val="28"/>
              <w:highlight w:val="none"/>
            </w:rPr>
            <w:t>三、</w:t>
          </w:r>
          <w:r>
            <w:rPr>
              <w:rFonts w:hint="eastAsia" w:ascii="仿宋" w:hAnsi="仿宋" w:eastAsia="仿宋" w:cs="仿宋"/>
              <w:sz w:val="28"/>
              <w:szCs w:val="28"/>
              <w:highlight w:val="none"/>
            </w:rPr>
            <w:t>支</w:t>
          </w:r>
          <w:r>
            <w:rPr>
              <w:rFonts w:hint="eastAsia" w:ascii="仿宋" w:hAnsi="仿宋" w:eastAsia="仿宋" w:cs="仿宋"/>
              <w:bCs w:val="0"/>
              <w:sz w:val="28"/>
              <w:szCs w:val="28"/>
              <w:highlight w:val="none"/>
            </w:rPr>
            <w:t>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_Toc1518 \h </w:instrText>
          </w:r>
          <w:r>
            <w:rPr>
              <w:rFonts w:hint="eastAsia" w:ascii="仿宋" w:hAnsi="仿宋" w:eastAsia="仿宋" w:cs="仿宋"/>
              <w:sz w:val="28"/>
              <w:szCs w:val="28"/>
            </w:rPr>
            <w:fldChar w:fldCharType="separate"/>
          </w:r>
          <w:r>
            <w:rPr>
              <w:rFonts w:hint="eastAsia" w:ascii="仿宋" w:hAnsi="仿宋" w:eastAsia="仿宋" w:cs="仿宋"/>
              <w:sz w:val="28"/>
              <w:szCs w:val="28"/>
            </w:rPr>
            <w:t>- 19 -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4A5B5AEB">
          <w:pPr>
            <w:pStyle w:val="19"/>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_Toc18195 </w:instrText>
          </w:r>
          <w:r>
            <w:rPr>
              <w:rFonts w:hint="eastAsia" w:ascii="仿宋" w:hAnsi="仿宋" w:eastAsia="仿宋" w:cs="仿宋"/>
              <w:sz w:val="28"/>
              <w:szCs w:val="28"/>
            </w:rPr>
            <w:fldChar w:fldCharType="separate"/>
          </w:r>
          <w:r>
            <w:rPr>
              <w:rFonts w:hint="eastAsia" w:ascii="仿宋" w:hAnsi="仿宋" w:eastAsia="仿宋" w:cs="仿宋"/>
              <w:bCs w:val="0"/>
              <w:sz w:val="28"/>
              <w:szCs w:val="28"/>
              <w:highlight w:val="none"/>
            </w:rPr>
            <w:t>四、</w:t>
          </w:r>
          <w:r>
            <w:rPr>
              <w:rFonts w:hint="eastAsia" w:ascii="仿宋" w:hAnsi="仿宋" w:eastAsia="仿宋" w:cs="仿宋"/>
              <w:sz w:val="28"/>
              <w:szCs w:val="28"/>
              <w:highlight w:val="none"/>
            </w:rPr>
            <w:t>财</w:t>
          </w:r>
          <w:r>
            <w:rPr>
              <w:rFonts w:hint="eastAsia" w:ascii="仿宋" w:hAnsi="仿宋" w:eastAsia="仿宋" w:cs="仿宋"/>
              <w:bCs w:val="0"/>
              <w:sz w:val="28"/>
              <w:szCs w:val="28"/>
              <w:highlight w:val="none"/>
            </w:rPr>
            <w:t>政拨款收入支出决算总表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_Toc18195 \h </w:instrText>
          </w:r>
          <w:r>
            <w:rPr>
              <w:rFonts w:hint="eastAsia" w:ascii="仿宋" w:hAnsi="仿宋" w:eastAsia="仿宋" w:cs="仿宋"/>
              <w:sz w:val="28"/>
              <w:szCs w:val="28"/>
            </w:rPr>
            <w:fldChar w:fldCharType="separate"/>
          </w:r>
          <w:r>
            <w:rPr>
              <w:rFonts w:hint="eastAsia" w:ascii="仿宋" w:hAnsi="仿宋" w:eastAsia="仿宋" w:cs="仿宋"/>
              <w:sz w:val="28"/>
              <w:szCs w:val="28"/>
            </w:rPr>
            <w:t>- 19 -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1DCAB77C">
          <w:pPr>
            <w:pStyle w:val="19"/>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_Toc22697 </w:instrText>
          </w:r>
          <w:r>
            <w:rPr>
              <w:rFonts w:hint="eastAsia" w:ascii="仿宋" w:hAnsi="仿宋" w:eastAsia="仿宋" w:cs="仿宋"/>
              <w:sz w:val="28"/>
              <w:szCs w:val="28"/>
            </w:rPr>
            <w:fldChar w:fldCharType="separate"/>
          </w:r>
          <w:r>
            <w:rPr>
              <w:rFonts w:hint="eastAsia" w:ascii="仿宋" w:hAnsi="仿宋" w:eastAsia="仿宋" w:cs="仿宋"/>
              <w:bCs w:val="0"/>
              <w:sz w:val="28"/>
              <w:szCs w:val="28"/>
              <w:highlight w:val="none"/>
            </w:rPr>
            <w:t>五、</w:t>
          </w:r>
          <w:r>
            <w:rPr>
              <w:rFonts w:hint="eastAsia" w:ascii="仿宋" w:hAnsi="仿宋" w:eastAsia="仿宋" w:cs="仿宋"/>
              <w:sz w:val="28"/>
              <w:szCs w:val="28"/>
              <w:highlight w:val="none"/>
            </w:rPr>
            <w:t>财</w:t>
          </w:r>
          <w:r>
            <w:rPr>
              <w:rFonts w:hint="eastAsia" w:ascii="仿宋" w:hAnsi="仿宋" w:eastAsia="仿宋" w:cs="仿宋"/>
              <w:bCs w:val="0"/>
              <w:sz w:val="28"/>
              <w:szCs w:val="28"/>
              <w:highlight w:val="none"/>
            </w:rPr>
            <w:t>政拨款支出决算明细表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_Toc22697 \h </w:instrText>
          </w:r>
          <w:r>
            <w:rPr>
              <w:rFonts w:hint="eastAsia" w:ascii="仿宋" w:hAnsi="仿宋" w:eastAsia="仿宋" w:cs="仿宋"/>
              <w:sz w:val="28"/>
              <w:szCs w:val="28"/>
            </w:rPr>
            <w:fldChar w:fldCharType="separate"/>
          </w:r>
          <w:r>
            <w:rPr>
              <w:rFonts w:hint="eastAsia" w:ascii="仿宋" w:hAnsi="仿宋" w:eastAsia="仿宋" w:cs="仿宋"/>
              <w:sz w:val="28"/>
              <w:szCs w:val="28"/>
            </w:rPr>
            <w:t>- 19 -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0751A42F">
          <w:pPr>
            <w:pStyle w:val="19"/>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_Toc26948 </w:instrText>
          </w:r>
          <w:r>
            <w:rPr>
              <w:rFonts w:hint="eastAsia" w:ascii="仿宋" w:hAnsi="仿宋" w:eastAsia="仿宋" w:cs="仿宋"/>
              <w:sz w:val="28"/>
              <w:szCs w:val="28"/>
            </w:rPr>
            <w:fldChar w:fldCharType="separate"/>
          </w:r>
          <w:r>
            <w:rPr>
              <w:rFonts w:hint="eastAsia" w:ascii="仿宋" w:hAnsi="仿宋" w:eastAsia="仿宋" w:cs="仿宋"/>
              <w:bCs w:val="0"/>
              <w:sz w:val="28"/>
              <w:szCs w:val="28"/>
              <w:highlight w:val="none"/>
            </w:rPr>
            <w:t>六、</w:t>
          </w:r>
          <w:r>
            <w:rPr>
              <w:rFonts w:hint="eastAsia" w:ascii="仿宋" w:hAnsi="仿宋" w:eastAsia="仿宋" w:cs="仿宋"/>
              <w:sz w:val="28"/>
              <w:szCs w:val="28"/>
              <w:highlight w:val="none"/>
            </w:rPr>
            <w:t>一</w:t>
          </w:r>
          <w:r>
            <w:rPr>
              <w:rFonts w:hint="eastAsia" w:ascii="仿宋" w:hAnsi="仿宋" w:eastAsia="仿宋" w:cs="仿宋"/>
              <w:bCs w:val="0"/>
              <w:sz w:val="28"/>
              <w:szCs w:val="28"/>
              <w:highlight w:val="none"/>
            </w:rPr>
            <w:t>般公共预算财政拨款支出决算表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_Toc26948 \h </w:instrText>
          </w:r>
          <w:r>
            <w:rPr>
              <w:rFonts w:hint="eastAsia" w:ascii="仿宋" w:hAnsi="仿宋" w:eastAsia="仿宋" w:cs="仿宋"/>
              <w:sz w:val="28"/>
              <w:szCs w:val="28"/>
            </w:rPr>
            <w:fldChar w:fldCharType="separate"/>
          </w:r>
          <w:r>
            <w:rPr>
              <w:rFonts w:hint="eastAsia" w:ascii="仿宋" w:hAnsi="仿宋" w:eastAsia="仿宋" w:cs="仿宋"/>
              <w:sz w:val="28"/>
              <w:szCs w:val="28"/>
            </w:rPr>
            <w:t>- 19 -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6384ED95">
          <w:pPr>
            <w:pStyle w:val="19"/>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_Toc23052 </w:instrText>
          </w:r>
          <w:r>
            <w:rPr>
              <w:rFonts w:hint="eastAsia" w:ascii="仿宋" w:hAnsi="仿宋" w:eastAsia="仿宋" w:cs="仿宋"/>
              <w:sz w:val="28"/>
              <w:szCs w:val="28"/>
            </w:rPr>
            <w:fldChar w:fldCharType="separate"/>
          </w:r>
          <w:r>
            <w:rPr>
              <w:rFonts w:hint="eastAsia" w:ascii="仿宋" w:hAnsi="仿宋" w:eastAsia="仿宋" w:cs="仿宋"/>
              <w:bCs w:val="0"/>
              <w:sz w:val="28"/>
              <w:szCs w:val="28"/>
              <w:highlight w:val="none"/>
            </w:rPr>
            <w:t>七、</w:t>
          </w:r>
          <w:r>
            <w:rPr>
              <w:rFonts w:hint="eastAsia" w:ascii="仿宋" w:hAnsi="仿宋" w:eastAsia="仿宋" w:cs="仿宋"/>
              <w:sz w:val="28"/>
              <w:szCs w:val="28"/>
              <w:highlight w:val="none"/>
            </w:rPr>
            <w:t>一</w:t>
          </w:r>
          <w:r>
            <w:rPr>
              <w:rFonts w:hint="eastAsia" w:ascii="仿宋" w:hAnsi="仿宋" w:eastAsia="仿宋" w:cs="仿宋"/>
              <w:bCs w:val="0"/>
              <w:sz w:val="28"/>
              <w:szCs w:val="28"/>
              <w:highlight w:val="none"/>
            </w:rPr>
            <w:t>般公共预算财政拨款支出决算明细表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_Toc23052 \h </w:instrText>
          </w:r>
          <w:r>
            <w:rPr>
              <w:rFonts w:hint="eastAsia" w:ascii="仿宋" w:hAnsi="仿宋" w:eastAsia="仿宋" w:cs="仿宋"/>
              <w:sz w:val="28"/>
              <w:szCs w:val="28"/>
            </w:rPr>
            <w:fldChar w:fldCharType="separate"/>
          </w:r>
          <w:r>
            <w:rPr>
              <w:rFonts w:hint="eastAsia" w:ascii="仿宋" w:hAnsi="仿宋" w:eastAsia="仿宋" w:cs="仿宋"/>
              <w:sz w:val="28"/>
              <w:szCs w:val="28"/>
            </w:rPr>
            <w:t>- 19 -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76671013">
          <w:pPr>
            <w:pStyle w:val="19"/>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_Toc2008 </w:instrText>
          </w:r>
          <w:r>
            <w:rPr>
              <w:rFonts w:hint="eastAsia" w:ascii="仿宋" w:hAnsi="仿宋" w:eastAsia="仿宋" w:cs="仿宋"/>
              <w:sz w:val="28"/>
              <w:szCs w:val="28"/>
            </w:rPr>
            <w:fldChar w:fldCharType="separate"/>
          </w:r>
          <w:r>
            <w:rPr>
              <w:rFonts w:hint="eastAsia" w:ascii="仿宋" w:hAnsi="仿宋" w:eastAsia="仿宋" w:cs="仿宋"/>
              <w:bCs w:val="0"/>
              <w:sz w:val="28"/>
              <w:szCs w:val="28"/>
              <w:highlight w:val="none"/>
            </w:rPr>
            <w:t>八、</w:t>
          </w:r>
          <w:r>
            <w:rPr>
              <w:rFonts w:hint="eastAsia" w:ascii="仿宋" w:hAnsi="仿宋" w:eastAsia="仿宋" w:cs="仿宋"/>
              <w:sz w:val="28"/>
              <w:szCs w:val="28"/>
              <w:highlight w:val="none"/>
            </w:rPr>
            <w:t>一</w:t>
          </w:r>
          <w:r>
            <w:rPr>
              <w:rFonts w:hint="eastAsia" w:ascii="仿宋" w:hAnsi="仿宋" w:eastAsia="仿宋" w:cs="仿宋"/>
              <w:bCs w:val="0"/>
              <w:sz w:val="28"/>
              <w:szCs w:val="28"/>
              <w:highlight w:val="none"/>
            </w:rPr>
            <w:t>般公共预算财政拨款基本支出决算表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_Toc2008 \h </w:instrText>
          </w:r>
          <w:r>
            <w:rPr>
              <w:rFonts w:hint="eastAsia" w:ascii="仿宋" w:hAnsi="仿宋" w:eastAsia="仿宋" w:cs="仿宋"/>
              <w:sz w:val="28"/>
              <w:szCs w:val="28"/>
            </w:rPr>
            <w:fldChar w:fldCharType="separate"/>
          </w:r>
          <w:r>
            <w:rPr>
              <w:rFonts w:hint="eastAsia" w:ascii="仿宋" w:hAnsi="仿宋" w:eastAsia="仿宋" w:cs="仿宋"/>
              <w:sz w:val="28"/>
              <w:szCs w:val="28"/>
            </w:rPr>
            <w:t>- 19 -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630B1071">
          <w:pPr>
            <w:pStyle w:val="19"/>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_Toc1593 </w:instrText>
          </w:r>
          <w:r>
            <w:rPr>
              <w:rFonts w:hint="eastAsia" w:ascii="仿宋" w:hAnsi="仿宋" w:eastAsia="仿宋" w:cs="仿宋"/>
              <w:sz w:val="28"/>
              <w:szCs w:val="28"/>
            </w:rPr>
            <w:fldChar w:fldCharType="separate"/>
          </w:r>
          <w:r>
            <w:rPr>
              <w:rFonts w:hint="eastAsia" w:ascii="仿宋" w:hAnsi="仿宋" w:eastAsia="仿宋" w:cs="仿宋"/>
              <w:bCs w:val="0"/>
              <w:sz w:val="28"/>
              <w:szCs w:val="28"/>
              <w:highlight w:val="none"/>
            </w:rPr>
            <w:t>九、</w:t>
          </w:r>
          <w:r>
            <w:rPr>
              <w:rFonts w:hint="eastAsia" w:ascii="仿宋" w:hAnsi="仿宋" w:eastAsia="仿宋" w:cs="仿宋"/>
              <w:sz w:val="28"/>
              <w:szCs w:val="28"/>
              <w:highlight w:val="none"/>
            </w:rPr>
            <w:t>一</w:t>
          </w:r>
          <w:r>
            <w:rPr>
              <w:rFonts w:hint="eastAsia" w:ascii="仿宋" w:hAnsi="仿宋" w:eastAsia="仿宋" w:cs="仿宋"/>
              <w:bCs w:val="0"/>
              <w:sz w:val="28"/>
              <w:szCs w:val="28"/>
              <w:highlight w:val="none"/>
            </w:rPr>
            <w:t>般公共预算财政拨款项目支出决算表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_Toc1593 \h </w:instrText>
          </w:r>
          <w:r>
            <w:rPr>
              <w:rFonts w:hint="eastAsia" w:ascii="仿宋" w:hAnsi="仿宋" w:eastAsia="仿宋" w:cs="仿宋"/>
              <w:sz w:val="28"/>
              <w:szCs w:val="28"/>
            </w:rPr>
            <w:fldChar w:fldCharType="separate"/>
          </w:r>
          <w:r>
            <w:rPr>
              <w:rFonts w:hint="eastAsia" w:ascii="仿宋" w:hAnsi="仿宋" w:eastAsia="仿宋" w:cs="仿宋"/>
              <w:sz w:val="28"/>
              <w:szCs w:val="28"/>
            </w:rPr>
            <w:t>- 19 -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6317BFA3">
          <w:pPr>
            <w:pStyle w:val="19"/>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_Toc6973 </w:instrText>
          </w:r>
          <w:r>
            <w:rPr>
              <w:rFonts w:hint="eastAsia" w:ascii="仿宋" w:hAnsi="仿宋" w:eastAsia="仿宋" w:cs="仿宋"/>
              <w:sz w:val="28"/>
              <w:szCs w:val="28"/>
            </w:rPr>
            <w:fldChar w:fldCharType="separate"/>
          </w:r>
          <w:r>
            <w:rPr>
              <w:rFonts w:hint="eastAsia" w:ascii="仿宋" w:hAnsi="仿宋" w:eastAsia="仿宋" w:cs="仿宋"/>
              <w:bCs w:val="0"/>
              <w:sz w:val="28"/>
              <w:szCs w:val="28"/>
              <w:highlight w:val="none"/>
            </w:rPr>
            <w:t>十、</w:t>
          </w:r>
          <w:r>
            <w:rPr>
              <w:rFonts w:hint="eastAsia" w:ascii="仿宋" w:hAnsi="仿宋" w:eastAsia="仿宋" w:cs="仿宋"/>
              <w:sz w:val="28"/>
              <w:szCs w:val="28"/>
              <w:highlight w:val="none"/>
            </w:rPr>
            <w:t>政</w:t>
          </w:r>
          <w:r>
            <w:rPr>
              <w:rFonts w:hint="eastAsia" w:ascii="仿宋" w:hAnsi="仿宋" w:eastAsia="仿宋" w:cs="仿宋"/>
              <w:bCs w:val="0"/>
              <w:sz w:val="28"/>
              <w:szCs w:val="28"/>
              <w:highlight w:val="none"/>
            </w:rPr>
            <w:t>府性基金预算财政拨款收入支出决算表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_Toc6973 \h </w:instrText>
          </w:r>
          <w:r>
            <w:rPr>
              <w:rFonts w:hint="eastAsia" w:ascii="仿宋" w:hAnsi="仿宋" w:eastAsia="仿宋" w:cs="仿宋"/>
              <w:sz w:val="28"/>
              <w:szCs w:val="28"/>
            </w:rPr>
            <w:fldChar w:fldCharType="separate"/>
          </w:r>
          <w:r>
            <w:rPr>
              <w:rFonts w:hint="eastAsia" w:ascii="仿宋" w:hAnsi="仿宋" w:eastAsia="仿宋" w:cs="仿宋"/>
              <w:sz w:val="28"/>
              <w:szCs w:val="28"/>
            </w:rPr>
            <w:t>- 19 -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1BF97BE6">
          <w:pPr>
            <w:pStyle w:val="19"/>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_Toc30059 </w:instrText>
          </w:r>
          <w:r>
            <w:rPr>
              <w:rFonts w:hint="eastAsia" w:ascii="仿宋" w:hAnsi="仿宋" w:eastAsia="仿宋" w:cs="仿宋"/>
              <w:sz w:val="28"/>
              <w:szCs w:val="28"/>
            </w:rPr>
            <w:fldChar w:fldCharType="separate"/>
          </w:r>
          <w:r>
            <w:rPr>
              <w:rFonts w:hint="eastAsia" w:ascii="仿宋" w:hAnsi="仿宋" w:eastAsia="仿宋" w:cs="仿宋"/>
              <w:bCs w:val="0"/>
              <w:sz w:val="28"/>
              <w:szCs w:val="28"/>
              <w:highlight w:val="none"/>
            </w:rPr>
            <w:t>十一、</w:t>
          </w:r>
          <w:r>
            <w:rPr>
              <w:rFonts w:hint="eastAsia" w:ascii="仿宋" w:hAnsi="仿宋" w:eastAsia="仿宋" w:cs="仿宋"/>
              <w:sz w:val="28"/>
              <w:szCs w:val="28"/>
              <w:highlight w:val="none"/>
            </w:rPr>
            <w:t>国</w:t>
          </w:r>
          <w:r>
            <w:rPr>
              <w:rFonts w:hint="eastAsia" w:ascii="仿宋" w:hAnsi="仿宋" w:eastAsia="仿宋" w:cs="仿宋"/>
              <w:bCs w:val="0"/>
              <w:sz w:val="28"/>
              <w:szCs w:val="28"/>
              <w:highlight w:val="none"/>
            </w:rPr>
            <w:t>有资本经营预算</w:t>
          </w:r>
          <w:r>
            <w:rPr>
              <w:rFonts w:hint="eastAsia" w:ascii="仿宋" w:hAnsi="仿宋" w:eastAsia="仿宋" w:cs="仿宋"/>
              <w:bCs w:val="0"/>
              <w:sz w:val="28"/>
              <w:szCs w:val="28"/>
              <w:highlight w:val="none"/>
              <w:lang w:eastAsia="zh-CN"/>
            </w:rPr>
            <w:t>财政拨款收入</w:t>
          </w:r>
          <w:r>
            <w:rPr>
              <w:rFonts w:hint="eastAsia" w:ascii="仿宋" w:hAnsi="仿宋" w:eastAsia="仿宋" w:cs="仿宋"/>
              <w:bCs w:val="0"/>
              <w:sz w:val="28"/>
              <w:szCs w:val="28"/>
              <w:highlight w:val="none"/>
            </w:rPr>
            <w:t>支出决算表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_Toc30059 \h </w:instrText>
          </w:r>
          <w:r>
            <w:rPr>
              <w:rFonts w:hint="eastAsia" w:ascii="仿宋" w:hAnsi="仿宋" w:eastAsia="仿宋" w:cs="仿宋"/>
              <w:sz w:val="28"/>
              <w:szCs w:val="28"/>
            </w:rPr>
            <w:fldChar w:fldCharType="separate"/>
          </w:r>
          <w:r>
            <w:rPr>
              <w:rFonts w:hint="eastAsia" w:ascii="仿宋" w:hAnsi="仿宋" w:eastAsia="仿宋" w:cs="仿宋"/>
              <w:sz w:val="28"/>
              <w:szCs w:val="28"/>
            </w:rPr>
            <w:t>- 19 -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10AE932F">
          <w:pPr>
            <w:pStyle w:val="19"/>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_Toc32286 </w:instrText>
          </w:r>
          <w:r>
            <w:rPr>
              <w:rFonts w:hint="eastAsia" w:ascii="仿宋" w:hAnsi="仿宋" w:eastAsia="仿宋" w:cs="仿宋"/>
              <w:sz w:val="28"/>
              <w:szCs w:val="28"/>
            </w:rPr>
            <w:fldChar w:fldCharType="separate"/>
          </w:r>
          <w:r>
            <w:rPr>
              <w:rFonts w:hint="eastAsia" w:ascii="仿宋" w:hAnsi="仿宋" w:eastAsia="仿宋" w:cs="仿宋"/>
              <w:bCs w:val="0"/>
              <w:sz w:val="28"/>
              <w:szCs w:val="28"/>
              <w:highlight w:val="none"/>
            </w:rPr>
            <w:t>十二、</w:t>
          </w:r>
          <w:r>
            <w:rPr>
              <w:rFonts w:hint="eastAsia" w:ascii="仿宋" w:hAnsi="仿宋" w:eastAsia="仿宋" w:cs="仿宋"/>
              <w:bCs w:val="0"/>
              <w:sz w:val="28"/>
              <w:szCs w:val="28"/>
              <w:highlight w:val="none"/>
              <w:lang w:eastAsia="zh-CN"/>
            </w:rPr>
            <w:t>国有资本经营预算财政拨款支出决算表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_Toc32286 \h </w:instrText>
          </w:r>
          <w:r>
            <w:rPr>
              <w:rFonts w:hint="eastAsia" w:ascii="仿宋" w:hAnsi="仿宋" w:eastAsia="仿宋" w:cs="仿宋"/>
              <w:sz w:val="28"/>
              <w:szCs w:val="28"/>
            </w:rPr>
            <w:fldChar w:fldCharType="separate"/>
          </w:r>
          <w:r>
            <w:rPr>
              <w:rFonts w:hint="eastAsia" w:ascii="仿宋" w:hAnsi="仿宋" w:eastAsia="仿宋" w:cs="仿宋"/>
              <w:sz w:val="28"/>
              <w:szCs w:val="28"/>
            </w:rPr>
            <w:t>- 19 -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0D54EFA5">
          <w:pPr>
            <w:pStyle w:val="19"/>
            <w:tabs>
              <w:tab w:val="right" w:leader="dot" w:pos="8306"/>
            </w:tabs>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_Toc13697 </w:instrText>
          </w:r>
          <w:r>
            <w:rPr>
              <w:rFonts w:hint="eastAsia" w:ascii="仿宋" w:hAnsi="仿宋" w:eastAsia="仿宋" w:cs="仿宋"/>
              <w:sz w:val="28"/>
              <w:szCs w:val="28"/>
            </w:rPr>
            <w:fldChar w:fldCharType="separate"/>
          </w:r>
          <w:r>
            <w:rPr>
              <w:rFonts w:hint="eastAsia" w:ascii="仿宋" w:hAnsi="仿宋" w:eastAsia="仿宋" w:cs="仿宋"/>
              <w:bCs w:val="0"/>
              <w:sz w:val="28"/>
              <w:szCs w:val="28"/>
              <w:highlight w:val="none"/>
            </w:rPr>
            <w:t>十三、</w:t>
          </w:r>
          <w:r>
            <w:rPr>
              <w:rFonts w:hint="eastAsia" w:ascii="仿宋" w:hAnsi="仿宋" w:eastAsia="仿宋" w:cs="仿宋"/>
              <w:bCs w:val="0"/>
              <w:sz w:val="28"/>
              <w:szCs w:val="28"/>
              <w:highlight w:val="none"/>
              <w:lang w:eastAsia="zh-CN"/>
            </w:rPr>
            <w:t>财政拨款“三公”经费支出决算表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_Toc13697 \h </w:instrText>
          </w:r>
          <w:r>
            <w:rPr>
              <w:rFonts w:hint="eastAsia" w:ascii="仿宋" w:hAnsi="仿宋" w:eastAsia="仿宋" w:cs="仿宋"/>
              <w:sz w:val="28"/>
              <w:szCs w:val="28"/>
            </w:rPr>
            <w:fldChar w:fldCharType="separate"/>
          </w:r>
          <w:r>
            <w:rPr>
              <w:rFonts w:hint="eastAsia" w:ascii="仿宋" w:hAnsi="仿宋" w:eastAsia="仿宋" w:cs="仿宋"/>
              <w:sz w:val="28"/>
              <w:szCs w:val="28"/>
            </w:rPr>
            <w:t>- 19 -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43BE6CB0">
          <w:pPr>
            <w:rPr>
              <w:b/>
            </w:rPr>
            <w:sectPr>
              <w:footerReference r:id="rId4" w:type="first"/>
              <w:footerReference r:id="rId3" w:type="default"/>
              <w:pgSz w:w="11906" w:h="16838"/>
              <w:pgMar w:top="1440" w:right="1800" w:bottom="1440" w:left="1800" w:header="851" w:footer="992" w:gutter="0"/>
              <w:pgNumType w:fmt="numberInDash" w:start="1"/>
              <w:cols w:space="425" w:num="1"/>
              <w:titlePg/>
              <w:docGrid w:type="lines" w:linePitch="312" w:charSpace="0"/>
            </w:sectPr>
          </w:pPr>
          <w:r>
            <w:rPr>
              <w:b/>
            </w:rPr>
            <w:fldChar w:fldCharType="end"/>
          </w:r>
        </w:p>
      </w:sdtContent>
    </w:sdt>
    <w:p w14:paraId="501DEAE9">
      <w:pPr>
        <w:pStyle w:val="3"/>
        <w:jc w:val="center"/>
        <w:rPr>
          <w:rStyle w:val="14"/>
          <w:rFonts w:ascii="黑体" w:hAnsi="黑体" w:eastAsia="黑体"/>
          <w:b/>
          <w:bCs w:val="0"/>
          <w:color w:val="auto"/>
          <w:highlight w:val="none"/>
        </w:rPr>
      </w:pPr>
      <w:bookmarkStart w:id="0" w:name="_Toc25957"/>
      <w:r>
        <w:rPr>
          <w:rFonts w:hint="eastAsia" w:ascii="黑体" w:hAnsi="黑体" w:eastAsia="黑体"/>
          <w:b w:val="0"/>
          <w:color w:val="auto"/>
          <w:highlight w:val="none"/>
        </w:rPr>
        <w:t xml:space="preserve">第一部分 </w:t>
      </w:r>
      <w:r>
        <w:rPr>
          <w:rFonts w:hint="eastAsia" w:ascii="黑体" w:hAnsi="黑体" w:eastAsia="黑体"/>
          <w:b w:val="0"/>
          <w:color w:val="auto"/>
          <w:highlight w:val="none"/>
          <w:lang w:eastAsia="zh-CN"/>
        </w:rPr>
        <w:t>单位</w:t>
      </w:r>
      <w:r>
        <w:rPr>
          <w:rStyle w:val="14"/>
          <w:rFonts w:hint="eastAsia" w:ascii="黑体" w:hAnsi="黑体" w:eastAsia="黑体"/>
          <w:b w:val="0"/>
          <w:bCs w:val="0"/>
          <w:color w:val="auto"/>
          <w:highlight w:val="none"/>
        </w:rPr>
        <w:t>概况</w:t>
      </w:r>
      <w:bookmarkEnd w:id="0"/>
    </w:p>
    <w:p w14:paraId="0ED8771B">
      <w:pPr>
        <w:widowControl/>
        <w:jc w:val="left"/>
        <w:rPr>
          <w:rFonts w:ascii="黑体" w:eastAsia="黑体"/>
          <w:color w:val="auto"/>
          <w:sz w:val="32"/>
          <w:szCs w:val="32"/>
          <w:highlight w:val="none"/>
        </w:rPr>
      </w:pPr>
    </w:p>
    <w:p w14:paraId="28BB6D4A">
      <w:pPr>
        <w:pStyle w:val="4"/>
        <w:numPr>
          <w:ilvl w:val="0"/>
          <w:numId w:val="1"/>
        </w:numPr>
        <w:rPr>
          <w:rStyle w:val="15"/>
          <w:rFonts w:hint="eastAsia" w:ascii="黑体" w:hAnsi="黑体" w:eastAsia="黑体"/>
          <w:b w:val="0"/>
          <w:bCs w:val="0"/>
          <w:color w:val="auto"/>
          <w:highlight w:val="none"/>
          <w:lang w:eastAsia="zh-CN"/>
        </w:rPr>
      </w:pPr>
      <w:bookmarkStart w:id="1" w:name="_Toc21050"/>
      <w:r>
        <w:rPr>
          <w:rStyle w:val="15"/>
          <w:rFonts w:hint="eastAsia" w:ascii="黑体" w:hAnsi="黑体" w:eastAsia="黑体"/>
          <w:b w:val="0"/>
          <w:bCs w:val="0"/>
          <w:color w:val="auto"/>
          <w:highlight w:val="none"/>
          <w:lang w:eastAsia="zh-CN"/>
        </w:rPr>
        <w:t>主要职责</w:t>
      </w:r>
      <w:bookmarkEnd w:id="1"/>
    </w:p>
    <w:p w14:paraId="163F0CD6">
      <w:pPr>
        <w:spacing w:line="600" w:lineRule="exact"/>
        <w:ind w:firstLine="640" w:firstLineChars="200"/>
        <w:rPr>
          <w:rFonts w:hint="eastAsia" w:ascii="仿宋" w:hAnsi="仿宋" w:eastAsia="仿宋" w:cs="Times New Roman"/>
          <w:color w:val="auto"/>
          <w:sz w:val="32"/>
          <w:szCs w:val="32"/>
          <w:highlight w:val="none"/>
          <w:lang w:val="en-US" w:eastAsia="zh-CN"/>
        </w:rPr>
      </w:pPr>
      <w:r>
        <w:rPr>
          <w:rFonts w:hint="eastAsia" w:ascii="仿宋" w:hAnsi="仿宋" w:eastAsia="仿宋" w:cs="Times New Roman"/>
          <w:color w:val="auto"/>
          <w:sz w:val="32"/>
          <w:szCs w:val="32"/>
          <w:highlight w:val="none"/>
          <w:lang w:val="en-US" w:eastAsia="zh-CN"/>
        </w:rPr>
        <w:t>1.贯彻执行国家有关公路的法律法规、规章和技术规范。</w:t>
      </w:r>
    </w:p>
    <w:p w14:paraId="601D19E4">
      <w:pPr>
        <w:spacing w:line="600" w:lineRule="exact"/>
        <w:ind w:firstLine="640" w:firstLineChars="200"/>
        <w:rPr>
          <w:rFonts w:hint="eastAsia" w:ascii="仿宋" w:hAnsi="仿宋" w:eastAsia="仿宋" w:cs="Times New Roman"/>
          <w:color w:val="auto"/>
          <w:sz w:val="32"/>
          <w:szCs w:val="32"/>
          <w:highlight w:val="none"/>
          <w:lang w:val="en-US" w:eastAsia="zh-CN"/>
        </w:rPr>
      </w:pPr>
      <w:r>
        <w:rPr>
          <w:rFonts w:hint="eastAsia" w:ascii="仿宋" w:hAnsi="仿宋" w:eastAsia="仿宋" w:cs="Times New Roman"/>
          <w:color w:val="auto"/>
          <w:sz w:val="32"/>
          <w:szCs w:val="32"/>
          <w:highlight w:val="none"/>
          <w:lang w:val="en-US" w:eastAsia="zh-CN"/>
        </w:rPr>
        <w:t>2.负责辖区国省干线公路养护，指导、监督、协调公路养护。</w:t>
      </w:r>
    </w:p>
    <w:p w14:paraId="486CDD03">
      <w:pPr>
        <w:spacing w:line="600" w:lineRule="exact"/>
        <w:ind w:firstLine="640" w:firstLineChars="200"/>
        <w:rPr>
          <w:rFonts w:hint="eastAsia" w:ascii="仿宋" w:hAnsi="仿宋" w:eastAsia="仿宋" w:cs="Times New Roman"/>
          <w:color w:val="auto"/>
          <w:sz w:val="32"/>
          <w:szCs w:val="32"/>
          <w:highlight w:val="none"/>
          <w:lang w:val="en-US" w:eastAsia="zh-CN"/>
        </w:rPr>
      </w:pPr>
      <w:r>
        <w:rPr>
          <w:rFonts w:hint="eastAsia" w:ascii="仿宋" w:hAnsi="仿宋" w:eastAsia="仿宋" w:cs="Times New Roman"/>
          <w:color w:val="auto"/>
          <w:sz w:val="32"/>
          <w:szCs w:val="32"/>
          <w:highlight w:val="none"/>
          <w:lang w:val="en-US" w:eastAsia="zh-CN"/>
        </w:rPr>
        <w:t>3.负责指导管理辖区国省干线公路养护工作，组织检查评定公路养护质量，组织协调自然灾害毁损公路的抢修工作，管理公路养护市场，负责辖区国省干线公路养护计划的编制和执行。</w:t>
      </w:r>
    </w:p>
    <w:p w14:paraId="516DB75A">
      <w:pPr>
        <w:spacing w:line="600" w:lineRule="exact"/>
        <w:ind w:firstLine="640" w:firstLineChars="200"/>
        <w:rPr>
          <w:rFonts w:hint="eastAsia" w:ascii="仿宋" w:hAnsi="仿宋" w:eastAsia="仿宋" w:cs="Times New Roman"/>
          <w:color w:val="auto"/>
          <w:sz w:val="32"/>
          <w:szCs w:val="32"/>
          <w:highlight w:val="none"/>
          <w:lang w:val="en-US" w:eastAsia="zh-CN"/>
        </w:rPr>
      </w:pPr>
      <w:r>
        <w:rPr>
          <w:rFonts w:hint="eastAsia" w:ascii="仿宋" w:hAnsi="仿宋" w:eastAsia="仿宋" w:cs="Times New Roman"/>
          <w:color w:val="auto"/>
          <w:sz w:val="32"/>
          <w:szCs w:val="32"/>
          <w:highlight w:val="none"/>
          <w:lang w:val="en-US" w:eastAsia="zh-CN"/>
        </w:rPr>
        <w:t>4.负责辖区国省干线公路行业的财务预、决算编制，指导监督行业会计核算和财务管理工作。</w:t>
      </w:r>
    </w:p>
    <w:p w14:paraId="762C1487">
      <w:pPr>
        <w:spacing w:line="600" w:lineRule="exact"/>
        <w:ind w:firstLine="640" w:firstLineChars="200"/>
        <w:rPr>
          <w:rFonts w:hint="eastAsia" w:ascii="仿宋" w:hAnsi="仿宋" w:eastAsia="仿宋" w:cs="Times New Roman"/>
          <w:color w:val="auto"/>
          <w:sz w:val="32"/>
          <w:szCs w:val="32"/>
          <w:highlight w:val="none"/>
          <w:lang w:val="en-US" w:eastAsia="zh-CN"/>
        </w:rPr>
      </w:pPr>
      <w:r>
        <w:rPr>
          <w:rFonts w:hint="eastAsia" w:ascii="仿宋" w:hAnsi="仿宋" w:eastAsia="仿宋" w:cs="Times New Roman"/>
          <w:color w:val="auto"/>
          <w:sz w:val="32"/>
          <w:szCs w:val="32"/>
          <w:highlight w:val="none"/>
          <w:lang w:val="en-US" w:eastAsia="zh-CN"/>
        </w:rPr>
        <w:t>5.负责辖区国省干线公路行业的统计和信息管理，指导管理行业科技工作和职工教育培训工作。</w:t>
      </w:r>
    </w:p>
    <w:p w14:paraId="0738377F">
      <w:pPr>
        <w:spacing w:line="600" w:lineRule="exact"/>
        <w:ind w:firstLine="640" w:firstLineChars="200"/>
        <w:rPr>
          <w:rFonts w:hint="eastAsia" w:ascii="仿宋" w:hAnsi="仿宋" w:eastAsia="仿宋" w:cs="Times New Roman"/>
          <w:color w:val="auto"/>
          <w:sz w:val="32"/>
          <w:szCs w:val="32"/>
          <w:highlight w:val="none"/>
          <w:lang w:val="en-US" w:eastAsia="zh-CN"/>
        </w:rPr>
      </w:pPr>
      <w:r>
        <w:rPr>
          <w:rFonts w:hint="eastAsia" w:ascii="仿宋" w:hAnsi="仿宋" w:eastAsia="仿宋" w:cs="Times New Roman"/>
          <w:color w:val="auto"/>
          <w:sz w:val="32"/>
          <w:szCs w:val="32"/>
          <w:highlight w:val="none"/>
          <w:lang w:val="en-US" w:eastAsia="zh-CN"/>
        </w:rPr>
        <w:t>6.指导辖区国省干线公路行业精神文明建设，行风建设和职工队伍建设工作。</w:t>
      </w:r>
    </w:p>
    <w:p w14:paraId="0FBE66B2">
      <w:pPr>
        <w:spacing w:line="600" w:lineRule="exact"/>
        <w:ind w:firstLine="640" w:firstLineChars="200"/>
        <w:rPr>
          <w:rFonts w:hint="eastAsia" w:ascii="仿宋" w:hAnsi="仿宋" w:eastAsia="仿宋" w:cs="Times New Roman"/>
          <w:color w:val="auto"/>
          <w:sz w:val="32"/>
          <w:szCs w:val="32"/>
          <w:highlight w:val="none"/>
          <w:lang w:eastAsia="zh-CN"/>
        </w:rPr>
      </w:pPr>
      <w:r>
        <w:rPr>
          <w:rFonts w:hint="eastAsia" w:ascii="仿宋" w:hAnsi="仿宋" w:eastAsia="仿宋" w:cs="Times New Roman"/>
          <w:color w:val="auto"/>
          <w:sz w:val="32"/>
          <w:szCs w:val="32"/>
          <w:highlight w:val="none"/>
          <w:lang w:val="en-US" w:eastAsia="zh-CN"/>
        </w:rPr>
        <w:t>7.负责协助辖区国省干线公路建设和规划工作。</w:t>
      </w:r>
    </w:p>
    <w:p w14:paraId="7FF2C7AE">
      <w:pPr>
        <w:pStyle w:val="4"/>
        <w:numPr>
          <w:ilvl w:val="0"/>
          <w:numId w:val="0"/>
        </w:numPr>
        <w:rPr>
          <w:rFonts w:hint="eastAsia" w:ascii="黑体" w:hAnsi="黑体" w:eastAsia="黑体"/>
          <w:b w:val="0"/>
          <w:color w:val="auto"/>
          <w:highlight w:val="none"/>
          <w:lang w:val="en-US" w:eastAsia="zh-CN"/>
        </w:rPr>
      </w:pPr>
      <w:bookmarkStart w:id="2" w:name="_Toc14576"/>
      <w:r>
        <w:rPr>
          <w:rFonts w:hint="eastAsia" w:ascii="黑体" w:hAnsi="黑体" w:eastAsia="黑体"/>
          <w:b w:val="0"/>
          <w:color w:val="auto"/>
          <w:highlight w:val="none"/>
          <w:lang w:val="en-US" w:eastAsia="zh-CN"/>
        </w:rPr>
        <w:t>二、机构设置</w:t>
      </w:r>
      <w:bookmarkEnd w:id="2"/>
    </w:p>
    <w:p w14:paraId="3977DE27">
      <w:pPr>
        <w:spacing w:line="600" w:lineRule="exact"/>
        <w:ind w:firstLine="640" w:firstLineChars="200"/>
        <w:rPr>
          <w:rFonts w:hint="eastAsia" w:ascii="仿宋" w:hAnsi="仿宋" w:eastAsia="仿宋" w:cs="Times New Roman"/>
          <w:color w:val="auto"/>
          <w:sz w:val="32"/>
          <w:szCs w:val="32"/>
          <w:highlight w:val="none"/>
          <w:lang w:val="en-US" w:eastAsia="zh-CN"/>
        </w:rPr>
      </w:pPr>
      <w:r>
        <w:rPr>
          <w:rFonts w:hint="eastAsia" w:ascii="仿宋" w:hAnsi="仿宋" w:eastAsia="仿宋" w:cs="Times New Roman"/>
          <w:color w:val="auto"/>
          <w:sz w:val="32"/>
          <w:szCs w:val="32"/>
          <w:highlight w:val="none"/>
          <w:lang w:val="en-US" w:eastAsia="zh-CN"/>
        </w:rPr>
        <w:t>阿坝藏族羌族自治州公路管理局马尔康公路管理分局是隶属于阿坝藏族羌族自治州公路管理局的二级预算单位，我部门无下属预算单位。马尔康公路管理分局前身是马尔康养路段，成立于1962年11月17日，于1994年9月更名为马尔康公路管理分局。由阿坝州公路局直接管理。分局下设党委办公室、行政办公室、劳动人事股、工程股、机料股、安全股、财务股等7个股室。辖6个养护站和1个应急保通中心（四大坝养护站、王家寨养护站、色尔米养护站、梭磨养护站、卓克基养护站、32K养护站、松岗应急保通中心）。</w:t>
      </w:r>
    </w:p>
    <w:p w14:paraId="32F56E0D">
      <w:pPr>
        <w:widowControl/>
        <w:jc w:val="left"/>
        <w:rPr>
          <w:rFonts w:ascii="仿宋" w:hAnsi="仿宋" w:eastAsia="仿宋"/>
          <w:color w:val="auto"/>
          <w:kern w:val="0"/>
          <w:sz w:val="32"/>
          <w:szCs w:val="32"/>
          <w:highlight w:val="none"/>
        </w:rPr>
      </w:pPr>
      <w:r>
        <w:rPr>
          <w:rFonts w:ascii="仿宋" w:hAnsi="仿宋" w:eastAsia="仿宋"/>
          <w:color w:val="auto"/>
          <w:sz w:val="32"/>
          <w:szCs w:val="32"/>
          <w:highlight w:val="none"/>
        </w:rPr>
        <w:br w:type="page"/>
      </w:r>
    </w:p>
    <w:p w14:paraId="1D9D9830">
      <w:pPr>
        <w:pStyle w:val="3"/>
        <w:ind w:right="440"/>
        <w:jc w:val="center"/>
        <w:rPr>
          <w:rStyle w:val="14"/>
          <w:rFonts w:ascii="黑体" w:hAnsi="黑体" w:eastAsia="黑体"/>
          <w:b w:val="0"/>
          <w:bCs/>
          <w:color w:val="auto"/>
          <w:highlight w:val="none"/>
        </w:rPr>
      </w:pPr>
      <w:bookmarkStart w:id="3" w:name="_Toc18461"/>
      <w:r>
        <w:rPr>
          <w:rFonts w:hint="eastAsia" w:ascii="黑体" w:hAnsi="黑体" w:eastAsia="黑体"/>
          <w:b w:val="0"/>
          <w:bCs/>
          <w:color w:val="auto"/>
          <w:highlight w:val="none"/>
        </w:rPr>
        <w:t xml:space="preserve">第二部分 </w:t>
      </w:r>
      <w:r>
        <w:rPr>
          <w:rFonts w:hint="eastAsia" w:ascii="黑体" w:hAnsi="黑体" w:eastAsia="黑体"/>
          <w:b w:val="0"/>
          <w:bCs/>
          <w:color w:val="auto"/>
          <w:highlight w:val="none"/>
          <w:lang w:val="en-US" w:eastAsia="zh-CN"/>
        </w:rPr>
        <w:t>2023年度</w:t>
      </w:r>
      <w:r>
        <w:rPr>
          <w:rStyle w:val="14"/>
          <w:rFonts w:hint="eastAsia" w:ascii="黑体" w:hAnsi="黑体" w:eastAsia="黑体"/>
          <w:b w:val="0"/>
          <w:bCs/>
          <w:color w:val="auto"/>
          <w:highlight w:val="none"/>
          <w:lang w:eastAsia="zh-CN"/>
        </w:rPr>
        <w:t>单位</w:t>
      </w:r>
      <w:r>
        <w:rPr>
          <w:rStyle w:val="14"/>
          <w:rFonts w:hint="eastAsia" w:ascii="黑体" w:hAnsi="黑体" w:eastAsia="黑体"/>
          <w:b w:val="0"/>
          <w:bCs/>
          <w:color w:val="auto"/>
          <w:highlight w:val="none"/>
        </w:rPr>
        <w:t>决算情况说明</w:t>
      </w:r>
      <w:bookmarkEnd w:id="3"/>
    </w:p>
    <w:p w14:paraId="7B707277">
      <w:pPr>
        <w:rPr>
          <w:color w:val="auto"/>
          <w:highlight w:val="none"/>
        </w:rPr>
      </w:pPr>
    </w:p>
    <w:p w14:paraId="6D16A16A">
      <w:pPr>
        <w:pStyle w:val="16"/>
        <w:numPr>
          <w:ilvl w:val="0"/>
          <w:numId w:val="0"/>
        </w:numPr>
        <w:spacing w:line="600" w:lineRule="exact"/>
        <w:ind w:left="640" w:leftChars="0"/>
        <w:outlineLvl w:val="1"/>
        <w:rPr>
          <w:rStyle w:val="15"/>
          <w:rFonts w:ascii="黑体" w:hAnsi="黑体" w:eastAsia="黑体"/>
          <w:b w:val="0"/>
          <w:color w:val="auto"/>
          <w:highlight w:val="none"/>
        </w:rPr>
      </w:pPr>
      <w:bookmarkStart w:id="4" w:name="_Toc12251"/>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收</w:t>
      </w:r>
      <w:r>
        <w:rPr>
          <w:rStyle w:val="15"/>
          <w:rFonts w:hint="eastAsia" w:ascii="黑体" w:hAnsi="黑体" w:eastAsia="黑体"/>
          <w:b w:val="0"/>
          <w:color w:val="auto"/>
          <w:highlight w:val="none"/>
        </w:rPr>
        <w:t>入支出决算总体情况说明</w:t>
      </w:r>
      <w:bookmarkEnd w:id="4"/>
    </w:p>
    <w:p w14:paraId="08C20913">
      <w:pPr>
        <w:spacing w:line="600" w:lineRule="exact"/>
        <w:ind w:firstLine="640" w:firstLineChars="200"/>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年度收、支总计</w:t>
      </w:r>
      <w:r>
        <w:rPr>
          <w:rFonts w:hint="eastAsia" w:ascii="仿宋" w:hAnsi="仿宋" w:eastAsia="仿宋"/>
          <w:color w:val="auto"/>
          <w:sz w:val="32"/>
          <w:szCs w:val="32"/>
          <w:highlight w:val="none"/>
          <w:lang w:eastAsia="zh-CN"/>
        </w:rPr>
        <w:t>均为3339.9</w:t>
      </w:r>
      <w:r>
        <w:rPr>
          <w:rFonts w:hint="eastAsia" w:ascii="仿宋" w:hAnsi="仿宋" w:eastAsia="仿宋"/>
          <w:color w:val="auto"/>
          <w:sz w:val="32"/>
          <w:szCs w:val="32"/>
          <w:highlight w:val="none"/>
          <w:lang w:val="en-US" w:eastAsia="zh-CN"/>
        </w:rPr>
        <w:t>2</w:t>
      </w:r>
      <w:r>
        <w:rPr>
          <w:rFonts w:hint="eastAsia" w:ascii="仿宋" w:hAnsi="仿宋" w:eastAsia="仿宋"/>
          <w:color w:val="auto"/>
          <w:sz w:val="32"/>
          <w:szCs w:val="32"/>
          <w:highlight w:val="none"/>
        </w:rPr>
        <w:t>万元。与</w:t>
      </w:r>
      <w:r>
        <w:rPr>
          <w:rFonts w:hint="eastAsia" w:ascii="仿宋" w:hAnsi="仿宋" w:eastAsia="仿宋"/>
          <w:color w:val="auto"/>
          <w:sz w:val="32"/>
          <w:szCs w:val="32"/>
          <w:highlight w:val="none"/>
          <w:lang w:eastAsia="zh-CN"/>
        </w:rPr>
        <w:t>2022</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相比，收、支总计各增加840.96万元，增长33.</w:t>
      </w:r>
      <w:r>
        <w:rPr>
          <w:rFonts w:hint="eastAsia" w:ascii="仿宋" w:hAnsi="仿宋" w:eastAsia="仿宋"/>
          <w:color w:val="auto"/>
          <w:sz w:val="32"/>
          <w:szCs w:val="32"/>
          <w:highlight w:val="none"/>
          <w:lang w:val="en-US" w:eastAsia="zh-CN"/>
        </w:rPr>
        <w:t>7</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。主要变动原因是2022年国省干线第一批小修保养经费</w:t>
      </w:r>
      <w:r>
        <w:rPr>
          <w:rFonts w:hint="eastAsia" w:ascii="仿宋" w:hAnsi="仿宋" w:eastAsia="仿宋"/>
          <w:color w:val="auto"/>
          <w:sz w:val="32"/>
          <w:szCs w:val="32"/>
          <w:highlight w:val="none"/>
          <w:lang w:val="en-US" w:eastAsia="zh-CN"/>
        </w:rPr>
        <w:t>等项目经费增加，社保调标人员经费增加</w:t>
      </w:r>
      <w:r>
        <w:rPr>
          <w:rFonts w:hint="eastAsia" w:ascii="仿宋" w:hAnsi="仿宋" w:eastAsia="仿宋"/>
          <w:color w:val="auto"/>
          <w:sz w:val="32"/>
          <w:szCs w:val="32"/>
          <w:highlight w:val="none"/>
          <w:lang w:eastAsia="zh-CN"/>
        </w:rPr>
        <w:t>。</w:t>
      </w:r>
    </w:p>
    <w:p w14:paraId="3B4EE0F2">
      <w:pPr>
        <w:pStyle w:val="2"/>
        <w:rPr>
          <w:rFonts w:hint="eastAsia"/>
          <w:lang w:eastAsia="zh-CN"/>
        </w:rPr>
      </w:pPr>
      <w:r>
        <w:rPr>
          <w:rFonts w:hint="eastAsia"/>
          <w:lang w:eastAsia="zh-CN"/>
        </w:rPr>
        <w:drawing>
          <wp:inline distT="0" distB="0" distL="114300" distR="114300">
            <wp:extent cx="5256530" cy="2988310"/>
            <wp:effectExtent l="5080" t="4445" r="8890" b="7620"/>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14:paraId="6130F0DF">
      <w:pPr>
        <w:spacing w:line="600" w:lineRule="exact"/>
        <w:jc w:val="center"/>
        <w:rPr>
          <w:rFonts w:ascii="仿宋" w:hAnsi="仿宋" w:eastAsia="仿宋"/>
          <w:color w:val="auto"/>
          <w:sz w:val="32"/>
          <w:szCs w:val="32"/>
          <w:highlight w:val="none"/>
        </w:rPr>
      </w:pPr>
      <w:r>
        <w:rPr>
          <w:rFonts w:hint="eastAsia" w:ascii="仿宋" w:hAnsi="仿宋" w:eastAsia="仿宋"/>
          <w:color w:val="auto"/>
          <w:sz w:val="32"/>
          <w:szCs w:val="32"/>
          <w:highlight w:val="none"/>
        </w:rPr>
        <w:t>（图</w:t>
      </w:r>
      <w:r>
        <w:rPr>
          <w:rFonts w:ascii="仿宋" w:hAnsi="仿宋" w:eastAsia="仿宋"/>
          <w:color w:val="auto"/>
          <w:sz w:val="32"/>
          <w:szCs w:val="32"/>
          <w:highlight w:val="none"/>
        </w:rPr>
        <w:t>1</w:t>
      </w:r>
      <w:r>
        <w:rPr>
          <w:rFonts w:hint="eastAsia" w:ascii="仿宋" w:hAnsi="仿宋" w:eastAsia="仿宋"/>
          <w:color w:val="auto"/>
          <w:sz w:val="32"/>
          <w:szCs w:val="32"/>
          <w:highlight w:val="none"/>
        </w:rPr>
        <w:t>：收、支决算总计变动情况图）</w:t>
      </w:r>
    </w:p>
    <w:p w14:paraId="1AE577CA">
      <w:pPr>
        <w:spacing w:line="600" w:lineRule="exact"/>
        <w:ind w:firstLine="640" w:firstLineChars="200"/>
        <w:jc w:val="left"/>
        <w:rPr>
          <w:rFonts w:ascii="仿宋_GB2312" w:eastAsia="仿宋_GB2312"/>
          <w:color w:val="auto"/>
          <w:sz w:val="32"/>
          <w:szCs w:val="32"/>
          <w:highlight w:val="none"/>
        </w:rPr>
      </w:pPr>
    </w:p>
    <w:p w14:paraId="7DF27E92">
      <w:pPr>
        <w:pStyle w:val="16"/>
        <w:numPr>
          <w:ilvl w:val="0"/>
          <w:numId w:val="0"/>
        </w:numPr>
        <w:spacing w:line="600" w:lineRule="exact"/>
        <w:ind w:left="640" w:leftChars="0"/>
        <w:outlineLvl w:val="1"/>
        <w:rPr>
          <w:rStyle w:val="15"/>
          <w:rFonts w:ascii="黑体" w:hAnsi="黑体" w:eastAsia="黑体"/>
          <w:b w:val="0"/>
          <w:color w:val="auto"/>
          <w:highlight w:val="none"/>
        </w:rPr>
      </w:pPr>
      <w:bookmarkStart w:id="5" w:name="_Toc23361"/>
      <w:r>
        <w:rPr>
          <w:rFonts w:hint="eastAsia" w:ascii="黑体" w:hAnsi="黑体" w:eastAsia="黑体"/>
          <w:color w:val="auto"/>
          <w:sz w:val="32"/>
          <w:szCs w:val="32"/>
          <w:highlight w:val="none"/>
          <w:lang w:eastAsia="zh-CN"/>
        </w:rPr>
        <w:t>二、</w:t>
      </w:r>
      <w:r>
        <w:rPr>
          <w:rFonts w:hint="eastAsia" w:ascii="黑体" w:hAnsi="黑体" w:eastAsia="黑体"/>
          <w:color w:val="auto"/>
          <w:sz w:val="32"/>
          <w:szCs w:val="32"/>
          <w:highlight w:val="none"/>
        </w:rPr>
        <w:t>收</w:t>
      </w:r>
      <w:r>
        <w:rPr>
          <w:rStyle w:val="15"/>
          <w:rFonts w:hint="eastAsia" w:ascii="黑体" w:hAnsi="黑体" w:eastAsia="黑体"/>
          <w:b w:val="0"/>
          <w:color w:val="auto"/>
          <w:highlight w:val="none"/>
        </w:rPr>
        <w:t>入决算情况说明</w:t>
      </w:r>
      <w:bookmarkEnd w:id="5"/>
    </w:p>
    <w:p w14:paraId="14CF4A96">
      <w:pPr>
        <w:spacing w:line="600" w:lineRule="exact"/>
        <w:ind w:firstLine="640" w:firstLineChars="200"/>
        <w:outlineLvl w:val="1"/>
        <w:rPr>
          <w:rFonts w:ascii="仿宋" w:hAnsi="仿宋" w:eastAsia="仿宋"/>
          <w:color w:val="auto"/>
          <w:sz w:val="32"/>
          <w:szCs w:val="32"/>
          <w:highlight w:val="none"/>
        </w:rPr>
      </w:pPr>
      <w:bookmarkStart w:id="6" w:name="_Toc2531"/>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本年收入合计3,339.92万元，其中：一般公共预算财政拨款收入3,339.92万元，占</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bookmarkEnd w:id="6"/>
    </w:p>
    <w:p w14:paraId="7155054E">
      <w:pPr>
        <w:spacing w:line="600" w:lineRule="exact"/>
        <w:ind w:firstLine="643" w:firstLineChars="200"/>
        <w:outlineLvl w:val="1"/>
        <w:rPr>
          <w:rFonts w:ascii="仿宋" w:hAnsi="仿宋" w:eastAsia="仿宋"/>
          <w:b/>
          <w:color w:val="auto"/>
          <w:sz w:val="32"/>
          <w:szCs w:val="32"/>
          <w:highlight w:val="none"/>
        </w:rPr>
      </w:pPr>
    </w:p>
    <w:p w14:paraId="36B3E394">
      <w:pPr>
        <w:spacing w:line="240" w:lineRule="auto"/>
        <w:ind w:firstLine="0" w:firstLineChars="0"/>
        <w:outlineLvl w:val="9"/>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lang w:eastAsia="zh-CN"/>
        </w:rPr>
        <w:drawing>
          <wp:inline distT="0" distB="0" distL="114300" distR="114300">
            <wp:extent cx="5256530" cy="2988310"/>
            <wp:effectExtent l="5080" t="4445" r="8890" b="762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6C1DF9C0">
      <w:pPr>
        <w:spacing w:line="600" w:lineRule="exact"/>
        <w:jc w:val="center"/>
        <w:rPr>
          <w:rFonts w:ascii="仿宋" w:hAnsi="仿宋" w:eastAsia="仿宋"/>
          <w:color w:val="auto"/>
          <w:sz w:val="32"/>
          <w:szCs w:val="32"/>
          <w:highlight w:val="none"/>
        </w:rPr>
      </w:pPr>
      <w:r>
        <w:rPr>
          <w:rFonts w:hint="eastAsia" w:ascii="仿宋" w:hAnsi="仿宋" w:eastAsia="仿宋"/>
          <w:color w:val="auto"/>
          <w:sz w:val="32"/>
          <w:szCs w:val="32"/>
          <w:highlight w:val="none"/>
        </w:rPr>
        <w:t>（图2：收入决算结构图）</w:t>
      </w:r>
    </w:p>
    <w:p w14:paraId="1FDEEC96">
      <w:pPr>
        <w:spacing w:line="600" w:lineRule="exact"/>
        <w:ind w:firstLine="640" w:firstLineChars="200"/>
        <w:rPr>
          <w:rFonts w:ascii="仿宋_GB2312" w:eastAsia="仿宋_GB2312"/>
          <w:color w:val="auto"/>
          <w:sz w:val="32"/>
          <w:szCs w:val="32"/>
          <w:highlight w:val="none"/>
        </w:rPr>
      </w:pPr>
    </w:p>
    <w:p w14:paraId="1F7D189C">
      <w:pPr>
        <w:pStyle w:val="16"/>
        <w:numPr>
          <w:ilvl w:val="0"/>
          <w:numId w:val="0"/>
        </w:numPr>
        <w:spacing w:line="600" w:lineRule="exact"/>
        <w:ind w:left="640" w:leftChars="0"/>
        <w:outlineLvl w:val="1"/>
        <w:rPr>
          <w:rStyle w:val="15"/>
          <w:rFonts w:ascii="黑体" w:hAnsi="黑体" w:eastAsia="黑体"/>
          <w:b w:val="0"/>
          <w:color w:val="auto"/>
          <w:highlight w:val="none"/>
        </w:rPr>
      </w:pPr>
      <w:bookmarkStart w:id="7" w:name="_Toc3748"/>
      <w:r>
        <w:rPr>
          <w:rFonts w:hint="eastAsia" w:ascii="黑体" w:hAnsi="黑体" w:eastAsia="黑体"/>
          <w:color w:val="auto"/>
          <w:sz w:val="32"/>
          <w:szCs w:val="32"/>
          <w:highlight w:val="none"/>
          <w:lang w:eastAsia="zh-CN"/>
        </w:rPr>
        <w:t>三、</w:t>
      </w:r>
      <w:r>
        <w:rPr>
          <w:rFonts w:hint="eastAsia" w:ascii="黑体" w:hAnsi="黑体" w:eastAsia="黑体"/>
          <w:color w:val="auto"/>
          <w:sz w:val="32"/>
          <w:szCs w:val="32"/>
          <w:highlight w:val="none"/>
        </w:rPr>
        <w:t>支</w:t>
      </w:r>
      <w:r>
        <w:rPr>
          <w:rStyle w:val="15"/>
          <w:rFonts w:hint="eastAsia" w:ascii="黑体" w:hAnsi="黑体" w:eastAsia="黑体"/>
          <w:b w:val="0"/>
          <w:color w:val="auto"/>
          <w:highlight w:val="none"/>
        </w:rPr>
        <w:t>出决算情况说明</w:t>
      </w:r>
      <w:bookmarkEnd w:id="7"/>
    </w:p>
    <w:p w14:paraId="16E514D8">
      <w:pPr>
        <w:spacing w:line="600" w:lineRule="exact"/>
        <w:ind w:firstLine="640" w:firstLineChars="200"/>
        <w:outlineLvl w:val="1"/>
        <w:rPr>
          <w:rFonts w:ascii="仿宋" w:hAnsi="仿宋" w:eastAsia="仿宋"/>
          <w:color w:val="auto"/>
          <w:sz w:val="32"/>
          <w:szCs w:val="32"/>
          <w:highlight w:val="none"/>
        </w:rPr>
      </w:pPr>
      <w:bookmarkStart w:id="8" w:name="_Toc4326"/>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本年支出合计3,339.92万元，其中：基本支出2,940.11万元，占</w:t>
      </w:r>
      <w:r>
        <w:rPr>
          <w:rFonts w:hint="eastAsia" w:ascii="仿宋" w:hAnsi="仿宋" w:eastAsia="仿宋"/>
          <w:color w:val="auto"/>
          <w:sz w:val="32"/>
          <w:szCs w:val="32"/>
          <w:highlight w:val="none"/>
          <w:lang w:val="en-US" w:eastAsia="zh-CN"/>
        </w:rPr>
        <w:t>88</w:t>
      </w:r>
      <w:r>
        <w:rPr>
          <w:rFonts w:ascii="仿宋" w:hAnsi="仿宋" w:eastAsia="仿宋"/>
          <w:color w:val="auto"/>
          <w:sz w:val="32"/>
          <w:szCs w:val="32"/>
          <w:highlight w:val="none"/>
        </w:rPr>
        <w:t>%</w:t>
      </w:r>
      <w:r>
        <w:rPr>
          <w:rFonts w:hint="eastAsia" w:ascii="仿宋" w:hAnsi="仿宋" w:eastAsia="仿宋"/>
          <w:color w:val="auto"/>
          <w:sz w:val="32"/>
          <w:szCs w:val="32"/>
          <w:highlight w:val="none"/>
        </w:rPr>
        <w:t>；项目支出399.81万元，占</w:t>
      </w:r>
      <w:r>
        <w:rPr>
          <w:rFonts w:hint="eastAsia" w:ascii="仿宋" w:hAnsi="仿宋" w:eastAsia="仿宋"/>
          <w:color w:val="auto"/>
          <w:sz w:val="32"/>
          <w:szCs w:val="32"/>
          <w:highlight w:val="none"/>
          <w:lang w:val="en-US" w:eastAsia="zh-CN"/>
        </w:rPr>
        <w:t>12</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bookmarkEnd w:id="8"/>
    </w:p>
    <w:p w14:paraId="0C2A8EE6">
      <w:pPr>
        <w:spacing w:line="240" w:lineRule="auto"/>
        <w:ind w:firstLine="0"/>
        <w:rPr>
          <w:rFonts w:hint="eastAsia" w:ascii="仿宋" w:hAnsi="仿宋" w:eastAsia="仿宋"/>
          <w:color w:val="auto"/>
          <w:sz w:val="32"/>
          <w:szCs w:val="32"/>
          <w:highlight w:val="none"/>
          <w:shd w:val="pct10" w:color="auto" w:fill="FFFFFF"/>
          <w:lang w:eastAsia="zh-CN"/>
        </w:rPr>
      </w:pPr>
      <w:r>
        <w:rPr>
          <w:rFonts w:hint="eastAsia" w:ascii="仿宋" w:hAnsi="仿宋" w:eastAsia="仿宋"/>
          <w:color w:val="auto"/>
          <w:sz w:val="32"/>
          <w:szCs w:val="32"/>
          <w:highlight w:val="none"/>
          <w:shd w:val="pct10" w:color="auto" w:fill="FFFFFF"/>
          <w:lang w:eastAsia="zh-CN"/>
        </w:rPr>
        <w:drawing>
          <wp:inline distT="0" distB="0" distL="114300" distR="114300">
            <wp:extent cx="5256530" cy="2988310"/>
            <wp:effectExtent l="5080" t="4445" r="11430" b="9525"/>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5820ECC2">
      <w:pPr>
        <w:spacing w:line="600" w:lineRule="exact"/>
        <w:jc w:val="center"/>
        <w:rPr>
          <w:rFonts w:ascii="仿宋" w:hAnsi="仿宋" w:eastAsia="仿宋"/>
          <w:color w:val="auto"/>
          <w:sz w:val="32"/>
          <w:szCs w:val="32"/>
          <w:highlight w:val="none"/>
        </w:rPr>
      </w:pPr>
      <w:r>
        <w:rPr>
          <w:rFonts w:hint="eastAsia" w:ascii="仿宋" w:hAnsi="仿宋" w:eastAsia="仿宋"/>
          <w:color w:val="auto"/>
          <w:sz w:val="32"/>
          <w:szCs w:val="32"/>
          <w:highlight w:val="none"/>
        </w:rPr>
        <w:t>（图3：支出决算结构图）</w:t>
      </w:r>
    </w:p>
    <w:p w14:paraId="7759D707">
      <w:pPr>
        <w:spacing w:line="600" w:lineRule="exact"/>
        <w:ind w:firstLine="640" w:firstLineChars="200"/>
        <w:rPr>
          <w:rFonts w:ascii="仿宋_GB2312" w:eastAsia="仿宋_GB2312"/>
          <w:color w:val="auto"/>
          <w:sz w:val="32"/>
          <w:szCs w:val="32"/>
          <w:highlight w:val="none"/>
        </w:rPr>
      </w:pPr>
    </w:p>
    <w:p w14:paraId="21D58CA0">
      <w:pPr>
        <w:spacing w:line="600" w:lineRule="exact"/>
        <w:ind w:firstLine="640" w:firstLineChars="200"/>
        <w:outlineLvl w:val="1"/>
        <w:rPr>
          <w:rStyle w:val="15"/>
          <w:rFonts w:ascii="黑体" w:hAnsi="黑体" w:eastAsia="黑体"/>
          <w:b w:val="0"/>
          <w:color w:val="auto"/>
          <w:highlight w:val="none"/>
        </w:rPr>
      </w:pPr>
      <w:bookmarkStart w:id="9" w:name="_Toc13588"/>
      <w:r>
        <w:rPr>
          <w:rFonts w:hint="eastAsia" w:ascii="黑体" w:hAnsi="黑体" w:eastAsia="黑体"/>
          <w:color w:val="auto"/>
          <w:sz w:val="32"/>
          <w:szCs w:val="32"/>
          <w:highlight w:val="none"/>
        </w:rPr>
        <w:t>四、财</w:t>
      </w:r>
      <w:r>
        <w:rPr>
          <w:rStyle w:val="15"/>
          <w:rFonts w:hint="eastAsia" w:ascii="黑体" w:hAnsi="黑体" w:eastAsia="黑体"/>
          <w:b w:val="0"/>
          <w:color w:val="auto"/>
          <w:highlight w:val="none"/>
        </w:rPr>
        <w:t>政拨款收入支出决算总体情况说明</w:t>
      </w:r>
      <w:bookmarkEnd w:id="9"/>
    </w:p>
    <w:p w14:paraId="2601DBBF">
      <w:pPr>
        <w:spacing w:line="600" w:lineRule="exact"/>
        <w:ind w:firstLine="640"/>
        <w:rPr>
          <w:rFonts w:ascii="仿宋" w:hAnsi="仿宋" w:eastAsia="仿宋"/>
          <w:color w:val="auto"/>
          <w:sz w:val="32"/>
          <w:szCs w:val="32"/>
          <w:highlight w:val="none"/>
        </w:rPr>
      </w:pPr>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财政拨款收、支总计</w:t>
      </w:r>
      <w:r>
        <w:rPr>
          <w:rFonts w:hint="eastAsia" w:ascii="仿宋" w:hAnsi="仿宋" w:eastAsia="仿宋"/>
          <w:color w:val="auto"/>
          <w:sz w:val="32"/>
          <w:szCs w:val="32"/>
          <w:highlight w:val="none"/>
          <w:lang w:eastAsia="zh-CN"/>
        </w:rPr>
        <w:t>均为</w:t>
      </w:r>
      <w:r>
        <w:rPr>
          <w:rFonts w:hint="eastAsia" w:ascii="仿宋" w:hAnsi="仿宋" w:eastAsia="仿宋"/>
          <w:color w:val="auto"/>
          <w:sz w:val="32"/>
          <w:szCs w:val="32"/>
          <w:highlight w:val="none"/>
        </w:rPr>
        <w:t>3,339.92万元。与</w:t>
      </w:r>
      <w:r>
        <w:rPr>
          <w:rFonts w:hint="eastAsia" w:ascii="仿宋" w:hAnsi="仿宋" w:eastAsia="仿宋"/>
          <w:color w:val="auto"/>
          <w:sz w:val="32"/>
          <w:szCs w:val="32"/>
          <w:highlight w:val="none"/>
          <w:lang w:eastAsia="zh-CN"/>
        </w:rPr>
        <w:t>2022</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相比，财政拨款收、支总计各增加840.96万元，增长33.</w:t>
      </w:r>
      <w:r>
        <w:rPr>
          <w:rFonts w:hint="eastAsia" w:ascii="仿宋" w:hAnsi="仿宋" w:eastAsia="仿宋"/>
          <w:color w:val="auto"/>
          <w:sz w:val="32"/>
          <w:szCs w:val="32"/>
          <w:highlight w:val="none"/>
          <w:lang w:val="en-US" w:eastAsia="zh-CN"/>
        </w:rPr>
        <w:t>7</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。主要变动原因是2022年国省干线第一批小修保养经费</w:t>
      </w:r>
      <w:r>
        <w:rPr>
          <w:rFonts w:hint="eastAsia" w:ascii="仿宋" w:hAnsi="仿宋" w:eastAsia="仿宋"/>
          <w:color w:val="auto"/>
          <w:sz w:val="32"/>
          <w:szCs w:val="32"/>
          <w:highlight w:val="none"/>
          <w:lang w:val="en-US" w:eastAsia="zh-CN"/>
        </w:rPr>
        <w:t>等项目经费增加，社保调标人员经费增加。</w:t>
      </w:r>
    </w:p>
    <w:p w14:paraId="4417EF7C">
      <w:pPr>
        <w:spacing w:line="240" w:lineRule="auto"/>
        <w:rPr>
          <w:rFonts w:ascii="仿宋" w:hAnsi="仿宋" w:eastAsia="仿宋"/>
          <w:color w:val="auto"/>
          <w:sz w:val="32"/>
          <w:szCs w:val="32"/>
          <w:highlight w:val="none"/>
        </w:rPr>
      </w:pPr>
      <w:r>
        <w:rPr>
          <w:rFonts w:hint="eastAsia"/>
          <w:lang w:eastAsia="zh-CN"/>
        </w:rPr>
        <w:drawing>
          <wp:inline distT="0" distB="0" distL="114300" distR="114300">
            <wp:extent cx="5256530" cy="2988310"/>
            <wp:effectExtent l="5080" t="4445" r="8890" b="7620"/>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15068791">
      <w:pPr>
        <w:spacing w:line="600" w:lineRule="exact"/>
        <w:jc w:val="center"/>
        <w:rPr>
          <w:rFonts w:ascii="仿宋" w:hAnsi="仿宋" w:eastAsia="仿宋"/>
          <w:color w:val="auto"/>
          <w:sz w:val="32"/>
          <w:szCs w:val="32"/>
          <w:highlight w:val="none"/>
        </w:rPr>
      </w:pPr>
      <w:r>
        <w:rPr>
          <w:rFonts w:hint="eastAsia" w:ascii="仿宋" w:hAnsi="仿宋" w:eastAsia="仿宋"/>
          <w:color w:val="auto"/>
          <w:sz w:val="32"/>
          <w:szCs w:val="32"/>
          <w:highlight w:val="none"/>
        </w:rPr>
        <w:t>（图4：财政拨款收、支决算总计变动情况）</w:t>
      </w:r>
    </w:p>
    <w:p w14:paraId="66A32B68">
      <w:pPr>
        <w:spacing w:line="600" w:lineRule="exact"/>
        <w:ind w:firstLine="640"/>
        <w:rPr>
          <w:rFonts w:ascii="仿宋" w:hAnsi="仿宋" w:eastAsia="仿宋"/>
          <w:b/>
          <w:color w:val="auto"/>
          <w:sz w:val="32"/>
          <w:szCs w:val="32"/>
          <w:highlight w:val="none"/>
        </w:rPr>
      </w:pPr>
    </w:p>
    <w:p w14:paraId="465DD814">
      <w:pPr>
        <w:spacing w:line="600" w:lineRule="exact"/>
        <w:ind w:firstLine="640" w:firstLineChars="200"/>
        <w:outlineLvl w:val="1"/>
        <w:rPr>
          <w:rStyle w:val="15"/>
          <w:rFonts w:ascii="黑体" w:hAnsi="黑体" w:eastAsia="黑体"/>
          <w:b w:val="0"/>
          <w:color w:val="auto"/>
          <w:highlight w:val="none"/>
        </w:rPr>
      </w:pPr>
      <w:bookmarkStart w:id="10" w:name="_Toc26451"/>
      <w:r>
        <w:rPr>
          <w:rFonts w:hint="eastAsia" w:ascii="黑体" w:hAnsi="黑体" w:eastAsia="黑体"/>
          <w:color w:val="auto"/>
          <w:sz w:val="32"/>
          <w:szCs w:val="32"/>
          <w:highlight w:val="none"/>
        </w:rPr>
        <w:t>五、</w:t>
      </w:r>
      <w:r>
        <w:rPr>
          <w:rFonts w:hint="eastAsia" w:ascii="黑体" w:hAnsi="黑体" w:eastAsia="黑体"/>
          <w:b/>
          <w:color w:val="auto"/>
          <w:sz w:val="32"/>
          <w:szCs w:val="32"/>
          <w:highlight w:val="none"/>
        </w:rPr>
        <w:t>一</w:t>
      </w:r>
      <w:r>
        <w:rPr>
          <w:rStyle w:val="15"/>
          <w:rFonts w:hint="eastAsia" w:ascii="黑体" w:hAnsi="黑体" w:eastAsia="黑体"/>
          <w:b w:val="0"/>
          <w:color w:val="auto"/>
          <w:highlight w:val="none"/>
        </w:rPr>
        <w:t>般公共预算财政拨款支出决算情况说明</w:t>
      </w:r>
      <w:bookmarkEnd w:id="10"/>
    </w:p>
    <w:p w14:paraId="068F9001">
      <w:pPr>
        <w:spacing w:line="600" w:lineRule="exact"/>
        <w:ind w:firstLine="643" w:firstLineChars="200"/>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（一）一般公共预算财政拨款支出决算总体情况</w:t>
      </w:r>
    </w:p>
    <w:p w14:paraId="12E646ED">
      <w:pPr>
        <w:spacing w:line="600" w:lineRule="exact"/>
        <w:ind w:firstLine="640" w:firstLineChars="200"/>
        <w:rPr>
          <w:rFonts w:ascii="仿宋" w:hAnsi="仿宋" w:eastAsia="仿宋"/>
          <w:color w:val="auto"/>
          <w:sz w:val="32"/>
          <w:szCs w:val="32"/>
          <w:highlight w:val="none"/>
        </w:rPr>
      </w:pPr>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一般公共预算财政拨款支出3,339.92万元，占本年支出合计的</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。与</w:t>
      </w:r>
      <w:r>
        <w:rPr>
          <w:rFonts w:hint="eastAsia" w:ascii="仿宋" w:hAnsi="仿宋" w:eastAsia="仿宋"/>
          <w:color w:val="auto"/>
          <w:sz w:val="32"/>
          <w:szCs w:val="32"/>
          <w:highlight w:val="none"/>
          <w:lang w:eastAsia="zh-CN"/>
        </w:rPr>
        <w:t>2022</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相比，一般公共预算财政拨款</w:t>
      </w:r>
      <w:r>
        <w:rPr>
          <w:rFonts w:hint="eastAsia" w:ascii="仿宋" w:hAnsi="仿宋" w:eastAsia="仿宋"/>
          <w:color w:val="auto"/>
          <w:sz w:val="32"/>
          <w:szCs w:val="32"/>
          <w:highlight w:val="none"/>
          <w:lang w:eastAsia="zh-CN"/>
        </w:rPr>
        <w:t>支出</w:t>
      </w:r>
      <w:r>
        <w:rPr>
          <w:rFonts w:hint="eastAsia" w:ascii="仿宋" w:hAnsi="仿宋" w:eastAsia="仿宋"/>
          <w:color w:val="auto"/>
          <w:sz w:val="32"/>
          <w:szCs w:val="32"/>
          <w:highlight w:val="none"/>
        </w:rPr>
        <w:t>增加840.96万元，增长33.</w:t>
      </w:r>
      <w:r>
        <w:rPr>
          <w:rFonts w:hint="eastAsia" w:ascii="仿宋" w:hAnsi="仿宋" w:eastAsia="仿宋"/>
          <w:color w:val="auto"/>
          <w:sz w:val="32"/>
          <w:szCs w:val="32"/>
          <w:highlight w:val="none"/>
          <w:lang w:val="en-US" w:eastAsia="zh-CN"/>
        </w:rPr>
        <w:t>7</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。主要变动原因是2022年国省干线第一批小修保养经费</w:t>
      </w:r>
      <w:r>
        <w:rPr>
          <w:rFonts w:hint="eastAsia" w:ascii="仿宋" w:hAnsi="仿宋" w:eastAsia="仿宋"/>
          <w:color w:val="auto"/>
          <w:sz w:val="32"/>
          <w:szCs w:val="32"/>
          <w:highlight w:val="none"/>
          <w:lang w:val="en-US" w:eastAsia="zh-CN"/>
        </w:rPr>
        <w:t>等项目经费增加，社保调标人员经费增加。</w:t>
      </w:r>
    </w:p>
    <w:p w14:paraId="53D7812D">
      <w:pPr>
        <w:spacing w:line="240" w:lineRule="auto"/>
        <w:ind w:firstLine="0" w:firstLineChars="0"/>
        <w:rPr>
          <w:rFonts w:ascii="仿宋" w:hAnsi="仿宋" w:eastAsia="仿宋"/>
          <w:color w:val="auto"/>
          <w:sz w:val="32"/>
          <w:szCs w:val="32"/>
          <w:highlight w:val="none"/>
        </w:rPr>
      </w:pPr>
      <w:r>
        <w:rPr>
          <w:rFonts w:hint="eastAsia"/>
          <w:lang w:eastAsia="zh-CN"/>
        </w:rPr>
        <w:drawing>
          <wp:inline distT="0" distB="0" distL="114300" distR="114300">
            <wp:extent cx="5256530" cy="2988310"/>
            <wp:effectExtent l="5080" t="4445" r="8890" b="7620"/>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65D05CB7">
      <w:pPr>
        <w:spacing w:line="600" w:lineRule="exact"/>
        <w:ind w:firstLine="640" w:firstLineChars="200"/>
        <w:rPr>
          <w:rFonts w:ascii="仿宋" w:hAnsi="仿宋" w:eastAsia="仿宋"/>
          <w:color w:val="auto"/>
          <w:sz w:val="32"/>
          <w:szCs w:val="32"/>
          <w:highlight w:val="none"/>
        </w:rPr>
      </w:pPr>
      <w:r>
        <w:rPr>
          <w:rFonts w:hint="eastAsia" w:ascii="仿宋" w:hAnsi="仿宋" w:eastAsia="仿宋"/>
          <w:color w:val="auto"/>
          <w:sz w:val="32"/>
          <w:szCs w:val="32"/>
          <w:highlight w:val="none"/>
        </w:rPr>
        <w:t>（图5：一般公共预算财政拨款支出决算变动情况）</w:t>
      </w:r>
    </w:p>
    <w:p w14:paraId="4F0826E6">
      <w:pPr>
        <w:spacing w:line="600" w:lineRule="exact"/>
        <w:ind w:firstLine="640" w:firstLineChars="200"/>
        <w:rPr>
          <w:rFonts w:ascii="仿宋" w:hAnsi="仿宋" w:eastAsia="仿宋"/>
          <w:color w:val="auto"/>
          <w:sz w:val="32"/>
          <w:szCs w:val="32"/>
          <w:highlight w:val="none"/>
        </w:rPr>
      </w:pPr>
    </w:p>
    <w:p w14:paraId="398DC522">
      <w:pPr>
        <w:spacing w:line="600" w:lineRule="exact"/>
        <w:ind w:firstLine="643" w:firstLineChars="200"/>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（二）一般公共预算财政拨款支出决算结构情况</w:t>
      </w:r>
    </w:p>
    <w:p w14:paraId="3D565C54">
      <w:pPr>
        <w:spacing w:line="600" w:lineRule="exact"/>
        <w:ind w:firstLine="640"/>
        <w:rPr>
          <w:rFonts w:hint="eastAsia" w:ascii="仿宋" w:hAnsi="仿宋" w:eastAsia="仿宋"/>
          <w:b/>
          <w:color w:val="auto"/>
          <w:sz w:val="32"/>
          <w:szCs w:val="32"/>
          <w:highlight w:val="none"/>
        </w:rPr>
      </w:pPr>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一般公共预算财政拨款支出3,339.92万元，主要用于以下方面</w:t>
      </w:r>
      <w:r>
        <w:rPr>
          <w:rFonts w:hint="eastAsia" w:ascii="仿宋" w:hAnsi="仿宋" w:eastAsia="仿宋"/>
          <w:color w:val="auto"/>
          <w:sz w:val="32"/>
          <w:szCs w:val="32"/>
          <w:highlight w:val="none"/>
          <w:lang w:eastAsia="zh-CN"/>
        </w:rPr>
        <w:t>：</w:t>
      </w:r>
      <w:r>
        <w:rPr>
          <w:rFonts w:hint="eastAsia" w:ascii="仿宋" w:hAnsi="仿宋" w:eastAsia="仿宋"/>
          <w:b/>
          <w:color w:val="auto"/>
          <w:sz w:val="32"/>
          <w:szCs w:val="32"/>
          <w:highlight w:val="none"/>
        </w:rPr>
        <w:t>社会保障和就业支出</w:t>
      </w:r>
      <w:r>
        <w:rPr>
          <w:rFonts w:hint="eastAsia" w:ascii="仿宋" w:hAnsi="仿宋" w:eastAsia="仿宋"/>
          <w:b/>
          <w:bCs/>
          <w:color w:val="auto"/>
          <w:sz w:val="32"/>
          <w:szCs w:val="32"/>
          <w:highlight w:val="none"/>
        </w:rPr>
        <w:t>325.01</w:t>
      </w:r>
      <w:r>
        <w:rPr>
          <w:rFonts w:hint="eastAsia" w:ascii="仿宋" w:hAnsi="仿宋" w:eastAsia="仿宋"/>
          <w:color w:val="auto"/>
          <w:sz w:val="32"/>
          <w:szCs w:val="32"/>
          <w:highlight w:val="none"/>
        </w:rPr>
        <w:t>万元，占9.7</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color w:val="auto"/>
          <w:sz w:val="32"/>
          <w:szCs w:val="32"/>
          <w:highlight w:val="none"/>
        </w:rPr>
        <w:t>卫生健康支出165.16</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5</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color w:val="auto"/>
          <w:sz w:val="32"/>
          <w:szCs w:val="32"/>
          <w:highlight w:val="none"/>
        </w:rPr>
        <w:t>交通运输支出2,667.75</w:t>
      </w:r>
      <w:r>
        <w:rPr>
          <w:rFonts w:hint="eastAsia" w:ascii="仿宋" w:hAnsi="仿宋" w:eastAsia="仿宋"/>
          <w:color w:val="auto"/>
          <w:sz w:val="32"/>
          <w:szCs w:val="32"/>
          <w:highlight w:val="none"/>
        </w:rPr>
        <w:t>万元，占79.</w:t>
      </w:r>
      <w:r>
        <w:rPr>
          <w:rFonts w:hint="eastAsia" w:ascii="仿宋" w:hAnsi="仿宋" w:eastAsia="仿宋"/>
          <w:color w:val="auto"/>
          <w:sz w:val="32"/>
          <w:szCs w:val="32"/>
          <w:highlight w:val="none"/>
          <w:lang w:val="en-US" w:eastAsia="zh-CN"/>
        </w:rPr>
        <w:t>9</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bCs/>
          <w:color w:val="auto"/>
          <w:sz w:val="32"/>
          <w:szCs w:val="32"/>
          <w:highlight w:val="none"/>
        </w:rPr>
        <w:t>住房保障支出182.01</w:t>
      </w:r>
      <w:r>
        <w:rPr>
          <w:rFonts w:hint="eastAsia" w:ascii="仿宋" w:hAnsi="仿宋" w:eastAsia="仿宋"/>
          <w:color w:val="auto"/>
          <w:sz w:val="32"/>
          <w:szCs w:val="32"/>
          <w:highlight w:val="none"/>
        </w:rPr>
        <w:t>万元，占5.</w:t>
      </w:r>
      <w:r>
        <w:rPr>
          <w:rFonts w:hint="eastAsia" w:ascii="仿宋" w:hAnsi="仿宋" w:eastAsia="仿宋"/>
          <w:color w:val="auto"/>
          <w:sz w:val="32"/>
          <w:szCs w:val="32"/>
          <w:highlight w:val="none"/>
          <w:lang w:val="en-US" w:eastAsia="zh-CN"/>
        </w:rPr>
        <w:t>5</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p>
    <w:p w14:paraId="4CC9FFFF">
      <w:pPr>
        <w:spacing w:line="240" w:lineRule="auto"/>
        <w:ind w:firstLine="0"/>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lang w:eastAsia="zh-CN"/>
        </w:rPr>
        <w:drawing>
          <wp:inline distT="0" distB="0" distL="114300" distR="114300">
            <wp:extent cx="5256530" cy="2988310"/>
            <wp:effectExtent l="5080" t="4445" r="8890" b="7620"/>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6F93D876">
      <w:pPr>
        <w:spacing w:line="600" w:lineRule="exact"/>
        <w:jc w:val="center"/>
        <w:rPr>
          <w:rFonts w:ascii="仿宋" w:hAnsi="仿宋" w:eastAsia="仿宋"/>
          <w:color w:val="auto"/>
          <w:sz w:val="32"/>
          <w:szCs w:val="32"/>
          <w:highlight w:val="none"/>
        </w:rPr>
      </w:pPr>
      <w:r>
        <w:rPr>
          <w:rFonts w:hint="eastAsia" w:ascii="仿宋" w:hAnsi="仿宋" w:eastAsia="仿宋"/>
          <w:color w:val="auto"/>
          <w:sz w:val="32"/>
          <w:szCs w:val="32"/>
          <w:highlight w:val="none"/>
        </w:rPr>
        <w:t>（图6：一般公共预算财政拨款支出决算结构）</w:t>
      </w:r>
    </w:p>
    <w:p w14:paraId="1927F284">
      <w:pPr>
        <w:spacing w:line="600" w:lineRule="exact"/>
        <w:ind w:firstLine="640" w:firstLineChars="200"/>
        <w:rPr>
          <w:rFonts w:ascii="仿宋" w:hAnsi="仿宋" w:eastAsia="仿宋"/>
          <w:color w:val="auto"/>
          <w:sz w:val="32"/>
          <w:szCs w:val="32"/>
          <w:highlight w:val="none"/>
        </w:rPr>
      </w:pPr>
    </w:p>
    <w:p w14:paraId="79740E90">
      <w:pPr>
        <w:spacing w:line="600" w:lineRule="exact"/>
        <w:ind w:firstLine="643" w:firstLineChars="200"/>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（三）一般公共预算财政拨款支出决算具体情况</w:t>
      </w:r>
    </w:p>
    <w:p w14:paraId="5B827909">
      <w:pPr>
        <w:spacing w:line="600" w:lineRule="exact"/>
        <w:ind w:firstLine="643" w:firstLineChars="200"/>
        <w:outlineLvl w:val="2"/>
        <w:rPr>
          <w:rFonts w:ascii="仿宋" w:hAnsi="仿宋" w:eastAsia="仿宋"/>
          <w:color w:val="auto"/>
          <w:sz w:val="32"/>
          <w:szCs w:val="32"/>
          <w:highlight w:val="none"/>
        </w:rPr>
      </w:pPr>
      <w:r>
        <w:rPr>
          <w:rFonts w:hint="eastAsia" w:ascii="仿宋" w:hAnsi="仿宋" w:eastAsia="仿宋"/>
          <w:b/>
          <w:color w:val="auto"/>
          <w:sz w:val="32"/>
          <w:szCs w:val="32"/>
          <w:highlight w:val="none"/>
          <w:lang w:eastAsia="zh-CN"/>
        </w:rPr>
        <w:t>2023</w:t>
      </w:r>
      <w:r>
        <w:rPr>
          <w:rFonts w:hint="eastAsia" w:ascii="仿宋" w:hAnsi="仿宋" w:eastAsia="仿宋"/>
          <w:b/>
          <w:color w:val="auto"/>
          <w:sz w:val="32"/>
          <w:szCs w:val="32"/>
          <w:highlight w:val="none"/>
        </w:rPr>
        <w:t>年</w:t>
      </w:r>
      <w:r>
        <w:rPr>
          <w:rFonts w:hint="eastAsia" w:ascii="仿宋" w:hAnsi="仿宋" w:eastAsia="仿宋"/>
          <w:b/>
          <w:color w:val="auto"/>
          <w:sz w:val="32"/>
          <w:szCs w:val="32"/>
          <w:highlight w:val="none"/>
          <w:lang w:eastAsia="zh-CN"/>
        </w:rPr>
        <w:t>度一</w:t>
      </w:r>
      <w:r>
        <w:rPr>
          <w:rFonts w:hint="eastAsia" w:ascii="仿宋" w:hAnsi="仿宋" w:eastAsia="仿宋"/>
          <w:b/>
          <w:color w:val="auto"/>
          <w:sz w:val="32"/>
          <w:szCs w:val="32"/>
          <w:highlight w:val="none"/>
        </w:rPr>
        <w:t>般公共预算支出决算数为3,339.92</w:t>
      </w:r>
      <w:r>
        <w:rPr>
          <w:rFonts w:hint="eastAsia" w:ascii="仿宋" w:hAnsi="仿宋" w:eastAsia="仿宋"/>
          <w:b/>
          <w:color w:val="auto"/>
          <w:sz w:val="32"/>
          <w:szCs w:val="32"/>
          <w:highlight w:val="none"/>
          <w:lang w:val="en-US" w:eastAsia="zh-CN"/>
        </w:rPr>
        <w:t>万元</w:t>
      </w:r>
      <w:r>
        <w:rPr>
          <w:rFonts w:hint="eastAsia" w:ascii="仿宋" w:hAnsi="仿宋" w:eastAsia="仿宋"/>
          <w:color w:val="auto"/>
          <w:sz w:val="32"/>
          <w:szCs w:val="32"/>
          <w:highlight w:val="none"/>
        </w:rPr>
        <w:t>，</w:t>
      </w:r>
      <w:r>
        <w:rPr>
          <w:rStyle w:val="13"/>
          <w:rFonts w:hint="eastAsia" w:ascii="仿宋" w:hAnsi="仿宋" w:eastAsia="仿宋"/>
          <w:bCs/>
          <w:color w:val="auto"/>
          <w:sz w:val="32"/>
          <w:szCs w:val="32"/>
          <w:highlight w:val="none"/>
        </w:rPr>
        <w:t>完成预算</w:t>
      </w:r>
      <w:r>
        <w:rPr>
          <w:rStyle w:val="13"/>
          <w:rFonts w:hint="eastAsia" w:ascii="仿宋" w:hAnsi="仿宋" w:eastAsia="仿宋"/>
          <w:bCs/>
          <w:color w:val="auto"/>
          <w:sz w:val="32"/>
          <w:szCs w:val="32"/>
          <w:highlight w:val="none"/>
          <w:lang w:val="en-US" w:eastAsia="zh-CN"/>
        </w:rPr>
        <w:t>100</w:t>
      </w:r>
      <w:r>
        <w:rPr>
          <w:rStyle w:val="13"/>
          <w:rFonts w:ascii="仿宋" w:hAnsi="仿宋" w:eastAsia="仿宋"/>
          <w:bCs/>
          <w:color w:val="auto"/>
          <w:sz w:val="32"/>
          <w:szCs w:val="32"/>
          <w:highlight w:val="none"/>
        </w:rPr>
        <w:t>%</w:t>
      </w:r>
      <w:r>
        <w:rPr>
          <w:rStyle w:val="13"/>
          <w:rFonts w:hint="eastAsia" w:ascii="仿宋" w:hAnsi="仿宋" w:eastAsia="仿宋"/>
          <w:bCs/>
          <w:color w:val="auto"/>
          <w:sz w:val="32"/>
          <w:szCs w:val="32"/>
          <w:highlight w:val="none"/>
        </w:rPr>
        <w:t>。其中：</w:t>
      </w:r>
    </w:p>
    <w:p w14:paraId="70DAE47E">
      <w:pPr>
        <w:spacing w:line="600" w:lineRule="exact"/>
        <w:ind w:firstLine="643" w:firstLineChars="200"/>
        <w:rPr>
          <w:rFonts w:ascii="仿宋" w:hAnsi="仿宋" w:eastAsia="仿宋"/>
          <w:b/>
          <w:color w:val="auto"/>
          <w:sz w:val="32"/>
          <w:szCs w:val="32"/>
          <w:highlight w:val="none"/>
        </w:rPr>
      </w:pPr>
      <w:r>
        <w:rPr>
          <w:rStyle w:val="13"/>
          <w:rFonts w:ascii="仿宋" w:hAnsi="仿宋" w:eastAsia="仿宋"/>
          <w:bCs/>
          <w:color w:val="auto"/>
          <w:sz w:val="32"/>
          <w:szCs w:val="32"/>
          <w:highlight w:val="none"/>
        </w:rPr>
        <w:t>1.</w:t>
      </w:r>
      <w:r>
        <w:rPr>
          <w:rStyle w:val="13"/>
          <w:rFonts w:hint="eastAsia" w:ascii="仿宋" w:hAnsi="仿宋" w:eastAsia="仿宋"/>
          <w:bCs/>
          <w:color w:val="auto"/>
          <w:sz w:val="32"/>
          <w:szCs w:val="32"/>
          <w:highlight w:val="none"/>
        </w:rPr>
        <w:t>社会保障和就业支出（类）行政事业单位养老支出（款）机关事业单位基本养老保险缴费支出（项）</w:t>
      </w:r>
      <w:r>
        <w:rPr>
          <w:rStyle w:val="13"/>
          <w:rFonts w:hint="eastAsia" w:ascii="仿宋" w:hAnsi="仿宋" w:eastAsia="仿宋"/>
          <w:bCs/>
          <w:color w:val="auto"/>
          <w:sz w:val="32"/>
          <w:szCs w:val="32"/>
          <w:highlight w:val="none"/>
          <w:lang w:eastAsia="zh-CN"/>
        </w:rPr>
        <w:t>：</w:t>
      </w:r>
      <w:r>
        <w:rPr>
          <w:rStyle w:val="13"/>
          <w:rFonts w:ascii="仿宋" w:hAnsi="仿宋" w:eastAsia="仿宋"/>
          <w:b w:val="0"/>
          <w:bCs/>
          <w:color w:val="auto"/>
          <w:sz w:val="32"/>
          <w:szCs w:val="32"/>
          <w:highlight w:val="none"/>
        </w:rPr>
        <w:t xml:space="preserve"> </w:t>
      </w:r>
      <w:r>
        <w:rPr>
          <w:rStyle w:val="13"/>
          <w:rFonts w:hint="eastAsia" w:ascii="仿宋" w:hAnsi="仿宋" w:eastAsia="仿宋"/>
          <w:b w:val="0"/>
          <w:bCs/>
          <w:color w:val="auto"/>
          <w:sz w:val="32"/>
          <w:szCs w:val="32"/>
          <w:highlight w:val="none"/>
        </w:rPr>
        <w:t>支出决算为216.67万元，完成预算</w:t>
      </w:r>
      <w:r>
        <w:rPr>
          <w:rStyle w:val="13"/>
          <w:rFonts w:hint="eastAsia" w:ascii="仿宋" w:hAnsi="仿宋" w:eastAsia="仿宋"/>
          <w:b w:val="0"/>
          <w:bCs/>
          <w:color w:val="auto"/>
          <w:sz w:val="32"/>
          <w:szCs w:val="32"/>
          <w:highlight w:val="none"/>
          <w:lang w:val="en-US" w:eastAsia="zh-CN"/>
        </w:rPr>
        <w:t>100</w:t>
      </w:r>
      <w:r>
        <w:rPr>
          <w:rStyle w:val="13"/>
          <w:rFonts w:ascii="仿宋" w:hAnsi="仿宋" w:eastAsia="仿宋"/>
          <w:b w:val="0"/>
          <w:bCs/>
          <w:color w:val="auto"/>
          <w:sz w:val="32"/>
          <w:szCs w:val="32"/>
          <w:highlight w:val="none"/>
        </w:rPr>
        <w:t>%</w:t>
      </w:r>
      <w:r>
        <w:rPr>
          <w:rStyle w:val="13"/>
          <w:rFonts w:hint="eastAsia" w:ascii="仿宋" w:hAnsi="仿宋" w:eastAsia="仿宋"/>
          <w:b w:val="0"/>
          <w:bCs/>
          <w:color w:val="auto"/>
          <w:sz w:val="32"/>
          <w:szCs w:val="32"/>
          <w:highlight w:val="none"/>
          <w:lang w:eastAsia="zh-CN"/>
        </w:rPr>
        <w:t>，</w:t>
      </w:r>
      <w:r>
        <w:rPr>
          <w:rStyle w:val="13"/>
          <w:rFonts w:hint="eastAsia" w:ascii="仿宋" w:hAnsi="仿宋" w:eastAsia="仿宋"/>
          <w:b w:val="0"/>
          <w:bCs/>
          <w:color w:val="auto"/>
          <w:sz w:val="32"/>
          <w:szCs w:val="32"/>
          <w:highlight w:val="none"/>
        </w:rPr>
        <w:t>决算数等于预算数。</w:t>
      </w:r>
    </w:p>
    <w:p w14:paraId="6D854FDF">
      <w:pPr>
        <w:spacing w:line="600" w:lineRule="exact"/>
        <w:ind w:firstLine="643" w:firstLineChars="200"/>
        <w:rPr>
          <w:rFonts w:ascii="仿宋" w:hAnsi="仿宋" w:eastAsia="仿宋"/>
          <w:b/>
          <w:color w:val="auto"/>
          <w:sz w:val="32"/>
          <w:szCs w:val="32"/>
          <w:highlight w:val="none"/>
        </w:rPr>
      </w:pPr>
      <w:r>
        <w:rPr>
          <w:rStyle w:val="13"/>
          <w:rFonts w:ascii="仿宋" w:hAnsi="仿宋" w:eastAsia="仿宋"/>
          <w:bCs/>
          <w:color w:val="auto"/>
          <w:sz w:val="32"/>
          <w:szCs w:val="32"/>
          <w:highlight w:val="none"/>
        </w:rPr>
        <w:t>2.</w:t>
      </w:r>
      <w:r>
        <w:rPr>
          <w:rStyle w:val="13"/>
          <w:rFonts w:hint="eastAsia" w:ascii="仿宋" w:hAnsi="仿宋" w:eastAsia="仿宋"/>
          <w:bCs/>
          <w:color w:val="auto"/>
          <w:sz w:val="32"/>
          <w:szCs w:val="32"/>
          <w:highlight w:val="none"/>
        </w:rPr>
        <w:t>社会保障和就业支出（类）行政事业单位养老支出（款）机关事业单位职业年金缴费支出（项）</w:t>
      </w:r>
      <w:r>
        <w:rPr>
          <w:rStyle w:val="13"/>
          <w:rFonts w:hint="eastAsia" w:ascii="仿宋" w:hAnsi="仿宋" w:eastAsia="仿宋"/>
          <w:bCs/>
          <w:color w:val="auto"/>
          <w:sz w:val="32"/>
          <w:szCs w:val="32"/>
          <w:highlight w:val="none"/>
          <w:lang w:eastAsia="zh-CN"/>
        </w:rPr>
        <w:t>：</w:t>
      </w:r>
      <w:r>
        <w:rPr>
          <w:rStyle w:val="13"/>
          <w:rFonts w:ascii="仿宋" w:hAnsi="仿宋" w:eastAsia="仿宋"/>
          <w:b w:val="0"/>
          <w:bCs/>
          <w:color w:val="auto"/>
          <w:sz w:val="32"/>
          <w:szCs w:val="32"/>
          <w:highlight w:val="none"/>
        </w:rPr>
        <w:t xml:space="preserve"> </w:t>
      </w:r>
      <w:r>
        <w:rPr>
          <w:rStyle w:val="13"/>
          <w:rFonts w:hint="eastAsia" w:ascii="仿宋" w:hAnsi="仿宋" w:eastAsia="仿宋"/>
          <w:b w:val="0"/>
          <w:bCs/>
          <w:color w:val="auto"/>
          <w:sz w:val="32"/>
          <w:szCs w:val="32"/>
          <w:highlight w:val="none"/>
        </w:rPr>
        <w:t>支出决算为108.34万元，完成预算</w:t>
      </w:r>
      <w:r>
        <w:rPr>
          <w:rStyle w:val="13"/>
          <w:rFonts w:hint="eastAsia" w:ascii="仿宋" w:hAnsi="仿宋" w:eastAsia="仿宋"/>
          <w:b w:val="0"/>
          <w:bCs/>
          <w:color w:val="auto"/>
          <w:sz w:val="32"/>
          <w:szCs w:val="32"/>
          <w:highlight w:val="none"/>
          <w:lang w:val="en-US" w:eastAsia="zh-CN"/>
        </w:rPr>
        <w:t>100</w:t>
      </w:r>
      <w:r>
        <w:rPr>
          <w:rStyle w:val="13"/>
          <w:rFonts w:ascii="仿宋" w:hAnsi="仿宋" w:eastAsia="仿宋"/>
          <w:b w:val="0"/>
          <w:bCs/>
          <w:color w:val="auto"/>
          <w:sz w:val="32"/>
          <w:szCs w:val="32"/>
          <w:highlight w:val="none"/>
        </w:rPr>
        <w:t>%</w:t>
      </w:r>
      <w:r>
        <w:rPr>
          <w:rStyle w:val="13"/>
          <w:rFonts w:hint="eastAsia" w:ascii="仿宋" w:hAnsi="仿宋" w:eastAsia="仿宋"/>
          <w:b w:val="0"/>
          <w:bCs/>
          <w:color w:val="auto"/>
          <w:sz w:val="32"/>
          <w:szCs w:val="32"/>
          <w:highlight w:val="none"/>
          <w:lang w:eastAsia="zh-CN"/>
        </w:rPr>
        <w:t>，</w:t>
      </w:r>
      <w:r>
        <w:rPr>
          <w:rStyle w:val="13"/>
          <w:rFonts w:hint="eastAsia" w:ascii="仿宋" w:hAnsi="仿宋" w:eastAsia="仿宋"/>
          <w:b w:val="0"/>
          <w:bCs/>
          <w:color w:val="auto"/>
          <w:sz w:val="32"/>
          <w:szCs w:val="32"/>
          <w:highlight w:val="none"/>
        </w:rPr>
        <w:t>决算数等于预算数。</w:t>
      </w:r>
    </w:p>
    <w:p w14:paraId="3656ED11">
      <w:pPr>
        <w:spacing w:line="600" w:lineRule="exact"/>
        <w:ind w:firstLine="643" w:firstLineChars="200"/>
        <w:rPr>
          <w:rFonts w:ascii="仿宋" w:hAnsi="仿宋" w:eastAsia="仿宋"/>
          <w:b/>
          <w:color w:val="auto"/>
          <w:sz w:val="32"/>
          <w:szCs w:val="32"/>
          <w:highlight w:val="none"/>
        </w:rPr>
      </w:pPr>
      <w:r>
        <w:rPr>
          <w:rStyle w:val="13"/>
          <w:rFonts w:ascii="仿宋" w:hAnsi="仿宋" w:eastAsia="仿宋"/>
          <w:bCs/>
          <w:color w:val="auto"/>
          <w:sz w:val="32"/>
          <w:szCs w:val="32"/>
          <w:highlight w:val="none"/>
        </w:rPr>
        <w:t>3.</w:t>
      </w:r>
      <w:r>
        <w:rPr>
          <w:rStyle w:val="13"/>
          <w:rFonts w:hint="eastAsia" w:ascii="仿宋" w:hAnsi="仿宋" w:eastAsia="仿宋"/>
          <w:bCs/>
          <w:color w:val="auto"/>
          <w:sz w:val="32"/>
          <w:szCs w:val="32"/>
          <w:highlight w:val="none"/>
        </w:rPr>
        <w:t>卫生健康支出（类）行政事业单位医疗（款）事业单位医疗（项）</w:t>
      </w:r>
      <w:r>
        <w:rPr>
          <w:rStyle w:val="13"/>
          <w:rFonts w:hint="eastAsia" w:ascii="仿宋" w:hAnsi="仿宋" w:eastAsia="仿宋"/>
          <w:bCs/>
          <w:color w:val="auto"/>
          <w:sz w:val="32"/>
          <w:szCs w:val="32"/>
          <w:highlight w:val="none"/>
          <w:lang w:eastAsia="zh-CN"/>
        </w:rPr>
        <w:t>：</w:t>
      </w:r>
      <w:r>
        <w:rPr>
          <w:rStyle w:val="13"/>
          <w:rFonts w:ascii="仿宋" w:hAnsi="仿宋" w:eastAsia="仿宋"/>
          <w:b w:val="0"/>
          <w:bCs/>
          <w:color w:val="auto"/>
          <w:sz w:val="32"/>
          <w:szCs w:val="32"/>
          <w:highlight w:val="none"/>
        </w:rPr>
        <w:t xml:space="preserve"> </w:t>
      </w:r>
      <w:r>
        <w:rPr>
          <w:rStyle w:val="13"/>
          <w:rFonts w:hint="eastAsia" w:ascii="仿宋" w:hAnsi="仿宋" w:eastAsia="仿宋"/>
          <w:b w:val="0"/>
          <w:bCs/>
          <w:color w:val="auto"/>
          <w:sz w:val="32"/>
          <w:szCs w:val="32"/>
          <w:highlight w:val="none"/>
        </w:rPr>
        <w:t>支出决算为110.74万元，完成预算</w:t>
      </w:r>
      <w:r>
        <w:rPr>
          <w:rStyle w:val="13"/>
          <w:rFonts w:hint="eastAsia" w:ascii="仿宋" w:hAnsi="仿宋" w:eastAsia="仿宋"/>
          <w:b w:val="0"/>
          <w:bCs/>
          <w:color w:val="auto"/>
          <w:sz w:val="32"/>
          <w:szCs w:val="32"/>
          <w:highlight w:val="none"/>
          <w:lang w:val="en-US" w:eastAsia="zh-CN"/>
        </w:rPr>
        <w:t>100</w:t>
      </w:r>
      <w:r>
        <w:rPr>
          <w:rStyle w:val="13"/>
          <w:rFonts w:ascii="仿宋" w:hAnsi="仿宋" w:eastAsia="仿宋"/>
          <w:b w:val="0"/>
          <w:bCs/>
          <w:color w:val="auto"/>
          <w:sz w:val="32"/>
          <w:szCs w:val="32"/>
          <w:highlight w:val="none"/>
        </w:rPr>
        <w:t>%</w:t>
      </w:r>
      <w:r>
        <w:rPr>
          <w:rStyle w:val="13"/>
          <w:rFonts w:hint="eastAsia" w:ascii="仿宋" w:hAnsi="仿宋" w:eastAsia="仿宋"/>
          <w:b w:val="0"/>
          <w:bCs/>
          <w:color w:val="auto"/>
          <w:sz w:val="32"/>
          <w:szCs w:val="32"/>
          <w:highlight w:val="none"/>
          <w:lang w:eastAsia="zh-CN"/>
        </w:rPr>
        <w:t>，</w:t>
      </w:r>
      <w:r>
        <w:rPr>
          <w:rStyle w:val="13"/>
          <w:rFonts w:hint="eastAsia" w:ascii="仿宋" w:hAnsi="仿宋" w:eastAsia="仿宋"/>
          <w:b w:val="0"/>
          <w:bCs/>
          <w:color w:val="auto"/>
          <w:sz w:val="32"/>
          <w:szCs w:val="32"/>
          <w:highlight w:val="none"/>
        </w:rPr>
        <w:t>决算数等于预算数。</w:t>
      </w:r>
    </w:p>
    <w:p w14:paraId="3C8A97CB">
      <w:pPr>
        <w:spacing w:line="600" w:lineRule="exact"/>
        <w:ind w:firstLine="643" w:firstLineChars="200"/>
        <w:rPr>
          <w:rFonts w:ascii="仿宋" w:hAnsi="仿宋" w:eastAsia="仿宋"/>
          <w:b/>
          <w:color w:val="auto"/>
          <w:sz w:val="32"/>
          <w:szCs w:val="32"/>
          <w:highlight w:val="none"/>
        </w:rPr>
      </w:pPr>
      <w:r>
        <w:rPr>
          <w:rStyle w:val="13"/>
          <w:rFonts w:ascii="仿宋" w:hAnsi="仿宋" w:eastAsia="仿宋"/>
          <w:bCs/>
          <w:color w:val="auto"/>
          <w:sz w:val="32"/>
          <w:szCs w:val="32"/>
          <w:highlight w:val="none"/>
        </w:rPr>
        <w:t>4.</w:t>
      </w:r>
      <w:r>
        <w:rPr>
          <w:rStyle w:val="13"/>
          <w:rFonts w:hint="eastAsia" w:ascii="仿宋" w:hAnsi="仿宋" w:eastAsia="仿宋"/>
          <w:bCs/>
          <w:color w:val="auto"/>
          <w:sz w:val="32"/>
          <w:szCs w:val="32"/>
          <w:highlight w:val="none"/>
        </w:rPr>
        <w:t>卫生健康支出（类）行政事业单位医疗（款）其他行政事业单位医疗支出（项）</w:t>
      </w:r>
      <w:r>
        <w:rPr>
          <w:rStyle w:val="13"/>
          <w:rFonts w:hint="eastAsia" w:ascii="仿宋" w:hAnsi="仿宋" w:eastAsia="仿宋"/>
          <w:bCs/>
          <w:color w:val="auto"/>
          <w:sz w:val="32"/>
          <w:szCs w:val="32"/>
          <w:highlight w:val="none"/>
          <w:lang w:eastAsia="zh-CN"/>
        </w:rPr>
        <w:t>：</w:t>
      </w:r>
      <w:r>
        <w:rPr>
          <w:rStyle w:val="13"/>
          <w:rFonts w:ascii="仿宋" w:hAnsi="仿宋" w:eastAsia="仿宋"/>
          <w:b w:val="0"/>
          <w:bCs/>
          <w:color w:val="auto"/>
          <w:sz w:val="32"/>
          <w:szCs w:val="32"/>
          <w:highlight w:val="none"/>
        </w:rPr>
        <w:t xml:space="preserve"> </w:t>
      </w:r>
      <w:r>
        <w:rPr>
          <w:rStyle w:val="13"/>
          <w:rFonts w:hint="eastAsia" w:ascii="仿宋" w:hAnsi="仿宋" w:eastAsia="仿宋"/>
          <w:b w:val="0"/>
          <w:bCs/>
          <w:color w:val="auto"/>
          <w:sz w:val="32"/>
          <w:szCs w:val="32"/>
          <w:highlight w:val="none"/>
        </w:rPr>
        <w:t>支出决算为54.42万元，完成预算</w:t>
      </w:r>
      <w:r>
        <w:rPr>
          <w:rStyle w:val="13"/>
          <w:rFonts w:hint="eastAsia" w:ascii="仿宋" w:hAnsi="仿宋" w:eastAsia="仿宋"/>
          <w:b w:val="0"/>
          <w:bCs/>
          <w:color w:val="auto"/>
          <w:sz w:val="32"/>
          <w:szCs w:val="32"/>
          <w:highlight w:val="none"/>
          <w:lang w:val="en-US" w:eastAsia="zh-CN"/>
        </w:rPr>
        <w:t>100</w:t>
      </w:r>
      <w:r>
        <w:rPr>
          <w:rStyle w:val="13"/>
          <w:rFonts w:ascii="仿宋" w:hAnsi="仿宋" w:eastAsia="仿宋"/>
          <w:b w:val="0"/>
          <w:bCs/>
          <w:color w:val="auto"/>
          <w:sz w:val="32"/>
          <w:szCs w:val="32"/>
          <w:highlight w:val="none"/>
        </w:rPr>
        <w:t>%</w:t>
      </w:r>
      <w:r>
        <w:rPr>
          <w:rStyle w:val="13"/>
          <w:rFonts w:hint="eastAsia" w:ascii="仿宋" w:hAnsi="仿宋" w:eastAsia="仿宋"/>
          <w:b w:val="0"/>
          <w:bCs/>
          <w:color w:val="auto"/>
          <w:sz w:val="32"/>
          <w:szCs w:val="32"/>
          <w:highlight w:val="none"/>
          <w:lang w:eastAsia="zh-CN"/>
        </w:rPr>
        <w:t>，</w:t>
      </w:r>
      <w:r>
        <w:rPr>
          <w:rStyle w:val="13"/>
          <w:rFonts w:hint="eastAsia" w:ascii="仿宋" w:hAnsi="仿宋" w:eastAsia="仿宋"/>
          <w:b w:val="0"/>
          <w:bCs/>
          <w:color w:val="auto"/>
          <w:sz w:val="32"/>
          <w:szCs w:val="32"/>
          <w:highlight w:val="none"/>
        </w:rPr>
        <w:t>决算数等于预算数。</w:t>
      </w:r>
    </w:p>
    <w:p w14:paraId="6C98AD0C">
      <w:pPr>
        <w:spacing w:line="600" w:lineRule="exact"/>
        <w:ind w:firstLine="643" w:firstLineChars="200"/>
        <w:rPr>
          <w:rFonts w:ascii="仿宋" w:hAnsi="仿宋" w:eastAsia="仿宋"/>
          <w:b/>
          <w:color w:val="auto"/>
          <w:sz w:val="32"/>
          <w:szCs w:val="32"/>
          <w:highlight w:val="none"/>
        </w:rPr>
      </w:pPr>
      <w:r>
        <w:rPr>
          <w:rStyle w:val="13"/>
          <w:rFonts w:ascii="仿宋" w:hAnsi="仿宋" w:eastAsia="仿宋"/>
          <w:bCs/>
          <w:color w:val="auto"/>
          <w:sz w:val="32"/>
          <w:szCs w:val="32"/>
          <w:highlight w:val="none"/>
        </w:rPr>
        <w:t>5.</w:t>
      </w:r>
      <w:r>
        <w:rPr>
          <w:rStyle w:val="13"/>
          <w:rFonts w:hint="eastAsia" w:ascii="仿宋" w:hAnsi="仿宋" w:eastAsia="仿宋"/>
          <w:bCs/>
          <w:color w:val="auto"/>
          <w:sz w:val="32"/>
          <w:szCs w:val="32"/>
          <w:highlight w:val="none"/>
        </w:rPr>
        <w:t>交通运输支出（类）公路水路运输（款）公路养护（项）</w:t>
      </w:r>
      <w:r>
        <w:rPr>
          <w:rStyle w:val="13"/>
          <w:rFonts w:hint="eastAsia" w:ascii="仿宋" w:hAnsi="仿宋" w:eastAsia="仿宋"/>
          <w:bCs/>
          <w:color w:val="auto"/>
          <w:sz w:val="32"/>
          <w:szCs w:val="32"/>
          <w:highlight w:val="none"/>
          <w:lang w:eastAsia="zh-CN"/>
        </w:rPr>
        <w:t>：</w:t>
      </w:r>
      <w:r>
        <w:rPr>
          <w:rStyle w:val="13"/>
          <w:rFonts w:ascii="仿宋" w:hAnsi="仿宋" w:eastAsia="仿宋"/>
          <w:b w:val="0"/>
          <w:bCs/>
          <w:color w:val="auto"/>
          <w:sz w:val="32"/>
          <w:szCs w:val="32"/>
          <w:highlight w:val="none"/>
        </w:rPr>
        <w:t xml:space="preserve"> </w:t>
      </w:r>
      <w:r>
        <w:rPr>
          <w:rStyle w:val="13"/>
          <w:rFonts w:hint="eastAsia" w:ascii="仿宋" w:hAnsi="仿宋" w:eastAsia="仿宋"/>
          <w:b w:val="0"/>
          <w:bCs/>
          <w:color w:val="auto"/>
          <w:sz w:val="32"/>
          <w:szCs w:val="32"/>
          <w:highlight w:val="none"/>
        </w:rPr>
        <w:t>支出决算为2,641.75万元，完成预算</w:t>
      </w:r>
      <w:r>
        <w:rPr>
          <w:rStyle w:val="13"/>
          <w:rFonts w:hint="eastAsia" w:ascii="仿宋" w:hAnsi="仿宋" w:eastAsia="仿宋"/>
          <w:b w:val="0"/>
          <w:bCs/>
          <w:color w:val="auto"/>
          <w:sz w:val="32"/>
          <w:szCs w:val="32"/>
          <w:highlight w:val="none"/>
          <w:lang w:val="en-US" w:eastAsia="zh-CN"/>
        </w:rPr>
        <w:t>100</w:t>
      </w:r>
      <w:r>
        <w:rPr>
          <w:rStyle w:val="13"/>
          <w:rFonts w:ascii="仿宋" w:hAnsi="仿宋" w:eastAsia="仿宋"/>
          <w:b w:val="0"/>
          <w:bCs/>
          <w:color w:val="auto"/>
          <w:sz w:val="32"/>
          <w:szCs w:val="32"/>
          <w:highlight w:val="none"/>
        </w:rPr>
        <w:t>%</w:t>
      </w:r>
      <w:r>
        <w:rPr>
          <w:rStyle w:val="13"/>
          <w:rFonts w:hint="eastAsia" w:ascii="仿宋" w:hAnsi="仿宋" w:eastAsia="仿宋"/>
          <w:b w:val="0"/>
          <w:bCs/>
          <w:color w:val="auto"/>
          <w:sz w:val="32"/>
          <w:szCs w:val="32"/>
          <w:highlight w:val="none"/>
          <w:lang w:eastAsia="zh-CN"/>
        </w:rPr>
        <w:t>，</w:t>
      </w:r>
      <w:r>
        <w:rPr>
          <w:rStyle w:val="13"/>
          <w:rFonts w:hint="eastAsia" w:ascii="仿宋" w:hAnsi="仿宋" w:eastAsia="仿宋"/>
          <w:b w:val="0"/>
          <w:bCs/>
          <w:color w:val="auto"/>
          <w:sz w:val="32"/>
          <w:szCs w:val="32"/>
          <w:highlight w:val="none"/>
        </w:rPr>
        <w:t>决算数等于预算数。</w:t>
      </w:r>
    </w:p>
    <w:p w14:paraId="3690878A">
      <w:pPr>
        <w:spacing w:line="600" w:lineRule="exact"/>
        <w:ind w:firstLine="643" w:firstLineChars="200"/>
        <w:rPr>
          <w:rFonts w:ascii="仿宋" w:hAnsi="仿宋" w:eastAsia="仿宋"/>
          <w:b/>
          <w:color w:val="auto"/>
          <w:sz w:val="32"/>
          <w:szCs w:val="32"/>
          <w:highlight w:val="none"/>
        </w:rPr>
      </w:pPr>
      <w:r>
        <w:rPr>
          <w:rStyle w:val="13"/>
          <w:rFonts w:ascii="仿宋" w:hAnsi="仿宋" w:eastAsia="仿宋"/>
          <w:bCs/>
          <w:color w:val="auto"/>
          <w:sz w:val="32"/>
          <w:szCs w:val="32"/>
          <w:highlight w:val="none"/>
        </w:rPr>
        <w:t>6.</w:t>
      </w:r>
      <w:r>
        <w:rPr>
          <w:rStyle w:val="13"/>
          <w:rFonts w:hint="eastAsia" w:ascii="仿宋" w:hAnsi="仿宋" w:eastAsia="仿宋"/>
          <w:bCs/>
          <w:color w:val="auto"/>
          <w:sz w:val="32"/>
          <w:szCs w:val="32"/>
          <w:highlight w:val="none"/>
        </w:rPr>
        <w:t>交通运输支出（类）公路水路运输（款）其他公路水路运输支出（项）</w:t>
      </w:r>
      <w:r>
        <w:rPr>
          <w:rStyle w:val="13"/>
          <w:rFonts w:hint="eastAsia" w:ascii="仿宋" w:hAnsi="仿宋" w:eastAsia="仿宋"/>
          <w:bCs/>
          <w:color w:val="auto"/>
          <w:sz w:val="32"/>
          <w:szCs w:val="32"/>
          <w:highlight w:val="none"/>
          <w:lang w:eastAsia="zh-CN"/>
        </w:rPr>
        <w:t>：</w:t>
      </w:r>
      <w:r>
        <w:rPr>
          <w:rStyle w:val="13"/>
          <w:rFonts w:hint="eastAsia" w:ascii="仿宋" w:hAnsi="仿宋" w:eastAsia="仿宋"/>
          <w:b w:val="0"/>
          <w:bCs/>
          <w:color w:val="auto"/>
          <w:sz w:val="32"/>
          <w:szCs w:val="32"/>
          <w:highlight w:val="none"/>
        </w:rPr>
        <w:t>支出决算为26万元，完成预算</w:t>
      </w:r>
      <w:r>
        <w:rPr>
          <w:rStyle w:val="13"/>
          <w:rFonts w:hint="eastAsia" w:ascii="仿宋" w:hAnsi="仿宋" w:eastAsia="仿宋"/>
          <w:b w:val="0"/>
          <w:bCs/>
          <w:color w:val="auto"/>
          <w:sz w:val="32"/>
          <w:szCs w:val="32"/>
          <w:highlight w:val="none"/>
          <w:lang w:val="en-US" w:eastAsia="zh-CN"/>
        </w:rPr>
        <w:t>100</w:t>
      </w:r>
      <w:r>
        <w:rPr>
          <w:rStyle w:val="13"/>
          <w:rFonts w:ascii="仿宋" w:hAnsi="仿宋" w:eastAsia="仿宋"/>
          <w:b w:val="0"/>
          <w:bCs/>
          <w:color w:val="auto"/>
          <w:sz w:val="32"/>
          <w:szCs w:val="32"/>
          <w:highlight w:val="none"/>
        </w:rPr>
        <w:t>%</w:t>
      </w:r>
      <w:r>
        <w:rPr>
          <w:rStyle w:val="13"/>
          <w:rFonts w:hint="eastAsia" w:ascii="仿宋" w:hAnsi="仿宋" w:eastAsia="仿宋"/>
          <w:b w:val="0"/>
          <w:bCs/>
          <w:color w:val="auto"/>
          <w:sz w:val="32"/>
          <w:szCs w:val="32"/>
          <w:highlight w:val="none"/>
          <w:lang w:eastAsia="zh-CN"/>
        </w:rPr>
        <w:t>，</w:t>
      </w:r>
      <w:r>
        <w:rPr>
          <w:rStyle w:val="13"/>
          <w:rFonts w:hint="eastAsia" w:ascii="仿宋" w:hAnsi="仿宋" w:eastAsia="仿宋"/>
          <w:b w:val="0"/>
          <w:bCs/>
          <w:color w:val="auto"/>
          <w:sz w:val="32"/>
          <w:szCs w:val="32"/>
          <w:highlight w:val="none"/>
        </w:rPr>
        <w:t>决算数等于预算数。</w:t>
      </w:r>
    </w:p>
    <w:p w14:paraId="4C922803">
      <w:pPr>
        <w:spacing w:line="600" w:lineRule="exact"/>
        <w:ind w:firstLine="643" w:firstLineChars="200"/>
        <w:rPr>
          <w:rFonts w:hint="eastAsia" w:ascii="仿宋" w:hAnsi="仿宋" w:eastAsia="仿宋"/>
          <w:color w:val="auto"/>
          <w:sz w:val="32"/>
          <w:szCs w:val="32"/>
          <w:highlight w:val="none"/>
          <w:lang w:eastAsia="zh-CN"/>
        </w:rPr>
      </w:pPr>
      <w:r>
        <w:rPr>
          <w:rStyle w:val="13"/>
          <w:rFonts w:hint="eastAsia" w:ascii="仿宋" w:hAnsi="仿宋" w:eastAsia="仿宋" w:cs="Times New Roman"/>
          <w:bCs/>
          <w:color w:val="auto"/>
          <w:sz w:val="32"/>
          <w:szCs w:val="32"/>
          <w:highlight w:val="none"/>
          <w:lang w:val="en-US" w:eastAsia="zh-CN"/>
        </w:rPr>
        <w:t>7.</w:t>
      </w:r>
      <w:r>
        <w:rPr>
          <w:rStyle w:val="13"/>
          <w:rFonts w:hint="eastAsia" w:ascii="仿宋" w:hAnsi="仿宋" w:eastAsia="仿宋" w:cs="Times New Roman"/>
          <w:bCs/>
          <w:color w:val="auto"/>
          <w:sz w:val="32"/>
          <w:szCs w:val="32"/>
          <w:highlight w:val="none"/>
        </w:rPr>
        <w:t>住房保障支出</w:t>
      </w:r>
      <w:r>
        <w:rPr>
          <w:rStyle w:val="13"/>
          <w:rFonts w:hint="eastAsia" w:ascii="仿宋" w:hAnsi="仿宋" w:eastAsia="仿宋"/>
          <w:bCs/>
          <w:color w:val="auto"/>
          <w:sz w:val="32"/>
          <w:szCs w:val="32"/>
          <w:highlight w:val="none"/>
        </w:rPr>
        <w:t>（类）住房改革支出（款）住房公积金（项）</w:t>
      </w:r>
      <w:r>
        <w:rPr>
          <w:rStyle w:val="13"/>
          <w:rFonts w:hint="eastAsia" w:ascii="仿宋" w:hAnsi="仿宋" w:eastAsia="仿宋"/>
          <w:bCs/>
          <w:color w:val="auto"/>
          <w:sz w:val="32"/>
          <w:szCs w:val="32"/>
          <w:highlight w:val="none"/>
          <w:lang w:eastAsia="zh-CN"/>
        </w:rPr>
        <w:t>：</w:t>
      </w:r>
      <w:r>
        <w:rPr>
          <w:rStyle w:val="13"/>
          <w:rFonts w:hint="eastAsia" w:ascii="仿宋" w:hAnsi="仿宋" w:eastAsia="仿宋"/>
          <w:b w:val="0"/>
          <w:bCs/>
          <w:color w:val="auto"/>
          <w:sz w:val="32"/>
          <w:szCs w:val="32"/>
          <w:highlight w:val="none"/>
        </w:rPr>
        <w:t>支出决算为173.01万元，完成预算</w:t>
      </w:r>
      <w:r>
        <w:rPr>
          <w:rStyle w:val="13"/>
          <w:rFonts w:hint="eastAsia" w:ascii="仿宋" w:hAnsi="仿宋" w:eastAsia="仿宋"/>
          <w:b w:val="0"/>
          <w:bCs/>
          <w:color w:val="auto"/>
          <w:sz w:val="32"/>
          <w:szCs w:val="32"/>
          <w:highlight w:val="none"/>
          <w:lang w:val="en-US" w:eastAsia="zh-CN"/>
        </w:rPr>
        <w:t>100</w:t>
      </w:r>
      <w:r>
        <w:rPr>
          <w:rStyle w:val="13"/>
          <w:rFonts w:ascii="仿宋" w:hAnsi="仿宋" w:eastAsia="仿宋"/>
          <w:b w:val="0"/>
          <w:bCs/>
          <w:color w:val="auto"/>
          <w:sz w:val="32"/>
          <w:szCs w:val="32"/>
          <w:highlight w:val="none"/>
        </w:rPr>
        <w:t>%</w:t>
      </w:r>
      <w:r>
        <w:rPr>
          <w:rStyle w:val="13"/>
          <w:rFonts w:hint="eastAsia" w:ascii="仿宋" w:hAnsi="仿宋" w:eastAsia="仿宋"/>
          <w:b w:val="0"/>
          <w:bCs/>
          <w:color w:val="auto"/>
          <w:sz w:val="32"/>
          <w:szCs w:val="32"/>
          <w:highlight w:val="none"/>
          <w:lang w:eastAsia="zh-CN"/>
        </w:rPr>
        <w:t>，</w:t>
      </w:r>
      <w:r>
        <w:rPr>
          <w:rStyle w:val="13"/>
          <w:rFonts w:hint="eastAsia" w:ascii="仿宋" w:hAnsi="仿宋" w:eastAsia="仿宋"/>
          <w:b w:val="0"/>
          <w:bCs/>
          <w:color w:val="auto"/>
          <w:sz w:val="32"/>
          <w:szCs w:val="32"/>
          <w:highlight w:val="none"/>
        </w:rPr>
        <w:t>决算数等于预算数</w:t>
      </w:r>
      <w:r>
        <w:rPr>
          <w:rFonts w:hint="eastAsia" w:ascii="仿宋" w:hAnsi="仿宋" w:eastAsia="仿宋"/>
          <w:color w:val="auto"/>
          <w:sz w:val="32"/>
          <w:szCs w:val="32"/>
          <w:highlight w:val="none"/>
          <w:lang w:eastAsia="zh-CN"/>
        </w:rPr>
        <w:t>。</w:t>
      </w:r>
    </w:p>
    <w:p w14:paraId="055DEF67">
      <w:pPr>
        <w:pStyle w:val="2"/>
        <w:ind w:firstLine="643" w:firstLineChars="200"/>
        <w:rPr>
          <w:rFonts w:hint="eastAsia" w:eastAsia="仿宋"/>
          <w:lang w:val="en-US" w:eastAsia="zh-CN"/>
        </w:rPr>
      </w:pPr>
      <w:r>
        <w:rPr>
          <w:rStyle w:val="13"/>
          <w:rFonts w:hint="eastAsia" w:ascii="仿宋" w:hAnsi="仿宋" w:eastAsia="仿宋" w:cs="Times New Roman"/>
          <w:bCs/>
          <w:color w:val="auto"/>
          <w:kern w:val="2"/>
          <w:sz w:val="32"/>
          <w:szCs w:val="32"/>
          <w:highlight w:val="none"/>
          <w:lang w:val="en-US" w:eastAsia="zh-CN" w:bidi="ar-SA"/>
        </w:rPr>
        <w:t>8.</w:t>
      </w:r>
      <w:r>
        <w:rPr>
          <w:rStyle w:val="13"/>
          <w:rFonts w:hint="eastAsia" w:ascii="仿宋" w:hAnsi="仿宋" w:eastAsia="仿宋" w:cs="Times New Roman"/>
          <w:bCs/>
          <w:color w:val="auto"/>
          <w:sz w:val="32"/>
          <w:szCs w:val="32"/>
          <w:highlight w:val="none"/>
        </w:rPr>
        <w:t>住房保障支出</w:t>
      </w:r>
      <w:r>
        <w:rPr>
          <w:rStyle w:val="13"/>
          <w:rFonts w:hint="eastAsia" w:ascii="仿宋" w:hAnsi="仿宋" w:eastAsia="仿宋"/>
          <w:bCs/>
          <w:color w:val="auto"/>
          <w:sz w:val="32"/>
          <w:szCs w:val="32"/>
          <w:highlight w:val="none"/>
        </w:rPr>
        <w:t>（类）住房改革支出（款）购房补贴（项）</w:t>
      </w:r>
      <w:r>
        <w:rPr>
          <w:rStyle w:val="13"/>
          <w:rFonts w:hint="eastAsia" w:ascii="仿宋" w:hAnsi="仿宋" w:eastAsia="仿宋"/>
          <w:bCs/>
          <w:color w:val="auto"/>
          <w:sz w:val="32"/>
          <w:szCs w:val="32"/>
          <w:highlight w:val="none"/>
          <w:lang w:eastAsia="zh-CN"/>
        </w:rPr>
        <w:t>：</w:t>
      </w:r>
      <w:r>
        <w:rPr>
          <w:rStyle w:val="13"/>
          <w:rFonts w:hint="eastAsia" w:ascii="仿宋" w:hAnsi="仿宋" w:eastAsia="仿宋"/>
          <w:b w:val="0"/>
          <w:bCs/>
          <w:color w:val="auto"/>
          <w:sz w:val="32"/>
          <w:szCs w:val="32"/>
          <w:highlight w:val="none"/>
        </w:rPr>
        <w:t>支出决算为9万元，完成预算</w:t>
      </w:r>
      <w:r>
        <w:rPr>
          <w:rStyle w:val="13"/>
          <w:rFonts w:hint="eastAsia" w:ascii="仿宋" w:hAnsi="仿宋" w:eastAsia="仿宋"/>
          <w:b w:val="0"/>
          <w:bCs/>
          <w:color w:val="auto"/>
          <w:sz w:val="32"/>
          <w:szCs w:val="32"/>
          <w:highlight w:val="none"/>
          <w:lang w:val="en-US" w:eastAsia="zh-CN"/>
        </w:rPr>
        <w:t>100</w:t>
      </w:r>
      <w:r>
        <w:rPr>
          <w:rStyle w:val="13"/>
          <w:rFonts w:ascii="仿宋" w:hAnsi="仿宋" w:eastAsia="仿宋"/>
          <w:b w:val="0"/>
          <w:bCs/>
          <w:color w:val="auto"/>
          <w:sz w:val="32"/>
          <w:szCs w:val="32"/>
          <w:highlight w:val="none"/>
        </w:rPr>
        <w:t>%</w:t>
      </w:r>
      <w:r>
        <w:rPr>
          <w:rStyle w:val="13"/>
          <w:rFonts w:hint="eastAsia" w:ascii="仿宋" w:hAnsi="仿宋" w:eastAsia="仿宋"/>
          <w:b w:val="0"/>
          <w:bCs/>
          <w:color w:val="auto"/>
          <w:sz w:val="32"/>
          <w:szCs w:val="32"/>
          <w:highlight w:val="none"/>
          <w:lang w:eastAsia="zh-CN"/>
        </w:rPr>
        <w:t>，</w:t>
      </w:r>
      <w:r>
        <w:rPr>
          <w:rStyle w:val="13"/>
          <w:rFonts w:hint="eastAsia" w:ascii="仿宋" w:hAnsi="仿宋" w:eastAsia="仿宋"/>
          <w:b w:val="0"/>
          <w:bCs/>
          <w:color w:val="auto"/>
          <w:sz w:val="32"/>
          <w:szCs w:val="32"/>
          <w:highlight w:val="none"/>
        </w:rPr>
        <w:t>决算数等于预算数</w:t>
      </w:r>
      <w:r>
        <w:rPr>
          <w:rStyle w:val="13"/>
          <w:rFonts w:hint="eastAsia" w:ascii="仿宋" w:hAnsi="仿宋" w:eastAsia="仿宋"/>
          <w:b w:val="0"/>
          <w:bCs/>
          <w:color w:val="auto"/>
          <w:sz w:val="32"/>
          <w:szCs w:val="32"/>
          <w:highlight w:val="none"/>
          <w:lang w:val="en-US" w:eastAsia="zh-CN"/>
        </w:rPr>
        <w:t>。</w:t>
      </w:r>
    </w:p>
    <w:p w14:paraId="45FF6E1C">
      <w:pPr>
        <w:spacing w:line="600" w:lineRule="exact"/>
        <w:ind w:firstLine="640"/>
        <w:rPr>
          <w:rFonts w:ascii="仿宋" w:hAnsi="仿宋" w:eastAsia="仿宋"/>
          <w:b/>
          <w:color w:val="auto"/>
          <w:sz w:val="32"/>
          <w:szCs w:val="32"/>
          <w:highlight w:val="none"/>
        </w:rPr>
      </w:pPr>
    </w:p>
    <w:p w14:paraId="2FC6A4EF">
      <w:pPr>
        <w:tabs>
          <w:tab w:val="right" w:pos="8306"/>
        </w:tabs>
        <w:spacing w:line="600" w:lineRule="exact"/>
        <w:ind w:firstLine="640"/>
        <w:outlineLvl w:val="1"/>
        <w:rPr>
          <w:rStyle w:val="15"/>
          <w:color w:val="auto"/>
          <w:highlight w:val="none"/>
        </w:rPr>
      </w:pPr>
      <w:bookmarkStart w:id="11" w:name="_Toc4676"/>
      <w:r>
        <w:rPr>
          <w:rFonts w:hint="eastAsia" w:ascii="黑体" w:eastAsia="黑体"/>
          <w:color w:val="auto"/>
          <w:sz w:val="32"/>
          <w:szCs w:val="32"/>
          <w:highlight w:val="none"/>
        </w:rPr>
        <w:t>六</w:t>
      </w:r>
      <w:r>
        <w:rPr>
          <w:rFonts w:hint="eastAsia" w:ascii="黑体" w:eastAsia="黑体"/>
          <w:b/>
          <w:color w:val="auto"/>
          <w:sz w:val="32"/>
          <w:szCs w:val="32"/>
          <w:highlight w:val="none"/>
        </w:rPr>
        <w:t>、</w:t>
      </w:r>
      <w:r>
        <w:rPr>
          <w:rFonts w:hint="eastAsia" w:ascii="黑体" w:hAnsi="黑体" w:eastAsia="黑体"/>
          <w:b/>
          <w:color w:val="auto"/>
          <w:sz w:val="32"/>
          <w:szCs w:val="32"/>
          <w:highlight w:val="none"/>
        </w:rPr>
        <w:t>一</w:t>
      </w:r>
      <w:r>
        <w:rPr>
          <w:rStyle w:val="15"/>
          <w:rFonts w:hint="eastAsia" w:ascii="黑体" w:hAnsi="黑体" w:eastAsia="黑体"/>
          <w:b w:val="0"/>
          <w:color w:val="auto"/>
          <w:highlight w:val="none"/>
        </w:rPr>
        <w:t>般公共预算财政拨款基本支出决算情况说明</w:t>
      </w:r>
      <w:bookmarkEnd w:id="11"/>
      <w:r>
        <w:rPr>
          <w:rStyle w:val="15"/>
          <w:rFonts w:ascii="黑体" w:hAnsi="黑体" w:eastAsia="黑体"/>
          <w:b w:val="0"/>
          <w:color w:val="auto"/>
          <w:highlight w:val="none"/>
        </w:rPr>
        <w:tab/>
      </w:r>
    </w:p>
    <w:p w14:paraId="3851BD11">
      <w:pPr>
        <w:spacing w:line="600" w:lineRule="exact"/>
        <w:ind w:firstLine="645"/>
        <w:rPr>
          <w:rFonts w:ascii="仿宋" w:hAnsi="仿宋" w:eastAsia="仿宋"/>
          <w:color w:val="auto"/>
          <w:sz w:val="32"/>
          <w:szCs w:val="32"/>
          <w:highlight w:val="none"/>
        </w:rPr>
      </w:pPr>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一般公共预算财政拨款基本支出2,940.11万元，其中：</w:t>
      </w:r>
    </w:p>
    <w:p w14:paraId="43909A13">
      <w:pPr>
        <w:spacing w:line="600" w:lineRule="exact"/>
        <w:ind w:firstLine="645"/>
        <w:rPr>
          <w:rFonts w:ascii="仿宋" w:hAnsi="仿宋" w:eastAsia="仿宋"/>
          <w:color w:val="auto"/>
          <w:sz w:val="32"/>
          <w:szCs w:val="32"/>
          <w:highlight w:val="none"/>
        </w:rPr>
      </w:pPr>
      <w:r>
        <w:rPr>
          <w:rFonts w:hint="eastAsia" w:ascii="仿宋" w:hAnsi="仿宋" w:eastAsia="仿宋"/>
          <w:color w:val="auto"/>
          <w:sz w:val="32"/>
          <w:szCs w:val="32"/>
          <w:highlight w:val="none"/>
        </w:rPr>
        <w:t>人员经费2,765.62万元，主要包括：基本工资、津贴补贴、奖金、绩效工资、机关事业单位基本养老保险缴费、职业年金缴费、职工基本医疗保险缴费</w:t>
      </w:r>
      <w:r>
        <w:rPr>
          <w:rFonts w:hint="eastAsia" w:ascii="仿宋" w:hAnsi="仿宋" w:eastAsia="仿宋"/>
          <w:color w:val="auto"/>
          <w:sz w:val="32"/>
          <w:szCs w:val="32"/>
          <w:highlight w:val="none"/>
          <w:lang w:eastAsia="zh-CN"/>
        </w:rPr>
        <w:t>、其他社会保障缴费</w:t>
      </w:r>
      <w:r>
        <w:rPr>
          <w:rFonts w:hint="eastAsia" w:ascii="仿宋" w:hAnsi="仿宋" w:eastAsia="仿宋"/>
          <w:color w:val="auto"/>
          <w:sz w:val="32"/>
          <w:szCs w:val="32"/>
          <w:highlight w:val="none"/>
        </w:rPr>
        <w:t>、其他工资福利支出、抚恤金、生活补助、医疗费补助、奖励金、住房公积金等。</w:t>
      </w:r>
      <w:r>
        <w:rPr>
          <w:rFonts w:ascii="仿宋" w:hAnsi="仿宋" w:eastAsia="仿宋"/>
          <w:color w:val="auto"/>
          <w:sz w:val="32"/>
          <w:szCs w:val="32"/>
          <w:highlight w:val="none"/>
        </w:rPr>
        <w:br w:type="textWrapping"/>
      </w:r>
      <w:r>
        <w:rPr>
          <w:rFonts w:hint="eastAsia" w:ascii="仿宋" w:hAnsi="仿宋" w:eastAsia="仿宋"/>
          <w:color w:val="auto"/>
          <w:sz w:val="32"/>
          <w:szCs w:val="32"/>
          <w:highlight w:val="none"/>
        </w:rPr>
        <w:t>　　公用经费174.49万元，主要包括：办公费、咨询费、手续费、水费、电费、邮电费、差旅费、维修（护）费、租赁费、培训费、公务接待费、专用材料费</w:t>
      </w:r>
      <w:r>
        <w:rPr>
          <w:rFonts w:hint="eastAsia" w:ascii="仿宋" w:hAnsi="仿宋" w:eastAsia="仿宋"/>
          <w:color w:val="auto"/>
          <w:sz w:val="32"/>
          <w:szCs w:val="32"/>
          <w:highlight w:val="none"/>
          <w:lang w:eastAsia="zh-CN"/>
        </w:rPr>
        <w:t>、专用燃料费、</w:t>
      </w:r>
      <w:r>
        <w:rPr>
          <w:rFonts w:hint="eastAsia" w:ascii="仿宋" w:hAnsi="仿宋" w:eastAsia="仿宋"/>
          <w:color w:val="auto"/>
          <w:sz w:val="32"/>
          <w:szCs w:val="32"/>
          <w:highlight w:val="none"/>
        </w:rPr>
        <w:t>劳务费、委托业务费、福利费、公务用车运行维护费、其他交通费、其他商品和服务支出</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基础设施建设、信息网络及软件购置更新。</w:t>
      </w:r>
    </w:p>
    <w:p w14:paraId="4398DA98">
      <w:pPr>
        <w:spacing w:line="600" w:lineRule="exact"/>
        <w:ind w:firstLine="640"/>
        <w:rPr>
          <w:rFonts w:ascii="仿宋" w:hAnsi="仿宋" w:eastAsia="仿宋"/>
          <w:b/>
          <w:color w:val="auto"/>
          <w:sz w:val="32"/>
          <w:szCs w:val="32"/>
          <w:highlight w:val="none"/>
        </w:rPr>
      </w:pPr>
    </w:p>
    <w:p w14:paraId="4C1C619D">
      <w:pPr>
        <w:spacing w:line="600" w:lineRule="exact"/>
        <w:ind w:firstLine="640"/>
        <w:outlineLvl w:val="1"/>
        <w:rPr>
          <w:rStyle w:val="15"/>
          <w:rFonts w:ascii="黑体" w:hAnsi="黑体" w:eastAsia="黑体"/>
          <w:b w:val="0"/>
          <w:color w:val="auto"/>
          <w:highlight w:val="none"/>
        </w:rPr>
      </w:pPr>
      <w:bookmarkStart w:id="12" w:name="_Toc17174"/>
      <w:r>
        <w:rPr>
          <w:rFonts w:hint="eastAsia" w:ascii="黑体" w:eastAsia="黑体"/>
          <w:color w:val="auto"/>
          <w:sz w:val="32"/>
          <w:szCs w:val="32"/>
          <w:highlight w:val="none"/>
        </w:rPr>
        <w:t>七、</w:t>
      </w:r>
      <w:r>
        <w:rPr>
          <w:rStyle w:val="15"/>
          <w:rFonts w:hint="eastAsia" w:ascii="黑体" w:hAnsi="黑体" w:eastAsia="黑体"/>
          <w:b w:val="0"/>
          <w:color w:val="auto"/>
          <w:highlight w:val="none"/>
        </w:rPr>
        <w:t>财政拨款</w:t>
      </w:r>
      <w:r>
        <w:rPr>
          <w:rStyle w:val="15"/>
          <w:rFonts w:hint="eastAsia" w:ascii="黑体" w:hAnsi="黑体" w:eastAsia="黑体"/>
          <w:color w:val="auto"/>
          <w:highlight w:val="none"/>
        </w:rPr>
        <w:t>“</w:t>
      </w:r>
      <w:r>
        <w:rPr>
          <w:rStyle w:val="15"/>
          <w:rFonts w:hint="eastAsia" w:ascii="黑体" w:hAnsi="黑体" w:eastAsia="黑体"/>
          <w:b w:val="0"/>
          <w:color w:val="auto"/>
          <w:highlight w:val="none"/>
        </w:rPr>
        <w:t>三公”经费支出决算情况说明</w:t>
      </w:r>
      <w:bookmarkEnd w:id="12"/>
    </w:p>
    <w:p w14:paraId="5B0A5AEA">
      <w:pPr>
        <w:spacing w:line="600" w:lineRule="exact"/>
        <w:ind w:firstLine="640"/>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（一）“三公”经费财政拨款支出决算总体情况说明</w:t>
      </w:r>
    </w:p>
    <w:p w14:paraId="079F3CB3">
      <w:pPr>
        <w:spacing w:line="600" w:lineRule="exact"/>
        <w:ind w:firstLine="640"/>
        <w:rPr>
          <w:rFonts w:ascii="仿宋" w:hAnsi="仿宋" w:eastAsia="仿宋"/>
          <w:b/>
          <w:color w:val="auto"/>
          <w:sz w:val="32"/>
          <w:szCs w:val="32"/>
          <w:highlight w:val="none"/>
        </w:rPr>
      </w:pPr>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“三公”经费财政拨款支出决算为10.55万元，完成预算</w:t>
      </w:r>
      <w:r>
        <w:rPr>
          <w:rFonts w:hint="eastAsia" w:ascii="仿宋" w:hAnsi="仿宋" w:eastAsia="仿宋"/>
          <w:color w:val="auto"/>
          <w:sz w:val="32"/>
          <w:szCs w:val="32"/>
          <w:highlight w:val="none"/>
          <w:lang w:val="en-US" w:eastAsia="zh-CN"/>
        </w:rPr>
        <w:t>48</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color w:val="auto"/>
          <w:sz w:val="32"/>
          <w:szCs w:val="32"/>
          <w:highlight w:val="none"/>
          <w:lang w:eastAsia="zh-CN"/>
        </w:rPr>
        <w:t>较上年度</w:t>
      </w:r>
      <w:r>
        <w:rPr>
          <w:rFonts w:hint="eastAsia" w:ascii="仿宋" w:hAnsi="仿宋" w:eastAsia="仿宋"/>
          <w:color w:val="auto"/>
          <w:sz w:val="32"/>
          <w:szCs w:val="32"/>
          <w:highlight w:val="none"/>
          <w:lang w:val="en-US" w:eastAsia="zh-CN"/>
        </w:rPr>
        <w:t>减少4.85万元，下降31.5%。</w:t>
      </w:r>
      <w:r>
        <w:rPr>
          <w:rFonts w:hint="eastAsia" w:ascii="仿宋" w:hAnsi="仿宋" w:eastAsia="仿宋"/>
          <w:color w:val="auto"/>
          <w:sz w:val="32"/>
          <w:szCs w:val="32"/>
          <w:highlight w:val="none"/>
        </w:rPr>
        <w:t>决算数小于预算数的主要原因是本年度减少了公务接待，也相应减少了公务车的维修保养。</w:t>
      </w:r>
    </w:p>
    <w:p w14:paraId="02910B4E">
      <w:pPr>
        <w:spacing w:line="600" w:lineRule="exact"/>
        <w:ind w:firstLine="640"/>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（二）“三公”经费财政拨款支出决算具体情况说明</w:t>
      </w:r>
    </w:p>
    <w:p w14:paraId="6EA56CF3">
      <w:pPr>
        <w:spacing w:line="600" w:lineRule="exact"/>
        <w:ind w:firstLine="640"/>
        <w:rPr>
          <w:rFonts w:hint="eastAsia" w:ascii="仿宋" w:hAnsi="仿宋" w:eastAsia="仿宋"/>
          <w:color w:val="auto"/>
          <w:sz w:val="32"/>
          <w:szCs w:val="32"/>
          <w:highlight w:val="none"/>
        </w:rPr>
      </w:pPr>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“三公”经费财政拨款支出决算中，因公出国（境）费支出决算</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w:t>
      </w:r>
      <w:r>
        <w:rPr>
          <w:rFonts w:ascii="仿宋" w:hAnsi="仿宋" w:eastAsia="仿宋"/>
          <w:color w:val="auto"/>
          <w:sz w:val="32"/>
          <w:szCs w:val="32"/>
          <w:highlight w:val="none"/>
        </w:rPr>
        <w:t>%</w:t>
      </w:r>
      <w:r>
        <w:rPr>
          <w:rFonts w:hint="eastAsia" w:ascii="仿宋" w:hAnsi="仿宋" w:eastAsia="仿宋"/>
          <w:color w:val="auto"/>
          <w:sz w:val="32"/>
          <w:szCs w:val="32"/>
          <w:highlight w:val="none"/>
        </w:rPr>
        <w:t>；公务用车购置及运行维护费支出决算10.4万元，占</w:t>
      </w:r>
      <w:r>
        <w:rPr>
          <w:rFonts w:hint="eastAsia" w:ascii="仿宋" w:hAnsi="仿宋" w:eastAsia="仿宋"/>
          <w:color w:val="auto"/>
          <w:sz w:val="32"/>
          <w:szCs w:val="32"/>
          <w:highlight w:val="none"/>
          <w:lang w:val="en-US" w:eastAsia="zh-CN"/>
        </w:rPr>
        <w:t>98.5</w:t>
      </w:r>
      <w:r>
        <w:rPr>
          <w:rFonts w:ascii="仿宋" w:hAnsi="仿宋" w:eastAsia="仿宋"/>
          <w:color w:val="auto"/>
          <w:sz w:val="32"/>
          <w:szCs w:val="32"/>
          <w:highlight w:val="none"/>
        </w:rPr>
        <w:t>%</w:t>
      </w:r>
      <w:r>
        <w:rPr>
          <w:rFonts w:hint="eastAsia" w:ascii="仿宋" w:hAnsi="仿宋" w:eastAsia="仿宋"/>
          <w:color w:val="auto"/>
          <w:sz w:val="32"/>
          <w:szCs w:val="32"/>
          <w:highlight w:val="none"/>
        </w:rPr>
        <w:t>；公务接待费支出决算0.15万元，占</w:t>
      </w:r>
      <w:r>
        <w:rPr>
          <w:rFonts w:hint="eastAsia" w:ascii="仿宋" w:hAnsi="仿宋" w:eastAsia="仿宋"/>
          <w:color w:val="auto"/>
          <w:sz w:val="32"/>
          <w:szCs w:val="32"/>
          <w:highlight w:val="none"/>
          <w:lang w:val="en-US" w:eastAsia="zh-CN"/>
        </w:rPr>
        <w:t>1.5</w:t>
      </w:r>
      <w:r>
        <w:rPr>
          <w:rFonts w:ascii="仿宋" w:hAnsi="仿宋" w:eastAsia="仿宋"/>
          <w:color w:val="auto"/>
          <w:sz w:val="32"/>
          <w:szCs w:val="32"/>
          <w:highlight w:val="none"/>
        </w:rPr>
        <w:t>%</w:t>
      </w:r>
      <w:r>
        <w:rPr>
          <w:rFonts w:hint="eastAsia" w:ascii="仿宋" w:hAnsi="仿宋" w:eastAsia="仿宋"/>
          <w:color w:val="auto"/>
          <w:sz w:val="32"/>
          <w:szCs w:val="32"/>
          <w:highlight w:val="none"/>
        </w:rPr>
        <w:t>。具体情况如下：</w:t>
      </w:r>
    </w:p>
    <w:p w14:paraId="11F06637">
      <w:pPr>
        <w:pStyle w:val="2"/>
        <w:rPr>
          <w:rFonts w:hint="eastAsia" w:eastAsia="仿宋"/>
          <w:lang w:eastAsia="zh-CN"/>
        </w:rPr>
      </w:pPr>
      <w:r>
        <w:rPr>
          <w:rFonts w:hint="eastAsia" w:eastAsia="仿宋"/>
          <w:lang w:eastAsia="zh-CN"/>
        </w:rPr>
        <w:drawing>
          <wp:inline distT="0" distB="0" distL="114300" distR="114300">
            <wp:extent cx="5256530" cy="2988310"/>
            <wp:effectExtent l="5080" t="4445" r="8890" b="7620"/>
            <wp:docPr id="10"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2A15E040">
      <w:pPr>
        <w:spacing w:line="600" w:lineRule="exact"/>
        <w:jc w:val="center"/>
        <w:rPr>
          <w:rFonts w:ascii="仿宋" w:hAnsi="仿宋" w:eastAsia="仿宋"/>
          <w:color w:val="auto"/>
          <w:sz w:val="32"/>
          <w:szCs w:val="32"/>
          <w:highlight w:val="none"/>
        </w:rPr>
      </w:pPr>
      <w:r>
        <w:rPr>
          <w:rFonts w:hint="eastAsia" w:ascii="仿宋" w:hAnsi="仿宋" w:eastAsia="仿宋"/>
          <w:color w:val="auto"/>
          <w:sz w:val="32"/>
          <w:szCs w:val="32"/>
          <w:highlight w:val="none"/>
        </w:rPr>
        <w:t>（图7：“三公”经费财政拨款支出结构）</w:t>
      </w:r>
    </w:p>
    <w:p w14:paraId="64DEFDA6">
      <w:pPr>
        <w:spacing w:line="600" w:lineRule="exact"/>
        <w:ind w:firstLine="640"/>
        <w:rPr>
          <w:rFonts w:ascii="仿宋_GB2312" w:eastAsia="仿宋_GB2312"/>
          <w:color w:val="auto"/>
          <w:sz w:val="32"/>
          <w:szCs w:val="32"/>
          <w:highlight w:val="none"/>
        </w:rPr>
      </w:pPr>
      <w:r>
        <w:rPr>
          <w:rFonts w:ascii="仿宋_GB2312" w:eastAsia="仿宋_GB2312"/>
          <w:b/>
          <w:color w:val="auto"/>
          <w:sz w:val="32"/>
          <w:szCs w:val="32"/>
          <w:highlight w:val="none"/>
        </w:rPr>
        <w:t>1.</w:t>
      </w:r>
      <w:r>
        <w:rPr>
          <w:rFonts w:hint="eastAsia" w:ascii="仿宋_GB2312" w:eastAsia="仿宋_GB2312"/>
          <w:b/>
          <w:color w:val="auto"/>
          <w:sz w:val="32"/>
          <w:szCs w:val="32"/>
          <w:highlight w:val="none"/>
        </w:rPr>
        <w:t>因公出国（境）经费支出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Style w:val="13"/>
          <w:rFonts w:hint="eastAsia" w:ascii="仿宋" w:hAnsi="仿宋" w:eastAsia="仿宋"/>
          <w:b w:val="0"/>
          <w:bCs/>
          <w:color w:val="auto"/>
          <w:sz w:val="32"/>
          <w:szCs w:val="32"/>
          <w:highlight w:val="none"/>
        </w:rPr>
        <w:t>完成预算</w:t>
      </w:r>
      <w:r>
        <w:rPr>
          <w:rStyle w:val="13"/>
          <w:rFonts w:hint="eastAsia" w:ascii="仿宋" w:hAnsi="仿宋" w:eastAsia="仿宋"/>
          <w:b w:val="0"/>
          <w:bCs/>
          <w:color w:val="auto"/>
          <w:sz w:val="32"/>
          <w:szCs w:val="32"/>
          <w:highlight w:val="none"/>
          <w:lang w:val="en-US" w:eastAsia="zh-CN"/>
        </w:rPr>
        <w:t>0</w:t>
      </w:r>
      <w:r>
        <w:rPr>
          <w:rStyle w:val="13"/>
          <w:rFonts w:ascii="仿宋" w:hAnsi="仿宋" w:eastAsia="仿宋"/>
          <w:b w:val="0"/>
          <w:bCs/>
          <w:color w:val="auto"/>
          <w:sz w:val="32"/>
          <w:szCs w:val="32"/>
          <w:highlight w:val="none"/>
        </w:rPr>
        <w:t>%</w:t>
      </w:r>
      <w:r>
        <w:rPr>
          <w:rFonts w:hint="eastAsia" w:ascii="仿宋_GB2312" w:eastAsia="仿宋_GB2312"/>
          <w:color w:val="auto"/>
          <w:sz w:val="32"/>
          <w:szCs w:val="32"/>
          <w:highlight w:val="none"/>
        </w:rPr>
        <w:t>。全年安排因公出国（境）团组</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次，出国（境）</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因公出国（境）支出决算</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eastAsia="zh-CN"/>
        </w:rPr>
        <w:t>2022</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lang w:val="en-US" w:eastAsia="zh-CN"/>
        </w:rPr>
        <w:t>持平。</w:t>
      </w:r>
    </w:p>
    <w:p w14:paraId="63449AE1">
      <w:pPr>
        <w:spacing w:line="600" w:lineRule="exact"/>
        <w:ind w:firstLine="640"/>
        <w:rPr>
          <w:rFonts w:ascii="仿宋_GB2312" w:eastAsia="仿宋_GB2312"/>
          <w:b/>
          <w:color w:val="auto"/>
          <w:sz w:val="32"/>
          <w:szCs w:val="32"/>
          <w:highlight w:val="none"/>
        </w:rPr>
      </w:pPr>
      <w:r>
        <w:rPr>
          <w:rFonts w:ascii="仿宋_GB2312" w:eastAsia="仿宋_GB2312"/>
          <w:b/>
          <w:color w:val="auto"/>
          <w:sz w:val="32"/>
          <w:szCs w:val="32"/>
          <w:highlight w:val="none"/>
        </w:rPr>
        <w:t>2.</w:t>
      </w:r>
      <w:r>
        <w:rPr>
          <w:rFonts w:hint="eastAsia" w:ascii="仿宋_GB2312" w:eastAsia="仿宋_GB2312"/>
          <w:b/>
          <w:color w:val="auto"/>
          <w:sz w:val="32"/>
          <w:szCs w:val="32"/>
          <w:highlight w:val="none"/>
        </w:rPr>
        <w:t>公务用车购置及运行维护费支出</w:t>
      </w:r>
      <w:r>
        <w:rPr>
          <w:rFonts w:hint="eastAsia" w:ascii="仿宋_GB2312" w:eastAsia="仿宋_GB2312"/>
          <w:color w:val="auto"/>
          <w:sz w:val="32"/>
          <w:szCs w:val="32"/>
          <w:highlight w:val="none"/>
          <w:lang w:val="en-US" w:eastAsia="zh-CN"/>
        </w:rPr>
        <w:t>10.4</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Style w:val="13"/>
          <w:rFonts w:hint="eastAsia" w:ascii="仿宋" w:hAnsi="仿宋" w:eastAsia="仿宋"/>
          <w:b w:val="0"/>
          <w:bCs/>
          <w:color w:val="auto"/>
          <w:sz w:val="32"/>
          <w:szCs w:val="32"/>
          <w:highlight w:val="none"/>
        </w:rPr>
        <w:t>完成预算54.7</w:t>
      </w:r>
      <w:r>
        <w:rPr>
          <w:rStyle w:val="13"/>
          <w:rFonts w:ascii="仿宋" w:hAnsi="仿宋" w:eastAsia="仿宋"/>
          <w:b w:val="0"/>
          <w:bCs/>
          <w:color w:val="auto"/>
          <w:sz w:val="32"/>
          <w:szCs w:val="32"/>
          <w:highlight w:val="none"/>
        </w:rPr>
        <w:t>%</w:t>
      </w:r>
      <w:r>
        <w:rPr>
          <w:rStyle w:val="13"/>
          <w:rFonts w:hint="eastAsia" w:ascii="仿宋" w:hAnsi="仿宋" w:eastAsia="仿宋"/>
          <w:b w:val="0"/>
          <w:bCs/>
          <w:color w:val="auto"/>
          <w:sz w:val="32"/>
          <w:szCs w:val="32"/>
          <w:highlight w:val="none"/>
        </w:rPr>
        <w:t>。</w:t>
      </w:r>
      <w:r>
        <w:rPr>
          <w:rFonts w:hint="eastAsia" w:ascii="仿宋_GB2312" w:eastAsia="仿宋_GB2312"/>
          <w:color w:val="auto"/>
          <w:sz w:val="32"/>
          <w:szCs w:val="32"/>
          <w:highlight w:val="none"/>
        </w:rPr>
        <w:t>公务用车购置及运行维护费支出决算比</w:t>
      </w:r>
      <w:r>
        <w:rPr>
          <w:rFonts w:hint="eastAsia" w:ascii="仿宋_GB2312" w:eastAsia="仿宋_GB2312"/>
          <w:color w:val="auto"/>
          <w:sz w:val="32"/>
          <w:szCs w:val="32"/>
          <w:highlight w:val="none"/>
          <w:lang w:eastAsia="zh-CN"/>
        </w:rPr>
        <w:t>2022</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rPr>
        <w:t>减少4.7万元，下降31.1</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。主要原因是减少了公务车的维修保养。</w:t>
      </w:r>
    </w:p>
    <w:p w14:paraId="45F4AEEF">
      <w:pPr>
        <w:spacing w:line="600" w:lineRule="exact"/>
        <w:ind w:firstLine="640" w:firstLineChars="200"/>
        <w:rPr>
          <w:rFonts w:ascii="仿宋_GB2312" w:eastAsia="仿宋_GB2312"/>
          <w:b/>
          <w:color w:val="auto"/>
          <w:sz w:val="32"/>
          <w:szCs w:val="32"/>
          <w:highlight w:val="none"/>
        </w:rPr>
      </w:pPr>
      <w:r>
        <w:rPr>
          <w:rFonts w:hint="eastAsia" w:ascii="仿宋_GB2312" w:eastAsia="仿宋_GB2312"/>
          <w:color w:val="auto"/>
          <w:sz w:val="32"/>
          <w:szCs w:val="32"/>
          <w:highlight w:val="none"/>
        </w:rPr>
        <w:t>其中：</w:t>
      </w:r>
      <w:r>
        <w:rPr>
          <w:rFonts w:hint="eastAsia" w:ascii="仿宋_GB2312" w:eastAsia="仿宋_GB2312"/>
          <w:b/>
          <w:color w:val="auto"/>
          <w:sz w:val="32"/>
          <w:szCs w:val="32"/>
          <w:highlight w:val="none"/>
        </w:rPr>
        <w:t>公务用车购置支出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万元。全年按规定更新购置公务用车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辆。截至</w:t>
      </w:r>
      <w:r>
        <w:rPr>
          <w:rFonts w:hint="eastAsia" w:ascii="仿宋_GB2312" w:eastAsia="仿宋_GB2312"/>
          <w:color w:val="auto"/>
          <w:sz w:val="32"/>
          <w:szCs w:val="32"/>
          <w:highlight w:val="none"/>
          <w:lang w:eastAsia="zh-CN"/>
        </w:rPr>
        <w:t>2023</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w:t>
      </w:r>
      <w:r>
        <w:rPr>
          <w:rFonts w:hint="eastAsia" w:ascii="仿宋_GB2312" w:eastAsia="仿宋_GB2312"/>
          <w:color w:val="auto"/>
          <w:sz w:val="32"/>
          <w:szCs w:val="32"/>
          <w:highlight w:val="none"/>
          <w:lang w:val="en-US" w:eastAsia="zh-CN"/>
        </w:rPr>
        <w:t>31日</w:t>
      </w:r>
      <w:r>
        <w:rPr>
          <w:rFonts w:hint="eastAsia" w:ascii="仿宋_GB2312" w:eastAsia="仿宋_GB2312"/>
          <w:color w:val="auto"/>
          <w:sz w:val="32"/>
          <w:szCs w:val="32"/>
          <w:highlight w:val="none"/>
        </w:rPr>
        <w:t>，单位共有公务用车</w:t>
      </w:r>
      <w:r>
        <w:rPr>
          <w:rFonts w:hint="eastAsia" w:ascii="仿宋_GB2312" w:eastAsia="仿宋_GB2312"/>
          <w:color w:val="auto"/>
          <w:sz w:val="32"/>
          <w:szCs w:val="32"/>
          <w:highlight w:val="none"/>
          <w:lang w:val="en-US" w:eastAsia="zh-CN"/>
        </w:rPr>
        <w:t>2</w:t>
      </w:r>
      <w:r>
        <w:rPr>
          <w:rFonts w:hint="eastAsia" w:ascii="仿宋_GB2312" w:eastAsia="仿宋_GB2312"/>
          <w:color w:val="auto"/>
          <w:sz w:val="32"/>
          <w:szCs w:val="32"/>
          <w:highlight w:val="none"/>
        </w:rPr>
        <w:t>辆，其中：轿车</w:t>
      </w:r>
      <w:r>
        <w:rPr>
          <w:rFonts w:hint="eastAsia" w:ascii="仿宋_GB2312" w:eastAsia="仿宋_GB2312"/>
          <w:color w:val="auto"/>
          <w:sz w:val="32"/>
          <w:szCs w:val="32"/>
          <w:highlight w:val="none"/>
          <w:lang w:val="en-US" w:eastAsia="zh-CN"/>
        </w:rPr>
        <w:t>2</w:t>
      </w:r>
      <w:r>
        <w:rPr>
          <w:rFonts w:hint="eastAsia" w:ascii="仿宋_GB2312" w:eastAsia="仿宋_GB2312"/>
          <w:color w:val="auto"/>
          <w:sz w:val="32"/>
          <w:szCs w:val="32"/>
          <w:highlight w:val="none"/>
        </w:rPr>
        <w:t>辆。</w:t>
      </w:r>
    </w:p>
    <w:p w14:paraId="75C0512F">
      <w:pPr>
        <w:spacing w:line="600" w:lineRule="exact"/>
        <w:ind w:firstLine="640"/>
        <w:rPr>
          <w:rFonts w:ascii="仿宋_GB2312" w:eastAsia="仿宋_GB2312"/>
          <w:color w:val="auto"/>
          <w:sz w:val="32"/>
          <w:szCs w:val="32"/>
          <w:highlight w:val="none"/>
        </w:rPr>
      </w:pPr>
      <w:r>
        <w:rPr>
          <w:rFonts w:hint="eastAsia" w:ascii="仿宋_GB2312" w:eastAsia="仿宋_GB2312"/>
          <w:b/>
          <w:color w:val="auto"/>
          <w:sz w:val="32"/>
          <w:szCs w:val="32"/>
          <w:highlight w:val="none"/>
        </w:rPr>
        <w:t>公务用车运行维护费支出</w:t>
      </w:r>
      <w:r>
        <w:rPr>
          <w:rFonts w:hint="eastAsia" w:ascii="仿宋_GB2312" w:eastAsia="仿宋_GB2312"/>
          <w:color w:val="auto"/>
          <w:sz w:val="32"/>
          <w:szCs w:val="32"/>
          <w:highlight w:val="none"/>
          <w:lang w:val="en-US" w:eastAsia="zh-CN"/>
        </w:rPr>
        <w:t>10.4</w:t>
      </w:r>
      <w:r>
        <w:rPr>
          <w:rFonts w:hint="eastAsia" w:ascii="仿宋_GB2312" w:eastAsia="仿宋_GB2312"/>
          <w:color w:val="auto"/>
          <w:sz w:val="32"/>
          <w:szCs w:val="32"/>
          <w:highlight w:val="none"/>
        </w:rPr>
        <w:t>万元。主要用于</w:t>
      </w:r>
      <w:r>
        <w:rPr>
          <w:rFonts w:hint="eastAsia" w:ascii="仿宋_GB2312" w:eastAsia="仿宋_GB2312"/>
          <w:color w:val="auto"/>
          <w:sz w:val="32"/>
          <w:szCs w:val="32"/>
          <w:highlight w:val="none"/>
          <w:lang w:val="en-US" w:eastAsia="zh-CN"/>
        </w:rPr>
        <w:t>公务接待及公路维护等工作</w:t>
      </w:r>
      <w:r>
        <w:rPr>
          <w:rFonts w:hint="eastAsia" w:ascii="仿宋_GB2312" w:eastAsia="仿宋_GB2312"/>
          <w:color w:val="auto"/>
          <w:sz w:val="32"/>
          <w:szCs w:val="32"/>
          <w:highlight w:val="none"/>
        </w:rPr>
        <w:t>所需的公务用车燃料费、维修费、过路过桥费、保险费等支出。</w:t>
      </w:r>
    </w:p>
    <w:p w14:paraId="67307116">
      <w:pPr>
        <w:spacing w:line="600" w:lineRule="exact"/>
        <w:ind w:firstLine="640"/>
        <w:rPr>
          <w:rFonts w:ascii="仿宋_GB2312" w:eastAsia="仿宋_GB2312"/>
          <w:color w:val="auto"/>
          <w:sz w:val="32"/>
          <w:szCs w:val="32"/>
          <w:highlight w:val="none"/>
        </w:rPr>
      </w:pPr>
      <w:r>
        <w:rPr>
          <w:rFonts w:ascii="仿宋_GB2312" w:eastAsia="仿宋_GB2312"/>
          <w:b/>
          <w:color w:val="auto"/>
          <w:sz w:val="32"/>
          <w:szCs w:val="32"/>
          <w:highlight w:val="none"/>
        </w:rPr>
        <w:t>3.</w:t>
      </w:r>
      <w:r>
        <w:rPr>
          <w:rFonts w:hint="eastAsia" w:ascii="仿宋_GB2312" w:eastAsia="仿宋_GB2312"/>
          <w:b/>
          <w:color w:val="auto"/>
          <w:sz w:val="32"/>
          <w:szCs w:val="32"/>
          <w:highlight w:val="none"/>
        </w:rPr>
        <w:t>公务接待费支出</w:t>
      </w:r>
      <w:r>
        <w:rPr>
          <w:rFonts w:hint="eastAsia" w:ascii="仿宋_GB2312" w:eastAsia="仿宋_GB2312"/>
          <w:color w:val="auto"/>
          <w:sz w:val="32"/>
          <w:szCs w:val="32"/>
          <w:highlight w:val="none"/>
          <w:lang w:val="en-US" w:eastAsia="zh-CN"/>
        </w:rPr>
        <w:t>0.15</w:t>
      </w:r>
      <w:r>
        <w:rPr>
          <w:rFonts w:hint="eastAsia" w:ascii="仿宋_GB2312" w:eastAsia="仿宋_GB2312"/>
          <w:color w:val="auto"/>
          <w:sz w:val="32"/>
          <w:szCs w:val="32"/>
          <w:highlight w:val="none"/>
        </w:rPr>
        <w:t>万元，</w:t>
      </w:r>
      <w:r>
        <w:rPr>
          <w:rStyle w:val="13"/>
          <w:rFonts w:hint="eastAsia" w:ascii="仿宋" w:hAnsi="仿宋" w:eastAsia="仿宋"/>
          <w:b w:val="0"/>
          <w:bCs/>
          <w:color w:val="auto"/>
          <w:sz w:val="32"/>
          <w:szCs w:val="32"/>
          <w:highlight w:val="none"/>
        </w:rPr>
        <w:t>完成预算</w:t>
      </w:r>
      <w:r>
        <w:rPr>
          <w:rStyle w:val="13"/>
          <w:rFonts w:hint="eastAsia" w:ascii="仿宋" w:hAnsi="仿宋" w:eastAsia="仿宋"/>
          <w:b w:val="0"/>
          <w:bCs/>
          <w:color w:val="auto"/>
          <w:sz w:val="32"/>
          <w:szCs w:val="32"/>
          <w:highlight w:val="none"/>
          <w:lang w:val="en-US" w:eastAsia="zh-CN"/>
        </w:rPr>
        <w:t>5.2</w:t>
      </w:r>
      <w:r>
        <w:rPr>
          <w:rStyle w:val="13"/>
          <w:rFonts w:ascii="仿宋" w:hAnsi="仿宋" w:eastAsia="仿宋"/>
          <w:b w:val="0"/>
          <w:bCs/>
          <w:color w:val="auto"/>
          <w:sz w:val="32"/>
          <w:szCs w:val="32"/>
          <w:highlight w:val="none"/>
        </w:rPr>
        <w:t>%</w:t>
      </w:r>
      <w:r>
        <w:rPr>
          <w:rStyle w:val="13"/>
          <w:rFonts w:hint="eastAsia" w:ascii="仿宋" w:hAnsi="仿宋" w:eastAsia="仿宋"/>
          <w:b w:val="0"/>
          <w:bCs/>
          <w:color w:val="auto"/>
          <w:sz w:val="32"/>
          <w:szCs w:val="32"/>
          <w:highlight w:val="none"/>
        </w:rPr>
        <w:t>。</w:t>
      </w:r>
      <w:r>
        <w:rPr>
          <w:rFonts w:hint="eastAsia" w:ascii="仿宋_GB2312" w:eastAsia="仿宋_GB2312"/>
          <w:color w:val="auto"/>
          <w:sz w:val="32"/>
          <w:szCs w:val="32"/>
          <w:highlight w:val="none"/>
        </w:rPr>
        <w:t>公务接待费支出决算比</w:t>
      </w:r>
      <w:r>
        <w:rPr>
          <w:rFonts w:hint="eastAsia" w:ascii="仿宋_GB2312" w:eastAsia="仿宋_GB2312"/>
          <w:color w:val="auto"/>
          <w:sz w:val="32"/>
          <w:szCs w:val="32"/>
          <w:highlight w:val="none"/>
          <w:lang w:eastAsia="zh-CN"/>
        </w:rPr>
        <w:t>2022</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rPr>
        <w:t>减少</w:t>
      </w:r>
      <w:r>
        <w:rPr>
          <w:rFonts w:hint="eastAsia" w:ascii="仿宋_GB2312" w:eastAsia="仿宋_GB2312"/>
          <w:color w:val="auto"/>
          <w:sz w:val="32"/>
          <w:szCs w:val="32"/>
          <w:highlight w:val="none"/>
          <w:lang w:val="en-US" w:eastAsia="zh-CN"/>
        </w:rPr>
        <w:t>0.15</w:t>
      </w:r>
      <w:r>
        <w:rPr>
          <w:rFonts w:hint="eastAsia" w:ascii="仿宋_GB2312" w:eastAsia="仿宋_GB2312"/>
          <w:color w:val="auto"/>
          <w:sz w:val="32"/>
          <w:szCs w:val="32"/>
          <w:highlight w:val="none"/>
        </w:rPr>
        <w:t>万元，下降48.8</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。主要原因是本年度减少了公务接待。其中：</w:t>
      </w:r>
    </w:p>
    <w:p w14:paraId="20C83AFE">
      <w:pPr>
        <w:spacing w:line="600" w:lineRule="exact"/>
        <w:ind w:firstLine="640"/>
        <w:rPr>
          <w:rFonts w:ascii="仿宋_GB2312" w:eastAsia="仿宋_GB2312"/>
          <w:color w:val="auto"/>
          <w:sz w:val="32"/>
          <w:szCs w:val="32"/>
          <w:highlight w:val="none"/>
        </w:rPr>
      </w:pPr>
      <w:r>
        <w:rPr>
          <w:rFonts w:hint="eastAsia" w:ascii="仿宋" w:hAnsi="仿宋" w:eastAsia="仿宋"/>
          <w:b/>
          <w:color w:val="auto"/>
          <w:sz w:val="32"/>
          <w:szCs w:val="32"/>
          <w:highlight w:val="none"/>
        </w:rPr>
        <w:t>国内公务接待支出</w:t>
      </w:r>
      <w:r>
        <w:rPr>
          <w:rFonts w:hint="eastAsia" w:ascii="仿宋" w:hAnsi="仿宋" w:eastAsia="仿宋"/>
          <w:color w:val="auto"/>
          <w:sz w:val="32"/>
          <w:szCs w:val="32"/>
          <w:highlight w:val="none"/>
          <w:lang w:val="en-US" w:eastAsia="zh-CN"/>
        </w:rPr>
        <w:t>0.15</w:t>
      </w:r>
      <w:r>
        <w:rPr>
          <w:rFonts w:hint="eastAsia" w:ascii="仿宋_GB2312" w:eastAsia="仿宋_GB2312"/>
          <w:color w:val="auto"/>
          <w:sz w:val="32"/>
          <w:szCs w:val="32"/>
          <w:highlight w:val="none"/>
        </w:rPr>
        <w:t>万元，主要用于开展汛前安全检查接待</w:t>
      </w:r>
      <w:r>
        <w:rPr>
          <w:rFonts w:hint="eastAsia" w:ascii="仿宋_GB2312" w:eastAsia="仿宋_GB2312"/>
          <w:color w:val="auto"/>
          <w:sz w:val="32"/>
          <w:szCs w:val="32"/>
          <w:highlight w:val="none"/>
          <w:lang w:val="en-US" w:eastAsia="zh-CN"/>
        </w:rPr>
        <w:t>等</w:t>
      </w:r>
      <w:r>
        <w:rPr>
          <w:rFonts w:hint="eastAsia" w:ascii="仿宋_GB2312" w:eastAsia="仿宋_GB2312"/>
          <w:color w:val="auto"/>
          <w:sz w:val="32"/>
          <w:szCs w:val="32"/>
          <w:highlight w:val="none"/>
        </w:rPr>
        <w:t>活动开支的交通费、住宿费、用餐费等。国内公务接待</w:t>
      </w:r>
      <w:r>
        <w:rPr>
          <w:rFonts w:hint="eastAsia" w:ascii="仿宋_GB2312" w:eastAsia="仿宋_GB2312"/>
          <w:color w:val="auto"/>
          <w:sz w:val="32"/>
          <w:szCs w:val="32"/>
          <w:highlight w:val="none"/>
          <w:lang w:val="en-US" w:eastAsia="zh-CN"/>
        </w:rPr>
        <w:t>2</w:t>
      </w:r>
      <w:bookmarkStart w:id="34" w:name="_GoBack"/>
      <w:bookmarkEnd w:id="34"/>
      <w:r>
        <w:rPr>
          <w:rFonts w:hint="eastAsia" w:ascii="仿宋_GB2312" w:eastAsia="仿宋_GB2312"/>
          <w:color w:val="auto"/>
          <w:sz w:val="32"/>
          <w:szCs w:val="32"/>
          <w:highlight w:val="none"/>
        </w:rPr>
        <w:t>批次，</w:t>
      </w:r>
      <w:r>
        <w:rPr>
          <w:rFonts w:hint="eastAsia" w:ascii="仿宋_GB2312" w:eastAsia="仿宋_GB2312"/>
          <w:color w:val="auto"/>
          <w:sz w:val="32"/>
          <w:szCs w:val="32"/>
          <w:highlight w:val="none"/>
          <w:lang w:val="en-US" w:eastAsia="zh-CN"/>
        </w:rPr>
        <w:t>13</w:t>
      </w:r>
      <w:r>
        <w:rPr>
          <w:rFonts w:hint="eastAsia" w:ascii="仿宋_GB2312" w:eastAsia="仿宋_GB2312"/>
          <w:color w:val="auto"/>
          <w:sz w:val="32"/>
          <w:szCs w:val="32"/>
          <w:highlight w:val="none"/>
        </w:rPr>
        <w:t>人次（不包括陪同人员），共计支出</w:t>
      </w:r>
      <w:r>
        <w:rPr>
          <w:rFonts w:hint="eastAsia" w:ascii="仿宋_GB2312" w:eastAsia="仿宋_GB2312"/>
          <w:color w:val="auto"/>
          <w:sz w:val="32"/>
          <w:szCs w:val="32"/>
          <w:highlight w:val="none"/>
          <w:lang w:val="en-US" w:eastAsia="zh-CN"/>
        </w:rPr>
        <w:t>0.15</w:t>
      </w:r>
      <w:r>
        <w:rPr>
          <w:rFonts w:hint="eastAsia" w:ascii="仿宋_GB2312" w:eastAsia="仿宋_GB2312"/>
          <w:color w:val="auto"/>
          <w:sz w:val="32"/>
          <w:szCs w:val="32"/>
          <w:highlight w:val="none"/>
        </w:rPr>
        <w:t>万元，具体内容包括：开展汛前安全检查接待</w:t>
      </w:r>
      <w:r>
        <w:rPr>
          <w:rFonts w:hint="eastAsia" w:ascii="仿宋_GB2312" w:eastAsia="仿宋_GB2312"/>
          <w:color w:val="auto"/>
          <w:sz w:val="32"/>
          <w:szCs w:val="32"/>
          <w:highlight w:val="none"/>
          <w:lang w:val="en-US" w:eastAsia="zh-CN"/>
        </w:rPr>
        <w:t>支出500元等</w:t>
      </w:r>
      <w:r>
        <w:rPr>
          <w:rFonts w:hint="eastAsia" w:ascii="仿宋_GB2312" w:eastAsia="仿宋_GB2312"/>
          <w:color w:val="auto"/>
          <w:sz w:val="32"/>
          <w:szCs w:val="32"/>
          <w:highlight w:val="none"/>
        </w:rPr>
        <w:t>。</w:t>
      </w:r>
    </w:p>
    <w:p w14:paraId="1C22DF8D">
      <w:pPr>
        <w:spacing w:line="600" w:lineRule="exact"/>
        <w:ind w:firstLine="643" w:firstLineChars="200"/>
        <w:rPr>
          <w:rFonts w:hint="eastAsia" w:ascii="仿宋_GB2312" w:eastAsia="仿宋_GB2312"/>
          <w:color w:val="auto"/>
          <w:sz w:val="32"/>
          <w:szCs w:val="32"/>
          <w:highlight w:val="none"/>
          <w:lang w:eastAsia="zh-CN"/>
        </w:rPr>
      </w:pPr>
      <w:r>
        <w:rPr>
          <w:rFonts w:hint="eastAsia" w:ascii="仿宋" w:hAnsi="仿宋" w:eastAsia="仿宋"/>
          <w:b/>
          <w:color w:val="auto"/>
          <w:sz w:val="32"/>
          <w:szCs w:val="32"/>
          <w:highlight w:val="none"/>
        </w:rPr>
        <w:t>外事接待支出</w:t>
      </w:r>
      <w:r>
        <w:rPr>
          <w:rFonts w:hint="eastAsia" w:ascii="仿宋" w:hAnsi="仿宋" w:eastAsia="仿宋"/>
          <w:color w:val="auto"/>
          <w:sz w:val="32"/>
          <w:szCs w:val="32"/>
          <w:highlight w:val="none"/>
          <w:lang w:val="en-US" w:eastAsia="zh-CN"/>
        </w:rPr>
        <w:t>0</w:t>
      </w:r>
      <w:r>
        <w:rPr>
          <w:rFonts w:hint="eastAsia" w:ascii="仿宋_GB2312" w:eastAsia="仿宋_GB2312"/>
          <w:color w:val="auto"/>
          <w:sz w:val="32"/>
          <w:szCs w:val="32"/>
          <w:highlight w:val="none"/>
        </w:rPr>
        <w:t>万元。外事接待</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批次，</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次（不包括陪同人员）</w:t>
      </w:r>
      <w:r>
        <w:rPr>
          <w:rFonts w:hint="eastAsia" w:ascii="仿宋_GB2312" w:eastAsia="仿宋_GB2312"/>
          <w:color w:val="auto"/>
          <w:sz w:val="32"/>
          <w:szCs w:val="32"/>
          <w:highlight w:val="none"/>
        </w:rPr>
        <w:t>，共计支出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p>
    <w:p w14:paraId="02A3B5D7">
      <w:pPr>
        <w:spacing w:line="600" w:lineRule="exact"/>
        <w:ind w:firstLine="640"/>
        <w:outlineLvl w:val="9"/>
        <w:rPr>
          <w:rFonts w:ascii="黑体" w:eastAsia="黑体"/>
          <w:color w:val="auto"/>
          <w:sz w:val="32"/>
          <w:szCs w:val="32"/>
          <w:highlight w:val="none"/>
        </w:rPr>
      </w:pPr>
    </w:p>
    <w:p w14:paraId="0F6A3751">
      <w:pPr>
        <w:spacing w:line="600" w:lineRule="exact"/>
        <w:ind w:firstLine="640"/>
        <w:outlineLvl w:val="1"/>
        <w:rPr>
          <w:rStyle w:val="15"/>
          <w:rFonts w:ascii="黑体" w:hAnsi="黑体" w:eastAsia="黑体"/>
          <w:color w:val="auto"/>
          <w:highlight w:val="none"/>
        </w:rPr>
      </w:pPr>
      <w:bookmarkStart w:id="13" w:name="_Toc30621"/>
      <w:r>
        <w:rPr>
          <w:rFonts w:hint="eastAsia" w:ascii="黑体" w:eastAsia="黑体"/>
          <w:color w:val="auto"/>
          <w:sz w:val="32"/>
          <w:szCs w:val="32"/>
          <w:highlight w:val="none"/>
        </w:rPr>
        <w:t>八、</w:t>
      </w:r>
      <w:r>
        <w:rPr>
          <w:rStyle w:val="15"/>
          <w:rFonts w:hint="eastAsia" w:ascii="黑体" w:hAnsi="黑体" w:eastAsia="黑体"/>
          <w:b w:val="0"/>
          <w:color w:val="auto"/>
          <w:highlight w:val="none"/>
        </w:rPr>
        <w:t>政府性基金预算支出决算情况说明</w:t>
      </w:r>
      <w:bookmarkEnd w:id="13"/>
    </w:p>
    <w:p w14:paraId="3A1BCFB2">
      <w:pPr>
        <w:spacing w:line="600" w:lineRule="exact"/>
        <w:ind w:firstLine="640"/>
        <w:rPr>
          <w:rFonts w:ascii="仿宋_GB2312" w:eastAsia="仿宋_GB2312"/>
          <w:color w:val="auto"/>
          <w:sz w:val="32"/>
          <w:szCs w:val="32"/>
          <w:highlight w:val="none"/>
        </w:rPr>
      </w:pPr>
      <w:r>
        <w:rPr>
          <w:rFonts w:hint="eastAsia" w:ascii="仿宋_GB2312" w:eastAsia="仿宋_GB2312"/>
          <w:color w:val="auto"/>
          <w:sz w:val="32"/>
          <w:szCs w:val="32"/>
          <w:highlight w:val="none"/>
          <w:lang w:eastAsia="zh-CN"/>
        </w:rPr>
        <w:t>2023</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rPr>
        <w:t>政府性基金预算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14:paraId="667EA03F">
      <w:pPr>
        <w:spacing w:line="600" w:lineRule="exact"/>
        <w:ind w:firstLine="640"/>
        <w:rPr>
          <w:rFonts w:ascii="仿宋_GB2312" w:eastAsia="仿宋_GB2312"/>
          <w:color w:val="auto"/>
          <w:sz w:val="32"/>
          <w:szCs w:val="32"/>
          <w:highlight w:val="none"/>
        </w:rPr>
      </w:pPr>
    </w:p>
    <w:p w14:paraId="5AE5B9FC">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Style w:val="15"/>
          <w:rFonts w:ascii="黑体" w:hAnsi="黑体" w:eastAsia="黑体"/>
          <w:b w:val="0"/>
          <w:color w:val="auto"/>
          <w:highlight w:val="none"/>
        </w:rPr>
      </w:pPr>
      <w:bookmarkStart w:id="14" w:name="_Toc12609"/>
      <w:r>
        <w:rPr>
          <w:rStyle w:val="15"/>
          <w:rFonts w:hint="eastAsia" w:ascii="黑体" w:hAnsi="黑体" w:eastAsia="黑体"/>
          <w:b w:val="0"/>
          <w:color w:val="auto"/>
          <w:highlight w:val="none"/>
          <w:lang w:eastAsia="zh-CN"/>
        </w:rPr>
        <w:t>九、</w:t>
      </w:r>
      <w:r>
        <w:rPr>
          <w:rStyle w:val="15"/>
          <w:rFonts w:hint="eastAsia" w:ascii="黑体" w:hAnsi="黑体" w:eastAsia="黑体"/>
          <w:b w:val="0"/>
          <w:color w:val="auto"/>
          <w:highlight w:val="none"/>
        </w:rPr>
        <w:t>国有资本经营预算支出决算情况说明</w:t>
      </w:r>
      <w:bookmarkEnd w:id="14"/>
    </w:p>
    <w:p w14:paraId="341831FC">
      <w:pPr>
        <w:spacing w:line="600" w:lineRule="exact"/>
        <w:ind w:firstLine="640"/>
        <w:rPr>
          <w:rFonts w:ascii="仿宋_GB2312" w:eastAsia="仿宋_GB2312"/>
          <w:color w:val="auto"/>
          <w:sz w:val="32"/>
          <w:szCs w:val="32"/>
          <w:highlight w:val="none"/>
        </w:rPr>
      </w:pPr>
      <w:r>
        <w:rPr>
          <w:rFonts w:hint="eastAsia" w:ascii="仿宋_GB2312" w:eastAsia="仿宋_GB2312"/>
          <w:color w:val="auto"/>
          <w:sz w:val="32"/>
          <w:szCs w:val="32"/>
          <w:highlight w:val="none"/>
          <w:lang w:eastAsia="zh-CN"/>
        </w:rPr>
        <w:t>2023</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rPr>
        <w:t>国有资本经营预算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14:paraId="7DB38E4F">
      <w:pPr>
        <w:keepNext w:val="0"/>
        <w:keepLines w:val="0"/>
        <w:pageBreakBefore w:val="0"/>
        <w:widowControl w:val="0"/>
        <w:kinsoku/>
        <w:wordWrap/>
        <w:overflowPunct/>
        <w:topLinePunct w:val="0"/>
        <w:autoSpaceDE/>
        <w:autoSpaceDN/>
        <w:bidi w:val="0"/>
        <w:adjustRightInd/>
        <w:snapToGrid/>
        <w:spacing w:line="580" w:lineRule="exact"/>
        <w:ind w:firstLine="880" w:firstLineChars="200"/>
        <w:jc w:val="center"/>
        <w:textAlignment w:val="auto"/>
        <w:rPr>
          <w:rFonts w:ascii="方正小标宋简体" w:hAnsi="方正小标宋简体" w:eastAsia="方正小标宋简体" w:cs="方正小标宋简体"/>
          <w:color w:val="auto"/>
          <w:sz w:val="44"/>
          <w:szCs w:val="44"/>
          <w:highlight w:val="none"/>
        </w:rPr>
      </w:pPr>
    </w:p>
    <w:p w14:paraId="0549E65C">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Style w:val="15"/>
          <w:rFonts w:hint="eastAsia" w:ascii="黑体" w:hAnsi="黑体" w:eastAsia="黑体"/>
          <w:b w:val="0"/>
          <w:color w:val="auto"/>
          <w:highlight w:val="none"/>
        </w:rPr>
      </w:pPr>
      <w:bookmarkStart w:id="15" w:name="_Toc14878"/>
      <w:r>
        <w:rPr>
          <w:rStyle w:val="15"/>
          <w:rFonts w:hint="eastAsia" w:ascii="黑体" w:hAnsi="黑体" w:eastAsia="黑体"/>
          <w:b w:val="0"/>
          <w:color w:val="auto"/>
          <w:highlight w:val="none"/>
          <w:lang w:eastAsia="zh-CN"/>
        </w:rPr>
        <w:t>十、</w:t>
      </w:r>
      <w:r>
        <w:rPr>
          <w:rStyle w:val="15"/>
          <w:rFonts w:hint="eastAsia" w:ascii="黑体" w:hAnsi="黑体" w:eastAsia="黑体"/>
          <w:b w:val="0"/>
          <w:color w:val="auto"/>
          <w:highlight w:val="none"/>
        </w:rPr>
        <w:t>其他重要事项的情况说明</w:t>
      </w:r>
      <w:bookmarkEnd w:id="15"/>
    </w:p>
    <w:p w14:paraId="3D19CAEC">
      <w:pPr>
        <w:spacing w:line="600" w:lineRule="exact"/>
        <w:ind w:firstLine="643" w:firstLineChars="200"/>
        <w:outlineLvl w:val="2"/>
        <w:rPr>
          <w:rFonts w:ascii="仿宋" w:hAnsi="仿宋" w:eastAsia="仿宋"/>
          <w:color w:val="auto"/>
          <w:sz w:val="32"/>
          <w:szCs w:val="32"/>
          <w:highlight w:val="none"/>
        </w:rPr>
      </w:pPr>
      <w:r>
        <w:rPr>
          <w:rFonts w:hint="eastAsia" w:ascii="仿宋" w:hAnsi="仿宋" w:eastAsia="仿宋"/>
          <w:b/>
          <w:color w:val="auto"/>
          <w:sz w:val="32"/>
          <w:szCs w:val="32"/>
          <w:highlight w:val="none"/>
        </w:rPr>
        <w:t>（一）机关运行经费支出情况</w:t>
      </w:r>
    </w:p>
    <w:p w14:paraId="261D3826">
      <w:pPr>
        <w:spacing w:line="600" w:lineRule="exact"/>
        <w:ind w:firstLine="640" w:firstLineChars="200"/>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2023</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本单位</w:t>
      </w:r>
      <w:r>
        <w:rPr>
          <w:rFonts w:hint="eastAsia" w:ascii="仿宋_GB2312" w:eastAsia="仿宋_GB2312"/>
          <w:color w:val="auto"/>
          <w:sz w:val="32"/>
          <w:szCs w:val="32"/>
          <w:highlight w:val="none"/>
        </w:rPr>
        <w:t>机关运行经费支出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与</w:t>
      </w:r>
      <w:r>
        <w:rPr>
          <w:rFonts w:hint="eastAsia" w:ascii="仿宋_GB2312" w:eastAsia="仿宋_GB2312"/>
          <w:color w:val="auto"/>
          <w:sz w:val="32"/>
          <w:szCs w:val="32"/>
          <w:highlight w:val="none"/>
          <w:lang w:eastAsia="zh-CN"/>
        </w:rPr>
        <w:t>2022</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rPr>
        <w:t>决算数持平</w:t>
      </w:r>
      <w:r>
        <w:rPr>
          <w:rFonts w:hint="eastAsia" w:ascii="仿宋_GB2312" w:eastAsia="仿宋_GB2312"/>
          <w:color w:val="auto"/>
          <w:sz w:val="32"/>
          <w:szCs w:val="32"/>
          <w:highlight w:val="none"/>
          <w:lang w:eastAsia="zh-CN"/>
        </w:rPr>
        <w:t>。</w:t>
      </w:r>
    </w:p>
    <w:p w14:paraId="05F886B2">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（二）政府采购支出情况</w:t>
      </w:r>
    </w:p>
    <w:p w14:paraId="075C5F6E">
      <w:pPr>
        <w:spacing w:line="600" w:lineRule="exact"/>
        <w:ind w:firstLine="640" w:firstLineChars="200"/>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2023</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本单位</w:t>
      </w:r>
      <w:r>
        <w:rPr>
          <w:rFonts w:hint="eastAsia" w:ascii="仿宋_GB2312" w:eastAsia="仿宋_GB2312"/>
          <w:color w:val="auto"/>
          <w:sz w:val="32"/>
          <w:szCs w:val="32"/>
          <w:highlight w:val="none"/>
        </w:rPr>
        <w:t>政府采购支出总额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其中：政府采购货物支出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万元、政府采购工程支出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万元、政府采购服务支出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万元。主要用于</w:t>
      </w:r>
      <w:r>
        <w:rPr>
          <w:rFonts w:hint="eastAsia" w:ascii="仿宋_GB2312" w:eastAsia="仿宋_GB2312"/>
          <w:color w:val="auto"/>
          <w:sz w:val="32"/>
          <w:szCs w:val="32"/>
          <w:highlight w:val="none"/>
          <w:lang w:val="en-US" w:eastAsia="zh-CN"/>
        </w:rPr>
        <w:t>公务用车购置</w:t>
      </w:r>
      <w:r>
        <w:rPr>
          <w:rFonts w:hint="eastAsia" w:ascii="仿宋_GB2312" w:eastAsia="仿宋_GB2312"/>
          <w:color w:val="auto"/>
          <w:sz w:val="32"/>
          <w:szCs w:val="32"/>
          <w:highlight w:val="none"/>
        </w:rPr>
        <w:t>。授予中小企业合同金额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万元，占政府采购支出总额的</w:t>
      </w:r>
      <w:r>
        <w:rPr>
          <w:rFonts w:hint="eastAsia" w:ascii="仿宋_GB2312" w:eastAsia="仿宋_GB2312"/>
          <w:color w:val="auto"/>
          <w:sz w:val="32"/>
          <w:szCs w:val="32"/>
          <w:highlight w:val="none"/>
          <w:lang w:val="en-US" w:eastAsia="zh-CN"/>
        </w:rPr>
        <w:t>0</w:t>
      </w:r>
      <w:r>
        <w:rPr>
          <w:rFonts w:ascii="仿宋_GB2312" w:eastAsia="仿宋_GB2312"/>
          <w:color w:val="auto"/>
          <w:sz w:val="32"/>
          <w:szCs w:val="32"/>
          <w:highlight w:val="none"/>
        </w:rPr>
        <w:t>%</w:t>
      </w:r>
      <w:r>
        <w:rPr>
          <w:rFonts w:hint="eastAsia" w:ascii="仿宋_GB2312" w:eastAsia="仿宋_GB2312"/>
          <w:color w:val="auto"/>
          <w:sz w:val="32"/>
          <w:szCs w:val="32"/>
          <w:highlight w:val="none"/>
        </w:rPr>
        <w:t>，其中：授予小微企业合同金额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万元，占政府采购支出总额的</w:t>
      </w:r>
      <w:r>
        <w:rPr>
          <w:rFonts w:hint="eastAsia" w:ascii="仿宋_GB2312" w:eastAsia="仿宋_GB2312"/>
          <w:color w:val="auto"/>
          <w:sz w:val="32"/>
          <w:szCs w:val="32"/>
          <w:highlight w:val="none"/>
          <w:lang w:val="en-US" w:eastAsia="zh-CN"/>
        </w:rPr>
        <w:t>0</w:t>
      </w:r>
      <w:r>
        <w:rPr>
          <w:rFonts w:ascii="仿宋_GB2312" w:eastAsia="仿宋_GB2312"/>
          <w:color w:val="auto"/>
          <w:sz w:val="32"/>
          <w:szCs w:val="32"/>
          <w:highlight w:val="none"/>
        </w:rPr>
        <w:t>%</w:t>
      </w:r>
      <w:r>
        <w:rPr>
          <w:rFonts w:hint="eastAsia" w:ascii="仿宋_GB2312" w:eastAsia="仿宋_GB2312"/>
          <w:color w:val="auto"/>
          <w:sz w:val="32"/>
          <w:szCs w:val="32"/>
          <w:highlight w:val="none"/>
          <w:lang w:eastAsia="zh-CN"/>
        </w:rPr>
        <w:t>。</w:t>
      </w:r>
    </w:p>
    <w:p w14:paraId="22F5D3F6">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（三）国有资产占有使用情况</w:t>
      </w:r>
    </w:p>
    <w:p w14:paraId="41C1EB1E">
      <w:pPr>
        <w:autoSpaceDE w:val="0"/>
        <w:autoSpaceDN w:val="0"/>
        <w:adjustRightInd w:val="0"/>
        <w:spacing w:line="600" w:lineRule="exact"/>
        <w:ind w:firstLine="640" w:firstLineChars="200"/>
        <w:jc w:val="left"/>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截至</w:t>
      </w:r>
      <w:r>
        <w:rPr>
          <w:rFonts w:hint="eastAsia" w:ascii="仿宋_GB2312" w:eastAsia="仿宋_GB2312"/>
          <w:color w:val="auto"/>
          <w:sz w:val="32"/>
          <w:szCs w:val="32"/>
          <w:highlight w:val="none"/>
          <w:lang w:eastAsia="zh-CN"/>
        </w:rPr>
        <w:t>2023</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w:t>
      </w:r>
      <w:r>
        <w:rPr>
          <w:rFonts w:ascii="仿宋_GB2312" w:eastAsia="仿宋_GB2312"/>
          <w:color w:val="auto"/>
          <w:sz w:val="32"/>
          <w:szCs w:val="32"/>
          <w:highlight w:val="none"/>
        </w:rPr>
        <w:t>31</w:t>
      </w:r>
      <w:r>
        <w:rPr>
          <w:rFonts w:hint="eastAsia" w:ascii="仿宋_GB2312" w:eastAsia="仿宋_GB2312"/>
          <w:color w:val="auto"/>
          <w:sz w:val="32"/>
          <w:szCs w:val="32"/>
          <w:highlight w:val="none"/>
        </w:rPr>
        <w:t>日，</w:t>
      </w:r>
      <w:r>
        <w:rPr>
          <w:rFonts w:hint="eastAsia" w:ascii="仿宋_GB2312" w:eastAsia="仿宋_GB2312"/>
          <w:color w:val="auto"/>
          <w:sz w:val="32"/>
          <w:szCs w:val="32"/>
          <w:highlight w:val="none"/>
          <w:lang w:val="en-US" w:eastAsia="zh-CN"/>
        </w:rPr>
        <w:t>本单位</w:t>
      </w:r>
      <w:r>
        <w:rPr>
          <w:rFonts w:hint="eastAsia" w:ascii="仿宋_GB2312" w:eastAsia="仿宋_GB2312"/>
          <w:color w:val="auto"/>
          <w:sz w:val="32"/>
          <w:szCs w:val="32"/>
          <w:highlight w:val="none"/>
        </w:rPr>
        <w:t>共有车辆</w:t>
      </w:r>
      <w:r>
        <w:rPr>
          <w:rFonts w:hint="eastAsia" w:ascii="仿宋_GB2312" w:eastAsia="仿宋_GB2312"/>
          <w:color w:val="auto"/>
          <w:sz w:val="32"/>
          <w:szCs w:val="32"/>
          <w:highlight w:val="none"/>
          <w:lang w:val="en-US" w:eastAsia="zh-CN"/>
        </w:rPr>
        <w:t>2</w:t>
      </w:r>
      <w:r>
        <w:rPr>
          <w:rFonts w:hint="eastAsia" w:ascii="仿宋_GB2312" w:eastAsia="仿宋_GB2312"/>
          <w:color w:val="auto"/>
          <w:sz w:val="32"/>
          <w:szCs w:val="32"/>
          <w:highlight w:val="none"/>
        </w:rPr>
        <w:t>辆，其中：主要领导干部用车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辆、机要通信用车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辆、应急保障用车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辆、其他用车</w:t>
      </w:r>
      <w:r>
        <w:rPr>
          <w:rFonts w:hint="eastAsia" w:ascii="仿宋_GB2312" w:eastAsia="仿宋_GB2312"/>
          <w:color w:val="auto"/>
          <w:sz w:val="32"/>
          <w:szCs w:val="32"/>
          <w:highlight w:val="none"/>
          <w:lang w:val="en-US" w:eastAsia="zh-CN"/>
        </w:rPr>
        <w:t>2</w:t>
      </w:r>
      <w:r>
        <w:rPr>
          <w:rFonts w:hint="eastAsia" w:ascii="仿宋_GB2312" w:eastAsia="仿宋_GB2312"/>
          <w:color w:val="auto"/>
          <w:sz w:val="32"/>
          <w:szCs w:val="32"/>
          <w:highlight w:val="none"/>
        </w:rPr>
        <w:t>辆</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其他用车主要是用于公路养护</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单价</w:t>
      </w:r>
      <w:r>
        <w:rPr>
          <w:rFonts w:ascii="仿宋_GB2312" w:eastAsia="仿宋_GB2312"/>
          <w:color w:val="auto"/>
          <w:sz w:val="32"/>
          <w:szCs w:val="32"/>
          <w:highlight w:val="none"/>
        </w:rPr>
        <w:t>50</w:t>
      </w:r>
      <w:r>
        <w:rPr>
          <w:rFonts w:hint="eastAsia" w:ascii="仿宋_GB2312" w:eastAsia="仿宋_GB2312"/>
          <w:color w:val="auto"/>
          <w:sz w:val="32"/>
          <w:szCs w:val="32"/>
          <w:highlight w:val="none"/>
        </w:rPr>
        <w:t>万元以上通用设备</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台（套），单价</w:t>
      </w:r>
      <w:r>
        <w:rPr>
          <w:rFonts w:ascii="仿宋_GB2312" w:eastAsia="仿宋_GB2312"/>
          <w:color w:val="auto"/>
          <w:sz w:val="32"/>
          <w:szCs w:val="32"/>
          <w:highlight w:val="none"/>
        </w:rPr>
        <w:t>100</w:t>
      </w:r>
      <w:r>
        <w:rPr>
          <w:rFonts w:hint="eastAsia" w:ascii="仿宋_GB2312" w:eastAsia="仿宋_GB2312"/>
          <w:color w:val="auto"/>
          <w:sz w:val="32"/>
          <w:szCs w:val="32"/>
          <w:highlight w:val="none"/>
        </w:rPr>
        <w:t>万元以上专用设备</w:t>
      </w:r>
      <w:r>
        <w:rPr>
          <w:rFonts w:hint="eastAsia" w:ascii="仿宋_GB2312" w:eastAsia="仿宋_GB2312"/>
          <w:color w:val="auto"/>
          <w:sz w:val="32"/>
          <w:szCs w:val="32"/>
          <w:highlight w:val="none"/>
          <w:lang w:eastAsia="zh-CN"/>
        </w:rPr>
        <w:t>（不含车辆）</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台（套）。</w:t>
      </w:r>
    </w:p>
    <w:p w14:paraId="3FC9BC87">
      <w:pPr>
        <w:autoSpaceDE w:val="0"/>
        <w:autoSpaceDN w:val="0"/>
        <w:adjustRightInd w:val="0"/>
        <w:spacing w:line="600" w:lineRule="exact"/>
        <w:ind w:firstLine="643" w:firstLineChars="200"/>
        <w:jc w:val="left"/>
        <w:outlineLvl w:val="2"/>
        <w:rPr>
          <w:rFonts w:hint="eastAsia" w:ascii="仿宋" w:hAnsi="仿宋" w:eastAsia="仿宋"/>
          <w:b/>
          <w:color w:val="auto"/>
          <w:sz w:val="32"/>
          <w:szCs w:val="32"/>
          <w:highlight w:val="none"/>
          <w:lang w:eastAsia="zh-CN"/>
        </w:rPr>
      </w:pPr>
      <w:r>
        <w:rPr>
          <w:rFonts w:hint="eastAsia" w:ascii="仿宋" w:hAnsi="仿宋" w:eastAsia="仿宋"/>
          <w:b/>
          <w:color w:val="auto"/>
          <w:sz w:val="32"/>
          <w:szCs w:val="32"/>
          <w:highlight w:val="none"/>
        </w:rPr>
        <w:t>（四）预算绩效管理情况</w:t>
      </w:r>
    </w:p>
    <w:p w14:paraId="34F961D1">
      <w:pPr>
        <w:spacing w:line="600" w:lineRule="exact"/>
        <w:ind w:firstLine="640" w:firstLineChars="200"/>
        <w:rPr>
          <w:rFonts w:hint="eastAsia" w:ascii="仿宋_GB2312" w:hAnsi="Times New Roman"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2023年本单位完成整体绩效自评，并撰写自评报告，自评得分94.4。不涉及项目绩效自评，故无项目绩效自评表</w:t>
      </w:r>
      <w:r>
        <w:rPr>
          <w:rFonts w:hint="eastAsia" w:ascii="仿宋_GB2312" w:hAnsi="Times New Roman" w:eastAsia="仿宋_GB2312" w:cs="Times New Roman"/>
          <w:color w:val="auto"/>
          <w:sz w:val="32"/>
          <w:szCs w:val="32"/>
          <w:highlight w:val="none"/>
          <w:lang w:val="en-US" w:eastAsia="zh-CN"/>
        </w:rPr>
        <w:t>。</w:t>
      </w:r>
    </w:p>
    <w:p w14:paraId="43DA652E">
      <w:pPr>
        <w:spacing w:line="600" w:lineRule="exact"/>
        <w:ind w:firstLine="640" w:firstLineChars="200"/>
        <w:rPr>
          <w:rFonts w:hint="eastAsia" w:ascii="仿宋_GB2312" w:hAnsi="Times New Roman" w:eastAsia="仿宋_GB2312" w:cs="Times New Roman"/>
          <w:color w:val="auto"/>
          <w:sz w:val="32"/>
          <w:szCs w:val="32"/>
          <w:highlight w:val="none"/>
          <w:lang w:eastAsia="zh-CN"/>
        </w:rPr>
      </w:pPr>
      <w:r>
        <w:rPr>
          <w:rFonts w:hint="eastAsia" w:ascii="仿宋_GB2312" w:hAnsi="Times New Roman" w:eastAsia="仿宋_GB2312" w:cs="Times New Roman"/>
          <w:color w:val="auto"/>
          <w:sz w:val="32"/>
          <w:szCs w:val="32"/>
          <w:highlight w:val="none"/>
          <w:lang w:eastAsia="zh-CN"/>
        </w:rPr>
        <w:br w:type="page"/>
      </w:r>
    </w:p>
    <w:p w14:paraId="60ACF499">
      <w:pPr>
        <w:numPr>
          <w:ilvl w:val="0"/>
          <w:numId w:val="0"/>
        </w:numPr>
        <w:spacing w:line="600" w:lineRule="exact"/>
        <w:jc w:val="center"/>
        <w:outlineLvl w:val="0"/>
        <w:rPr>
          <w:rStyle w:val="14"/>
          <w:rFonts w:ascii="黑体" w:hAnsi="黑体" w:eastAsia="黑体"/>
          <w:b w:val="0"/>
          <w:color w:val="auto"/>
          <w:highlight w:val="none"/>
        </w:rPr>
      </w:pPr>
      <w:bookmarkStart w:id="16" w:name="_Toc3040"/>
      <w:r>
        <w:rPr>
          <w:rFonts w:hint="eastAsia" w:ascii="黑体" w:hAnsi="黑体" w:eastAsia="黑体"/>
          <w:color w:val="auto"/>
          <w:sz w:val="44"/>
          <w:szCs w:val="44"/>
          <w:highlight w:val="none"/>
          <w:lang w:eastAsia="zh-CN"/>
        </w:rPr>
        <w:t>第三部分</w:t>
      </w:r>
      <w:r>
        <w:rPr>
          <w:rFonts w:hint="eastAsia" w:ascii="黑体" w:hAnsi="黑体" w:eastAsia="黑体"/>
          <w:color w:val="auto"/>
          <w:sz w:val="44"/>
          <w:szCs w:val="44"/>
          <w:highlight w:val="none"/>
          <w:lang w:val="en-US" w:eastAsia="zh-CN"/>
        </w:rPr>
        <w:t xml:space="preserve">  </w:t>
      </w:r>
      <w:r>
        <w:rPr>
          <w:rFonts w:hint="eastAsia" w:ascii="黑体" w:hAnsi="黑体" w:eastAsia="黑体"/>
          <w:color w:val="auto"/>
          <w:sz w:val="44"/>
          <w:szCs w:val="44"/>
          <w:highlight w:val="none"/>
        </w:rPr>
        <w:t>名</w:t>
      </w:r>
      <w:r>
        <w:rPr>
          <w:rStyle w:val="14"/>
          <w:rFonts w:hint="eastAsia" w:ascii="黑体" w:hAnsi="黑体" w:eastAsia="黑体"/>
          <w:b w:val="0"/>
          <w:color w:val="auto"/>
          <w:highlight w:val="none"/>
        </w:rPr>
        <w:t>词解释</w:t>
      </w:r>
      <w:bookmarkEnd w:id="16"/>
    </w:p>
    <w:p w14:paraId="50AE8905">
      <w:pPr>
        <w:spacing w:line="600" w:lineRule="exact"/>
        <w:jc w:val="left"/>
        <w:rPr>
          <w:rFonts w:ascii="宋体"/>
          <w:b/>
          <w:color w:val="auto"/>
          <w:sz w:val="44"/>
          <w:szCs w:val="44"/>
          <w:highlight w:val="none"/>
        </w:rPr>
      </w:pPr>
    </w:p>
    <w:p w14:paraId="04DFDA64">
      <w:pPr>
        <w:pStyle w:val="17"/>
        <w:spacing w:line="560" w:lineRule="exact"/>
        <w:ind w:firstLine="640" w:firstLineChars="200"/>
        <w:outlineLvl w:val="1"/>
        <w:rPr>
          <w:rFonts w:ascii="仿宋_GB2312" w:eastAsia="仿宋_GB2312"/>
          <w:color w:val="auto"/>
          <w:sz w:val="32"/>
          <w:szCs w:val="32"/>
          <w:highlight w:val="none"/>
        </w:rPr>
      </w:pPr>
      <w:bookmarkStart w:id="17" w:name="_Toc26750"/>
      <w:r>
        <w:rPr>
          <w:rFonts w:ascii="仿宋_GB2312" w:eastAsia="仿宋_GB2312"/>
          <w:color w:val="auto"/>
          <w:sz w:val="32"/>
          <w:szCs w:val="32"/>
          <w:highlight w:val="none"/>
        </w:rPr>
        <w:t>1.</w:t>
      </w:r>
      <w:r>
        <w:rPr>
          <w:rFonts w:hint="eastAsia" w:ascii="仿宋_GB2312" w:eastAsia="仿宋_GB2312"/>
          <w:color w:val="auto"/>
          <w:sz w:val="32"/>
          <w:szCs w:val="32"/>
          <w:highlight w:val="none"/>
        </w:rPr>
        <w:t>财政拨款收入：指单位从同级财政</w:t>
      </w:r>
      <w:r>
        <w:rPr>
          <w:rFonts w:hint="eastAsia" w:ascii="仿宋_GB2312" w:eastAsia="仿宋_GB2312"/>
          <w:color w:val="auto"/>
          <w:sz w:val="32"/>
          <w:szCs w:val="32"/>
          <w:highlight w:val="none"/>
          <w:lang w:eastAsia="zh-CN"/>
        </w:rPr>
        <w:t>单位</w:t>
      </w:r>
      <w:r>
        <w:rPr>
          <w:rFonts w:hint="eastAsia" w:ascii="仿宋_GB2312" w:eastAsia="仿宋_GB2312"/>
          <w:color w:val="auto"/>
          <w:sz w:val="32"/>
          <w:szCs w:val="32"/>
          <w:highlight w:val="none"/>
        </w:rPr>
        <w:t>取得的财政预算资金。</w:t>
      </w:r>
      <w:bookmarkEnd w:id="17"/>
    </w:p>
    <w:p w14:paraId="0E3FE067">
      <w:pPr>
        <w:pStyle w:val="17"/>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2.</w:t>
      </w:r>
      <w:r>
        <w:rPr>
          <w:rFonts w:hint="eastAsia" w:ascii="仿宋_GB2312" w:eastAsia="仿宋_GB2312"/>
          <w:color w:val="auto"/>
          <w:sz w:val="32"/>
          <w:szCs w:val="32"/>
          <w:highlight w:val="none"/>
        </w:rPr>
        <w:t>事业收入：指事业单位开展专业业务活动及辅助活动取得的收入。</w:t>
      </w:r>
    </w:p>
    <w:p w14:paraId="48468624">
      <w:pPr>
        <w:pStyle w:val="17"/>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3.</w:t>
      </w:r>
      <w:r>
        <w:rPr>
          <w:rFonts w:hint="eastAsia" w:ascii="仿宋_GB2312" w:eastAsia="仿宋_GB2312"/>
          <w:color w:val="auto"/>
          <w:sz w:val="32"/>
          <w:szCs w:val="32"/>
          <w:highlight w:val="none"/>
        </w:rPr>
        <w:t>经营收入：指事业单位在专业业务活动及其辅助活动之外开展非独立核算经营活动取得的收入。</w:t>
      </w:r>
    </w:p>
    <w:p w14:paraId="38BA99FF">
      <w:pPr>
        <w:pStyle w:val="17"/>
        <w:spacing w:line="560" w:lineRule="exact"/>
        <w:ind w:firstLine="640" w:firstLineChars="200"/>
        <w:outlineLvl w:val="1"/>
        <w:rPr>
          <w:rFonts w:ascii="仿宋_GB2312" w:eastAsia="仿宋_GB2312"/>
          <w:color w:val="auto"/>
          <w:sz w:val="32"/>
          <w:szCs w:val="32"/>
          <w:highlight w:val="none"/>
        </w:rPr>
      </w:pPr>
      <w:bookmarkStart w:id="18" w:name="_Toc22564"/>
      <w:r>
        <w:rPr>
          <w:rFonts w:ascii="仿宋_GB2312" w:eastAsia="仿宋_GB2312"/>
          <w:color w:val="auto"/>
          <w:sz w:val="32"/>
          <w:szCs w:val="32"/>
          <w:highlight w:val="none"/>
        </w:rPr>
        <w:t>4.</w:t>
      </w:r>
      <w:r>
        <w:rPr>
          <w:rFonts w:hint="eastAsia" w:ascii="仿宋_GB2312" w:eastAsia="仿宋_GB2312"/>
          <w:color w:val="auto"/>
          <w:sz w:val="32"/>
          <w:szCs w:val="32"/>
          <w:highlight w:val="none"/>
        </w:rPr>
        <w:t>其他收入：指单位取得的除上述收入以外的各项收入。</w:t>
      </w:r>
      <w:bookmarkEnd w:id="18"/>
      <w:r>
        <w:rPr>
          <w:rFonts w:ascii="仿宋_GB2312" w:eastAsia="仿宋_GB2312"/>
          <w:color w:val="auto"/>
          <w:sz w:val="32"/>
          <w:szCs w:val="32"/>
          <w:highlight w:val="none"/>
        </w:rPr>
        <w:t xml:space="preserve"> </w:t>
      </w:r>
    </w:p>
    <w:p w14:paraId="2EFB60F6">
      <w:pPr>
        <w:pStyle w:val="17"/>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5.</w:t>
      </w:r>
      <w:r>
        <w:rPr>
          <w:rFonts w:hint="eastAsia" w:ascii="仿宋_GB2312" w:hAnsi="华文中宋" w:eastAsia="仿宋_GB2312"/>
          <w:sz w:val="32"/>
          <w:szCs w:val="32"/>
          <w:u w:val="none"/>
          <w:lang w:eastAsia="zh-CN"/>
        </w:rPr>
        <w:t>使用非财政拨款结余（含专用结余）</w:t>
      </w:r>
      <w:r>
        <w:rPr>
          <w:rFonts w:hint="eastAsia" w:ascii="仿宋_GB2312" w:eastAsia="仿宋_GB2312"/>
          <w:color w:val="auto"/>
          <w:sz w:val="32"/>
          <w:szCs w:val="32"/>
          <w:highlight w:val="none"/>
        </w:rPr>
        <w:t>：指事业单位</w:t>
      </w:r>
      <w:r>
        <w:rPr>
          <w:rFonts w:hint="eastAsia" w:ascii="仿宋_GB2312" w:eastAsia="仿宋_GB2312"/>
          <w:color w:val="auto"/>
          <w:sz w:val="32"/>
          <w:szCs w:val="32"/>
          <w:highlight w:val="none"/>
          <w:lang w:eastAsia="zh-CN"/>
        </w:rPr>
        <w:t>使用以前年度积累的非财政拨款结余弥补当年收支差额的金额。</w:t>
      </w:r>
      <w:r>
        <w:rPr>
          <w:rFonts w:ascii="仿宋_GB2312" w:eastAsia="仿宋_GB2312"/>
          <w:color w:val="auto"/>
          <w:sz w:val="32"/>
          <w:szCs w:val="32"/>
          <w:highlight w:val="none"/>
        </w:rPr>
        <w:t xml:space="preserve"> </w:t>
      </w:r>
    </w:p>
    <w:p w14:paraId="3BF00D0B">
      <w:pPr>
        <w:pStyle w:val="17"/>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6.</w:t>
      </w:r>
      <w:r>
        <w:rPr>
          <w:rFonts w:hint="eastAsia" w:ascii="仿宋_GB2312" w:eastAsia="仿宋_GB2312"/>
          <w:color w:val="auto"/>
          <w:sz w:val="32"/>
          <w:szCs w:val="32"/>
          <w:highlight w:val="none"/>
        </w:rPr>
        <w:t>年初结转和结余：指以前年度尚未完成、结转到本年按有关规定继续使用的资金。</w:t>
      </w:r>
      <w:r>
        <w:rPr>
          <w:rFonts w:ascii="仿宋_GB2312" w:eastAsia="仿宋_GB2312"/>
          <w:color w:val="auto"/>
          <w:sz w:val="32"/>
          <w:szCs w:val="32"/>
          <w:highlight w:val="none"/>
        </w:rPr>
        <w:t xml:space="preserve"> </w:t>
      </w:r>
    </w:p>
    <w:p w14:paraId="34F2F817">
      <w:pPr>
        <w:pStyle w:val="17"/>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7.</w:t>
      </w:r>
      <w:r>
        <w:rPr>
          <w:rFonts w:hint="eastAsia" w:ascii="仿宋_GB2312" w:eastAsia="仿宋_GB2312"/>
          <w:color w:val="auto"/>
          <w:sz w:val="32"/>
          <w:szCs w:val="32"/>
          <w:highlight w:val="none"/>
        </w:rPr>
        <w:t>结余分配：指事业单位按照会计制度规定</w:t>
      </w:r>
      <w:r>
        <w:rPr>
          <w:rFonts w:hint="eastAsia" w:ascii="仿宋_GB2312" w:eastAsia="仿宋_GB2312"/>
          <w:color w:val="auto"/>
          <w:sz w:val="32"/>
          <w:szCs w:val="32"/>
          <w:highlight w:val="none"/>
          <w:lang w:eastAsia="zh-CN"/>
        </w:rPr>
        <w:t>缴纳的所得税、提取的专用结余以及转入非财政拨款结余的金额</w:t>
      </w:r>
      <w:r>
        <w:rPr>
          <w:rFonts w:hint="eastAsia" w:ascii="仿宋_GB2312" w:eastAsia="仿宋_GB2312"/>
          <w:color w:val="auto"/>
          <w:sz w:val="32"/>
          <w:szCs w:val="32"/>
          <w:highlight w:val="none"/>
        </w:rPr>
        <w:t>等。</w:t>
      </w:r>
    </w:p>
    <w:p w14:paraId="3E80F631">
      <w:pPr>
        <w:pStyle w:val="17"/>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8</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rPr>
        <w:t>年末结转和结余：指单位按有关规定结转到下年或以后年度继续使用的资金。</w:t>
      </w:r>
    </w:p>
    <w:p w14:paraId="109D9DE1">
      <w:pPr>
        <w:ind w:firstLine="640" w:firstLineChars="200"/>
        <w:rPr>
          <w:rFonts w:hint="eastAsia" w:ascii="仿宋_GB2312" w:eastAsia="仿宋_GB2312"/>
          <w:color w:val="auto"/>
          <w:sz w:val="32"/>
          <w:szCs w:val="32"/>
          <w:highlight w:val="none"/>
        </w:rPr>
      </w:pPr>
      <w:r>
        <w:rPr>
          <w:rFonts w:ascii="仿宋_GB2312" w:eastAsia="仿宋_GB2312"/>
          <w:color w:val="auto"/>
          <w:sz w:val="32"/>
          <w:szCs w:val="32"/>
          <w:highlight w:val="none"/>
        </w:rPr>
        <w:t>9.</w:t>
      </w:r>
      <w:r>
        <w:rPr>
          <w:rFonts w:hint="eastAsia" w:ascii="仿宋_GB2312" w:eastAsia="仿宋_GB2312"/>
          <w:color w:val="auto"/>
          <w:sz w:val="32"/>
          <w:szCs w:val="32"/>
          <w:highlight w:val="none"/>
        </w:rPr>
        <w:t>社会保障和就业支出（类）行政事业单位养老支出（款）机关事业单位基本养老保险缴费支出（项）</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 xml:space="preserve"> </w:t>
      </w:r>
      <w:r>
        <w:rPr>
          <w:rFonts w:hint="eastAsia" w:ascii="仿宋_GB2312" w:eastAsia="仿宋_GB2312"/>
          <w:color w:val="auto"/>
          <w:sz w:val="32"/>
          <w:szCs w:val="32"/>
          <w:highlight w:val="none"/>
          <w:lang w:val="en-US" w:eastAsia="zh-CN"/>
        </w:rPr>
        <w:t>指</w:t>
      </w:r>
      <w:r>
        <w:rPr>
          <w:rFonts w:hint="eastAsia" w:ascii="仿宋_GB2312" w:eastAsia="仿宋_GB2312"/>
          <w:color w:val="auto"/>
          <w:sz w:val="32"/>
          <w:szCs w:val="32"/>
          <w:highlight w:val="none"/>
        </w:rPr>
        <w:t>反映机关事业单位实施养老保险制度由单位缴纳的基本养老 保险费支出。</w:t>
      </w:r>
    </w:p>
    <w:p w14:paraId="7A1537A9">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10</w:t>
      </w:r>
      <w:r>
        <w:rPr>
          <w:rFonts w:hint="eastAsia" w:ascii="仿宋_GB2312" w:eastAsia="仿宋_GB2312"/>
          <w:color w:val="auto"/>
          <w:sz w:val="32"/>
          <w:szCs w:val="32"/>
          <w:highlight w:val="none"/>
        </w:rPr>
        <w:t>.社会保障和就业支出（类）行政事业单位养老支出（款）机关事业单位职业年金缴费支出（项）</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 xml:space="preserve"> </w:t>
      </w:r>
      <w:r>
        <w:rPr>
          <w:rFonts w:hint="eastAsia" w:ascii="仿宋_GB2312" w:eastAsia="仿宋_GB2312"/>
          <w:color w:val="auto"/>
          <w:sz w:val="32"/>
          <w:szCs w:val="32"/>
          <w:highlight w:val="none"/>
          <w:lang w:val="en-US" w:eastAsia="zh-CN"/>
        </w:rPr>
        <w:t>指反映机关事业单位实施养老保险制度由单位实际缴纳的职业 年金支出</w:t>
      </w:r>
      <w:r>
        <w:rPr>
          <w:rFonts w:hint="eastAsia" w:ascii="仿宋_GB2312" w:eastAsia="仿宋_GB2312"/>
          <w:color w:val="auto"/>
          <w:sz w:val="32"/>
          <w:szCs w:val="32"/>
          <w:highlight w:val="none"/>
        </w:rPr>
        <w:t>。</w:t>
      </w:r>
    </w:p>
    <w:p w14:paraId="3EC7EFE3">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11</w:t>
      </w:r>
      <w:r>
        <w:rPr>
          <w:rFonts w:hint="eastAsia" w:ascii="仿宋_GB2312" w:eastAsia="仿宋_GB2312"/>
          <w:color w:val="auto"/>
          <w:sz w:val="32"/>
          <w:szCs w:val="32"/>
          <w:highlight w:val="none"/>
        </w:rPr>
        <w:t>.卫生健康支出（类）行政事业单位医疗（款）事业单位医疗（项）</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 xml:space="preserve"> </w:t>
      </w:r>
      <w:r>
        <w:rPr>
          <w:rFonts w:hint="eastAsia" w:ascii="仿宋_GB2312" w:eastAsia="仿宋_GB2312"/>
          <w:color w:val="auto"/>
          <w:sz w:val="32"/>
          <w:szCs w:val="32"/>
          <w:highlight w:val="none"/>
          <w:lang w:val="en-US" w:eastAsia="zh-CN"/>
        </w:rPr>
        <w:t>指</w:t>
      </w:r>
      <w:r>
        <w:rPr>
          <w:rFonts w:hint="eastAsia" w:ascii="仿宋_GB2312" w:eastAsia="仿宋_GB2312"/>
          <w:color w:val="auto"/>
          <w:sz w:val="32"/>
          <w:szCs w:val="32"/>
          <w:highlight w:val="none"/>
        </w:rPr>
        <w:t>反映财政部门安排的事业单位基本医疗保险缴费经费，未参 加医疗保险的事业单位的公费医疗经费，按国家规定享受离休 人员待遇的医疗经费。</w:t>
      </w:r>
    </w:p>
    <w:p w14:paraId="54C5DC82">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12</w:t>
      </w:r>
      <w:r>
        <w:rPr>
          <w:rFonts w:hint="eastAsia" w:ascii="仿宋_GB2312" w:eastAsia="仿宋_GB2312"/>
          <w:color w:val="auto"/>
          <w:sz w:val="32"/>
          <w:szCs w:val="32"/>
          <w:highlight w:val="none"/>
        </w:rPr>
        <w:t>.卫生健康支出（类）行政事业单位医疗（款）其他行政事业单位医疗支出（项）</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指</w:t>
      </w:r>
      <w:r>
        <w:rPr>
          <w:rFonts w:hint="eastAsia" w:ascii="仿宋_GB2312" w:eastAsia="仿宋_GB2312"/>
          <w:color w:val="auto"/>
          <w:sz w:val="32"/>
          <w:szCs w:val="32"/>
          <w:highlight w:val="none"/>
        </w:rPr>
        <w:t>反映除上述项目以外的其他用于行政事业单位医疗方面的 支 出。</w:t>
      </w:r>
    </w:p>
    <w:p w14:paraId="7A2A16DF">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13</w:t>
      </w:r>
      <w:r>
        <w:rPr>
          <w:rFonts w:hint="eastAsia" w:ascii="仿宋_GB2312" w:eastAsia="仿宋_GB2312"/>
          <w:color w:val="auto"/>
          <w:sz w:val="32"/>
          <w:szCs w:val="32"/>
          <w:highlight w:val="none"/>
        </w:rPr>
        <w:t>.交通运输支出（类）公路水路运输（款）公路养护（项）</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指</w:t>
      </w:r>
      <w:r>
        <w:rPr>
          <w:rFonts w:hint="eastAsia" w:ascii="仿宋_GB2312" w:eastAsia="仿宋_GB2312"/>
          <w:color w:val="auto"/>
          <w:sz w:val="32"/>
          <w:szCs w:val="32"/>
          <w:highlight w:val="none"/>
        </w:rPr>
        <w:t>反映公路养护支出。</w:t>
      </w:r>
    </w:p>
    <w:p w14:paraId="162873A6">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14</w:t>
      </w:r>
      <w:r>
        <w:rPr>
          <w:rFonts w:hint="eastAsia" w:ascii="仿宋_GB2312" w:eastAsia="仿宋_GB2312"/>
          <w:color w:val="auto"/>
          <w:sz w:val="32"/>
          <w:szCs w:val="32"/>
          <w:highlight w:val="none"/>
        </w:rPr>
        <w:t>.交通运输支出（类）公路水路运输（款）其他公路水路运输支出（项）</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指</w:t>
      </w:r>
      <w:r>
        <w:rPr>
          <w:rFonts w:hint="eastAsia" w:ascii="仿宋_GB2312" w:eastAsia="仿宋_GB2312"/>
          <w:color w:val="auto"/>
          <w:sz w:val="32"/>
          <w:szCs w:val="32"/>
          <w:highlight w:val="none"/>
        </w:rPr>
        <w:t>反映除上述项目以外其他用于公路水路运输方面的支出。</w:t>
      </w:r>
    </w:p>
    <w:p w14:paraId="20B94BC9">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15.</w:t>
      </w:r>
      <w:r>
        <w:rPr>
          <w:rFonts w:hint="eastAsia" w:ascii="仿宋_GB2312" w:eastAsia="仿宋_GB2312"/>
          <w:color w:val="auto"/>
          <w:sz w:val="32"/>
          <w:szCs w:val="32"/>
          <w:highlight w:val="none"/>
        </w:rPr>
        <w:t>住房保障支出（类）住房改革支出（款）住房公积金（项）</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指</w:t>
      </w:r>
      <w:r>
        <w:rPr>
          <w:rFonts w:hint="eastAsia" w:ascii="仿宋_GB2312" w:eastAsia="仿宋_GB2312"/>
          <w:color w:val="auto"/>
          <w:sz w:val="32"/>
          <w:szCs w:val="32"/>
          <w:highlight w:val="none"/>
        </w:rPr>
        <w:t>反映行政事业单位按人力资源和社会保障部、财政部规定的 基本工资和津贴补贴以及规定比例为职工缴纳的住房公积金。</w:t>
      </w:r>
    </w:p>
    <w:p w14:paraId="33CB37D8">
      <w:pPr>
        <w:ind w:firstLine="640" w:firstLineChars="200"/>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16.</w:t>
      </w:r>
      <w:r>
        <w:rPr>
          <w:rFonts w:hint="eastAsia" w:ascii="仿宋_GB2312" w:eastAsia="仿宋_GB2312"/>
          <w:color w:val="auto"/>
          <w:sz w:val="32"/>
          <w:szCs w:val="32"/>
          <w:highlight w:val="none"/>
        </w:rPr>
        <w:t>住房保障支出（类）住房改革支出（款）购房补贴（项）</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指反映按房改政策规定，行政事业单位向符合条件职工（含离 退休人员）、军队（含武警）向转役复员离退休人员发放的用 于购买住房的补贴。</w:t>
      </w:r>
    </w:p>
    <w:p w14:paraId="5E49CC5A">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w:t>
      </w:r>
      <w:r>
        <w:rPr>
          <w:rFonts w:ascii="仿宋_GB2312" w:eastAsia="仿宋_GB2312"/>
          <w:color w:val="auto"/>
          <w:sz w:val="32"/>
          <w:szCs w:val="32"/>
          <w:highlight w:val="none"/>
        </w:rPr>
        <w:t>7.</w:t>
      </w:r>
      <w:r>
        <w:rPr>
          <w:rFonts w:hint="eastAsia" w:ascii="仿宋_GB2312" w:eastAsia="仿宋_GB2312"/>
          <w:color w:val="auto"/>
          <w:sz w:val="32"/>
          <w:szCs w:val="32"/>
          <w:highlight w:val="none"/>
        </w:rPr>
        <w:t>基本支出：指为保障机构正常运转、完成日常工作任务而发生的人员支出和公用支出。</w:t>
      </w:r>
    </w:p>
    <w:p w14:paraId="65C556EE">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w:t>
      </w:r>
      <w:r>
        <w:rPr>
          <w:rFonts w:ascii="仿宋_GB2312" w:eastAsia="仿宋_GB2312"/>
          <w:color w:val="auto"/>
          <w:sz w:val="32"/>
          <w:szCs w:val="32"/>
          <w:highlight w:val="none"/>
        </w:rPr>
        <w:t>8.</w:t>
      </w:r>
      <w:r>
        <w:rPr>
          <w:rFonts w:hint="eastAsia" w:ascii="仿宋_GB2312" w:eastAsia="仿宋_GB2312"/>
          <w:color w:val="auto"/>
          <w:sz w:val="32"/>
          <w:szCs w:val="32"/>
          <w:highlight w:val="none"/>
        </w:rPr>
        <w:t>项目支出：指在基本支出之外为完成特定行政任务和事业发展目标所发生的支出。</w:t>
      </w:r>
      <w:r>
        <w:rPr>
          <w:rFonts w:ascii="仿宋_GB2312" w:eastAsia="仿宋_GB2312"/>
          <w:color w:val="auto"/>
          <w:sz w:val="32"/>
          <w:szCs w:val="32"/>
          <w:highlight w:val="none"/>
        </w:rPr>
        <w:t xml:space="preserve"> </w:t>
      </w:r>
    </w:p>
    <w:p w14:paraId="325B084F">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w:t>
      </w:r>
      <w:r>
        <w:rPr>
          <w:rFonts w:ascii="仿宋_GB2312" w:eastAsia="仿宋_GB2312"/>
          <w:color w:val="auto"/>
          <w:sz w:val="32"/>
          <w:szCs w:val="32"/>
          <w:highlight w:val="none"/>
        </w:rPr>
        <w:t>9.</w:t>
      </w:r>
      <w:r>
        <w:rPr>
          <w:rFonts w:hint="eastAsia" w:ascii="仿宋_GB2312" w:eastAsia="仿宋_GB2312"/>
          <w:color w:val="auto"/>
          <w:sz w:val="32"/>
          <w:szCs w:val="32"/>
          <w:highlight w:val="none"/>
        </w:rPr>
        <w:t>经营支出：指事业单位在专业业务活动及其辅助活动之外开展非独立核算经营活动发生的支出。</w:t>
      </w:r>
    </w:p>
    <w:p w14:paraId="41DE42C8">
      <w:pPr>
        <w:pStyle w:val="17"/>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2</w:t>
      </w:r>
      <w:r>
        <w:rPr>
          <w:rFonts w:ascii="仿宋_GB2312" w:eastAsia="仿宋_GB2312"/>
          <w:color w:val="auto"/>
          <w:sz w:val="32"/>
          <w:szCs w:val="32"/>
          <w:highlight w:val="none"/>
        </w:rPr>
        <w:t>0.</w:t>
      </w:r>
      <w:r>
        <w:rPr>
          <w:rFonts w:hint="eastAsia" w:ascii="仿宋_GB2312" w:eastAsia="仿宋_GB2312"/>
          <w:color w:val="auto"/>
          <w:sz w:val="32"/>
          <w:szCs w:val="32"/>
          <w:highlight w:val="none"/>
        </w:rPr>
        <w:t>“三公”经费：指</w:t>
      </w:r>
      <w:r>
        <w:rPr>
          <w:rFonts w:hint="eastAsia" w:ascii="仿宋_GB2312" w:eastAsia="仿宋_GB2312"/>
          <w:color w:val="auto"/>
          <w:sz w:val="32"/>
          <w:szCs w:val="32"/>
          <w:highlight w:val="none"/>
          <w:lang w:eastAsia="zh-CN"/>
        </w:rPr>
        <w:t>单位</w:t>
      </w:r>
      <w:r>
        <w:rPr>
          <w:rFonts w:hint="eastAsia" w:ascii="仿宋_GB2312" w:eastAsia="仿宋_GB2312"/>
          <w:color w:val="auto"/>
          <w:sz w:val="32"/>
          <w:szCs w:val="32"/>
          <w:highlight w:val="none"/>
        </w:rPr>
        <w:t>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14:paraId="27B6A1C9">
      <w:pPr>
        <w:pStyle w:val="17"/>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2</w:t>
      </w:r>
      <w:r>
        <w:rPr>
          <w:rFonts w:ascii="仿宋_GB2312" w:eastAsia="仿宋_GB2312"/>
          <w:color w:val="auto"/>
          <w:sz w:val="32"/>
          <w:szCs w:val="32"/>
          <w:highlight w:val="none"/>
        </w:rPr>
        <w:t>1.</w:t>
      </w:r>
      <w:r>
        <w:rPr>
          <w:rFonts w:hint="eastAsia" w:ascii="仿宋_GB2312" w:eastAsia="仿宋_GB2312"/>
          <w:color w:val="auto"/>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0AA886A">
      <w:pPr>
        <w:spacing w:line="600" w:lineRule="exact"/>
        <w:jc w:val="center"/>
        <w:outlineLvl w:val="0"/>
        <w:rPr>
          <w:rStyle w:val="14"/>
          <w:rFonts w:ascii="黑体" w:hAnsi="黑体" w:eastAsia="黑体"/>
          <w:b w:val="0"/>
          <w:color w:val="auto"/>
          <w:highlight w:val="none"/>
        </w:rPr>
      </w:pPr>
      <w:r>
        <w:rPr>
          <w:rFonts w:ascii="宋体"/>
          <w:b/>
          <w:color w:val="auto"/>
          <w:sz w:val="44"/>
          <w:szCs w:val="44"/>
          <w:highlight w:val="none"/>
        </w:rPr>
        <w:br w:type="page"/>
      </w:r>
      <w:bookmarkStart w:id="19" w:name="_Toc18208"/>
      <w:r>
        <w:rPr>
          <w:rFonts w:hint="eastAsia" w:ascii="黑体" w:hAnsi="黑体" w:eastAsia="黑体"/>
          <w:color w:val="auto"/>
          <w:sz w:val="44"/>
          <w:szCs w:val="44"/>
          <w:highlight w:val="none"/>
        </w:rPr>
        <w:t>第</w:t>
      </w:r>
      <w:r>
        <w:rPr>
          <w:rStyle w:val="14"/>
          <w:rFonts w:hint="eastAsia" w:ascii="黑体" w:hAnsi="黑体" w:eastAsia="黑体"/>
          <w:b w:val="0"/>
          <w:color w:val="auto"/>
          <w:highlight w:val="none"/>
        </w:rPr>
        <w:t>四部分 附件</w:t>
      </w:r>
      <w:bookmarkEnd w:id="19"/>
    </w:p>
    <w:p w14:paraId="7421611D">
      <w:pPr>
        <w:keepNext w:val="0"/>
        <w:keepLines w:val="0"/>
        <w:pageBreakBefore w:val="0"/>
        <w:kinsoku/>
        <w:wordWrap/>
        <w:overflowPunct/>
        <w:topLinePunct w:val="0"/>
        <w:autoSpaceDE/>
        <w:autoSpaceDN/>
        <w:bidi w:val="0"/>
        <w:spacing w:line="572" w:lineRule="exact"/>
        <w:jc w:val="left"/>
        <w:textAlignment w:val="auto"/>
        <w:outlineLvl w:val="9"/>
        <w:rPr>
          <w:rFonts w:ascii="仿宋_GB2312" w:hAnsi="仿宋_GB2312" w:eastAsia="仿宋_GB2312" w:cs="仿宋_GB2312"/>
          <w:color w:val="auto"/>
          <w:sz w:val="32"/>
          <w:szCs w:val="32"/>
          <w:highlight w:val="none"/>
        </w:rPr>
      </w:pPr>
    </w:p>
    <w:p w14:paraId="581AACE2">
      <w:pPr>
        <w:pStyle w:val="6"/>
        <w:keepNext w:val="0"/>
        <w:keepLines w:val="0"/>
        <w:pageBreakBefore w:val="0"/>
        <w:numPr>
          <w:ilvl w:val="0"/>
          <w:numId w:val="0"/>
        </w:numPr>
        <w:kinsoku/>
        <w:wordWrap/>
        <w:overflowPunct/>
        <w:topLinePunct w:val="0"/>
        <w:autoSpaceDE/>
        <w:autoSpaceDN/>
        <w:bidi w:val="0"/>
        <w:spacing w:line="560" w:lineRule="exact"/>
        <w:ind w:firstLine="640" w:firstLineChars="200"/>
        <w:textAlignment w:val="auto"/>
        <w:rPr>
          <w:rFonts w:hint="default" w:hAnsi="Times New Roman" w:cs="Times New Roman"/>
          <w:sz w:val="32"/>
          <w:szCs w:val="32"/>
          <w:highlight w:val="none"/>
          <w:lang w:val="en-US" w:eastAsia="zh-CN"/>
        </w:rPr>
      </w:pPr>
      <w:r>
        <w:rPr>
          <w:rFonts w:hint="eastAsia" w:cs="Times New Roman"/>
          <w:sz w:val="32"/>
          <w:szCs w:val="32"/>
          <w:highlight w:val="none"/>
          <w:lang w:val="en-US" w:eastAsia="zh-CN"/>
        </w:rPr>
        <w:t>2023年阿坝藏族羌族自治州公路管理局马尔康公路管理分局无单位</w:t>
      </w:r>
      <w:r>
        <w:rPr>
          <w:rFonts w:hint="eastAsia" w:hAnsi="Times New Roman" w:cs="Times New Roman"/>
          <w:sz w:val="32"/>
          <w:szCs w:val="32"/>
          <w:highlight w:val="none"/>
          <w:lang w:val="en-US" w:eastAsia="zh-CN"/>
        </w:rPr>
        <w:t>预算项目支出绩效自评表</w:t>
      </w:r>
      <w:r>
        <w:rPr>
          <w:rFonts w:hint="eastAsia" w:cs="Times New Roman"/>
          <w:sz w:val="32"/>
          <w:szCs w:val="32"/>
          <w:highlight w:val="none"/>
          <w:lang w:val="en-US" w:eastAsia="zh-CN"/>
        </w:rPr>
        <w:t>。</w:t>
      </w:r>
    </w:p>
    <w:p w14:paraId="1EC2053D">
      <w:pPr>
        <w:pStyle w:val="6"/>
        <w:keepNext w:val="0"/>
        <w:keepLines w:val="0"/>
        <w:pageBreakBefore w:val="0"/>
        <w:numPr>
          <w:ilvl w:val="0"/>
          <w:numId w:val="0"/>
        </w:numPr>
        <w:kinsoku/>
        <w:wordWrap/>
        <w:overflowPunct/>
        <w:topLinePunct w:val="0"/>
        <w:autoSpaceDE/>
        <w:autoSpaceDN/>
        <w:bidi w:val="0"/>
        <w:spacing w:line="560" w:lineRule="exact"/>
        <w:ind w:firstLine="640" w:firstLineChars="200"/>
        <w:textAlignment w:val="auto"/>
        <w:rPr>
          <w:rFonts w:hint="eastAsia" w:ascii="仿宋_GB2312" w:hAnsi="Calibri" w:eastAsia="仿宋_GB2312" w:cs="仿宋"/>
          <w:color w:val="auto"/>
          <w:sz w:val="32"/>
          <w:szCs w:val="32"/>
          <w:highlight w:val="none"/>
          <w:lang w:val="zh-CN" w:eastAsia="zh-CN" w:bidi="ar-SA"/>
        </w:rPr>
      </w:pPr>
    </w:p>
    <w:p w14:paraId="4610BA66">
      <w:pPr>
        <w:pStyle w:val="2"/>
        <w:rPr>
          <w:rFonts w:hint="eastAsia" w:ascii="仿宋_GB2312" w:hAnsi="Calibri" w:eastAsia="仿宋_GB2312" w:cs="仿宋"/>
          <w:color w:val="auto"/>
          <w:kern w:val="0"/>
          <w:sz w:val="32"/>
          <w:szCs w:val="32"/>
          <w:highlight w:val="none"/>
          <w:lang w:val="en-US" w:eastAsia="zh-CN" w:bidi="ar-SA"/>
        </w:rPr>
      </w:pPr>
    </w:p>
    <w:p w14:paraId="738949EB">
      <w:pPr>
        <w:pStyle w:val="2"/>
        <w:rPr>
          <w:rFonts w:hint="eastAsia" w:ascii="仿宋_GB2312" w:hAnsi="Calibri" w:eastAsia="仿宋_GB2312" w:cs="仿宋"/>
          <w:color w:val="auto"/>
          <w:kern w:val="0"/>
          <w:sz w:val="32"/>
          <w:szCs w:val="32"/>
          <w:highlight w:val="none"/>
          <w:lang w:val="en-US" w:eastAsia="zh-CN" w:bidi="ar-SA"/>
        </w:rPr>
      </w:pPr>
    </w:p>
    <w:p w14:paraId="2BBFBBB7">
      <w:pPr>
        <w:pStyle w:val="2"/>
        <w:rPr>
          <w:rFonts w:hint="eastAsia" w:ascii="仿宋_GB2312" w:hAnsi="Calibri" w:eastAsia="仿宋_GB2312" w:cs="仿宋"/>
          <w:color w:val="auto"/>
          <w:kern w:val="0"/>
          <w:sz w:val="32"/>
          <w:szCs w:val="32"/>
          <w:highlight w:val="none"/>
          <w:lang w:val="en-US" w:eastAsia="zh-CN" w:bidi="ar-SA"/>
        </w:rPr>
      </w:pPr>
    </w:p>
    <w:p w14:paraId="2F815971">
      <w:pPr>
        <w:pStyle w:val="2"/>
        <w:rPr>
          <w:rFonts w:hint="eastAsia" w:ascii="仿宋_GB2312" w:hAnsi="Calibri" w:eastAsia="仿宋_GB2312" w:cs="仿宋"/>
          <w:color w:val="auto"/>
          <w:kern w:val="0"/>
          <w:sz w:val="32"/>
          <w:szCs w:val="32"/>
          <w:highlight w:val="none"/>
          <w:lang w:val="en-US" w:eastAsia="zh-CN" w:bidi="ar-SA"/>
        </w:rPr>
      </w:pPr>
    </w:p>
    <w:p w14:paraId="601B59F7">
      <w:pPr>
        <w:pStyle w:val="2"/>
        <w:rPr>
          <w:rFonts w:hint="eastAsia" w:ascii="仿宋_GB2312" w:hAnsi="Calibri" w:eastAsia="仿宋_GB2312" w:cs="仿宋"/>
          <w:color w:val="auto"/>
          <w:kern w:val="0"/>
          <w:sz w:val="32"/>
          <w:szCs w:val="32"/>
          <w:highlight w:val="none"/>
          <w:lang w:val="en-US" w:eastAsia="zh-CN" w:bidi="ar-SA"/>
        </w:rPr>
      </w:pPr>
    </w:p>
    <w:p w14:paraId="6428A441">
      <w:pPr>
        <w:pStyle w:val="2"/>
        <w:rPr>
          <w:rFonts w:hint="eastAsia" w:ascii="仿宋_GB2312" w:hAnsi="Calibri" w:eastAsia="仿宋_GB2312" w:cs="仿宋"/>
          <w:color w:val="auto"/>
          <w:kern w:val="0"/>
          <w:sz w:val="32"/>
          <w:szCs w:val="32"/>
          <w:highlight w:val="none"/>
          <w:lang w:val="en-US" w:eastAsia="zh-CN" w:bidi="ar-SA"/>
        </w:rPr>
      </w:pPr>
    </w:p>
    <w:p w14:paraId="6F3C24E9">
      <w:pPr>
        <w:pStyle w:val="2"/>
        <w:rPr>
          <w:rFonts w:hint="eastAsia" w:ascii="仿宋_GB2312" w:hAnsi="Calibri" w:eastAsia="仿宋_GB2312" w:cs="仿宋"/>
          <w:color w:val="auto"/>
          <w:kern w:val="0"/>
          <w:sz w:val="32"/>
          <w:szCs w:val="32"/>
          <w:highlight w:val="none"/>
          <w:lang w:val="en-US" w:eastAsia="zh-CN" w:bidi="ar-SA"/>
        </w:rPr>
      </w:pPr>
    </w:p>
    <w:p w14:paraId="4B7DA6CD">
      <w:pPr>
        <w:pStyle w:val="2"/>
        <w:rPr>
          <w:rFonts w:hint="eastAsia" w:ascii="仿宋_GB2312" w:hAnsi="Calibri" w:eastAsia="仿宋_GB2312" w:cs="仿宋"/>
          <w:color w:val="auto"/>
          <w:kern w:val="0"/>
          <w:sz w:val="32"/>
          <w:szCs w:val="32"/>
          <w:highlight w:val="none"/>
          <w:lang w:val="en-US" w:eastAsia="zh-CN" w:bidi="ar-SA"/>
        </w:rPr>
      </w:pPr>
    </w:p>
    <w:p w14:paraId="78D33701">
      <w:pPr>
        <w:pStyle w:val="2"/>
        <w:rPr>
          <w:rFonts w:hint="eastAsia" w:ascii="仿宋_GB2312" w:hAnsi="Calibri" w:eastAsia="仿宋_GB2312" w:cs="仿宋"/>
          <w:color w:val="auto"/>
          <w:kern w:val="0"/>
          <w:sz w:val="32"/>
          <w:szCs w:val="32"/>
          <w:highlight w:val="none"/>
          <w:lang w:val="en-US" w:eastAsia="zh-CN" w:bidi="ar-SA"/>
        </w:rPr>
      </w:pPr>
    </w:p>
    <w:p w14:paraId="0205CF31">
      <w:pPr>
        <w:pStyle w:val="2"/>
        <w:rPr>
          <w:rFonts w:hint="eastAsia" w:ascii="仿宋_GB2312" w:hAnsi="Calibri" w:eastAsia="仿宋_GB2312" w:cs="仿宋"/>
          <w:color w:val="auto"/>
          <w:kern w:val="0"/>
          <w:sz w:val="32"/>
          <w:szCs w:val="32"/>
          <w:highlight w:val="none"/>
          <w:lang w:val="en-US" w:eastAsia="zh-CN" w:bidi="ar-SA"/>
        </w:rPr>
      </w:pPr>
    </w:p>
    <w:p w14:paraId="7134D148">
      <w:pPr>
        <w:pStyle w:val="2"/>
        <w:rPr>
          <w:rFonts w:hint="eastAsia" w:ascii="仿宋_GB2312" w:hAnsi="Calibri" w:eastAsia="仿宋_GB2312" w:cs="仿宋"/>
          <w:color w:val="auto"/>
          <w:kern w:val="0"/>
          <w:sz w:val="32"/>
          <w:szCs w:val="32"/>
          <w:highlight w:val="none"/>
          <w:lang w:val="en-US" w:eastAsia="zh-CN" w:bidi="ar-SA"/>
        </w:rPr>
      </w:pPr>
    </w:p>
    <w:p w14:paraId="66D2776A">
      <w:pPr>
        <w:pStyle w:val="2"/>
        <w:rPr>
          <w:rFonts w:hint="eastAsia" w:ascii="仿宋_GB2312" w:hAnsi="Calibri" w:eastAsia="仿宋_GB2312" w:cs="仿宋"/>
          <w:color w:val="auto"/>
          <w:kern w:val="0"/>
          <w:sz w:val="32"/>
          <w:szCs w:val="32"/>
          <w:highlight w:val="none"/>
          <w:lang w:val="en-US" w:eastAsia="zh-CN" w:bidi="ar-SA"/>
        </w:rPr>
      </w:pPr>
    </w:p>
    <w:p w14:paraId="0A5B16B8">
      <w:pPr>
        <w:rPr>
          <w:rFonts w:hint="eastAsia" w:ascii="黑体" w:hAnsi="黑体" w:eastAsia="黑体"/>
          <w:color w:val="auto"/>
          <w:sz w:val="44"/>
          <w:szCs w:val="44"/>
          <w:highlight w:val="none"/>
        </w:rPr>
      </w:pPr>
      <w:r>
        <w:rPr>
          <w:rFonts w:hint="eastAsia" w:ascii="黑体" w:hAnsi="黑体" w:eastAsia="黑体"/>
          <w:color w:val="auto"/>
          <w:sz w:val="44"/>
          <w:szCs w:val="44"/>
          <w:highlight w:val="none"/>
        </w:rPr>
        <w:br w:type="page"/>
      </w:r>
    </w:p>
    <w:p w14:paraId="2593B591">
      <w:pPr>
        <w:spacing w:line="600" w:lineRule="exact"/>
        <w:jc w:val="center"/>
        <w:outlineLvl w:val="0"/>
        <w:rPr>
          <w:rFonts w:hint="eastAsia" w:ascii="仿宋" w:hAnsi="仿宋" w:eastAsia="仿宋"/>
          <w:b w:val="0"/>
          <w:color w:val="auto"/>
          <w:highlight w:val="none"/>
        </w:rPr>
      </w:pPr>
      <w:bookmarkStart w:id="20" w:name="_Toc7280"/>
      <w:r>
        <w:rPr>
          <w:rFonts w:hint="eastAsia" w:ascii="黑体" w:hAnsi="黑体" w:eastAsia="黑体"/>
          <w:color w:val="auto"/>
          <w:sz w:val="44"/>
          <w:szCs w:val="44"/>
          <w:highlight w:val="none"/>
        </w:rPr>
        <w:t>第</w:t>
      </w:r>
      <w:r>
        <w:rPr>
          <w:rStyle w:val="14"/>
          <w:rFonts w:hint="eastAsia" w:ascii="黑体" w:hAnsi="黑体" w:eastAsia="黑体"/>
          <w:b w:val="0"/>
          <w:color w:val="auto"/>
          <w:highlight w:val="none"/>
        </w:rPr>
        <w:t>五部分 附表</w:t>
      </w:r>
      <w:bookmarkEnd w:id="20"/>
    </w:p>
    <w:p w14:paraId="0001DC3F">
      <w:pPr>
        <w:pStyle w:val="4"/>
        <w:rPr>
          <w:rFonts w:ascii="仿宋" w:hAnsi="仿宋" w:eastAsia="仿宋"/>
          <w:color w:val="auto"/>
          <w:highlight w:val="none"/>
        </w:rPr>
      </w:pPr>
      <w:bookmarkStart w:id="21" w:name="_Toc11491"/>
      <w:r>
        <w:rPr>
          <w:rFonts w:hint="eastAsia" w:ascii="仿宋" w:hAnsi="仿宋" w:eastAsia="仿宋"/>
          <w:b w:val="0"/>
          <w:color w:val="auto"/>
          <w:highlight w:val="none"/>
        </w:rPr>
        <w:t>一、收</w:t>
      </w:r>
      <w:r>
        <w:rPr>
          <w:rStyle w:val="15"/>
          <w:rFonts w:hint="eastAsia" w:ascii="仿宋" w:hAnsi="仿宋" w:eastAsia="仿宋"/>
          <w:b w:val="0"/>
          <w:bCs w:val="0"/>
          <w:color w:val="auto"/>
          <w:highlight w:val="none"/>
        </w:rPr>
        <w:t>入支出决算总表</w:t>
      </w:r>
      <w:bookmarkEnd w:id="21"/>
    </w:p>
    <w:p w14:paraId="7E13ED1F">
      <w:pPr>
        <w:pStyle w:val="4"/>
        <w:rPr>
          <w:rFonts w:ascii="仿宋" w:hAnsi="仿宋" w:eastAsia="仿宋"/>
          <w:color w:val="auto"/>
          <w:highlight w:val="none"/>
        </w:rPr>
      </w:pPr>
      <w:bookmarkStart w:id="22" w:name="_Toc22887"/>
      <w:r>
        <w:rPr>
          <w:rFonts w:hint="eastAsia" w:ascii="仿宋" w:hAnsi="仿宋" w:eastAsia="仿宋"/>
          <w:b w:val="0"/>
          <w:color w:val="auto"/>
          <w:highlight w:val="none"/>
        </w:rPr>
        <w:t>二、收</w:t>
      </w:r>
      <w:r>
        <w:rPr>
          <w:rStyle w:val="15"/>
          <w:rFonts w:hint="eastAsia" w:ascii="仿宋" w:hAnsi="仿宋" w:eastAsia="仿宋"/>
          <w:b w:val="0"/>
          <w:bCs w:val="0"/>
          <w:color w:val="auto"/>
          <w:highlight w:val="none"/>
        </w:rPr>
        <w:t>入决算表</w:t>
      </w:r>
      <w:bookmarkEnd w:id="22"/>
    </w:p>
    <w:p w14:paraId="697DCC7A">
      <w:pPr>
        <w:pStyle w:val="4"/>
        <w:rPr>
          <w:rFonts w:ascii="仿宋" w:hAnsi="仿宋" w:eastAsia="仿宋"/>
          <w:color w:val="auto"/>
          <w:highlight w:val="none"/>
        </w:rPr>
      </w:pPr>
      <w:bookmarkStart w:id="23" w:name="_Toc1518"/>
      <w:r>
        <w:rPr>
          <w:rStyle w:val="15"/>
          <w:rFonts w:hint="eastAsia" w:ascii="仿宋" w:hAnsi="仿宋" w:eastAsia="仿宋"/>
          <w:b w:val="0"/>
          <w:bCs w:val="0"/>
          <w:color w:val="auto"/>
          <w:highlight w:val="none"/>
        </w:rPr>
        <w:t>三、</w:t>
      </w:r>
      <w:r>
        <w:rPr>
          <w:rFonts w:hint="eastAsia" w:ascii="仿宋" w:hAnsi="仿宋" w:eastAsia="仿宋"/>
          <w:b w:val="0"/>
          <w:color w:val="auto"/>
          <w:highlight w:val="none"/>
        </w:rPr>
        <w:t>支</w:t>
      </w:r>
      <w:r>
        <w:rPr>
          <w:rStyle w:val="15"/>
          <w:rFonts w:hint="eastAsia" w:ascii="仿宋" w:hAnsi="仿宋" w:eastAsia="仿宋"/>
          <w:b w:val="0"/>
          <w:bCs w:val="0"/>
          <w:color w:val="auto"/>
          <w:highlight w:val="none"/>
        </w:rPr>
        <w:t>出决算表</w:t>
      </w:r>
      <w:bookmarkEnd w:id="23"/>
    </w:p>
    <w:p w14:paraId="60E92427">
      <w:pPr>
        <w:pStyle w:val="4"/>
        <w:rPr>
          <w:rFonts w:ascii="仿宋" w:hAnsi="仿宋" w:eastAsia="仿宋"/>
          <w:b w:val="0"/>
          <w:color w:val="auto"/>
          <w:highlight w:val="none"/>
        </w:rPr>
      </w:pPr>
      <w:bookmarkStart w:id="24" w:name="_Toc18195"/>
      <w:r>
        <w:rPr>
          <w:rStyle w:val="15"/>
          <w:rFonts w:hint="eastAsia" w:ascii="仿宋" w:hAnsi="仿宋" w:eastAsia="仿宋"/>
          <w:b w:val="0"/>
          <w:bCs w:val="0"/>
          <w:color w:val="auto"/>
          <w:highlight w:val="none"/>
        </w:rPr>
        <w:t>四、</w:t>
      </w:r>
      <w:r>
        <w:rPr>
          <w:rFonts w:hint="eastAsia" w:ascii="仿宋" w:hAnsi="仿宋" w:eastAsia="仿宋"/>
          <w:b w:val="0"/>
          <w:color w:val="auto"/>
          <w:highlight w:val="none"/>
        </w:rPr>
        <w:t>财</w:t>
      </w:r>
      <w:r>
        <w:rPr>
          <w:rStyle w:val="15"/>
          <w:rFonts w:hint="eastAsia" w:ascii="仿宋" w:hAnsi="仿宋" w:eastAsia="仿宋"/>
          <w:b w:val="0"/>
          <w:bCs w:val="0"/>
          <w:color w:val="auto"/>
          <w:highlight w:val="none"/>
        </w:rPr>
        <w:t>政拨款收入支出决算总表</w:t>
      </w:r>
      <w:bookmarkEnd w:id="24"/>
    </w:p>
    <w:p w14:paraId="4A3EFA92">
      <w:pPr>
        <w:pStyle w:val="4"/>
        <w:rPr>
          <w:rStyle w:val="15"/>
          <w:rFonts w:ascii="仿宋" w:hAnsi="仿宋" w:eastAsia="仿宋"/>
          <w:b w:val="0"/>
          <w:bCs w:val="0"/>
          <w:color w:val="auto"/>
          <w:highlight w:val="none"/>
        </w:rPr>
      </w:pPr>
      <w:bookmarkStart w:id="25" w:name="_Toc22697"/>
      <w:r>
        <w:rPr>
          <w:rStyle w:val="15"/>
          <w:rFonts w:hint="eastAsia" w:ascii="仿宋" w:hAnsi="仿宋" w:eastAsia="仿宋"/>
          <w:b w:val="0"/>
          <w:bCs w:val="0"/>
          <w:color w:val="auto"/>
          <w:highlight w:val="none"/>
        </w:rPr>
        <w:t>五、</w:t>
      </w:r>
      <w:r>
        <w:rPr>
          <w:rFonts w:hint="eastAsia" w:ascii="仿宋" w:hAnsi="仿宋" w:eastAsia="仿宋"/>
          <w:b w:val="0"/>
          <w:color w:val="auto"/>
          <w:highlight w:val="none"/>
        </w:rPr>
        <w:t>财</w:t>
      </w:r>
      <w:r>
        <w:rPr>
          <w:rStyle w:val="15"/>
          <w:rFonts w:hint="eastAsia" w:ascii="仿宋" w:hAnsi="仿宋" w:eastAsia="仿宋"/>
          <w:b w:val="0"/>
          <w:bCs w:val="0"/>
          <w:color w:val="auto"/>
          <w:highlight w:val="none"/>
        </w:rPr>
        <w:t>政拨款支出决算明细表</w:t>
      </w:r>
      <w:bookmarkEnd w:id="25"/>
    </w:p>
    <w:p w14:paraId="15F78F96">
      <w:pPr>
        <w:pStyle w:val="4"/>
        <w:rPr>
          <w:rFonts w:ascii="仿宋" w:hAnsi="仿宋" w:eastAsia="仿宋"/>
          <w:color w:val="auto"/>
          <w:highlight w:val="none"/>
        </w:rPr>
      </w:pPr>
      <w:bookmarkStart w:id="26" w:name="_Toc26948"/>
      <w:r>
        <w:rPr>
          <w:rStyle w:val="15"/>
          <w:rFonts w:hint="eastAsia" w:ascii="仿宋" w:hAnsi="仿宋" w:eastAsia="仿宋"/>
          <w:b w:val="0"/>
          <w:bCs w:val="0"/>
          <w:color w:val="auto"/>
          <w:highlight w:val="none"/>
        </w:rPr>
        <w:t>六、</w:t>
      </w:r>
      <w:r>
        <w:rPr>
          <w:rFonts w:hint="eastAsia" w:ascii="仿宋" w:hAnsi="仿宋" w:eastAsia="仿宋"/>
          <w:b w:val="0"/>
          <w:color w:val="auto"/>
          <w:highlight w:val="none"/>
        </w:rPr>
        <w:t>一</w:t>
      </w:r>
      <w:r>
        <w:rPr>
          <w:rStyle w:val="15"/>
          <w:rFonts w:hint="eastAsia" w:ascii="仿宋" w:hAnsi="仿宋" w:eastAsia="仿宋"/>
          <w:b w:val="0"/>
          <w:bCs w:val="0"/>
          <w:color w:val="auto"/>
          <w:highlight w:val="none"/>
        </w:rPr>
        <w:t>般公共预算财政拨款支出决算表</w:t>
      </w:r>
      <w:bookmarkEnd w:id="26"/>
    </w:p>
    <w:p w14:paraId="47AFD43F">
      <w:pPr>
        <w:pStyle w:val="4"/>
        <w:rPr>
          <w:rFonts w:ascii="仿宋" w:hAnsi="仿宋" w:eastAsia="仿宋"/>
          <w:color w:val="auto"/>
          <w:highlight w:val="none"/>
        </w:rPr>
      </w:pPr>
      <w:bookmarkStart w:id="27" w:name="_Toc23052"/>
      <w:r>
        <w:rPr>
          <w:rStyle w:val="15"/>
          <w:rFonts w:hint="eastAsia" w:ascii="仿宋" w:hAnsi="仿宋" w:eastAsia="仿宋"/>
          <w:b w:val="0"/>
          <w:bCs w:val="0"/>
          <w:color w:val="auto"/>
          <w:highlight w:val="none"/>
        </w:rPr>
        <w:t>七、</w:t>
      </w:r>
      <w:r>
        <w:rPr>
          <w:rFonts w:hint="eastAsia" w:ascii="仿宋" w:hAnsi="仿宋" w:eastAsia="仿宋"/>
          <w:b w:val="0"/>
          <w:color w:val="auto"/>
          <w:highlight w:val="none"/>
        </w:rPr>
        <w:t>一</w:t>
      </w:r>
      <w:r>
        <w:rPr>
          <w:rStyle w:val="15"/>
          <w:rFonts w:hint="eastAsia" w:ascii="仿宋" w:hAnsi="仿宋" w:eastAsia="仿宋"/>
          <w:b w:val="0"/>
          <w:bCs w:val="0"/>
          <w:color w:val="auto"/>
          <w:highlight w:val="none"/>
        </w:rPr>
        <w:t>般公共预算财政拨款支出决算明细表</w:t>
      </w:r>
      <w:bookmarkEnd w:id="27"/>
    </w:p>
    <w:p w14:paraId="237A104D">
      <w:pPr>
        <w:pStyle w:val="4"/>
        <w:rPr>
          <w:rFonts w:ascii="仿宋" w:hAnsi="仿宋" w:eastAsia="仿宋"/>
          <w:color w:val="auto"/>
          <w:highlight w:val="none"/>
        </w:rPr>
      </w:pPr>
      <w:bookmarkStart w:id="28" w:name="_Toc2008"/>
      <w:r>
        <w:rPr>
          <w:rStyle w:val="15"/>
          <w:rFonts w:hint="eastAsia" w:ascii="仿宋" w:hAnsi="仿宋" w:eastAsia="仿宋"/>
          <w:b w:val="0"/>
          <w:bCs w:val="0"/>
          <w:color w:val="auto"/>
          <w:highlight w:val="none"/>
        </w:rPr>
        <w:t>八、</w:t>
      </w:r>
      <w:r>
        <w:rPr>
          <w:rFonts w:hint="eastAsia" w:ascii="仿宋" w:hAnsi="仿宋" w:eastAsia="仿宋"/>
          <w:b w:val="0"/>
          <w:color w:val="auto"/>
          <w:highlight w:val="none"/>
        </w:rPr>
        <w:t>一</w:t>
      </w:r>
      <w:r>
        <w:rPr>
          <w:rStyle w:val="15"/>
          <w:rFonts w:hint="eastAsia" w:ascii="仿宋" w:hAnsi="仿宋" w:eastAsia="仿宋"/>
          <w:b w:val="0"/>
          <w:bCs w:val="0"/>
          <w:color w:val="auto"/>
          <w:highlight w:val="none"/>
        </w:rPr>
        <w:t>般公共预算财政拨款基本支出决算表</w:t>
      </w:r>
      <w:bookmarkEnd w:id="28"/>
    </w:p>
    <w:p w14:paraId="4261A73B">
      <w:pPr>
        <w:pStyle w:val="4"/>
        <w:rPr>
          <w:rFonts w:ascii="仿宋" w:hAnsi="仿宋" w:eastAsia="仿宋"/>
          <w:color w:val="auto"/>
          <w:highlight w:val="none"/>
        </w:rPr>
      </w:pPr>
      <w:bookmarkStart w:id="29" w:name="_Toc1593"/>
      <w:r>
        <w:rPr>
          <w:rStyle w:val="15"/>
          <w:rFonts w:hint="eastAsia" w:ascii="仿宋" w:hAnsi="仿宋" w:eastAsia="仿宋"/>
          <w:b w:val="0"/>
          <w:bCs w:val="0"/>
          <w:color w:val="auto"/>
          <w:highlight w:val="none"/>
        </w:rPr>
        <w:t>九、</w:t>
      </w:r>
      <w:r>
        <w:rPr>
          <w:rFonts w:hint="eastAsia" w:ascii="仿宋" w:hAnsi="仿宋" w:eastAsia="仿宋"/>
          <w:b w:val="0"/>
          <w:color w:val="auto"/>
          <w:highlight w:val="none"/>
        </w:rPr>
        <w:t>一</w:t>
      </w:r>
      <w:r>
        <w:rPr>
          <w:rStyle w:val="15"/>
          <w:rFonts w:hint="eastAsia" w:ascii="仿宋" w:hAnsi="仿宋" w:eastAsia="仿宋"/>
          <w:b w:val="0"/>
          <w:bCs w:val="0"/>
          <w:color w:val="auto"/>
          <w:highlight w:val="none"/>
        </w:rPr>
        <w:t>般公共预算财政拨款项目支出决算表</w:t>
      </w:r>
      <w:bookmarkEnd w:id="29"/>
    </w:p>
    <w:p w14:paraId="7A2B3944">
      <w:pPr>
        <w:pStyle w:val="4"/>
        <w:rPr>
          <w:rFonts w:ascii="仿宋" w:hAnsi="仿宋" w:eastAsia="仿宋"/>
          <w:color w:val="auto"/>
          <w:highlight w:val="none"/>
        </w:rPr>
      </w:pPr>
      <w:bookmarkStart w:id="30" w:name="_Toc6973"/>
      <w:r>
        <w:rPr>
          <w:rStyle w:val="15"/>
          <w:rFonts w:hint="eastAsia" w:ascii="仿宋" w:hAnsi="仿宋" w:eastAsia="仿宋"/>
          <w:b w:val="0"/>
          <w:bCs w:val="0"/>
          <w:color w:val="auto"/>
          <w:highlight w:val="none"/>
        </w:rPr>
        <w:t>十、</w:t>
      </w:r>
      <w:r>
        <w:rPr>
          <w:rFonts w:hint="eastAsia" w:ascii="仿宋" w:hAnsi="仿宋" w:eastAsia="仿宋"/>
          <w:b w:val="0"/>
          <w:color w:val="auto"/>
          <w:highlight w:val="none"/>
        </w:rPr>
        <w:t>政</w:t>
      </w:r>
      <w:r>
        <w:rPr>
          <w:rStyle w:val="15"/>
          <w:rFonts w:hint="eastAsia" w:ascii="仿宋" w:hAnsi="仿宋" w:eastAsia="仿宋"/>
          <w:b w:val="0"/>
          <w:bCs w:val="0"/>
          <w:color w:val="auto"/>
          <w:highlight w:val="none"/>
        </w:rPr>
        <w:t>府性基金预算财政拨款收入支出决算表</w:t>
      </w:r>
      <w:bookmarkEnd w:id="30"/>
    </w:p>
    <w:p w14:paraId="0965254A">
      <w:pPr>
        <w:pStyle w:val="4"/>
        <w:rPr>
          <w:rFonts w:ascii="仿宋" w:hAnsi="仿宋" w:eastAsia="仿宋"/>
          <w:color w:val="auto"/>
          <w:highlight w:val="none"/>
        </w:rPr>
      </w:pPr>
      <w:bookmarkStart w:id="31" w:name="_Toc30059"/>
      <w:r>
        <w:rPr>
          <w:rStyle w:val="15"/>
          <w:rFonts w:hint="eastAsia" w:ascii="仿宋" w:hAnsi="仿宋" w:eastAsia="仿宋"/>
          <w:b w:val="0"/>
          <w:bCs w:val="0"/>
          <w:color w:val="auto"/>
          <w:highlight w:val="none"/>
        </w:rPr>
        <w:t>十一、</w:t>
      </w:r>
      <w:r>
        <w:rPr>
          <w:rFonts w:hint="eastAsia" w:ascii="仿宋" w:hAnsi="仿宋" w:eastAsia="仿宋"/>
          <w:b w:val="0"/>
          <w:color w:val="auto"/>
          <w:highlight w:val="none"/>
        </w:rPr>
        <w:t>国</w:t>
      </w:r>
      <w:r>
        <w:rPr>
          <w:rStyle w:val="15"/>
          <w:rFonts w:hint="eastAsia" w:ascii="仿宋" w:hAnsi="仿宋" w:eastAsia="仿宋"/>
          <w:b w:val="0"/>
          <w:bCs w:val="0"/>
          <w:color w:val="auto"/>
          <w:highlight w:val="none"/>
        </w:rPr>
        <w:t>有资本经营预算</w:t>
      </w:r>
      <w:r>
        <w:rPr>
          <w:rStyle w:val="15"/>
          <w:rFonts w:hint="eastAsia" w:ascii="仿宋" w:hAnsi="仿宋" w:eastAsia="仿宋"/>
          <w:b w:val="0"/>
          <w:bCs w:val="0"/>
          <w:color w:val="auto"/>
          <w:highlight w:val="none"/>
          <w:lang w:eastAsia="zh-CN"/>
        </w:rPr>
        <w:t>财政拨款收入</w:t>
      </w:r>
      <w:r>
        <w:rPr>
          <w:rStyle w:val="15"/>
          <w:rFonts w:hint="eastAsia" w:ascii="仿宋" w:hAnsi="仿宋" w:eastAsia="仿宋"/>
          <w:b w:val="0"/>
          <w:bCs w:val="0"/>
          <w:color w:val="auto"/>
          <w:highlight w:val="none"/>
        </w:rPr>
        <w:t>支出决算表</w:t>
      </w:r>
      <w:bookmarkEnd w:id="31"/>
    </w:p>
    <w:p w14:paraId="08886E17">
      <w:pPr>
        <w:pStyle w:val="4"/>
        <w:rPr>
          <w:rFonts w:ascii="仿宋" w:hAnsi="仿宋" w:eastAsia="仿宋"/>
          <w:color w:val="auto"/>
          <w:highlight w:val="none"/>
        </w:rPr>
      </w:pPr>
      <w:bookmarkStart w:id="32" w:name="_Toc32286"/>
      <w:r>
        <w:rPr>
          <w:rStyle w:val="15"/>
          <w:rFonts w:hint="eastAsia" w:ascii="仿宋" w:hAnsi="仿宋" w:eastAsia="仿宋"/>
          <w:b w:val="0"/>
          <w:bCs w:val="0"/>
          <w:color w:val="auto"/>
          <w:highlight w:val="none"/>
        </w:rPr>
        <w:t>十二、</w:t>
      </w:r>
      <w:r>
        <w:rPr>
          <w:rStyle w:val="15"/>
          <w:rFonts w:hint="eastAsia" w:ascii="仿宋" w:hAnsi="仿宋" w:eastAsia="仿宋"/>
          <w:b w:val="0"/>
          <w:bCs w:val="0"/>
          <w:color w:val="auto"/>
          <w:highlight w:val="none"/>
          <w:lang w:eastAsia="zh-CN"/>
        </w:rPr>
        <w:t>国有资本经营预算财政拨款支出决算表</w:t>
      </w:r>
      <w:bookmarkEnd w:id="32"/>
    </w:p>
    <w:p w14:paraId="21FCC4FF">
      <w:pPr>
        <w:pStyle w:val="4"/>
        <w:rPr>
          <w:rFonts w:hint="eastAsia" w:eastAsia="仿宋"/>
          <w:color w:val="auto"/>
          <w:highlight w:val="none"/>
          <w:lang w:eastAsia="zh-CN"/>
        </w:rPr>
      </w:pPr>
      <w:bookmarkStart w:id="33" w:name="_Toc13697"/>
      <w:r>
        <w:rPr>
          <w:rStyle w:val="15"/>
          <w:rFonts w:hint="eastAsia" w:ascii="仿宋" w:hAnsi="仿宋" w:eastAsia="仿宋"/>
          <w:b w:val="0"/>
          <w:bCs w:val="0"/>
          <w:color w:val="auto"/>
          <w:highlight w:val="none"/>
        </w:rPr>
        <w:t>十三、</w:t>
      </w:r>
      <w:r>
        <w:rPr>
          <w:rStyle w:val="15"/>
          <w:rFonts w:hint="eastAsia" w:ascii="仿宋" w:hAnsi="仿宋" w:eastAsia="仿宋"/>
          <w:b w:val="0"/>
          <w:bCs w:val="0"/>
          <w:color w:val="auto"/>
          <w:highlight w:val="none"/>
          <w:lang w:eastAsia="zh-CN"/>
        </w:rPr>
        <w:t>财政拨款“三公”经费支出决算表</w:t>
      </w:r>
      <w:bookmarkEnd w:id="33"/>
    </w:p>
    <w:p w14:paraId="1B5AA2A5">
      <w:pPr>
        <w:rPr>
          <w:rFonts w:hint="eastAsia"/>
          <w:lang w:eastAsia="zh-CN"/>
        </w:rPr>
      </w:pPr>
    </w:p>
    <w:p w14:paraId="065AA271"/>
    <w:sectPr>
      <w:pgSz w:w="11906" w:h="16838"/>
      <w:pgMar w:top="1440" w:right="1800" w:bottom="1440" w:left="1800" w:header="851" w:footer="992" w:gutter="0"/>
      <w:pgNumType w:fmt="numberInDash"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altName w:val="黑体"/>
    <w:panose1 w:val="03000509000000000000"/>
    <w:charset w:val="86"/>
    <w:family w:val="script"/>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FBAC76">
    <w:pPr>
      <w:pStyle w:val="7"/>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994781956"/>
                          </w:sdtPr>
                          <w:sdtContent>
                            <w:p w14:paraId="75EB1CDE">
                              <w:pPr>
                                <w:pStyle w:val="7"/>
                                <w:jc w:val="center"/>
                              </w:pPr>
                              <w:r>
                                <w:rPr>
                                  <w:sz w:val="28"/>
                                </w:rPr>
                                <w:fldChar w:fldCharType="begin"/>
                              </w:r>
                              <w:r>
                                <w:rPr>
                                  <w:sz w:val="28"/>
                                </w:rPr>
                                <w:instrText xml:space="preserve">PAGE   \* MERGEFORMAT</w:instrText>
                              </w:r>
                              <w:r>
                                <w:rPr>
                                  <w:sz w:val="28"/>
                                </w:rPr>
                                <w:fldChar w:fldCharType="separate"/>
                              </w:r>
                              <w:r>
                                <w:rPr>
                                  <w:sz w:val="28"/>
                                  <w:lang w:val="zh-CN"/>
                                </w:rPr>
                                <w:t>8</w:t>
                              </w:r>
                              <w:r>
                                <w:rPr>
                                  <w:sz w:val="28"/>
                                </w:rPr>
                                <w:fldChar w:fldCharType="end"/>
                              </w:r>
                            </w:p>
                          </w:sdtContent>
                        </w:sdt>
                        <w:p w14:paraId="554EFA07">
                          <w:pPr>
                            <w:pStyle w:val="9"/>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sdt>
                    <w:sdtPr>
                      <w:id w:val="-1994781956"/>
                    </w:sdtPr>
                    <w:sdtContent>
                      <w:p w14:paraId="75EB1CDE">
                        <w:pPr>
                          <w:pStyle w:val="7"/>
                          <w:jc w:val="center"/>
                        </w:pPr>
                        <w:r>
                          <w:rPr>
                            <w:sz w:val="28"/>
                          </w:rPr>
                          <w:fldChar w:fldCharType="begin"/>
                        </w:r>
                        <w:r>
                          <w:rPr>
                            <w:sz w:val="28"/>
                          </w:rPr>
                          <w:instrText xml:space="preserve">PAGE   \* MERGEFORMAT</w:instrText>
                        </w:r>
                        <w:r>
                          <w:rPr>
                            <w:sz w:val="28"/>
                          </w:rPr>
                          <w:fldChar w:fldCharType="separate"/>
                        </w:r>
                        <w:r>
                          <w:rPr>
                            <w:sz w:val="28"/>
                            <w:lang w:val="zh-CN"/>
                          </w:rPr>
                          <w:t>8</w:t>
                        </w:r>
                        <w:r>
                          <w:rPr>
                            <w:sz w:val="28"/>
                          </w:rPr>
                          <w:fldChar w:fldCharType="end"/>
                        </w:r>
                      </w:p>
                    </w:sdtContent>
                  </w:sdt>
                  <w:p w14:paraId="554EFA07">
                    <w:pPr>
                      <w:pStyle w:val="9"/>
                    </w:pPr>
                  </w:p>
                </w:txbxContent>
              </v:textbox>
            </v:shape>
          </w:pict>
        </mc:Fallback>
      </mc:AlternateContent>
    </w:r>
  </w:p>
  <w:p w14:paraId="6B6E7495">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7A7B5B">
    <w:pPr>
      <w:pStyle w:val="7"/>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-16510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ABC2A2C">
                          <w:pPr>
                            <w:pStyle w:val="7"/>
                            <w:rPr>
                              <w:rFonts w:hint="eastAsia" w:eastAsia="宋体"/>
                              <w:sz w:val="28"/>
                              <w:szCs w:val="28"/>
                              <w:lang w:eastAsia="zh-CN"/>
                            </w:rPr>
                          </w:pPr>
                          <w:r>
                            <w:rPr>
                              <w:rFonts w:hint="eastAsia"/>
                              <w:sz w:val="28"/>
                              <w:szCs w:val="28"/>
                              <w:lang w:eastAsia="zh-CN"/>
                            </w:rPr>
                            <w:fldChar w:fldCharType="begin"/>
                          </w:r>
                          <w:r>
                            <w:rPr>
                              <w:rFonts w:hint="eastAsia"/>
                              <w:sz w:val="28"/>
                              <w:szCs w:val="28"/>
                              <w:lang w:eastAsia="zh-CN"/>
                            </w:rPr>
                            <w:instrText xml:space="preserve"> PAGE  \* MERGEFORMAT </w:instrText>
                          </w:r>
                          <w:r>
                            <w:rPr>
                              <w:rFonts w:hint="eastAsia"/>
                              <w:sz w:val="28"/>
                              <w:szCs w:val="28"/>
                              <w:lang w:eastAsia="zh-CN"/>
                            </w:rPr>
                            <w:fldChar w:fldCharType="separate"/>
                          </w:r>
                          <w:r>
                            <w:rPr>
                              <w:rFonts w:hint="eastAsia"/>
                              <w:sz w:val="28"/>
                              <w:szCs w:val="28"/>
                              <w:lang w:eastAsia="zh-CN"/>
                            </w:rPr>
                            <w:t>1</w:t>
                          </w:r>
                          <w:r>
                            <w:rPr>
                              <w:rFonts w:hint="eastAsia"/>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1.3pt;height:144pt;width:144pt;mso-position-horizontal:center;mso-position-horizontal-relative:margin;mso-wrap-style:none;z-index:251660288;mso-width-relative:page;mso-height-relative:page;" filled="f" stroked="f" coordsize="21600,21600" o:gfxdata="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k0DSR9UAAAAHAQAADwAAAAAAAAABACAAAAAiAAAAZHJzL2Rvd25yZXYueG1sUEsB&#10;AhQAFAAAAAgAh07iQCSCRrQxAgAAYQQAAA4AAAAAAAAAAQAgAAAAJAEAAGRycy9lMm9Eb2MueG1s&#10;UEsFBgAAAAAGAAYAWQEAAMcFAAAAAA==&#10;">
              <v:fill on="f" focussize="0,0"/>
              <v:stroke on="f" weight="0.5pt"/>
              <v:imagedata o:title=""/>
              <o:lock v:ext="edit" aspectratio="f"/>
              <v:textbox inset="0mm,0mm,0mm,0mm" style="mso-fit-shape-to-text:t;">
                <w:txbxContent>
                  <w:p w14:paraId="0ABC2A2C">
                    <w:pPr>
                      <w:pStyle w:val="7"/>
                      <w:rPr>
                        <w:rFonts w:hint="eastAsia" w:eastAsia="宋体"/>
                        <w:sz w:val="28"/>
                        <w:szCs w:val="28"/>
                        <w:lang w:eastAsia="zh-CN"/>
                      </w:rPr>
                    </w:pPr>
                    <w:r>
                      <w:rPr>
                        <w:rFonts w:hint="eastAsia"/>
                        <w:sz w:val="28"/>
                        <w:szCs w:val="28"/>
                        <w:lang w:eastAsia="zh-CN"/>
                      </w:rPr>
                      <w:fldChar w:fldCharType="begin"/>
                    </w:r>
                    <w:r>
                      <w:rPr>
                        <w:rFonts w:hint="eastAsia"/>
                        <w:sz w:val="28"/>
                        <w:szCs w:val="28"/>
                        <w:lang w:eastAsia="zh-CN"/>
                      </w:rPr>
                      <w:instrText xml:space="preserve"> PAGE  \* MERGEFORMAT </w:instrText>
                    </w:r>
                    <w:r>
                      <w:rPr>
                        <w:rFonts w:hint="eastAsia"/>
                        <w:sz w:val="28"/>
                        <w:szCs w:val="28"/>
                        <w:lang w:eastAsia="zh-CN"/>
                      </w:rPr>
                      <w:fldChar w:fldCharType="separate"/>
                    </w:r>
                    <w:r>
                      <w:rPr>
                        <w:rFonts w:hint="eastAsia"/>
                        <w:sz w:val="28"/>
                        <w:szCs w:val="28"/>
                        <w:lang w:eastAsia="zh-CN"/>
                      </w:rPr>
                      <w:t>1</w:t>
                    </w:r>
                    <w:r>
                      <w:rPr>
                        <w:rFonts w:hint="eastAsia"/>
                        <w:sz w:val="28"/>
                        <w:szCs w:val="28"/>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818A09A"/>
    <w:multiLevelType w:val="singleLevel"/>
    <w:tmpl w:val="3818A09A"/>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AzMjM0NTMzYzNmNmNmZjAxNGI2YmE0NzgzZDY1ZmQifQ=="/>
  </w:docVars>
  <w:rsids>
    <w:rsidRoot w:val="FFDBB21C"/>
    <w:rsid w:val="04A90B17"/>
    <w:rsid w:val="062A4F87"/>
    <w:rsid w:val="06936FD0"/>
    <w:rsid w:val="0BB20781"/>
    <w:rsid w:val="176506BB"/>
    <w:rsid w:val="242C74C6"/>
    <w:rsid w:val="2B34402E"/>
    <w:rsid w:val="2D345DC7"/>
    <w:rsid w:val="48F4333A"/>
    <w:rsid w:val="6F8D5088"/>
    <w:rsid w:val="700D5086"/>
    <w:rsid w:val="72051DFC"/>
    <w:rsid w:val="7BEA6381"/>
    <w:rsid w:val="7D4260A9"/>
    <w:rsid w:val="7E3977A2"/>
    <w:rsid w:val="FFDBB2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name="footnote text"/>
    <w:lsdException w:qFormat="1" w:uiPriority="99"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4"/>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5"/>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pPr>
      <w:spacing w:beforeLines="30"/>
    </w:pPr>
    <w:rPr>
      <w:rFonts w:ascii="仿宋_GB2312" w:eastAsia="仿宋_GB2312"/>
      <w:kern w:val="0"/>
      <w:sz w:val="30"/>
    </w:rPr>
  </w:style>
  <w:style w:type="paragraph" w:styleId="5">
    <w:name w:val="Body Text Indent"/>
    <w:basedOn w:val="1"/>
    <w:next w:val="6"/>
    <w:qFormat/>
    <w:uiPriority w:val="0"/>
    <w:pPr>
      <w:spacing w:after="120"/>
      <w:ind w:leftChars="200"/>
    </w:pPr>
    <w:rPr>
      <w:rFonts w:ascii="仿宋_GB2312"/>
      <w:szCs w:val="32"/>
    </w:rPr>
  </w:style>
  <w:style w:type="paragraph" w:styleId="6">
    <w:name w:val="Body Text First Indent 2"/>
    <w:basedOn w:val="5"/>
    <w:unhideWhenUsed/>
    <w:qFormat/>
    <w:uiPriority w:val="99"/>
    <w:pPr>
      <w:ind w:firstLine="420" w:firstLineChars="200"/>
    </w:pPr>
  </w:style>
  <w:style w:type="paragraph" w:styleId="7">
    <w:name w:val="footer"/>
    <w:basedOn w:val="1"/>
    <w:qFormat/>
    <w:uiPriority w:val="99"/>
    <w:pPr>
      <w:tabs>
        <w:tab w:val="center" w:pos="4153"/>
        <w:tab w:val="right" w:pos="8306"/>
      </w:tabs>
      <w:snapToGrid w:val="0"/>
      <w:jc w:val="left"/>
    </w:pPr>
    <w:rPr>
      <w:rFonts w:ascii="Calibri" w:hAnsi="Calibri"/>
      <w:kern w:val="0"/>
      <w:sz w:val="18"/>
      <w:szCs w:val="18"/>
    </w:rPr>
  </w:style>
  <w:style w:type="paragraph" w:styleId="8">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9">
    <w:name w:val="footnote text"/>
    <w:basedOn w:val="1"/>
    <w:next w:val="6"/>
    <w:semiHidden/>
    <w:qFormat/>
    <w:uiPriority w:val="0"/>
    <w:pPr>
      <w:snapToGrid w:val="0"/>
      <w:jc w:val="left"/>
    </w:pPr>
    <w:rPr>
      <w:sz w:val="18"/>
      <w:szCs w:val="18"/>
    </w:rPr>
  </w:style>
  <w:style w:type="paragraph" w:styleId="10">
    <w:name w:val="toc 2"/>
    <w:basedOn w:val="1"/>
    <w:next w:val="1"/>
    <w:unhideWhenUsed/>
    <w:qFormat/>
    <w:uiPriority w:val="39"/>
    <w:pPr>
      <w:tabs>
        <w:tab w:val="right" w:leader="dot" w:pos="8296"/>
      </w:tabs>
      <w:ind w:left="420" w:leftChars="200"/>
    </w:pPr>
  </w:style>
  <w:style w:type="character" w:styleId="13">
    <w:name w:val="Strong"/>
    <w:basedOn w:val="12"/>
    <w:qFormat/>
    <w:uiPriority w:val="99"/>
    <w:rPr>
      <w:b/>
    </w:rPr>
  </w:style>
  <w:style w:type="character" w:customStyle="1" w:styleId="14">
    <w:name w:val="标题 1 Char"/>
    <w:basedOn w:val="12"/>
    <w:link w:val="3"/>
    <w:qFormat/>
    <w:uiPriority w:val="9"/>
    <w:rPr>
      <w:b/>
      <w:bCs/>
      <w:kern w:val="44"/>
      <w:sz w:val="44"/>
      <w:szCs w:val="44"/>
    </w:rPr>
  </w:style>
  <w:style w:type="character" w:customStyle="1" w:styleId="15">
    <w:name w:val="标题 2 Char"/>
    <w:basedOn w:val="12"/>
    <w:link w:val="4"/>
    <w:qFormat/>
    <w:uiPriority w:val="9"/>
    <w:rPr>
      <w:rFonts w:asciiTheme="majorHAnsi" w:hAnsiTheme="majorHAnsi" w:eastAsiaTheme="majorEastAsia" w:cstheme="majorBidi"/>
      <w:b/>
      <w:bCs/>
      <w:sz w:val="32"/>
      <w:szCs w:val="32"/>
    </w:rPr>
  </w:style>
  <w:style w:type="paragraph" w:styleId="16">
    <w:name w:val="List Paragraph"/>
    <w:basedOn w:val="1"/>
    <w:qFormat/>
    <w:uiPriority w:val="34"/>
    <w:pPr>
      <w:ind w:firstLine="420" w:firstLineChars="200"/>
    </w:pPr>
  </w:style>
  <w:style w:type="paragraph" w:customStyle="1" w:styleId="17">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customStyle="1" w:styleId="18">
    <w:name w:val="WPSOffice手动目录 1"/>
    <w:qFormat/>
    <w:uiPriority w:val="0"/>
    <w:pPr>
      <w:ind w:leftChars="0"/>
    </w:pPr>
    <w:rPr>
      <w:rFonts w:ascii="Times New Roman" w:hAnsi="Times New Roman" w:eastAsia="宋体" w:cs="Times New Roman"/>
      <w:sz w:val="20"/>
      <w:szCs w:val="20"/>
    </w:rPr>
  </w:style>
  <w:style w:type="paragraph" w:customStyle="1" w:styleId="19">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chart" Target="charts/chart4.xml"/><Relationship Id="rId8" Type="http://schemas.openxmlformats.org/officeDocument/2006/relationships/chart" Target="charts/chart3.xml"/><Relationship Id="rId7" Type="http://schemas.openxmlformats.org/officeDocument/2006/relationships/chart" Target="charts/chart2.xml"/><Relationship Id="rId6" Type="http://schemas.openxmlformats.org/officeDocument/2006/relationships/chart" Target="charts/chart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chart" Target="charts/chart7.xml"/><Relationship Id="rId11" Type="http://schemas.openxmlformats.org/officeDocument/2006/relationships/chart" Target="charts/chart6.xml"/><Relationship Id="rId10" Type="http://schemas.openxmlformats.org/officeDocument/2006/relationships/chart" Target="charts/chart5.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2.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3.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package" Target="../embeddings/Workbook7.xlsx"/></Relationships>
</file>

<file path=word/charts/_rels/chart4.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5.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6.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_rels/chart7.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收、支决算总计变动情况</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2023年</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收入</c:v>
                </c:pt>
                <c:pt idx="1">
                  <c:v>支出</c:v>
                </c:pt>
              </c:strCache>
            </c:strRef>
          </c:cat>
          <c:val>
            <c:numRef>
              <c:f>Sheet1!$B$2:$B$3</c:f>
              <c:numCache>
                <c:formatCode>0.00_ </c:formatCode>
                <c:ptCount val="2"/>
                <c:pt idx="0">
                  <c:v>3339.92</c:v>
                </c:pt>
                <c:pt idx="1">
                  <c:v>3339.92</c:v>
                </c:pt>
              </c:numCache>
            </c:numRef>
          </c:val>
        </c:ser>
        <c:ser>
          <c:idx val="1"/>
          <c:order val="1"/>
          <c:tx>
            <c:strRef>
              <c:f>Sheet1!$C$1</c:f>
              <c:strCache>
                <c:ptCount val="1"/>
                <c:pt idx="0">
                  <c:v>2022年</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收入</c:v>
                </c:pt>
                <c:pt idx="1">
                  <c:v>支出</c:v>
                </c:pt>
              </c:strCache>
            </c:strRef>
          </c:cat>
          <c:val>
            <c:numRef>
              <c:f>Sheet1!$C$2:$C$3</c:f>
              <c:numCache>
                <c:formatCode>General</c:formatCode>
                <c:ptCount val="2"/>
                <c:pt idx="0">
                  <c:v>2498.96</c:v>
                </c:pt>
                <c:pt idx="1">
                  <c:v>2498.96</c:v>
                </c:pt>
              </c:numCache>
            </c:numRef>
          </c:val>
        </c:ser>
        <c:dLbls>
          <c:showLegendKey val="0"/>
          <c:showVal val="1"/>
          <c:showCatName val="0"/>
          <c:showSerName val="0"/>
          <c:showPercent val="0"/>
          <c:showBubbleSize val="0"/>
        </c:dLbls>
        <c:gapWidth val="246"/>
        <c:overlap val="-28"/>
        <c:axId val="667726918"/>
        <c:axId val="343291035"/>
      </c:barChart>
      <c:catAx>
        <c:axId val="667726918"/>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43291035"/>
        <c:crosses val="autoZero"/>
        <c:auto val="1"/>
        <c:lblAlgn val="ctr"/>
        <c:lblOffset val="100"/>
        <c:noMultiLvlLbl val="0"/>
      </c:catAx>
      <c:valAx>
        <c:axId val="343291035"/>
        <c:scaling>
          <c:orientation val="minMax"/>
        </c:scaling>
        <c:delete val="0"/>
        <c:axPos val="l"/>
        <c:majorGridlines>
          <c:spPr>
            <a:ln w="9525" cap="flat" cmpd="sng" algn="ctr">
              <a:solidFill>
                <a:schemeClr val="lt1">
                  <a:lumMod val="90200"/>
                </a:schemeClr>
              </a:solidFill>
              <a:round/>
            </a:ln>
            <a:effectLst/>
          </c:spPr>
        </c:majorGridlines>
        <c:numFmt formatCode="0.00_ "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67726918"/>
        <c:crosses val="autoZero"/>
        <c:crossBetween val="between"/>
      </c:valAx>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收入决算结构</a:t>
            </a:r>
          </a:p>
        </c:rich>
      </c:tx>
      <c:layout/>
      <c:overlay val="0"/>
      <c:spPr>
        <a:noFill/>
        <a:ln>
          <a:noFill/>
        </a:ln>
        <a:effectLst/>
      </c:spPr>
    </c:title>
    <c:autoTitleDeleted val="0"/>
    <c:plotArea>
      <c:layout/>
      <c:pieChart>
        <c:varyColors val="1"/>
        <c:ser>
          <c:idx val="0"/>
          <c:order val="0"/>
          <c:tx>
            <c:strRef>
              <c:f>Sheet1!$B$1</c:f>
              <c:strCache>
                <c:ptCount val="1"/>
                <c:pt idx="0">
                  <c:v>收入</c:v>
                </c:pt>
              </c:strCache>
            </c:strRef>
          </c:tx>
          <c:spPr/>
          <c:explosion val="0"/>
          <c:dPt>
            <c:idx val="0"/>
            <c:bubble3D val="0"/>
            <c:spPr>
              <a:solidFill>
                <a:schemeClr val="accent1"/>
              </a:solidFill>
              <a:ln>
                <a:solidFill>
                  <a:schemeClr val="bg1"/>
                </a:solidFill>
              </a:ln>
              <a:effectLst/>
            </c:spPr>
          </c:dPt>
          <c:dLbls>
            <c:dLbl>
              <c:idx val="0"/>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t>3,339.92, </a:t>
                    </a:r>
                  </a:p>
                  <a:p>
                    <a:pPr defTabSz="914400">
                      <a:defRPr lang="zh-CN" sz="1000" b="0" i="0" u="none" strike="noStrike" kern="1200" baseline="0">
                        <a:solidFill>
                          <a:schemeClr val="tx1">
                            <a:lumMod val="75000"/>
                            <a:lumOff val="25000"/>
                          </a:schemeClr>
                        </a:solidFill>
                        <a:latin typeface="+mn-lt"/>
                        <a:ea typeface="+mn-ea"/>
                        <a:cs typeface="+mn-cs"/>
                      </a:defRPr>
                    </a:pPr>
                    <a:r>
                      <a:t>100%</a:t>
                    </a:r>
                  </a:p>
                </c:rich>
              </c:tx>
              <c:dLblPos val="outEnd"/>
              <c:showLegendKey val="0"/>
              <c:showVal val="1"/>
              <c:showCatName val="0"/>
              <c:showSerName val="0"/>
              <c:showPercent val="1"/>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一般公共预算财政拨款收入</c:v>
                </c:pt>
              </c:strCache>
            </c:strRef>
          </c:cat>
          <c:val>
            <c:numRef>
              <c:f>Sheet1!$B$2</c:f>
              <c:numCache>
                <c:formatCode>#,##0.00</c:formatCode>
                <c:ptCount val="1"/>
                <c:pt idx="0">
                  <c:v>3339.92</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rPr altLang="en-US"/>
              <a:t>支出决算结构图</a:t>
            </a:r>
            <a:endParaRPr lang="en-US" altLang="zh-CN"/>
          </a:p>
        </c:rich>
      </c:tx>
      <c:layout/>
      <c:overlay val="0"/>
      <c:spPr>
        <a:noFill/>
        <a:ln>
          <a:noFill/>
        </a:ln>
        <a:effectLst/>
      </c:spPr>
    </c:title>
    <c:autoTitleDeleted val="0"/>
    <c:plotArea>
      <c:layout/>
      <c:pieChart>
        <c:varyColors val="1"/>
        <c:ser>
          <c:idx val="0"/>
          <c:order val="0"/>
          <c:tx>
            <c:strRef>
              <c:f>Sheet1!$B$1</c:f>
              <c:strCache>
                <c:ptCount val="1"/>
                <c:pt idx="0">
                  <c:v>收入</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Lbls>
            <c:dLbl>
              <c:idx val="0"/>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rPr lang="en-US" altLang="zh-CN"/>
                      <a:t>3339.92,</a:t>
                    </a:r>
                    <a:r>
                      <a:t>88%</a:t>
                    </a:r>
                  </a:p>
                </c:rich>
              </c:tx>
              <c:dLblPos val="outEnd"/>
              <c:showLegendKey val="0"/>
              <c:showVal val="0"/>
              <c:showCatName val="1"/>
              <c:showSerName val="0"/>
              <c:showPercent val="1"/>
              <c:showBubbleSize val="0"/>
              <c:separator>
</c:separator>
              <c:extLst>
                <c:ext xmlns:c15="http://schemas.microsoft.com/office/drawing/2012/chart" uri="{CE6537A1-D6FC-4f65-9D91-7224C49458BB}"/>
              </c:extLst>
            </c:dLbl>
            <c:dLbl>
              <c:idx val="1"/>
              <c:layout>
                <c:manualLayout>
                  <c:x val="0.0234356124667794"/>
                  <c:y val="-0.00297492562685933"/>
                </c:manualLayout>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rPr lang="en-US" altLang="zh-CN"/>
                      <a:t>399.81,</a:t>
                    </a:r>
                    <a:r>
                      <a:t>1</a:t>
                    </a:r>
                    <a:r>
                      <a:rPr lang="en-US" altLang="zh-CN"/>
                      <a:t>2</a:t>
                    </a:r>
                    <a:r>
                      <a:t>%</a:t>
                    </a:r>
                  </a:p>
                </c:rich>
              </c:tx>
              <c:dLblPos val="bestFit"/>
              <c:showLegendKey val="0"/>
              <c:showVal val="0"/>
              <c:showCatName val="1"/>
              <c:showSerName val="0"/>
              <c:showPercent val="1"/>
              <c:showBubbleSize val="0"/>
              <c:separator>
</c:separator>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0"/>
            <c:showCatName val="1"/>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#,##0.00</c:formatCode>
                <c:ptCount val="2"/>
                <c:pt idx="0">
                  <c:v>2940.11</c:v>
                </c:pt>
                <c:pt idx="1" c:formatCode="General">
                  <c:v>399.81</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财政拨款收、支决算总计变动情况</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2023年</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财政拨款收入</c:v>
                </c:pt>
                <c:pt idx="1">
                  <c:v>财政拨款支出</c:v>
                </c:pt>
              </c:strCache>
            </c:strRef>
          </c:cat>
          <c:val>
            <c:numRef>
              <c:f>Sheet1!$B$2:$B$3</c:f>
              <c:numCache>
                <c:formatCode>0.00_ </c:formatCode>
                <c:ptCount val="2"/>
                <c:pt idx="0">
                  <c:v>3339.92</c:v>
                </c:pt>
                <c:pt idx="1">
                  <c:v>3339.92</c:v>
                </c:pt>
              </c:numCache>
            </c:numRef>
          </c:val>
        </c:ser>
        <c:ser>
          <c:idx val="1"/>
          <c:order val="1"/>
          <c:tx>
            <c:strRef>
              <c:f>Sheet1!$C$1</c:f>
              <c:strCache>
                <c:ptCount val="1"/>
                <c:pt idx="0">
                  <c:v>2022年</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财政拨款收入</c:v>
                </c:pt>
                <c:pt idx="1">
                  <c:v>财政拨款支出</c:v>
                </c:pt>
              </c:strCache>
            </c:strRef>
          </c:cat>
          <c:val>
            <c:numRef>
              <c:f>Sheet1!$C$2:$C$3</c:f>
              <c:numCache>
                <c:formatCode>General</c:formatCode>
                <c:ptCount val="2"/>
                <c:pt idx="0">
                  <c:v>2498.96</c:v>
                </c:pt>
                <c:pt idx="1">
                  <c:v>2498.96</c:v>
                </c:pt>
              </c:numCache>
            </c:numRef>
          </c:val>
        </c:ser>
        <c:dLbls>
          <c:showLegendKey val="0"/>
          <c:showVal val="1"/>
          <c:showCatName val="0"/>
          <c:showSerName val="0"/>
          <c:showPercent val="0"/>
          <c:showBubbleSize val="0"/>
        </c:dLbls>
        <c:gapWidth val="246"/>
        <c:overlap val="-28"/>
        <c:axId val="667726918"/>
        <c:axId val="343291035"/>
      </c:barChart>
      <c:catAx>
        <c:axId val="667726918"/>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43291035"/>
        <c:crosses val="autoZero"/>
        <c:auto val="1"/>
        <c:lblAlgn val="ctr"/>
        <c:lblOffset val="100"/>
        <c:noMultiLvlLbl val="0"/>
      </c:catAx>
      <c:valAx>
        <c:axId val="343291035"/>
        <c:scaling>
          <c:orientation val="minMax"/>
        </c:scaling>
        <c:delete val="0"/>
        <c:axPos val="l"/>
        <c:majorGridlines>
          <c:spPr>
            <a:ln w="9525" cap="flat" cmpd="sng" algn="ctr">
              <a:solidFill>
                <a:schemeClr val="lt1">
                  <a:lumMod val="90200"/>
                </a:schemeClr>
              </a:solidFill>
              <a:round/>
            </a:ln>
            <a:effectLst/>
          </c:spPr>
        </c:majorGridlines>
        <c:numFmt formatCode="0.00_ "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67726918"/>
        <c:crosses val="autoZero"/>
        <c:crossBetween val="between"/>
      </c:valAx>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一般公共预算财政拨款支出决算总计变动情况</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2023年</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一般公共预算财政拨款支出</c:v>
                </c:pt>
              </c:strCache>
            </c:strRef>
          </c:cat>
          <c:val>
            <c:numRef>
              <c:f>Sheet1!$B$2</c:f>
              <c:numCache>
                <c:formatCode>0.00_ </c:formatCode>
                <c:ptCount val="1"/>
                <c:pt idx="0">
                  <c:v>3339.92</c:v>
                </c:pt>
              </c:numCache>
            </c:numRef>
          </c:val>
        </c:ser>
        <c:ser>
          <c:idx val="1"/>
          <c:order val="1"/>
          <c:tx>
            <c:strRef>
              <c:f>Sheet1!$C$1</c:f>
              <c:strCache>
                <c:ptCount val="1"/>
                <c:pt idx="0">
                  <c:v>2022年</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一般公共预算财政拨款支出</c:v>
                </c:pt>
              </c:strCache>
            </c:strRef>
          </c:cat>
          <c:val>
            <c:numRef>
              <c:f>Sheet1!$C$2</c:f>
              <c:numCache>
                <c:formatCode>General</c:formatCode>
                <c:ptCount val="1"/>
                <c:pt idx="0">
                  <c:v>2498.96</c:v>
                </c:pt>
              </c:numCache>
            </c:numRef>
          </c:val>
        </c:ser>
        <c:dLbls>
          <c:showLegendKey val="0"/>
          <c:showVal val="1"/>
          <c:showCatName val="0"/>
          <c:showSerName val="0"/>
          <c:showPercent val="0"/>
          <c:showBubbleSize val="0"/>
        </c:dLbls>
        <c:gapWidth val="246"/>
        <c:overlap val="-28"/>
        <c:axId val="667726918"/>
        <c:axId val="343291035"/>
      </c:barChart>
      <c:catAx>
        <c:axId val="667726918"/>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43291035"/>
        <c:crosses val="autoZero"/>
        <c:auto val="1"/>
        <c:lblAlgn val="ctr"/>
        <c:lblOffset val="100"/>
        <c:noMultiLvlLbl val="0"/>
      </c:catAx>
      <c:valAx>
        <c:axId val="343291035"/>
        <c:scaling>
          <c:orientation val="minMax"/>
        </c:scaling>
        <c:delete val="0"/>
        <c:axPos val="l"/>
        <c:majorGridlines>
          <c:spPr>
            <a:ln w="9525" cap="flat" cmpd="sng" algn="ctr">
              <a:solidFill>
                <a:schemeClr val="lt1">
                  <a:lumMod val="90200"/>
                </a:schemeClr>
              </a:solidFill>
              <a:round/>
            </a:ln>
            <a:effectLst/>
          </c:spPr>
        </c:majorGridlines>
        <c:numFmt formatCode="0.00_ "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67726918"/>
        <c:crosses val="autoZero"/>
        <c:crossBetween val="between"/>
      </c:valAx>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1" i="0" u="none" strike="noStrike" kern="1200" baseline="0">
              <a:solidFill>
                <a:schemeClr val="tx1">
                  <a:lumMod val="75000"/>
                  <a:lumOff val="25000"/>
                </a:schemeClr>
              </a:solidFill>
              <a:latin typeface="+mn-lt"/>
              <a:ea typeface="+mn-ea"/>
              <a:cs typeface="+mn-cs"/>
            </a:defRPr>
          </a:pPr>
        </a:p>
      </c:txPr>
    </c:title>
    <c:autoTitleDeleted val="0"/>
    <c:plotArea>
      <c:layout/>
      <c:pieChart>
        <c:varyColors val="1"/>
        <c:ser>
          <c:idx val="0"/>
          <c:order val="0"/>
          <c:tx>
            <c:strRef>
              <c:f>Sheet1!$B$1</c:f>
              <c:strCache>
                <c:ptCount val="1"/>
                <c:pt idx="0">
                  <c:v>一般公共预算财政拨款支出</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Pt>
            <c:idx val="3"/>
            <c:bubble3D val="0"/>
            <c:spPr>
              <a:solidFill>
                <a:schemeClr val="accent4"/>
              </a:solidFill>
              <a:ln>
                <a:solidFill>
                  <a:schemeClr val="bg1"/>
                </a:solidFill>
              </a:ln>
              <a:effectLst/>
            </c:spPr>
          </c:dPt>
          <c:dLbls>
            <c:dLbl>
              <c:idx val="0"/>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rPr lang="en-US" altLang="zh-CN"/>
                      <a:t>325.01,</a:t>
                    </a:r>
                    <a:endParaRPr lang="en-US" altLang="zh-CN"/>
                  </a:p>
                  <a:p>
                    <a:pPr defTabSz="914400">
                      <a:defRPr lang="zh-CN" sz="1000" b="0" i="0" u="none" strike="noStrike" kern="1200" baseline="0">
                        <a:solidFill>
                          <a:schemeClr val="tx1">
                            <a:lumMod val="75000"/>
                            <a:lumOff val="25000"/>
                          </a:schemeClr>
                        </a:solidFill>
                        <a:latin typeface="+mn-lt"/>
                        <a:ea typeface="+mn-ea"/>
                        <a:cs typeface="+mn-cs"/>
                      </a:defRPr>
                    </a:pPr>
                    <a:r>
                      <a:rPr lang="en-US" altLang="zh-CN"/>
                      <a:t>9.7</a:t>
                    </a:r>
                    <a:r>
                      <a:t>%</a:t>
                    </a:r>
                  </a:p>
                </c:rich>
              </c:tx>
              <c:dLblPos val="outEnd"/>
              <c:showLegendKey val="0"/>
              <c:showVal val="0"/>
              <c:showCatName val="0"/>
              <c:showSerName val="0"/>
              <c:showPercent val="1"/>
              <c:showBubbleSize val="0"/>
              <c:extLst>
                <c:ext xmlns:c15="http://schemas.microsoft.com/office/drawing/2012/chart" uri="{CE6537A1-D6FC-4f65-9D91-7224C49458BB}"/>
              </c:extLst>
            </c:dLbl>
            <c:dLbl>
              <c:idx val="1"/>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rPr lang="en-US" altLang="zh-CN"/>
                      <a:t>165.16,</a:t>
                    </a:r>
                    <a:endParaRPr lang="en-US" altLang="zh-CN"/>
                  </a:p>
                  <a:p>
                    <a:pPr defTabSz="914400">
                      <a:defRPr lang="zh-CN" sz="1000" b="0" i="0" u="none" strike="noStrike" kern="1200" baseline="0">
                        <a:solidFill>
                          <a:schemeClr val="tx1">
                            <a:lumMod val="75000"/>
                            <a:lumOff val="25000"/>
                          </a:schemeClr>
                        </a:solidFill>
                        <a:latin typeface="+mn-lt"/>
                        <a:ea typeface="+mn-ea"/>
                        <a:cs typeface="+mn-cs"/>
                      </a:defRPr>
                    </a:pPr>
                    <a:r>
                      <a:rPr lang="en-US" altLang="zh-CN"/>
                      <a:t>5</a:t>
                    </a:r>
                    <a:r>
                      <a:t>%</a:t>
                    </a:r>
                  </a:p>
                </c:rich>
              </c:tx>
              <c:dLblPos val="outEnd"/>
              <c:showLegendKey val="0"/>
              <c:showVal val="0"/>
              <c:showCatName val="0"/>
              <c:showSerName val="0"/>
              <c:showPercent val="1"/>
              <c:showBubbleSize val="0"/>
              <c:extLst>
                <c:ext xmlns:c15="http://schemas.microsoft.com/office/drawing/2012/chart" uri="{CE6537A1-D6FC-4f65-9D91-7224C49458BB}"/>
              </c:extLst>
            </c:dLbl>
            <c:dLbl>
              <c:idx val="2"/>
              <c:layout>
                <c:manualLayout>
                  <c:x val="-0.00338245953128775"/>
                  <c:y val="0.0148746281342966"/>
                </c:manualLayout>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rPr lang="en-US" altLang="zh-CN"/>
                      <a:t>2667.75,</a:t>
                    </a:r>
                    <a:endParaRPr lang="en-US" altLang="zh-CN"/>
                  </a:p>
                  <a:p>
                    <a:pPr defTabSz="914400">
                      <a:defRPr lang="zh-CN" sz="1000" b="0" i="0" u="none" strike="noStrike" kern="1200" baseline="0">
                        <a:solidFill>
                          <a:schemeClr val="tx1">
                            <a:lumMod val="75000"/>
                            <a:lumOff val="25000"/>
                          </a:schemeClr>
                        </a:solidFill>
                        <a:latin typeface="+mn-lt"/>
                        <a:ea typeface="+mn-ea"/>
                        <a:cs typeface="+mn-cs"/>
                      </a:defRPr>
                    </a:pPr>
                    <a:r>
                      <a:rPr lang="en-US" altLang="zh-CN"/>
                      <a:t>79.9</a:t>
                    </a:r>
                    <a:r>
                      <a:t>%</a:t>
                    </a:r>
                  </a:p>
                </c:rich>
              </c:tx>
              <c:dLblPos val="bestFit"/>
              <c:showLegendKey val="0"/>
              <c:showVal val="0"/>
              <c:showCatName val="0"/>
              <c:showSerName val="0"/>
              <c:showPercent val="1"/>
              <c:showBubbleSize val="0"/>
              <c:extLst>
                <c:ext xmlns:c15="http://schemas.microsoft.com/office/drawing/2012/chart" uri="{CE6537A1-D6FC-4f65-9D91-7224C49458BB}">
                  <c15:layout/>
                </c:ext>
              </c:extLst>
            </c:dLbl>
            <c:dLbl>
              <c:idx val="3"/>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rPr lang="en-US" altLang="zh-CN"/>
                      <a:t>182.01,</a:t>
                    </a:r>
                    <a:endParaRPr lang="en-US" altLang="zh-CN"/>
                  </a:p>
                  <a:p>
                    <a:pPr defTabSz="914400">
                      <a:defRPr lang="zh-CN" sz="1000" b="0" i="0" u="none" strike="noStrike" kern="1200" baseline="0">
                        <a:solidFill>
                          <a:schemeClr val="tx1">
                            <a:lumMod val="75000"/>
                            <a:lumOff val="25000"/>
                          </a:schemeClr>
                        </a:solidFill>
                        <a:latin typeface="+mn-lt"/>
                        <a:ea typeface="+mn-ea"/>
                        <a:cs typeface="+mn-cs"/>
                      </a:defRPr>
                    </a:pPr>
                    <a:r>
                      <a:rPr lang="en-US" altLang="zh-CN"/>
                      <a:t>5.5</a:t>
                    </a:r>
                    <a:r>
                      <a:t>%</a:t>
                    </a:r>
                  </a:p>
                </c:rich>
              </c:tx>
              <c:dLblPos val="outEnd"/>
              <c:showLegendKey val="0"/>
              <c:showVal val="0"/>
              <c:showCatName val="0"/>
              <c:showSerName val="0"/>
              <c:showPercent val="1"/>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社会保障和就业支出</c:v>
                </c:pt>
                <c:pt idx="1">
                  <c:v>卫生健康支出</c:v>
                </c:pt>
                <c:pt idx="2">
                  <c:v>交通运输支出</c:v>
                </c:pt>
                <c:pt idx="3">
                  <c:v>住房保障支出</c:v>
                </c:pt>
              </c:strCache>
            </c:strRef>
          </c:cat>
          <c:val>
            <c:numRef>
              <c:f>Sheet1!$B$2:$B$5</c:f>
              <c:numCache>
                <c:formatCode>General</c:formatCode>
                <c:ptCount val="4"/>
                <c:pt idx="0">
                  <c:v>325.01</c:v>
                </c:pt>
                <c:pt idx="1">
                  <c:v>165.16</c:v>
                </c:pt>
                <c:pt idx="2" c:formatCode="#,##0.00">
                  <c:v>2667.75</c:v>
                </c:pt>
                <c:pt idx="3">
                  <c:v>182.01</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manualLayout>
          <c:xMode val="edge"/>
          <c:yMode val="edge"/>
          <c:x val="0.287267455907224"/>
          <c:y val="0.0284742881427964"/>
        </c:manualLayout>
      </c:layout>
      <c:overlay val="0"/>
      <c:spPr>
        <a:noFill/>
        <a:ln>
          <a:noFill/>
        </a:ln>
        <a:effectLst/>
      </c:spPr>
      <c:txPr>
        <a:bodyPr rot="0" spcFirstLastPara="0" vertOverflow="ellipsis" vert="horz" wrap="square" anchor="ctr" anchorCtr="1"/>
        <a:lstStyle/>
        <a:p>
          <a:pPr>
            <a:defRPr lang="zh-CN" sz="1400" b="1" i="0" u="none" strike="noStrike" kern="1200" baseline="0">
              <a:solidFill>
                <a:schemeClr val="tx1">
                  <a:lumMod val="75000"/>
                  <a:lumOff val="25000"/>
                </a:schemeClr>
              </a:solidFill>
              <a:latin typeface="+mn-lt"/>
              <a:ea typeface="+mn-ea"/>
              <a:cs typeface="+mn-cs"/>
            </a:defRPr>
          </a:pPr>
        </a:p>
      </c:txPr>
    </c:title>
    <c:autoTitleDeleted val="0"/>
    <c:plotArea>
      <c:layout/>
      <c:pieChart>
        <c:varyColors val="1"/>
        <c:ser>
          <c:idx val="0"/>
          <c:order val="0"/>
          <c:tx>
            <c:strRef>
              <c:f>Sheet1!$B$1</c:f>
              <c:strCache>
                <c:ptCount val="1"/>
                <c:pt idx="0">
                  <c:v>“三公”经费财政拨款支出</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Lbls>
            <c:dLbl>
              <c:idx val="0"/>
              <c:layout>
                <c:manualLayout>
                  <c:x val="-0.0488040589514375"/>
                  <c:y val="0.00892477688057799"/>
                </c:manualLayout>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rPr lang="en-US" altLang="zh-CN"/>
                      <a:t>0</a:t>
                    </a:r>
                    <a:endParaRPr lang="en-US" altLang="zh-CN"/>
                  </a:p>
                  <a:p>
                    <a:pPr defTabSz="914400">
                      <a:defRPr lang="zh-CN" sz="1000" b="0" i="0" u="none" strike="noStrike" kern="1200" baseline="0">
                        <a:solidFill>
                          <a:schemeClr val="tx1">
                            <a:lumMod val="75000"/>
                            <a:lumOff val="25000"/>
                          </a:schemeClr>
                        </a:solidFill>
                        <a:latin typeface="+mn-lt"/>
                        <a:ea typeface="+mn-ea"/>
                        <a:cs typeface="+mn-cs"/>
                      </a:defRPr>
                    </a:pPr>
                    <a:r>
                      <a:t>0%</a:t>
                    </a:r>
                  </a:p>
                </c:rich>
              </c:tx>
              <c:dLblPos val="bestFit"/>
              <c:showLegendKey val="0"/>
              <c:showVal val="0"/>
              <c:showCatName val="0"/>
              <c:showSerName val="0"/>
              <c:showPercent val="1"/>
              <c:showBubbleSize val="0"/>
              <c:extLst>
                <c:ext xmlns:c15="http://schemas.microsoft.com/office/drawing/2012/chart" uri="{CE6537A1-D6FC-4f65-9D91-7224C49458BB}">
                  <c15:layout/>
                </c:ext>
              </c:extLst>
            </c:dLbl>
            <c:dLbl>
              <c:idx val="1"/>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rPr lang="en-US" altLang="zh-CN"/>
                      <a:t>10.40</a:t>
                    </a:r>
                    <a:r>
                      <a:rPr altLang="en-US"/>
                      <a:t>，</a:t>
                    </a:r>
                    <a:endParaRPr altLang="en-US"/>
                  </a:p>
                  <a:p>
                    <a:pPr defTabSz="914400">
                      <a:defRPr lang="zh-CN" sz="1000" b="0" i="0" u="none" strike="noStrike" kern="1200" baseline="0">
                        <a:solidFill>
                          <a:schemeClr val="tx1">
                            <a:lumMod val="75000"/>
                            <a:lumOff val="25000"/>
                          </a:schemeClr>
                        </a:solidFill>
                        <a:latin typeface="+mn-lt"/>
                        <a:ea typeface="+mn-ea"/>
                        <a:cs typeface="+mn-cs"/>
                      </a:defRPr>
                    </a:pPr>
                    <a:r>
                      <a:t>9</a:t>
                    </a:r>
                    <a:r>
                      <a:rPr lang="en-US" altLang="zh-CN"/>
                      <a:t>8.5</a:t>
                    </a:r>
                    <a:r>
                      <a:t>%</a:t>
                    </a:r>
                  </a:p>
                </c:rich>
              </c:tx>
              <c:dLblPos val="outEnd"/>
              <c:showLegendKey val="0"/>
              <c:showVal val="0"/>
              <c:showCatName val="0"/>
              <c:showSerName val="0"/>
              <c:showPercent val="1"/>
              <c:showBubbleSize val="0"/>
              <c:extLst>
                <c:ext xmlns:c15="http://schemas.microsoft.com/office/drawing/2012/chart" uri="{CE6537A1-D6FC-4f65-9D91-7224C49458BB}"/>
              </c:extLst>
            </c:dLbl>
            <c:dLbl>
              <c:idx val="2"/>
              <c:layout>
                <c:manualLayout>
                  <c:x val="0.0588306354191834"/>
                  <c:y val="0.00594985125371866"/>
                </c:manualLayout>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rPr lang="en-US" altLang="zh-CN"/>
                      <a:t>0.15</a:t>
                    </a:r>
                    <a:r>
                      <a:rPr altLang="en-US"/>
                      <a:t>，</a:t>
                    </a:r>
                    <a:endParaRPr altLang="en-US"/>
                  </a:p>
                  <a:p>
                    <a:pPr defTabSz="914400">
                      <a:defRPr lang="zh-CN" sz="1000" b="0" i="0" u="none" strike="noStrike" kern="1200" baseline="0">
                        <a:solidFill>
                          <a:schemeClr val="tx1">
                            <a:lumMod val="75000"/>
                            <a:lumOff val="25000"/>
                          </a:schemeClr>
                        </a:solidFill>
                        <a:latin typeface="+mn-lt"/>
                        <a:ea typeface="+mn-ea"/>
                        <a:cs typeface="+mn-cs"/>
                      </a:defRPr>
                    </a:pPr>
                    <a:r>
                      <a:t>1</a:t>
                    </a:r>
                    <a:r>
                      <a:rPr lang="en-US" altLang="zh-CN"/>
                      <a:t>.5</a:t>
                    </a:r>
                    <a:r>
                      <a:t>%</a:t>
                    </a:r>
                  </a:p>
                </c:rich>
              </c:tx>
              <c:dLblPos val="bestFit"/>
              <c:showLegendKey val="0"/>
              <c:showVal val="0"/>
              <c:showCatName val="0"/>
              <c:showSerName val="0"/>
              <c:showPercent val="1"/>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因公出国（境）费支出</c:v>
                </c:pt>
                <c:pt idx="1">
                  <c:v>公务用车购置及运行维护费支出</c:v>
                </c:pt>
                <c:pt idx="2">
                  <c:v>公务接待费支出</c:v>
                </c:pt>
              </c:strCache>
            </c:strRef>
          </c:cat>
          <c:val>
            <c:numRef>
              <c:f>Sheet1!$B$2:$B$4</c:f>
              <c:numCache>
                <c:formatCode>General</c:formatCode>
                <c:ptCount val="3"/>
                <c:pt idx="0">
                  <c:v>0</c:v>
                </c:pt>
                <c:pt idx="1">
                  <c:v>10.4</c:v>
                </c:pt>
                <c:pt idx="2">
                  <c:v>0.15</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83">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10083">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10083">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5267</Words>
  <Characters>5761</Characters>
  <Lines>0</Lines>
  <Paragraphs>0</Paragraphs>
  <TotalTime>4</TotalTime>
  <ScaleCrop>false</ScaleCrop>
  <LinksUpToDate>false</LinksUpToDate>
  <CharactersWithSpaces>5953</CharactersWithSpaces>
  <Application>WPS Office_12.1.0.18240_F1E327BC-269C-435d-A152-05C5408002CA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2024-08-15T10:26:00Z</dcterms:created>
  <dc:creator>财务处
王悦</dc:creator>
  <cp:lastModifiedBy>莹</cp:lastModifiedBy>
  <dcterms:modified xsi:type="dcterms:W3CDTF">2024-09-18T02:11:06Z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2052-12.1.0.18240</vt:lpwstr>
  </property>
  <property fmtid="{D5CDD505-2E9C-101B-9397-08002B2CF9AE}" pid="3" name="ICV">
    <vt:lpwstr>BD27F2E7A4E545F3827AC9CF85DD38C8_13</vt:lpwstr>
  </property>
</Properties>
</file>