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83FB1">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0F58A069">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2023年度阿坝藏族羌族自治州公路管理局小金公路管理分局单位决算</w:t>
      </w:r>
    </w:p>
    <w:p w14:paraId="3BD51AD3">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1B3A3D5D">
      <w:pPr>
        <w:widowControl/>
        <w:jc w:val="center"/>
        <w:rPr>
          <w:rFonts w:ascii="黑体" w:hAnsi="黑体" w:eastAsia="黑体" w:cstheme="minorBidi"/>
          <w:color w:val="auto"/>
          <w:sz w:val="28"/>
          <w:szCs w:val="28"/>
          <w:highlight w:val="none"/>
        </w:rPr>
      </w:pPr>
    </w:p>
    <w:p w14:paraId="3D874F18">
      <w:pPr>
        <w:pStyle w:val="9"/>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75207"/>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1AD7E61B">
          <w:pPr>
            <w:spacing w:before="0" w:beforeLines="0" w:after="0" w:afterLines="0" w:line="240" w:lineRule="auto"/>
            <w:ind w:left="0" w:leftChars="0" w:right="0" w:rightChars="0" w:firstLine="0" w:firstLineChars="0"/>
            <w:jc w:val="center"/>
          </w:pPr>
        </w:p>
        <w:p w14:paraId="494D99A1">
          <w:pPr>
            <w:pStyle w:val="19"/>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_Toc10397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_Toc10397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4CB194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_Toc16038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_Toc16038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2D04147">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_Toc11931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_Toc11931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885A538">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_Toc24252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_Toc24252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3E6223ED">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_Toc19401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_Toc19401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FAED49A">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_Toc21511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_Toc21511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729B0E0">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_Toc18925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_Toc18925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1547570">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_Toc6705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_Toc6705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02E460E">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_Toc23430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_Toc23430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FBA193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_Toc7416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_Toc7416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A233C93">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_Toc14148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_Toc14148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B7B7B2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_Toc16295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_Toc16295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1C93859">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_Toc1818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_Toc1818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CF638EA">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_Toc7070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_Toc7070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52E1D74">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_Toc14185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_Toc14185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8A25DE3">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_Toc11266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_Toc11266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D9C39E0">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_Toc10149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_Toc10149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- 23 -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36F377B">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_Toc21220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_Toc21220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E46D5A1">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_Toc885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_Toc885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8F15709">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_Toc6853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_Toc6853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A579001">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_Toc23039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_Toc23039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57A8BF0">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_Toc19525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_Toc19525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96E0843">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_Toc26437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_Toc26437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1E5558B">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_Toc31679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_Toc31679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2EA764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_Toc7443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_Toc7443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34173FD">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_Toc12095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_Toc12095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99AB115">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_Toc7916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_Toc7916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44F689C">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_Toc836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_Toc836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65AF8A2">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_Toc2644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_Toc2644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38F6E7F">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_Toc11856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_Toc11856 \h </w:instrText>
          </w:r>
          <w:r>
            <w:rPr>
              <w:rFonts w:hint="eastAsia" w:ascii="仿宋" w:hAnsi="仿宋" w:eastAsia="仿宋" w:cs="仿宋"/>
              <w:sz w:val="28"/>
              <w:szCs w:val="28"/>
            </w:rPr>
            <w:fldChar w:fldCharType="separate"/>
          </w:r>
          <w:r>
            <w:rPr>
              <w:rFonts w:hint="eastAsia" w:ascii="仿宋" w:hAnsi="仿宋" w:eastAsia="仿宋" w:cs="仿宋"/>
              <w:sz w:val="28"/>
              <w:szCs w:val="28"/>
            </w:rPr>
            <w:t>- 23 -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9004929">
          <w:pPr>
            <w:rPr>
              <w:b/>
            </w:rPr>
          </w:pPr>
          <w:r>
            <w:rPr>
              <w:rFonts w:hint="eastAsia" w:ascii="仿宋" w:hAnsi="仿宋" w:eastAsia="仿宋" w:cs="仿宋"/>
              <w:b/>
              <w:sz w:val="28"/>
              <w:szCs w:val="28"/>
            </w:rPr>
            <w:fldChar w:fldCharType="end"/>
          </w:r>
        </w:p>
      </w:sdtContent>
    </w:sdt>
    <w:p w14:paraId="102075F2">
      <w:pPr>
        <w:pStyle w:val="3"/>
        <w:jc w:val="center"/>
        <w:rPr>
          <w:rFonts w:hint="eastAsia" w:ascii="黑体" w:hAnsi="黑体" w:eastAsia="黑体"/>
          <w:b w:val="0"/>
          <w:color w:val="auto"/>
          <w:highlight w:val="none"/>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bookmarkStart w:id="0" w:name="_Toc10397"/>
    </w:p>
    <w:p w14:paraId="076E1679">
      <w:pPr>
        <w:pStyle w:val="3"/>
        <w:jc w:val="center"/>
        <w:rPr>
          <w:rStyle w:val="15"/>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5"/>
          <w:rFonts w:hint="eastAsia" w:ascii="黑体" w:hAnsi="黑体" w:eastAsia="黑体"/>
          <w:b w:val="0"/>
          <w:bCs w:val="0"/>
          <w:color w:val="auto"/>
          <w:highlight w:val="none"/>
        </w:rPr>
        <w:t>概况</w:t>
      </w:r>
      <w:bookmarkEnd w:id="0"/>
    </w:p>
    <w:p w14:paraId="054E4F34">
      <w:pPr>
        <w:widowControl/>
        <w:jc w:val="left"/>
        <w:rPr>
          <w:rFonts w:ascii="黑体" w:eastAsia="黑体"/>
          <w:color w:val="auto"/>
          <w:sz w:val="32"/>
          <w:szCs w:val="32"/>
          <w:highlight w:val="none"/>
        </w:rPr>
      </w:pPr>
    </w:p>
    <w:p w14:paraId="538A903C">
      <w:pPr>
        <w:pStyle w:val="4"/>
        <w:numPr>
          <w:ilvl w:val="0"/>
          <w:numId w:val="1"/>
        </w:numPr>
        <w:rPr>
          <w:rStyle w:val="16"/>
          <w:rFonts w:hint="eastAsia" w:ascii="黑体" w:hAnsi="黑体" w:eastAsia="黑体"/>
          <w:b w:val="0"/>
          <w:bCs w:val="0"/>
          <w:color w:val="auto"/>
          <w:highlight w:val="none"/>
          <w:lang w:eastAsia="zh-CN"/>
        </w:rPr>
      </w:pPr>
      <w:bookmarkStart w:id="1" w:name="_Toc16038"/>
      <w:r>
        <w:rPr>
          <w:rStyle w:val="16"/>
          <w:rFonts w:hint="eastAsia" w:ascii="黑体" w:hAnsi="黑体" w:eastAsia="黑体"/>
          <w:b w:val="0"/>
          <w:bCs w:val="0"/>
          <w:color w:val="auto"/>
          <w:highlight w:val="none"/>
          <w:lang w:eastAsia="zh-CN"/>
        </w:rPr>
        <w:t>主要职责</w:t>
      </w:r>
      <w:bookmarkEnd w:id="1"/>
    </w:p>
    <w:p w14:paraId="392F4DC0">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主要职能</w:t>
      </w:r>
      <w:r>
        <w:rPr>
          <w:rFonts w:hint="eastAsia" w:ascii="仿宋" w:hAnsi="仿宋" w:eastAsia="仿宋"/>
          <w:color w:val="auto"/>
          <w:sz w:val="32"/>
          <w:szCs w:val="32"/>
          <w:highlight w:val="none"/>
          <w:lang w:val="en-US" w:eastAsia="zh-CN"/>
        </w:rPr>
        <w:t>为</w:t>
      </w:r>
      <w:r>
        <w:rPr>
          <w:rFonts w:hint="eastAsia" w:ascii="仿宋" w:hAnsi="仿宋" w:eastAsia="仿宋"/>
          <w:color w:val="auto"/>
          <w:sz w:val="32"/>
          <w:szCs w:val="32"/>
          <w:highlight w:val="none"/>
        </w:rPr>
        <w:t>贯彻执行国家公路管理法律法规，负责下辖的公路建设、管理和维护，确保公路的完好和畅通</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资金来源为阿坝州财政局拨款，执行《政府会计制度》</w:t>
      </w:r>
      <w:r>
        <w:rPr>
          <w:rFonts w:hint="eastAsia" w:ascii="仿宋" w:hAnsi="仿宋" w:eastAsia="仿宋"/>
          <w:color w:val="auto"/>
          <w:sz w:val="32"/>
          <w:szCs w:val="32"/>
          <w:highlight w:val="none"/>
          <w:lang w:eastAsia="zh-CN"/>
        </w:rPr>
        <w:t>。</w:t>
      </w:r>
    </w:p>
    <w:p w14:paraId="4DC22AFD">
      <w:pPr>
        <w:pStyle w:val="4"/>
        <w:numPr>
          <w:ilvl w:val="0"/>
          <w:numId w:val="0"/>
        </w:numPr>
        <w:rPr>
          <w:rFonts w:hint="eastAsia" w:ascii="黑体" w:hAnsi="黑体" w:eastAsia="黑体"/>
          <w:b w:val="0"/>
          <w:color w:val="auto"/>
          <w:highlight w:val="none"/>
          <w:lang w:val="en-US" w:eastAsia="zh-CN"/>
        </w:rPr>
      </w:pPr>
      <w:bookmarkStart w:id="2" w:name="_Toc11931"/>
      <w:r>
        <w:rPr>
          <w:rFonts w:hint="eastAsia" w:ascii="黑体" w:hAnsi="黑体" w:eastAsia="黑体"/>
          <w:b w:val="0"/>
          <w:color w:val="auto"/>
          <w:highlight w:val="none"/>
          <w:lang w:val="en-US" w:eastAsia="zh-CN"/>
        </w:rPr>
        <w:t>二、机构设置</w:t>
      </w:r>
      <w:bookmarkEnd w:id="2"/>
    </w:p>
    <w:p w14:paraId="6CA95C79">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阿坝藏族羌族自治州公路管理局小金公路管理分局，因“管理体制改革”，于1993年11月由原“阿坝藏族羌族自治州公路养护总段小金养路段”更名为“小金分局”，隶属于阿坝藏族羌族自治州公路局；内设党支部办公室、行政办公室、工程股、财务股、机料股、人事股、安全股，以及下辖日尔等6个公路养护站</w:t>
      </w:r>
      <w:r>
        <w:rPr>
          <w:rFonts w:hint="eastAsia" w:ascii="仿宋" w:hAnsi="仿宋" w:eastAsia="仿宋"/>
          <w:color w:val="auto"/>
          <w:sz w:val="32"/>
          <w:szCs w:val="32"/>
          <w:highlight w:val="none"/>
          <w:lang w:eastAsia="zh-CN"/>
        </w:rPr>
        <w:t>。</w:t>
      </w:r>
    </w:p>
    <w:p w14:paraId="3874FC2B">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4D7A7643">
      <w:pPr>
        <w:pStyle w:val="3"/>
        <w:ind w:right="440"/>
        <w:jc w:val="center"/>
        <w:rPr>
          <w:rStyle w:val="15"/>
          <w:rFonts w:ascii="黑体" w:hAnsi="黑体" w:eastAsia="黑体"/>
          <w:b w:val="0"/>
          <w:bCs/>
          <w:color w:val="auto"/>
          <w:highlight w:val="none"/>
        </w:rPr>
      </w:pPr>
      <w:bookmarkStart w:id="3" w:name="_Toc2425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5"/>
          <w:rFonts w:hint="eastAsia" w:ascii="黑体" w:hAnsi="黑体" w:eastAsia="黑体"/>
          <w:b w:val="0"/>
          <w:bCs/>
          <w:color w:val="auto"/>
          <w:highlight w:val="none"/>
          <w:lang w:eastAsia="zh-CN"/>
        </w:rPr>
        <w:t>单位</w:t>
      </w:r>
      <w:r>
        <w:rPr>
          <w:rStyle w:val="15"/>
          <w:rFonts w:hint="eastAsia" w:ascii="黑体" w:hAnsi="黑体" w:eastAsia="黑体"/>
          <w:b w:val="0"/>
          <w:bCs/>
          <w:color w:val="auto"/>
          <w:highlight w:val="none"/>
        </w:rPr>
        <w:t>决算情况说明</w:t>
      </w:r>
      <w:bookmarkEnd w:id="3"/>
    </w:p>
    <w:p w14:paraId="12674D57">
      <w:pPr>
        <w:rPr>
          <w:color w:val="auto"/>
          <w:highlight w:val="none"/>
        </w:rPr>
      </w:pPr>
    </w:p>
    <w:p w14:paraId="2531F0E7">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4" w:name="_Toc19401"/>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入支出决算总体情况说明</w:t>
      </w:r>
      <w:bookmarkEnd w:id="4"/>
    </w:p>
    <w:p w14:paraId="050762A6">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均为3,882.91</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相比，收、支总计各增加875.39万元，增长29.1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小修保养经费及商品服务支出增加，社保调标人员经费增加</w:t>
      </w:r>
      <w:r>
        <w:rPr>
          <w:rFonts w:hint="eastAsia" w:ascii="仿宋" w:hAnsi="仿宋" w:eastAsia="仿宋"/>
          <w:color w:val="auto"/>
          <w:sz w:val="32"/>
          <w:szCs w:val="32"/>
          <w:highlight w:val="none"/>
          <w:lang w:eastAsia="zh-CN"/>
        </w:rPr>
        <w:t>。</w:t>
      </w:r>
    </w:p>
    <w:p w14:paraId="161288B1">
      <w:pPr>
        <w:pStyle w:val="10"/>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61815BE">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094C3D4A">
      <w:pPr>
        <w:spacing w:line="600" w:lineRule="exact"/>
        <w:ind w:firstLine="640" w:firstLineChars="200"/>
        <w:jc w:val="left"/>
        <w:rPr>
          <w:rFonts w:ascii="仿宋_GB2312" w:eastAsia="仿宋_GB2312"/>
          <w:color w:val="auto"/>
          <w:sz w:val="32"/>
          <w:szCs w:val="32"/>
          <w:highlight w:val="none"/>
        </w:rPr>
      </w:pPr>
    </w:p>
    <w:p w14:paraId="4A716118">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5" w:name="_Toc21511"/>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入决算情况说明</w:t>
      </w:r>
      <w:bookmarkEnd w:id="5"/>
    </w:p>
    <w:p w14:paraId="57567B23">
      <w:pPr>
        <w:spacing w:line="600" w:lineRule="exact"/>
        <w:ind w:firstLine="640" w:firstLineChars="200"/>
        <w:outlineLvl w:val="1"/>
        <w:rPr>
          <w:rFonts w:ascii="仿宋" w:hAnsi="仿宋" w:eastAsia="仿宋"/>
          <w:color w:val="auto"/>
          <w:sz w:val="32"/>
          <w:szCs w:val="32"/>
          <w:highlight w:val="none"/>
        </w:rPr>
      </w:pPr>
      <w:bookmarkStart w:id="6" w:name="_Toc13837"/>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本年收入合计3,882.91万元，其中：一般公共预算财政拨款收入3,882.91万元，占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6A16C6CE">
      <w:pPr>
        <w:spacing w:line="240" w:lineRule="auto"/>
        <w:ind w:firstLine="0" w:firstLineChars="0"/>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D2640A1">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102BB27A">
      <w:pPr>
        <w:spacing w:line="600" w:lineRule="exact"/>
        <w:ind w:firstLine="640" w:firstLineChars="200"/>
        <w:rPr>
          <w:rFonts w:ascii="仿宋_GB2312" w:eastAsia="仿宋_GB2312"/>
          <w:color w:val="auto"/>
          <w:sz w:val="32"/>
          <w:szCs w:val="32"/>
          <w:highlight w:val="none"/>
        </w:rPr>
      </w:pPr>
    </w:p>
    <w:p w14:paraId="2899BDAF">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7" w:name="_Toc1892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6"/>
          <w:rFonts w:hint="eastAsia" w:ascii="黑体" w:hAnsi="黑体" w:eastAsia="黑体"/>
          <w:b w:val="0"/>
          <w:color w:val="auto"/>
          <w:highlight w:val="none"/>
        </w:rPr>
        <w:t>出决算情况说明</w:t>
      </w:r>
      <w:bookmarkEnd w:id="7"/>
    </w:p>
    <w:p w14:paraId="7881BFA8">
      <w:pPr>
        <w:spacing w:line="600" w:lineRule="exact"/>
        <w:ind w:firstLine="640" w:firstLineChars="200"/>
        <w:outlineLvl w:val="1"/>
        <w:rPr>
          <w:rFonts w:ascii="仿宋" w:hAnsi="仿宋" w:eastAsia="仿宋"/>
          <w:color w:val="auto"/>
          <w:sz w:val="32"/>
          <w:szCs w:val="32"/>
          <w:highlight w:val="none"/>
        </w:rPr>
      </w:pPr>
      <w:bookmarkStart w:id="8" w:name="_Toc13508"/>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本年支出合计3,882.91万元，其中：基本支出3,334.27万元，占</w:t>
      </w:r>
      <w:r>
        <w:rPr>
          <w:rFonts w:hint="eastAsia" w:ascii="仿宋" w:hAnsi="仿宋" w:eastAsia="仿宋"/>
          <w:color w:val="auto"/>
          <w:sz w:val="32"/>
          <w:szCs w:val="32"/>
          <w:highlight w:val="none"/>
          <w:lang w:val="en-US" w:eastAsia="zh-CN"/>
        </w:rPr>
        <w:t>85.9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；项目支出548.64万元，占</w:t>
      </w:r>
      <w:r>
        <w:rPr>
          <w:rFonts w:hint="eastAsia" w:ascii="仿宋" w:hAnsi="仿宋" w:eastAsia="仿宋"/>
          <w:color w:val="auto"/>
          <w:sz w:val="32"/>
          <w:szCs w:val="32"/>
          <w:highlight w:val="none"/>
          <w:lang w:val="en-US" w:eastAsia="zh-CN"/>
        </w:rPr>
        <w:t>14.1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7F2606D4">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1F4AA4">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73BDBA7">
      <w:pPr>
        <w:spacing w:line="600" w:lineRule="exact"/>
        <w:ind w:firstLine="640" w:firstLineChars="200"/>
        <w:rPr>
          <w:rFonts w:ascii="仿宋_GB2312" w:eastAsia="仿宋_GB2312"/>
          <w:color w:val="auto"/>
          <w:sz w:val="32"/>
          <w:szCs w:val="32"/>
          <w:highlight w:val="none"/>
        </w:rPr>
      </w:pPr>
    </w:p>
    <w:p w14:paraId="6E8A8CF8">
      <w:pPr>
        <w:spacing w:line="600" w:lineRule="exact"/>
        <w:ind w:firstLine="640" w:firstLineChars="200"/>
        <w:outlineLvl w:val="1"/>
        <w:rPr>
          <w:rStyle w:val="16"/>
          <w:rFonts w:ascii="黑体" w:hAnsi="黑体" w:eastAsia="黑体"/>
          <w:b w:val="0"/>
          <w:color w:val="auto"/>
          <w:highlight w:val="none"/>
        </w:rPr>
      </w:pPr>
      <w:bookmarkStart w:id="9" w:name="_Toc6705"/>
      <w:r>
        <w:rPr>
          <w:rFonts w:hint="eastAsia" w:ascii="黑体" w:hAnsi="黑体" w:eastAsia="黑体"/>
          <w:color w:val="auto"/>
          <w:sz w:val="32"/>
          <w:szCs w:val="32"/>
          <w:highlight w:val="none"/>
        </w:rPr>
        <w:t>四、财</w:t>
      </w:r>
      <w:r>
        <w:rPr>
          <w:rStyle w:val="16"/>
          <w:rFonts w:hint="eastAsia" w:ascii="黑体" w:hAnsi="黑体" w:eastAsia="黑体"/>
          <w:b w:val="0"/>
          <w:color w:val="auto"/>
          <w:highlight w:val="none"/>
        </w:rPr>
        <w:t>政拨款收入支出决算总体情况说明</w:t>
      </w:r>
      <w:bookmarkEnd w:id="9"/>
    </w:p>
    <w:p w14:paraId="02F012D9">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均为3,882.91</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相比，财政拨款收、支总计各增加875.39万元，增长29.1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小修保养经费及商品服务支出增加，社保调标人员经费增加。</w:t>
      </w:r>
    </w:p>
    <w:p w14:paraId="5AFC69BD">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1A4C9F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217BE336">
      <w:pPr>
        <w:spacing w:line="600" w:lineRule="exact"/>
        <w:ind w:firstLine="640"/>
        <w:rPr>
          <w:rFonts w:ascii="仿宋" w:hAnsi="仿宋" w:eastAsia="仿宋"/>
          <w:b/>
          <w:color w:val="auto"/>
          <w:sz w:val="32"/>
          <w:szCs w:val="32"/>
          <w:highlight w:val="none"/>
        </w:rPr>
      </w:pPr>
    </w:p>
    <w:p w14:paraId="51E270B0">
      <w:pPr>
        <w:spacing w:line="600" w:lineRule="exact"/>
        <w:ind w:firstLine="640" w:firstLineChars="200"/>
        <w:outlineLvl w:val="1"/>
        <w:rPr>
          <w:rStyle w:val="16"/>
          <w:rFonts w:ascii="黑体" w:hAnsi="黑体" w:eastAsia="黑体"/>
          <w:b w:val="0"/>
          <w:color w:val="auto"/>
          <w:highlight w:val="none"/>
        </w:rPr>
      </w:pPr>
      <w:bookmarkStart w:id="10" w:name="_Toc2343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般公共预算财政拨款支出决算情况说明</w:t>
      </w:r>
      <w:bookmarkEnd w:id="10"/>
    </w:p>
    <w:p w14:paraId="1C6F094E">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73ADC8A2">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一般公共预算财政拨款支出3,882.91万元，占本年支出合计的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增加875.39万元，增长29.1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小修保养经费及商品服务支出增加，社保调标人员经费增加。</w:t>
      </w:r>
    </w:p>
    <w:p w14:paraId="01E6A8BA">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D4233D">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4CBB3677">
      <w:pPr>
        <w:spacing w:line="600" w:lineRule="exact"/>
        <w:ind w:firstLine="640" w:firstLineChars="200"/>
        <w:rPr>
          <w:rFonts w:ascii="仿宋" w:hAnsi="仿宋" w:eastAsia="仿宋"/>
          <w:color w:val="auto"/>
          <w:sz w:val="32"/>
          <w:szCs w:val="32"/>
          <w:highlight w:val="none"/>
        </w:rPr>
      </w:pPr>
    </w:p>
    <w:p w14:paraId="13231C17">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1E658596">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一般公共预算财政拨款支出3,882.91万元，主要用于以下方面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社会保障和就业支出390.17</w:t>
      </w:r>
      <w:r>
        <w:rPr>
          <w:rFonts w:hint="eastAsia" w:ascii="仿宋" w:hAnsi="仿宋" w:eastAsia="仿宋"/>
          <w:color w:val="auto"/>
          <w:sz w:val="32"/>
          <w:szCs w:val="32"/>
          <w:highlight w:val="none"/>
        </w:rPr>
        <w:t>万元，占10.</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卫生健康支出168.85</w:t>
      </w:r>
      <w:r>
        <w:rPr>
          <w:rFonts w:hint="eastAsia" w:ascii="仿宋" w:hAnsi="仿宋" w:eastAsia="仿宋"/>
          <w:color w:val="auto"/>
          <w:sz w:val="32"/>
          <w:szCs w:val="32"/>
          <w:highlight w:val="none"/>
        </w:rPr>
        <w:t>万元，占4.</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交通运输支出3,104.81</w:t>
      </w:r>
      <w:r>
        <w:rPr>
          <w:rFonts w:hint="eastAsia" w:ascii="仿宋" w:hAnsi="仿宋" w:eastAsia="仿宋"/>
          <w:color w:val="auto"/>
          <w:sz w:val="32"/>
          <w:szCs w:val="32"/>
          <w:highlight w:val="none"/>
        </w:rPr>
        <w:t>万元，占7</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住房保障支出219.07</w:t>
      </w:r>
      <w:r>
        <w:rPr>
          <w:rFonts w:hint="eastAsia" w:ascii="仿宋" w:hAnsi="仿宋" w:eastAsia="仿宋"/>
          <w:color w:val="auto"/>
          <w:sz w:val="32"/>
          <w:szCs w:val="32"/>
          <w:highlight w:val="none"/>
        </w:rPr>
        <w:t>万元，占5.6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2D75E5C3">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C57F93">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1F20AA3F">
      <w:pPr>
        <w:spacing w:line="600" w:lineRule="exact"/>
        <w:ind w:firstLine="640" w:firstLineChars="200"/>
        <w:rPr>
          <w:rFonts w:ascii="仿宋" w:hAnsi="仿宋" w:eastAsia="仿宋"/>
          <w:color w:val="auto"/>
          <w:sz w:val="32"/>
          <w:szCs w:val="32"/>
          <w:highlight w:val="none"/>
        </w:rPr>
      </w:pPr>
    </w:p>
    <w:p w14:paraId="7A8CE016">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67BB1133">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般公共预算支出决算数为3,882.91</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p>
    <w:p w14:paraId="70DAE47E">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1.</w:t>
      </w:r>
      <w:r>
        <w:rPr>
          <w:rStyle w:val="14"/>
          <w:rFonts w:hint="eastAsia" w:ascii="仿宋" w:hAnsi="仿宋" w:eastAsia="仿宋"/>
          <w:bCs/>
          <w:color w:val="auto"/>
          <w:sz w:val="32"/>
          <w:szCs w:val="32"/>
          <w:highlight w:val="none"/>
        </w:rPr>
        <w:t>社会保障和就业支出（类）行政事业单位养老支出（款）机关事业单位基本养老保险缴费支出（项）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支出决算为259.9万元，完成预算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2.</w:t>
      </w:r>
      <w:r>
        <w:rPr>
          <w:rStyle w:val="14"/>
          <w:rFonts w:hint="eastAsia" w:ascii="仿宋" w:hAnsi="仿宋" w:eastAsia="仿宋"/>
          <w:bCs/>
          <w:color w:val="auto"/>
          <w:sz w:val="32"/>
          <w:szCs w:val="32"/>
          <w:highlight w:val="none"/>
        </w:rPr>
        <w:t>社会保障和就业支出（类）行政事业单位养老支出（款）机关事业单位职业年金缴费支出（项）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支出决算为130.27万元，完成预算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3.</w:t>
      </w:r>
      <w:r>
        <w:rPr>
          <w:rStyle w:val="14"/>
          <w:rFonts w:hint="eastAsia" w:ascii="仿宋" w:hAnsi="仿宋" w:eastAsia="仿宋"/>
          <w:bCs/>
          <w:color w:val="auto"/>
          <w:sz w:val="32"/>
          <w:szCs w:val="32"/>
          <w:highlight w:val="none"/>
        </w:rPr>
        <w:t>卫生健康支出（类）行政事业单位医疗（款）事业单位医疗（项）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支出决算为116.34万元，完成预算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4.</w:t>
      </w:r>
      <w:r>
        <w:rPr>
          <w:rStyle w:val="14"/>
          <w:rFonts w:hint="eastAsia" w:ascii="仿宋" w:hAnsi="仿宋" w:eastAsia="仿宋"/>
          <w:bCs/>
          <w:color w:val="auto"/>
          <w:sz w:val="32"/>
          <w:szCs w:val="32"/>
          <w:highlight w:val="none"/>
        </w:rPr>
        <w:t>卫生健康支出（类）行政事业单位医疗（款）其他行政事业单位医疗支出（项）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支出决算为52.51万元，完成预算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5.</w:t>
      </w:r>
      <w:r>
        <w:rPr>
          <w:rStyle w:val="14"/>
          <w:rFonts w:hint="eastAsia" w:ascii="仿宋" w:hAnsi="仿宋" w:eastAsia="仿宋"/>
          <w:bCs/>
          <w:color w:val="auto"/>
          <w:sz w:val="32"/>
          <w:szCs w:val="32"/>
          <w:highlight w:val="none"/>
        </w:rPr>
        <w:t>交通运输支出（类）公路水路运输（款）公路养护（项）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支出决算为2,996.09万元，完成预算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6.</w:t>
      </w:r>
      <w:r>
        <w:rPr>
          <w:rStyle w:val="14"/>
          <w:rFonts w:hint="eastAsia" w:ascii="仿宋" w:hAnsi="仿宋" w:eastAsia="仿宋"/>
          <w:bCs/>
          <w:color w:val="auto"/>
          <w:sz w:val="32"/>
          <w:szCs w:val="32"/>
          <w:highlight w:val="none"/>
        </w:rPr>
        <w:t>交通运输支出（类）公路水路运输（款）其他公路水路运输支出（项）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支出决算为108.72万元，完成预算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4"/>
          <w:rFonts w:hint="eastAsia" w:ascii="仿宋" w:hAnsi="仿宋" w:eastAsia="仿宋" w:cs="Times New Roman"/>
          <w:bCs/>
          <w:color w:val="auto"/>
          <w:sz w:val="32"/>
          <w:szCs w:val="32"/>
          <w:highlight w:val="none"/>
          <w:lang w:val="en-US" w:eastAsia="zh-CN"/>
        </w:rPr>
        <w:t>7.</w:t>
      </w:r>
      <w:r>
        <w:rPr>
          <w:rStyle w:val="14"/>
          <w:rFonts w:hint="eastAsia" w:ascii="仿宋" w:hAnsi="仿宋" w:eastAsia="仿宋" w:cs="Times New Roman"/>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（类）住房改革支出（款）住房公积金（项）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支出决算为208.07万元，完成预算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4A15B990">
      <w:pPr>
        <w:spacing w:line="600" w:lineRule="exact"/>
        <w:ind w:firstLine="643" w:firstLineChars="200"/>
        <w:rPr>
          <w:rFonts w:hint="eastAsia" w:ascii="仿宋" w:hAnsi="仿宋" w:eastAsia="仿宋"/>
          <w:color w:val="auto"/>
          <w:sz w:val="32"/>
          <w:szCs w:val="32"/>
          <w:highlight w:val="none"/>
          <w:lang w:eastAsia="zh-CN"/>
        </w:rPr>
      </w:pPr>
      <w:r>
        <w:rPr>
          <w:rStyle w:val="14"/>
          <w:rFonts w:hint="eastAsia" w:ascii="仿宋" w:hAnsi="仿宋" w:eastAsia="仿宋" w:cs="Times New Roman"/>
          <w:bCs/>
          <w:color w:val="auto"/>
          <w:kern w:val="2"/>
          <w:sz w:val="32"/>
          <w:szCs w:val="32"/>
          <w:highlight w:val="none"/>
          <w:lang w:val="en-US" w:eastAsia="zh-CN" w:bidi="ar-SA"/>
        </w:rPr>
        <w:t>8.</w:t>
      </w:r>
      <w:r>
        <w:rPr>
          <w:rStyle w:val="14"/>
          <w:rFonts w:hint="eastAsia" w:ascii="仿宋" w:hAnsi="仿宋" w:eastAsia="仿宋" w:cs="Times New Roman"/>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（类）住房改革支出（款）购房补贴（项）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支出决算为11万元，完成预算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r>
        <w:rPr>
          <w:rStyle w:val="14"/>
          <w:rFonts w:hint="eastAsia" w:ascii="仿宋" w:hAnsi="仿宋" w:eastAsia="仿宋"/>
          <w:b w:val="0"/>
          <w:bCs/>
          <w:color w:val="auto"/>
          <w:sz w:val="32"/>
          <w:szCs w:val="32"/>
          <w:highlight w:val="none"/>
          <w:lang w:eastAsia="zh-CN"/>
        </w:rPr>
        <w:t>。</w:t>
      </w:r>
    </w:p>
    <w:p w14:paraId="7051E997">
      <w:pPr>
        <w:spacing w:line="600" w:lineRule="exact"/>
        <w:ind w:firstLine="640"/>
        <w:rPr>
          <w:rFonts w:ascii="仿宋" w:hAnsi="仿宋" w:eastAsia="仿宋"/>
          <w:b/>
          <w:color w:val="auto"/>
          <w:sz w:val="32"/>
          <w:szCs w:val="32"/>
          <w:highlight w:val="none"/>
        </w:rPr>
      </w:pPr>
    </w:p>
    <w:p w14:paraId="073FB625">
      <w:pPr>
        <w:tabs>
          <w:tab w:val="right" w:pos="8306"/>
        </w:tabs>
        <w:spacing w:line="600" w:lineRule="exact"/>
        <w:ind w:firstLine="640"/>
        <w:outlineLvl w:val="1"/>
        <w:rPr>
          <w:rStyle w:val="16"/>
          <w:color w:val="auto"/>
          <w:highlight w:val="none"/>
        </w:rPr>
      </w:pPr>
      <w:bookmarkStart w:id="11" w:name="_Toc741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般公共预算财政拨款基本支出决算情况说明</w:t>
      </w:r>
      <w:bookmarkEnd w:id="11"/>
      <w:r>
        <w:rPr>
          <w:rStyle w:val="16"/>
          <w:rFonts w:ascii="黑体" w:hAnsi="黑体" w:eastAsia="黑体"/>
          <w:b w:val="0"/>
          <w:color w:val="auto"/>
          <w:highlight w:val="none"/>
        </w:rPr>
        <w:tab/>
      </w:r>
    </w:p>
    <w:p w14:paraId="43D83E31">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一般公共预算财政拨款基本支出3,334.27万元，其中：</w:t>
      </w:r>
    </w:p>
    <w:p w14:paraId="5FE69843">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人员经费3,148.77万元，主要包括：基本工资、津贴补贴、奖金、绩效工资、机关事业单位基本养老保险缴费、职业年金缴费、职工基本医疗保险缴费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其他社会保障缴费、住房公积金、抚恤金、生活补助、奖励金等。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公用经费185.5万元，主要包括：办公费、咨询费、水费、邮电费、差旅费、维修（护）费、培训费、公务接待费、专用材料费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劳务费、工会经费、福利费、公务用车运行维护费、其他交通费、其他商品和服务支出、专用设备购置、基础设施建设等。</w:t>
      </w:r>
    </w:p>
    <w:p w14:paraId="3F99F7EA">
      <w:pPr>
        <w:spacing w:line="600" w:lineRule="exact"/>
        <w:ind w:firstLine="640"/>
        <w:rPr>
          <w:rFonts w:ascii="仿宋" w:hAnsi="仿宋" w:eastAsia="仿宋"/>
          <w:b/>
          <w:color w:val="auto"/>
          <w:sz w:val="32"/>
          <w:szCs w:val="32"/>
          <w:highlight w:val="none"/>
        </w:rPr>
      </w:pPr>
    </w:p>
    <w:p w14:paraId="6CC5114F">
      <w:pPr>
        <w:spacing w:line="600" w:lineRule="exact"/>
        <w:ind w:firstLine="640"/>
        <w:outlineLvl w:val="1"/>
        <w:rPr>
          <w:rStyle w:val="16"/>
          <w:rFonts w:ascii="黑体" w:hAnsi="黑体" w:eastAsia="黑体"/>
          <w:b w:val="0"/>
          <w:color w:val="auto"/>
          <w:highlight w:val="none"/>
        </w:rPr>
      </w:pPr>
      <w:bookmarkStart w:id="12" w:name="_Toc14148"/>
      <w:r>
        <w:rPr>
          <w:rFonts w:hint="eastAsia" w:ascii="黑体" w:eastAsia="黑体"/>
          <w:color w:val="auto"/>
          <w:sz w:val="32"/>
          <w:szCs w:val="32"/>
          <w:highlight w:val="none"/>
        </w:rPr>
        <w:t>七、</w:t>
      </w:r>
      <w:r>
        <w:rPr>
          <w:rStyle w:val="16"/>
          <w:rFonts w:hint="eastAsia" w:ascii="黑体" w:hAnsi="黑体" w:eastAsia="黑体"/>
          <w:b w:val="0"/>
          <w:color w:val="auto"/>
          <w:highlight w:val="none"/>
        </w:rPr>
        <w:t>财政拨款</w:t>
      </w:r>
      <w:r>
        <w:rPr>
          <w:rStyle w:val="16"/>
          <w:rFonts w:hint="eastAsia" w:ascii="黑体" w:hAnsi="黑体" w:eastAsia="黑体"/>
          <w:color w:val="auto"/>
          <w:highlight w:val="none"/>
        </w:rPr>
        <w:t>“</w:t>
      </w:r>
      <w:r>
        <w:rPr>
          <w:rStyle w:val="16"/>
          <w:rFonts w:hint="eastAsia" w:ascii="黑体" w:hAnsi="黑体" w:eastAsia="黑体"/>
          <w:b w:val="0"/>
          <w:color w:val="auto"/>
          <w:highlight w:val="none"/>
        </w:rPr>
        <w:t>三公”经费支出决算情况说明</w:t>
      </w:r>
      <w:bookmarkEnd w:id="12"/>
    </w:p>
    <w:p w14:paraId="5BEDAE56">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43F1D497">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“三公”经费财政拨款支出决算为19.11万元，完成预算</w:t>
      </w:r>
      <w:r>
        <w:rPr>
          <w:rFonts w:hint="eastAsia" w:ascii="仿宋" w:hAnsi="仿宋" w:eastAsia="仿宋"/>
          <w:color w:val="auto"/>
          <w:sz w:val="32"/>
          <w:szCs w:val="32"/>
          <w:highlight w:val="none"/>
          <w:lang w:val="en-US" w:eastAsia="zh-CN"/>
        </w:rPr>
        <w:t>86.9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减少8.29万元，下降30.3%。</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依据厉行节约原则，</w:t>
      </w:r>
      <w:r>
        <w:rPr>
          <w:rFonts w:hint="eastAsia" w:ascii="仿宋" w:hAnsi="仿宋" w:eastAsia="仿宋"/>
          <w:color w:val="auto"/>
          <w:sz w:val="32"/>
          <w:szCs w:val="32"/>
          <w:highlight w:val="none"/>
        </w:rPr>
        <w:t>接待次数减少。</w:t>
      </w:r>
    </w:p>
    <w:p w14:paraId="61F04D86">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341CB26A">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；公务用车购置及运行维护费支出决算18.99万元，占</w:t>
      </w:r>
      <w:r>
        <w:rPr>
          <w:rFonts w:hint="eastAsia" w:ascii="仿宋" w:hAnsi="仿宋" w:eastAsia="仿宋"/>
          <w:color w:val="auto"/>
          <w:sz w:val="32"/>
          <w:szCs w:val="32"/>
          <w:highlight w:val="none"/>
          <w:lang w:val="en-US" w:eastAsia="zh-CN"/>
        </w:rPr>
        <w:t>99.4</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；公务接待费支出决算0.12万元，占</w:t>
      </w:r>
      <w:r>
        <w:rPr>
          <w:rFonts w:hint="eastAsia" w:ascii="仿宋" w:hAnsi="仿宋" w:eastAsia="仿宋"/>
          <w:color w:val="auto"/>
          <w:sz w:val="32"/>
          <w:szCs w:val="32"/>
          <w:highlight w:val="none"/>
          <w:lang w:val="en-US" w:eastAsia="zh-CN"/>
        </w:rPr>
        <w:t>0.6</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2641E2AA">
      <w:pPr>
        <w:pStyle w:val="2"/>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B6E67E">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0D782DBC">
      <w:pPr>
        <w:spacing w:line="600" w:lineRule="exact"/>
        <w:ind w:firstLine="640"/>
        <w:rPr>
          <w:rFonts w:hint="eastAsia" w:ascii="仿宋_GB2312" w:eastAsia="仿宋_GB2312"/>
          <w:color w:val="auto"/>
          <w:sz w:val="32"/>
          <w:szCs w:val="32"/>
          <w:highlight w:val="none"/>
          <w:lang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r>
        <w:rPr>
          <w:rFonts w:hint="eastAsia" w:ascii="仿宋_GB2312" w:eastAsia="仿宋_GB2312"/>
          <w:color w:val="auto"/>
          <w:sz w:val="32"/>
          <w:szCs w:val="32"/>
          <w:highlight w:val="none"/>
          <w:lang w:eastAsia="zh-CN"/>
        </w:rPr>
        <w:t>。</w:t>
      </w:r>
    </w:p>
    <w:p w14:paraId="5B964667">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公务用车购置及运行维护费支出18.99</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99.9</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减少8.01万元，下降29.</w:t>
      </w: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依据厉行节约原则，缩减三公经费</w:t>
      </w:r>
      <w:r>
        <w:rPr>
          <w:rFonts w:hint="eastAsia" w:ascii="仿宋_GB2312" w:eastAsia="仿宋_GB2312"/>
          <w:color w:val="auto"/>
          <w:sz w:val="32"/>
          <w:szCs w:val="32"/>
          <w:highlight w:val="none"/>
        </w:rPr>
        <w:t>。</w:t>
      </w:r>
    </w:p>
    <w:p w14:paraId="098376C9">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其他车型18</w:t>
      </w:r>
      <w:r>
        <w:rPr>
          <w:rFonts w:hint="eastAsia" w:ascii="仿宋_GB2312" w:eastAsia="仿宋_GB2312"/>
          <w:color w:val="auto"/>
          <w:sz w:val="32"/>
          <w:szCs w:val="32"/>
          <w:highlight w:val="none"/>
        </w:rPr>
        <w:t>辆。</w:t>
      </w:r>
    </w:p>
    <w:p w14:paraId="2886D41A">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18.99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28FD4362">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公务接待费支出0.12</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4</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减少0.28万元，下降70.</w:t>
      </w:r>
      <w:r>
        <w:rPr>
          <w:rFonts w:hint="eastAsia" w:ascii="仿宋_GB2312" w:eastAsia="仿宋_GB2312"/>
          <w:color w:val="auto"/>
          <w:sz w:val="32"/>
          <w:szCs w:val="32"/>
          <w:highlight w:val="none"/>
          <w:lang w:val="en-US" w:eastAsia="zh-CN"/>
        </w:rPr>
        <w:t>2</w:t>
      </w:r>
      <w:bookmarkStart w:id="35" w:name="_GoBack"/>
      <w:bookmarkEnd w:id="35"/>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依据厉行节约原则，</w:t>
      </w:r>
      <w:r>
        <w:rPr>
          <w:rFonts w:hint="eastAsia" w:ascii="仿宋_GB2312" w:eastAsia="仿宋_GB2312"/>
          <w:color w:val="auto"/>
          <w:sz w:val="32"/>
          <w:szCs w:val="32"/>
          <w:highlight w:val="none"/>
        </w:rPr>
        <w:t>接待次数减少。其中：</w:t>
      </w:r>
    </w:p>
    <w:p w14:paraId="1C4DE203">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0.12</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全州国省干线公路第一季度考核</w:t>
      </w:r>
      <w:r>
        <w:rPr>
          <w:rFonts w:hint="eastAsia" w:ascii="仿宋_GB2312" w:eastAsia="仿宋_GB2312"/>
          <w:color w:val="auto"/>
          <w:sz w:val="32"/>
          <w:szCs w:val="32"/>
          <w:highlight w:val="none"/>
        </w:rPr>
        <w:t>用餐费等。国内公务接待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0.12</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全州国省干线公路第一季度考核，接待支出600元；全州国省干线公路第二季度考核，接待支出600元</w:t>
      </w:r>
      <w:r>
        <w:rPr>
          <w:rFonts w:hint="eastAsia" w:ascii="仿宋_GB2312" w:eastAsia="仿宋_GB2312"/>
          <w:color w:val="auto"/>
          <w:sz w:val="32"/>
          <w:szCs w:val="32"/>
          <w:highlight w:val="none"/>
        </w:rPr>
        <w:t>。</w:t>
      </w:r>
    </w:p>
    <w:p w14:paraId="34067FC1">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1155A8D">
      <w:pPr>
        <w:spacing w:line="600" w:lineRule="exact"/>
        <w:ind w:firstLine="640"/>
        <w:outlineLvl w:val="9"/>
        <w:rPr>
          <w:rFonts w:ascii="黑体" w:eastAsia="黑体"/>
          <w:color w:val="auto"/>
          <w:sz w:val="32"/>
          <w:szCs w:val="32"/>
          <w:highlight w:val="none"/>
        </w:rPr>
      </w:pPr>
    </w:p>
    <w:p w14:paraId="463A4480">
      <w:pPr>
        <w:spacing w:line="600" w:lineRule="exact"/>
        <w:ind w:firstLine="640"/>
        <w:outlineLvl w:val="1"/>
        <w:rPr>
          <w:rStyle w:val="16"/>
          <w:rFonts w:ascii="黑体" w:hAnsi="黑体" w:eastAsia="黑体"/>
          <w:color w:val="auto"/>
          <w:highlight w:val="none"/>
        </w:rPr>
      </w:pPr>
      <w:bookmarkStart w:id="13" w:name="_Toc16295"/>
      <w:r>
        <w:rPr>
          <w:rFonts w:hint="eastAsia" w:ascii="黑体" w:eastAsia="黑体"/>
          <w:color w:val="auto"/>
          <w:sz w:val="32"/>
          <w:szCs w:val="32"/>
          <w:highlight w:val="none"/>
        </w:rPr>
        <w:t>八、</w:t>
      </w:r>
      <w:r>
        <w:rPr>
          <w:rStyle w:val="16"/>
          <w:rFonts w:hint="eastAsia" w:ascii="黑体" w:hAnsi="黑体" w:eastAsia="黑体"/>
          <w:b w:val="0"/>
          <w:color w:val="auto"/>
          <w:highlight w:val="none"/>
        </w:rPr>
        <w:t>政府性基金预算支出决算情况说明</w:t>
      </w:r>
      <w:bookmarkEnd w:id="13"/>
    </w:p>
    <w:p w14:paraId="69CBFC5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042CF58">
      <w:pPr>
        <w:spacing w:line="600" w:lineRule="exact"/>
        <w:ind w:firstLine="640"/>
        <w:rPr>
          <w:rFonts w:ascii="仿宋_GB2312" w:eastAsia="仿宋_GB2312"/>
          <w:color w:val="auto"/>
          <w:sz w:val="32"/>
          <w:szCs w:val="32"/>
          <w:highlight w:val="none"/>
        </w:rPr>
      </w:pPr>
    </w:p>
    <w:p w14:paraId="569949F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ascii="黑体" w:hAnsi="黑体" w:eastAsia="黑体"/>
          <w:b w:val="0"/>
          <w:color w:val="auto"/>
          <w:highlight w:val="none"/>
        </w:rPr>
      </w:pPr>
      <w:bookmarkStart w:id="14" w:name="_Toc1818"/>
      <w:r>
        <w:rPr>
          <w:rStyle w:val="16"/>
          <w:rFonts w:hint="eastAsia" w:ascii="黑体" w:hAnsi="黑体" w:eastAsia="黑体"/>
          <w:b w:val="0"/>
          <w:color w:val="auto"/>
          <w:highlight w:val="none"/>
          <w:lang w:eastAsia="zh-CN"/>
        </w:rPr>
        <w:t>九、</w:t>
      </w:r>
      <w:r>
        <w:rPr>
          <w:rStyle w:val="16"/>
          <w:rFonts w:hint="eastAsia" w:ascii="黑体" w:hAnsi="黑体" w:eastAsia="黑体"/>
          <w:b w:val="0"/>
          <w:color w:val="auto"/>
          <w:highlight w:val="none"/>
        </w:rPr>
        <w:t>国有资本经营预算支出决算情况说明</w:t>
      </w:r>
      <w:bookmarkEnd w:id="14"/>
    </w:p>
    <w:p w14:paraId="2AFCB787">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8AB41EC">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35C0FF4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hint="eastAsia" w:ascii="黑体" w:hAnsi="黑体" w:eastAsia="黑体"/>
          <w:b w:val="0"/>
          <w:color w:val="auto"/>
          <w:highlight w:val="none"/>
        </w:rPr>
      </w:pPr>
      <w:bookmarkStart w:id="15" w:name="_Toc7070"/>
      <w:r>
        <w:rPr>
          <w:rStyle w:val="16"/>
          <w:rFonts w:hint="eastAsia" w:ascii="黑体" w:hAnsi="黑体" w:eastAsia="黑体"/>
          <w:b w:val="0"/>
          <w:color w:val="auto"/>
          <w:highlight w:val="none"/>
          <w:lang w:eastAsia="zh-CN"/>
        </w:rPr>
        <w:t>十、</w:t>
      </w:r>
      <w:r>
        <w:rPr>
          <w:rStyle w:val="16"/>
          <w:rFonts w:hint="eastAsia" w:ascii="黑体" w:hAnsi="黑体" w:eastAsia="黑体"/>
          <w:b w:val="0"/>
          <w:color w:val="auto"/>
          <w:highlight w:val="none"/>
        </w:rPr>
        <w:t>其他重要事项的情况说明</w:t>
      </w:r>
      <w:bookmarkEnd w:id="15"/>
    </w:p>
    <w:p w14:paraId="4EE83A9D">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6855275E">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502E9C67">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343CBB0D">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39.2</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39.2</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公务用车购置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EF97E74">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2CCCCA1D">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辆，其中：执法执勤用车</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B75C6A2">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68C86C30">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预算编制阶段，组织对小金分局普通国省隧道交通工程及附属设施改造项目管理费项目</w:t>
      </w:r>
      <w:r>
        <w:rPr>
          <w:rFonts w:hint="eastAsia" w:ascii="仿宋_GB2312" w:eastAsia="仿宋_GB2312" w:cs="Times New Roman"/>
          <w:color w:val="auto"/>
          <w:sz w:val="32"/>
          <w:szCs w:val="32"/>
          <w:highlight w:val="none"/>
          <w:lang w:eastAsia="zh-CN"/>
        </w:rPr>
        <w:t>、巴朗山隧道管理经费（2023年）</w:t>
      </w:r>
      <w:r>
        <w:rPr>
          <w:rFonts w:hint="eastAsia" w:ascii="仿宋_GB2312" w:eastAsia="仿宋_GB2312" w:cs="Times New Roman"/>
          <w:color w:val="auto"/>
          <w:sz w:val="32"/>
          <w:szCs w:val="32"/>
          <w:highlight w:val="none"/>
          <w:lang w:val="en-US" w:eastAsia="zh-CN"/>
        </w:rPr>
        <w:t>项目、小金公路分局养护机械运行维护费项目</w:t>
      </w:r>
      <w:r>
        <w:rPr>
          <w:rFonts w:hint="eastAsia" w:ascii="仿宋_GB2312" w:hAnsi="Times New Roman" w:eastAsia="仿宋_GB2312" w:cs="Times New Roman"/>
          <w:color w:val="auto"/>
          <w:sz w:val="32"/>
          <w:szCs w:val="32"/>
          <w:highlight w:val="none"/>
          <w:lang w:eastAsia="zh-CN"/>
        </w:rPr>
        <w:t>等</w:t>
      </w:r>
      <w:r>
        <w:rPr>
          <w:rFonts w:hint="eastAsia" w:ascii="仿宋_GB2312"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val="en-US" w:eastAsia="zh-CN"/>
        </w:rPr>
        <w:t>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val="en-US" w:eastAsia="zh-CN"/>
        </w:rPr>
        <w:t>个项目开展绩效自评，绩效自评表详见第四部分附件。</w:t>
      </w:r>
    </w:p>
    <w:p w14:paraId="6EE5ABE3">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4E32F23F">
      <w:pPr>
        <w:numPr>
          <w:ilvl w:val="0"/>
          <w:numId w:val="0"/>
        </w:numPr>
        <w:spacing w:line="600" w:lineRule="exact"/>
        <w:jc w:val="center"/>
        <w:outlineLvl w:val="0"/>
        <w:rPr>
          <w:rStyle w:val="15"/>
          <w:rFonts w:ascii="黑体" w:hAnsi="黑体" w:eastAsia="黑体"/>
          <w:b w:val="0"/>
          <w:color w:val="auto"/>
          <w:highlight w:val="none"/>
        </w:rPr>
      </w:pPr>
      <w:bookmarkStart w:id="16" w:name="_Toc1418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5"/>
          <w:rFonts w:hint="eastAsia" w:ascii="黑体" w:hAnsi="黑体" w:eastAsia="黑体"/>
          <w:b w:val="0"/>
          <w:color w:val="auto"/>
          <w:highlight w:val="none"/>
        </w:rPr>
        <w:t>词解释</w:t>
      </w:r>
      <w:bookmarkEnd w:id="16"/>
    </w:p>
    <w:p w14:paraId="12465B93">
      <w:pPr>
        <w:spacing w:line="600" w:lineRule="exact"/>
        <w:jc w:val="left"/>
        <w:rPr>
          <w:rFonts w:ascii="宋体"/>
          <w:b/>
          <w:color w:val="auto"/>
          <w:sz w:val="44"/>
          <w:szCs w:val="44"/>
          <w:highlight w:val="none"/>
        </w:rPr>
      </w:pPr>
    </w:p>
    <w:p w14:paraId="35A84AEC">
      <w:pPr>
        <w:pStyle w:val="18"/>
        <w:spacing w:line="560" w:lineRule="exact"/>
        <w:ind w:firstLine="640" w:firstLineChars="200"/>
        <w:outlineLvl w:val="1"/>
        <w:rPr>
          <w:rFonts w:ascii="仿宋_GB2312" w:eastAsia="仿宋_GB2312"/>
          <w:color w:val="auto"/>
          <w:sz w:val="32"/>
          <w:szCs w:val="32"/>
          <w:highlight w:val="none"/>
        </w:rPr>
      </w:pPr>
      <w:bookmarkStart w:id="17" w:name="_Toc1899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7"/>
    </w:p>
    <w:p w14:paraId="4FD80B7D">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6DB62D4D">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1E8FE3A2">
      <w:pPr>
        <w:pStyle w:val="18"/>
        <w:spacing w:line="560" w:lineRule="exact"/>
        <w:ind w:firstLine="640" w:firstLineChars="200"/>
        <w:outlineLvl w:val="1"/>
        <w:rPr>
          <w:rFonts w:ascii="仿宋_GB2312" w:eastAsia="仿宋_GB2312"/>
          <w:color w:val="auto"/>
          <w:sz w:val="32"/>
          <w:szCs w:val="32"/>
          <w:highlight w:val="none"/>
        </w:rPr>
      </w:pPr>
      <w:bookmarkStart w:id="18" w:name="_Toc18625"/>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8"/>
      <w:r>
        <w:rPr>
          <w:rFonts w:ascii="仿宋_GB2312" w:eastAsia="仿宋_GB2312"/>
          <w:color w:val="auto"/>
          <w:sz w:val="32"/>
          <w:szCs w:val="32"/>
          <w:highlight w:val="none"/>
        </w:rPr>
        <w:t xml:space="preserve"> </w:t>
      </w:r>
    </w:p>
    <w:p w14:paraId="74A7F4C6">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11911EAD">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15EBA286">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017EE94B">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反映除上述项目以外其他用于公路水路运输方面的支出。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反映行政事业单位按人力资源和社会保障部、财政部规定的基本工资和津贴补贴以及规定比例为职工缴纳的住房公积金。</w:t>
      </w:r>
    </w:p>
    <w:p w14:paraId="2723E2B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207A8E5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6851848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3D29140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1151251F">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9AE9D34">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B7D60BF">
      <w:pPr>
        <w:spacing w:line="600" w:lineRule="exact"/>
        <w:jc w:val="center"/>
        <w:outlineLvl w:val="0"/>
        <w:rPr>
          <w:rFonts w:ascii="仿宋_GB2312" w:hAnsi="仿宋_GB2312" w:eastAsia="仿宋_GB2312" w:cs="仿宋_GB2312"/>
          <w:color w:val="auto"/>
          <w:sz w:val="32"/>
          <w:szCs w:val="32"/>
          <w:highlight w:val="none"/>
        </w:rPr>
      </w:pPr>
      <w:r>
        <w:rPr>
          <w:rFonts w:ascii="宋体"/>
          <w:b/>
          <w:color w:val="auto"/>
          <w:sz w:val="44"/>
          <w:szCs w:val="44"/>
          <w:highlight w:val="none"/>
        </w:rPr>
        <w:br w:type="page"/>
      </w:r>
      <w:bookmarkStart w:id="19" w:name="_Toc11266"/>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四部分 附件</w:t>
      </w:r>
      <w:bookmarkEnd w:id="19"/>
    </w:p>
    <w:p w14:paraId="2676D21E">
      <w:pPr>
        <w:spacing w:line="600" w:lineRule="exact"/>
        <w:jc w:val="center"/>
        <w:outlineLvl w:val="1"/>
        <w:rPr>
          <w:rFonts w:hint="eastAsia" w:ascii="黑体" w:hAnsi="黑体" w:eastAsia="黑体"/>
          <w:color w:val="FF0000"/>
          <w:sz w:val="44"/>
          <w:szCs w:val="44"/>
          <w:highlight w:val="none"/>
        </w:rPr>
      </w:pPr>
      <w:bookmarkStart w:id="20" w:name="_Toc6774"/>
      <w:r>
        <w:rPr>
          <w:rFonts w:hint="eastAsia" w:cs="Times New Roman"/>
          <w:sz w:val="32"/>
          <w:szCs w:val="32"/>
          <w:highlight w:val="none"/>
          <w:lang w:val="en-US" w:eastAsia="zh-CN"/>
        </w:rPr>
        <w:t>单位</w:t>
      </w:r>
      <w:r>
        <w:rPr>
          <w:rFonts w:hint="eastAsia" w:hAnsi="Times New Roman" w:cs="Times New Roman"/>
          <w:sz w:val="32"/>
          <w:szCs w:val="32"/>
          <w:highlight w:val="none"/>
          <w:lang w:val="en-US" w:eastAsia="zh-CN"/>
        </w:rPr>
        <w:t>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bookmarkEnd w:id="20"/>
    </w:p>
    <w:p w14:paraId="0C371ED8">
      <w:pPr>
        <w:pStyle w:val="6"/>
        <w:keepNext w:val="0"/>
        <w:keepLines w:val="0"/>
        <w:pageBreakBefore w:val="0"/>
        <w:numPr>
          <w:ilvl w:val="0"/>
          <w:numId w:val="0"/>
        </w:numPr>
        <w:kinsoku/>
        <w:wordWrap/>
        <w:overflowPunct/>
        <w:topLinePunct w:val="0"/>
        <w:autoSpaceDE/>
        <w:autoSpaceDN/>
        <w:bidi w:val="0"/>
        <w:spacing w:after="0" w:line="240" w:lineRule="auto"/>
        <w:ind w:firstLine="0" w:firstLineChars="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5" o:spt="75" type="#_x0000_t75" style="height:482.05pt;width:414.7pt;" o:ole="t" filled="f" o:preferrelative="t" stroked="f" coordsize="21600,21600">
            <v:path/>
            <v:fill on="f" focussize="0,0"/>
            <v:stroke on="f"/>
            <v:imagedata r:id="rId16" o:title=""/>
            <o:lock v:ext="edit" aspectratio="f"/>
            <w10:wrap type="none"/>
            <w10:anchorlock/>
          </v:shape>
          <o:OLEObject Type="Embed" ProgID="Excel.Sheet.12" ShapeID="_x0000_i1025" DrawAspect="Content" ObjectID="_1468075725" r:id="rId15">
            <o:LockedField>false</o:LockedField>
          </o:OLEObject>
        </w:object>
      </w:r>
    </w:p>
    <w:p w14:paraId="7501E939">
      <w:pPr>
        <w:pStyle w:val="2"/>
        <w:rPr>
          <w:rFonts w:hint="eastAsia" w:ascii="仿宋_GB2312" w:hAnsi="Calibri" w:eastAsia="仿宋_GB2312" w:cs="仿宋"/>
          <w:color w:val="auto"/>
          <w:kern w:val="0"/>
          <w:sz w:val="32"/>
          <w:szCs w:val="32"/>
          <w:highlight w:val="none"/>
          <w:lang w:val="en-US" w:eastAsia="zh-CN" w:bidi="ar-SA"/>
        </w:rPr>
      </w:pPr>
    </w:p>
    <w:p w14:paraId="2989A7CD">
      <w:pPr>
        <w:pStyle w:val="2"/>
        <w:rPr>
          <w:rFonts w:hint="eastAsia" w:ascii="仿宋_GB2312" w:hAnsi="Calibri" w:eastAsia="仿宋_GB2312" w:cs="仿宋"/>
          <w:color w:val="auto"/>
          <w:kern w:val="0"/>
          <w:sz w:val="32"/>
          <w:szCs w:val="32"/>
          <w:highlight w:val="none"/>
          <w:lang w:val="en-US" w:eastAsia="zh-CN" w:bidi="ar-SA"/>
        </w:rPr>
      </w:pPr>
    </w:p>
    <w:p w14:paraId="36BB784C">
      <w:pPr>
        <w:pStyle w:val="2"/>
        <w:rPr>
          <w:rFonts w:hint="eastAsia" w:ascii="仿宋_GB2312" w:hAnsi="Calibri" w:eastAsia="仿宋_GB2312" w:cs="仿宋"/>
          <w:color w:val="auto"/>
          <w:kern w:val="0"/>
          <w:sz w:val="32"/>
          <w:szCs w:val="32"/>
          <w:highlight w:val="none"/>
          <w:lang w:val="en-US" w:eastAsia="zh-CN" w:bidi="ar-SA"/>
        </w:rPr>
      </w:pPr>
    </w:p>
    <w:p w14:paraId="6AC64078">
      <w:pPr>
        <w:pStyle w:val="2"/>
        <w:rPr>
          <w:rFonts w:hint="eastAsia" w:ascii="仿宋_GB2312" w:hAnsi="Calibri" w:eastAsia="仿宋_GB2312" w:cs="仿宋"/>
          <w:color w:val="auto"/>
          <w:kern w:val="0"/>
          <w:sz w:val="32"/>
          <w:szCs w:val="32"/>
          <w:highlight w:val="none"/>
          <w:lang w:val="en-US" w:eastAsia="zh-CN" w:bidi="ar-SA"/>
        </w:rPr>
      </w:pPr>
    </w:p>
    <w:p w14:paraId="3A609FF9">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6" o:spt="75" type="#_x0000_t75" style="height:444.4pt;width:414.7pt;" o:ole="t" filled="f" o:preferrelative="t" stroked="f" coordsize="21600,21600">
            <v:path/>
            <v:fill on="f" focussize="0,0"/>
            <v:stroke on="f"/>
            <v:imagedata r:id="rId18" o:title=""/>
            <o:lock v:ext="edit" aspectratio="f"/>
            <w10:wrap type="none"/>
            <w10:anchorlock/>
          </v:shape>
          <o:OLEObject Type="Embed" ProgID="Excel.Sheet.12" ShapeID="_x0000_i1026" DrawAspect="Content" ObjectID="_1468075726" r:id="rId1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7" o:spt="75" type="#_x0000_t75" style="height:420.3pt;width:414.7pt;" o:ole="t" filled="f" o:preferrelative="t" stroked="f" coordsize="21600,21600">
            <v:path/>
            <v:fill on="f" focussize="0,0"/>
            <v:stroke on="f"/>
            <v:imagedata r:id="rId20" o:title=""/>
            <o:lock v:ext="edit" aspectratio="f"/>
            <w10:wrap type="none"/>
            <w10:anchorlock/>
          </v:shape>
          <o:OLEObject Type="Embed" ProgID="Excel.Sheet.12" ShapeID="_x0000_i1027" DrawAspect="Content" ObjectID="_1468075727" r:id="rId1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8" o:spt="75" type="#_x0000_t75" style="height:460.4pt;width:414.7pt;" o:ole="t" filled="f" o:preferrelative="t" stroked="f" coordsize="21600,21600">
            <v:path/>
            <v:fill on="f" focussize="0,0"/>
            <v:stroke on="f"/>
            <v:imagedata r:id="rId22" o:title=""/>
            <o:lock v:ext="edit" aspectratio="f"/>
            <w10:wrap type="none"/>
            <w10:anchorlock/>
          </v:shape>
          <o:OLEObject Type="Embed" ProgID="Excel.Sheet.12" ShapeID="_x0000_i1028" DrawAspect="Content" ObjectID="_1468075728" r:id="rId2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9" o:spt="75" type="#_x0000_t75" style="height:472.85pt;width:414.7pt;" o:ole="t" filled="f" o:preferrelative="t" stroked="f" coordsize="21600,21600">
            <v:path/>
            <v:fill on="f" focussize="0,0"/>
            <v:stroke on="f"/>
            <v:imagedata r:id="rId24" o:title=""/>
            <o:lock v:ext="edit" aspectratio="f"/>
            <w10:wrap type="none"/>
            <w10:anchorlock/>
          </v:shape>
          <o:OLEObject Type="Embed" ProgID="Excel.Sheet.12" ShapeID="_x0000_i1029" DrawAspect="Content" ObjectID="_1468075729" r:id="rId2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0" o:spt="75" type="#_x0000_t75" style="height:416.75pt;width:414.7pt;" o:ole="t" filled="f" o:preferrelative="t" stroked="f" coordsize="21600,21600">
            <v:path/>
            <v:fill on="f" focussize="0,0"/>
            <v:stroke on="f"/>
            <v:imagedata r:id="rId26" o:title=""/>
            <o:lock v:ext="edit" aspectratio="f"/>
            <w10:wrap type="none"/>
            <w10:anchorlock/>
          </v:shape>
          <o:OLEObject Type="Embed" ProgID="Excel.Sheet.12" ShapeID="_x0000_i1030" DrawAspect="Content" ObjectID="_1468075730" r:id="rId2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1" o:spt="75" type="#_x0000_t75" style="height:425.15pt;width:414.7pt;" o:ole="t" filled="f" o:preferrelative="t" stroked="f" coordsize="21600,21600">
            <v:path/>
            <v:fill on="f" focussize="0,0"/>
            <v:stroke on="f"/>
            <v:imagedata r:id="rId28" o:title=""/>
            <o:lock v:ext="edit" aspectratio="f"/>
            <w10:wrap type="none"/>
            <w10:anchorlock/>
          </v:shape>
          <o:OLEObject Type="Embed" ProgID="Excel.Sheet.12" ShapeID="_x0000_i1031" DrawAspect="Content" ObjectID="_1468075731" r:id="rId2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2" o:spt="75" type="#_x0000_t75" style="height:474.45pt;width:414.7pt;" o:ole="t" filled="f" o:preferrelative="t" stroked="f" coordsize="21600,21600">
            <v:path/>
            <v:fill on="f" focussize="0,0"/>
            <v:stroke on="f"/>
            <v:imagedata r:id="rId30" o:title=""/>
            <o:lock v:ext="edit" aspectratio="f"/>
            <w10:wrap type="none"/>
            <w10:anchorlock/>
          </v:shape>
          <o:OLEObject Type="Embed" ProgID="Excel.Sheet.12" ShapeID="_x0000_i1032" DrawAspect="Content" ObjectID="_1468075732" r:id="rId29">
            <o:LockedField>false</o:LockedField>
          </o:OLEObject>
        </w:object>
      </w:r>
    </w:p>
    <w:p w14:paraId="09489499">
      <w:pPr>
        <w:pStyle w:val="2"/>
        <w:rPr>
          <w:rFonts w:hint="eastAsia" w:ascii="仿宋_GB2312" w:hAnsi="Calibri" w:eastAsia="仿宋_GB2312" w:cs="仿宋"/>
          <w:color w:val="auto"/>
          <w:kern w:val="0"/>
          <w:sz w:val="32"/>
          <w:szCs w:val="32"/>
          <w:highlight w:val="none"/>
          <w:lang w:val="en-US" w:eastAsia="zh-CN" w:bidi="ar-SA"/>
        </w:rPr>
      </w:pPr>
    </w:p>
    <w:p w14:paraId="4CF7ABCD">
      <w:pPr>
        <w:pStyle w:val="2"/>
        <w:rPr>
          <w:rFonts w:hint="eastAsia" w:ascii="仿宋_GB2312" w:hAnsi="Calibri" w:eastAsia="仿宋_GB2312" w:cs="仿宋"/>
          <w:color w:val="auto"/>
          <w:kern w:val="0"/>
          <w:sz w:val="32"/>
          <w:szCs w:val="32"/>
          <w:highlight w:val="none"/>
          <w:lang w:val="en-US" w:eastAsia="zh-CN" w:bidi="ar-SA"/>
        </w:rPr>
      </w:pPr>
    </w:p>
    <w:p w14:paraId="4A097F76">
      <w:pPr>
        <w:pStyle w:val="2"/>
        <w:rPr>
          <w:rFonts w:hint="eastAsia" w:ascii="仿宋_GB2312" w:hAnsi="Calibri" w:eastAsia="仿宋_GB2312" w:cs="仿宋"/>
          <w:color w:val="auto"/>
          <w:kern w:val="0"/>
          <w:sz w:val="32"/>
          <w:szCs w:val="32"/>
          <w:highlight w:val="none"/>
          <w:lang w:val="en-US" w:eastAsia="zh-CN" w:bidi="ar-SA"/>
        </w:rPr>
      </w:pPr>
    </w:p>
    <w:p w14:paraId="1FE69050">
      <w:pPr>
        <w:pStyle w:val="2"/>
        <w:rPr>
          <w:rFonts w:hint="eastAsia" w:ascii="仿宋_GB2312" w:hAnsi="Calibri" w:eastAsia="仿宋_GB2312" w:cs="仿宋"/>
          <w:color w:val="auto"/>
          <w:kern w:val="0"/>
          <w:sz w:val="32"/>
          <w:szCs w:val="32"/>
          <w:highlight w:val="none"/>
          <w:lang w:val="en-US" w:eastAsia="zh-CN" w:bidi="ar-SA"/>
        </w:rPr>
      </w:pPr>
    </w:p>
    <w:p w14:paraId="7B8F2805">
      <w:pPr>
        <w:pStyle w:val="2"/>
        <w:rPr>
          <w:rFonts w:hint="eastAsia" w:ascii="仿宋_GB2312" w:hAnsi="Calibri" w:eastAsia="仿宋_GB2312" w:cs="仿宋"/>
          <w:color w:val="auto"/>
          <w:kern w:val="0"/>
          <w:sz w:val="32"/>
          <w:szCs w:val="32"/>
          <w:highlight w:val="none"/>
          <w:lang w:val="en-US" w:eastAsia="zh-CN" w:bidi="ar-SA"/>
        </w:rPr>
      </w:pPr>
    </w:p>
    <w:p w14:paraId="68B318BE">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442689BC">
      <w:pPr>
        <w:spacing w:line="600" w:lineRule="exact"/>
        <w:jc w:val="center"/>
        <w:outlineLvl w:val="0"/>
        <w:rPr>
          <w:rFonts w:hint="eastAsia" w:ascii="仿宋" w:hAnsi="仿宋" w:eastAsia="仿宋"/>
          <w:b w:val="0"/>
          <w:color w:val="auto"/>
          <w:highlight w:val="none"/>
        </w:rPr>
      </w:pPr>
      <w:bookmarkStart w:id="21" w:name="_Toc10149"/>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五部分 附表</w:t>
      </w:r>
      <w:bookmarkEnd w:id="21"/>
    </w:p>
    <w:p w14:paraId="2B991BBF">
      <w:pPr>
        <w:pStyle w:val="4"/>
        <w:rPr>
          <w:rFonts w:ascii="仿宋" w:hAnsi="仿宋" w:eastAsia="仿宋"/>
          <w:color w:val="auto"/>
          <w:highlight w:val="none"/>
        </w:rPr>
      </w:pPr>
      <w:bookmarkStart w:id="22" w:name="_Toc21220"/>
      <w:r>
        <w:rPr>
          <w:rFonts w:hint="eastAsia" w:ascii="仿宋" w:hAnsi="仿宋" w:eastAsia="仿宋"/>
          <w:b w:val="0"/>
          <w:color w:val="auto"/>
          <w:highlight w:val="none"/>
        </w:rPr>
        <w:t>一、收</w:t>
      </w:r>
      <w:r>
        <w:rPr>
          <w:rStyle w:val="16"/>
          <w:rFonts w:hint="eastAsia" w:ascii="仿宋" w:hAnsi="仿宋" w:eastAsia="仿宋"/>
          <w:b w:val="0"/>
          <w:bCs w:val="0"/>
          <w:color w:val="auto"/>
          <w:highlight w:val="none"/>
        </w:rPr>
        <w:t>入支出决算总表</w:t>
      </w:r>
      <w:bookmarkEnd w:id="22"/>
    </w:p>
    <w:p w14:paraId="57224CAE">
      <w:pPr>
        <w:pStyle w:val="4"/>
        <w:rPr>
          <w:rFonts w:ascii="仿宋" w:hAnsi="仿宋" w:eastAsia="仿宋"/>
          <w:color w:val="auto"/>
          <w:highlight w:val="none"/>
        </w:rPr>
      </w:pPr>
      <w:bookmarkStart w:id="23" w:name="_Toc885"/>
      <w:r>
        <w:rPr>
          <w:rFonts w:hint="eastAsia" w:ascii="仿宋" w:hAnsi="仿宋" w:eastAsia="仿宋"/>
          <w:b w:val="0"/>
          <w:color w:val="auto"/>
          <w:highlight w:val="none"/>
        </w:rPr>
        <w:t>二、收</w:t>
      </w:r>
      <w:r>
        <w:rPr>
          <w:rStyle w:val="16"/>
          <w:rFonts w:hint="eastAsia" w:ascii="仿宋" w:hAnsi="仿宋" w:eastAsia="仿宋"/>
          <w:b w:val="0"/>
          <w:bCs w:val="0"/>
          <w:color w:val="auto"/>
          <w:highlight w:val="none"/>
        </w:rPr>
        <w:t>入决算表</w:t>
      </w:r>
      <w:bookmarkEnd w:id="23"/>
    </w:p>
    <w:p w14:paraId="74E0F81D">
      <w:pPr>
        <w:pStyle w:val="4"/>
        <w:rPr>
          <w:rFonts w:ascii="仿宋" w:hAnsi="仿宋" w:eastAsia="仿宋"/>
          <w:color w:val="auto"/>
          <w:highlight w:val="none"/>
        </w:rPr>
      </w:pPr>
      <w:bookmarkStart w:id="24" w:name="_Toc6853"/>
      <w:r>
        <w:rPr>
          <w:rStyle w:val="1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6"/>
          <w:rFonts w:hint="eastAsia" w:ascii="仿宋" w:hAnsi="仿宋" w:eastAsia="仿宋"/>
          <w:b w:val="0"/>
          <w:bCs w:val="0"/>
          <w:color w:val="auto"/>
          <w:highlight w:val="none"/>
        </w:rPr>
        <w:t>出决算表</w:t>
      </w:r>
      <w:bookmarkEnd w:id="24"/>
    </w:p>
    <w:p w14:paraId="467CD98C">
      <w:pPr>
        <w:pStyle w:val="4"/>
        <w:rPr>
          <w:rFonts w:ascii="仿宋" w:hAnsi="仿宋" w:eastAsia="仿宋"/>
          <w:b w:val="0"/>
          <w:color w:val="auto"/>
          <w:highlight w:val="none"/>
        </w:rPr>
      </w:pPr>
      <w:bookmarkStart w:id="25" w:name="_Toc23039"/>
      <w:r>
        <w:rPr>
          <w:rStyle w:val="1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政拨款收入支出决算总表</w:t>
      </w:r>
      <w:bookmarkEnd w:id="25"/>
    </w:p>
    <w:p w14:paraId="6CDFD975">
      <w:pPr>
        <w:pStyle w:val="4"/>
        <w:rPr>
          <w:rStyle w:val="16"/>
          <w:rFonts w:ascii="仿宋" w:hAnsi="仿宋" w:eastAsia="仿宋"/>
          <w:b w:val="0"/>
          <w:bCs w:val="0"/>
          <w:color w:val="auto"/>
          <w:highlight w:val="none"/>
        </w:rPr>
      </w:pPr>
      <w:bookmarkStart w:id="26" w:name="_Toc19525"/>
      <w:r>
        <w:rPr>
          <w:rStyle w:val="1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政拨款支出决算明细表</w:t>
      </w:r>
      <w:bookmarkEnd w:id="26"/>
    </w:p>
    <w:p w14:paraId="1D3A4F83">
      <w:pPr>
        <w:pStyle w:val="4"/>
        <w:rPr>
          <w:rFonts w:ascii="仿宋" w:hAnsi="仿宋" w:eastAsia="仿宋"/>
          <w:color w:val="auto"/>
          <w:highlight w:val="none"/>
        </w:rPr>
      </w:pPr>
      <w:bookmarkStart w:id="27" w:name="_Toc26437"/>
      <w:r>
        <w:rPr>
          <w:rStyle w:val="1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般公共预算财政拨款支出决算表</w:t>
      </w:r>
      <w:bookmarkEnd w:id="27"/>
    </w:p>
    <w:p w14:paraId="327F54F3">
      <w:pPr>
        <w:pStyle w:val="4"/>
        <w:rPr>
          <w:rFonts w:ascii="仿宋" w:hAnsi="仿宋" w:eastAsia="仿宋"/>
          <w:color w:val="auto"/>
          <w:highlight w:val="none"/>
        </w:rPr>
      </w:pPr>
      <w:bookmarkStart w:id="28" w:name="_Toc31679"/>
      <w:r>
        <w:rPr>
          <w:rStyle w:val="1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般公共预算财政拨款支出决算明细表</w:t>
      </w:r>
      <w:bookmarkEnd w:id="28"/>
    </w:p>
    <w:p w14:paraId="381FEB7D">
      <w:pPr>
        <w:pStyle w:val="4"/>
        <w:rPr>
          <w:rFonts w:ascii="仿宋" w:hAnsi="仿宋" w:eastAsia="仿宋"/>
          <w:color w:val="auto"/>
          <w:highlight w:val="none"/>
        </w:rPr>
      </w:pPr>
      <w:bookmarkStart w:id="29" w:name="_Toc7443"/>
      <w:r>
        <w:rPr>
          <w:rStyle w:val="1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般公共预算财政拨款基本支出决算表</w:t>
      </w:r>
      <w:bookmarkEnd w:id="29"/>
    </w:p>
    <w:p w14:paraId="4D5B762F">
      <w:pPr>
        <w:pStyle w:val="4"/>
        <w:rPr>
          <w:rFonts w:ascii="仿宋" w:hAnsi="仿宋" w:eastAsia="仿宋"/>
          <w:color w:val="auto"/>
          <w:highlight w:val="none"/>
        </w:rPr>
      </w:pPr>
      <w:bookmarkStart w:id="30" w:name="_Toc12095"/>
      <w:r>
        <w:rPr>
          <w:rStyle w:val="1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般公共预算财政拨款项目支出决算表</w:t>
      </w:r>
      <w:bookmarkEnd w:id="30"/>
    </w:p>
    <w:p w14:paraId="35D66893">
      <w:pPr>
        <w:pStyle w:val="4"/>
        <w:rPr>
          <w:rFonts w:ascii="仿宋" w:hAnsi="仿宋" w:eastAsia="仿宋"/>
          <w:color w:val="auto"/>
          <w:highlight w:val="none"/>
        </w:rPr>
      </w:pPr>
      <w:bookmarkStart w:id="31" w:name="_Toc7916"/>
      <w:r>
        <w:rPr>
          <w:rStyle w:val="16"/>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6"/>
          <w:rFonts w:hint="eastAsia" w:ascii="仿宋" w:hAnsi="仿宋" w:eastAsia="仿宋"/>
          <w:b w:val="0"/>
          <w:bCs w:val="0"/>
          <w:color w:val="auto"/>
          <w:highlight w:val="none"/>
        </w:rPr>
        <w:t>府性基金预算财政拨款收入支出决算表</w:t>
      </w:r>
      <w:bookmarkEnd w:id="31"/>
    </w:p>
    <w:p w14:paraId="21669E9A">
      <w:pPr>
        <w:pStyle w:val="4"/>
        <w:rPr>
          <w:rFonts w:ascii="仿宋" w:hAnsi="仿宋" w:eastAsia="仿宋"/>
          <w:color w:val="auto"/>
          <w:highlight w:val="none"/>
        </w:rPr>
      </w:pPr>
      <w:bookmarkStart w:id="32" w:name="_Toc836"/>
      <w:r>
        <w:rPr>
          <w:rStyle w:val="16"/>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6"/>
          <w:rFonts w:hint="eastAsia" w:ascii="仿宋" w:hAnsi="仿宋" w:eastAsia="仿宋"/>
          <w:b w:val="0"/>
          <w:bCs w:val="0"/>
          <w:color w:val="auto"/>
          <w:highlight w:val="none"/>
        </w:rPr>
        <w:t>有资本经营预算</w:t>
      </w:r>
      <w:r>
        <w:rPr>
          <w:rStyle w:val="16"/>
          <w:rFonts w:hint="eastAsia" w:ascii="仿宋" w:hAnsi="仿宋" w:eastAsia="仿宋"/>
          <w:b w:val="0"/>
          <w:bCs w:val="0"/>
          <w:color w:val="auto"/>
          <w:highlight w:val="none"/>
          <w:lang w:eastAsia="zh-CN"/>
        </w:rPr>
        <w:t>财政拨款收入</w:t>
      </w:r>
      <w:r>
        <w:rPr>
          <w:rStyle w:val="16"/>
          <w:rFonts w:hint="eastAsia" w:ascii="仿宋" w:hAnsi="仿宋" w:eastAsia="仿宋"/>
          <w:b w:val="0"/>
          <w:bCs w:val="0"/>
          <w:color w:val="auto"/>
          <w:highlight w:val="none"/>
        </w:rPr>
        <w:t>支出决算表</w:t>
      </w:r>
      <w:bookmarkEnd w:id="32"/>
    </w:p>
    <w:p w14:paraId="6AB5B16B">
      <w:pPr>
        <w:pStyle w:val="4"/>
        <w:rPr>
          <w:rFonts w:ascii="仿宋" w:hAnsi="仿宋" w:eastAsia="仿宋"/>
          <w:color w:val="auto"/>
          <w:highlight w:val="none"/>
        </w:rPr>
      </w:pPr>
      <w:bookmarkStart w:id="33" w:name="_Toc2644"/>
      <w:r>
        <w:rPr>
          <w:rStyle w:val="16"/>
          <w:rFonts w:hint="eastAsia" w:ascii="仿宋" w:hAnsi="仿宋" w:eastAsia="仿宋"/>
          <w:b w:val="0"/>
          <w:bCs w:val="0"/>
          <w:color w:val="auto"/>
          <w:highlight w:val="none"/>
        </w:rPr>
        <w:t>十二、</w:t>
      </w:r>
      <w:r>
        <w:rPr>
          <w:rStyle w:val="16"/>
          <w:rFonts w:hint="eastAsia" w:ascii="仿宋" w:hAnsi="仿宋" w:eastAsia="仿宋"/>
          <w:b w:val="0"/>
          <w:bCs w:val="0"/>
          <w:color w:val="auto"/>
          <w:highlight w:val="none"/>
          <w:lang w:eastAsia="zh-CN"/>
        </w:rPr>
        <w:t>国有资本经营预算财政拨款支出决算表</w:t>
      </w:r>
      <w:bookmarkEnd w:id="33"/>
    </w:p>
    <w:p w14:paraId="2E283DD5">
      <w:pPr>
        <w:pStyle w:val="4"/>
        <w:rPr>
          <w:rFonts w:hint="eastAsia" w:eastAsia="仿宋"/>
          <w:color w:val="auto"/>
          <w:highlight w:val="none"/>
          <w:lang w:eastAsia="zh-CN"/>
        </w:rPr>
      </w:pPr>
      <w:bookmarkStart w:id="34" w:name="_Toc11856"/>
      <w:r>
        <w:rPr>
          <w:rStyle w:val="16"/>
          <w:rFonts w:hint="eastAsia" w:ascii="仿宋" w:hAnsi="仿宋" w:eastAsia="仿宋"/>
          <w:b w:val="0"/>
          <w:bCs w:val="0"/>
          <w:color w:val="auto"/>
          <w:highlight w:val="none"/>
        </w:rPr>
        <w:t>十三、</w:t>
      </w:r>
      <w:r>
        <w:rPr>
          <w:rStyle w:val="16"/>
          <w:rFonts w:hint="eastAsia" w:ascii="仿宋" w:hAnsi="仿宋" w:eastAsia="仿宋"/>
          <w:b w:val="0"/>
          <w:bCs w:val="0"/>
          <w:color w:val="auto"/>
          <w:highlight w:val="none"/>
          <w:lang w:eastAsia="zh-CN"/>
        </w:rPr>
        <w:t>财政拨款“三公”经费支出决算表</w:t>
      </w:r>
      <w:bookmarkEnd w:id="34"/>
    </w:p>
    <w:p w14:paraId="79F0B150">
      <w:pPr>
        <w:rPr>
          <w:rFonts w:hint="eastAsia"/>
          <w:lang w:eastAsia="zh-CN"/>
        </w:rPr>
      </w:pPr>
    </w:p>
    <w:p w14:paraId="401BD70E"/>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289C5">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42A8D7F">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D46F205">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42A8D7F">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D46F205">
                    <w:pPr>
                      <w:pStyle w:val="10"/>
                    </w:pPr>
                  </w:p>
                </w:txbxContent>
              </v:textbox>
            </v:shape>
          </w:pict>
        </mc:Fallback>
      </mc:AlternateContent>
    </w:r>
  </w:p>
  <w:p w14:paraId="7BD74180">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B56E1">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4D169">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5134D169">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A5D31">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666"/>
                          </w:sdtPr>
                          <w:sdtContent>
                            <w:p w14:paraId="0FE811E5">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64A8EA96">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sdt>
                    <w:sdtPr>
                      <w:id w:val="147481666"/>
                    </w:sdtPr>
                    <w:sdtContent>
                      <w:p w14:paraId="0FE811E5">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64A8EA96">
                    <w:pPr>
                      <w:pStyle w:val="10"/>
                    </w:pPr>
                  </w:p>
                </w:txbxContent>
              </v:textbox>
            </v:shape>
          </w:pict>
        </mc:Fallback>
      </mc:AlternateContent>
    </w:r>
  </w:p>
  <w:p w14:paraId="3874CE16">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6C328">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F301E">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4EF301E">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00172A27"/>
    <w:rsid w:val="07B436A2"/>
    <w:rsid w:val="0FE65913"/>
    <w:rsid w:val="17EC6540"/>
    <w:rsid w:val="1F130856"/>
    <w:rsid w:val="20837579"/>
    <w:rsid w:val="25826736"/>
    <w:rsid w:val="26B80661"/>
    <w:rsid w:val="2A655600"/>
    <w:rsid w:val="30F46739"/>
    <w:rsid w:val="36394B26"/>
    <w:rsid w:val="3EB70DA6"/>
    <w:rsid w:val="4EF6465B"/>
    <w:rsid w:val="592D018B"/>
    <w:rsid w:val="5A2E41BB"/>
    <w:rsid w:val="5D050D67"/>
    <w:rsid w:val="5FB213EA"/>
    <w:rsid w:val="5FD17AC2"/>
    <w:rsid w:val="6170330B"/>
    <w:rsid w:val="6A0E546F"/>
    <w:rsid w:val="6B01589B"/>
    <w:rsid w:val="72A61571"/>
    <w:rsid w:val="78C87095"/>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0">
    <w:name w:val="footnote text"/>
    <w:basedOn w:val="1"/>
    <w:next w:val="6"/>
    <w:semiHidden/>
    <w:qFormat/>
    <w:uiPriority w:val="0"/>
    <w:pPr>
      <w:snapToGrid w:val="0"/>
      <w:jc w:val="left"/>
    </w:pPr>
    <w:rPr>
      <w:sz w:val="18"/>
      <w:szCs w:val="1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customStyle="1" w:styleId="15">
    <w:name w:val="标题 1 Char"/>
    <w:basedOn w:val="13"/>
    <w:link w:val="3"/>
    <w:qFormat/>
    <w:uiPriority w:val="9"/>
    <w:rPr>
      <w:b/>
      <w:bCs/>
      <w:kern w:val="44"/>
      <w:sz w:val="44"/>
      <w:szCs w:val="44"/>
    </w:rPr>
  </w:style>
  <w:style w:type="character" w:customStyle="1" w:styleId="16">
    <w:name w:val="标题 2 Char"/>
    <w:basedOn w:val="13"/>
    <w:link w:val="4"/>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9">
    <w:name w:val="WPSOffice手动目录 1"/>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8.emf"/><Relationship Id="rId3" Type="http://schemas.openxmlformats.org/officeDocument/2006/relationships/footer" Target="footer1.xml"/><Relationship Id="rId29" Type="http://schemas.openxmlformats.org/officeDocument/2006/relationships/oleObject" Target="embeddings/oleObject8.bin"/><Relationship Id="rId28" Type="http://schemas.openxmlformats.org/officeDocument/2006/relationships/image" Target="media/image7.emf"/><Relationship Id="rId27" Type="http://schemas.openxmlformats.org/officeDocument/2006/relationships/oleObject" Target="embeddings/oleObject7.bin"/><Relationship Id="rId26" Type="http://schemas.openxmlformats.org/officeDocument/2006/relationships/image" Target="media/image6.emf"/><Relationship Id="rId25" Type="http://schemas.openxmlformats.org/officeDocument/2006/relationships/oleObject" Target="embeddings/oleObject6.bin"/><Relationship Id="rId24" Type="http://schemas.openxmlformats.org/officeDocument/2006/relationships/image" Target="media/image5.emf"/><Relationship Id="rId23" Type="http://schemas.openxmlformats.org/officeDocument/2006/relationships/oleObject" Target="embeddings/oleObject5.bin"/><Relationship Id="rId22" Type="http://schemas.openxmlformats.org/officeDocument/2006/relationships/image" Target="media/image4.emf"/><Relationship Id="rId21" Type="http://schemas.openxmlformats.org/officeDocument/2006/relationships/oleObject" Target="embeddings/oleObject4.bin"/><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e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3882.905815</c:v>
                </c:pt>
                <c:pt idx="1">
                  <c:v>3882.905815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3007.518731</c:v>
                </c:pt>
                <c:pt idx="1">
                  <c:v>3007.518731</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100</a:t>
                    </a:r>
                    <a:r>
                      <a:rPr lang="en-US" altLang="zh-CN"/>
                      <a:t>%</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85.</a:t>
                    </a:r>
                    <a:r>
                      <a:rPr lang="en-US" altLang="zh-CN"/>
                      <a:t>9</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14.1%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0.8587</c:v>
                </c:pt>
                <c:pt idx="1">
                  <c:v>0.1413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3882.905815</c:v>
                </c:pt>
                <c:pt idx="1">
                  <c:v>3882.905815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3007.518731</c:v>
                </c:pt>
                <c:pt idx="1">
                  <c:v>3007.518731</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_ * #,##0.00_ ;_ * \-#,##0.00_ ;_ * "-"??_ ;_ @_ </c:formatCode>
                <c:ptCount val="1"/>
                <c:pt idx="0">
                  <c:v>3882.905815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_ * #,##0.00_ ;_ * \-#,##0.00_ ;_ * "-"??_ ;_ @_ </c:formatCode>
                <c:ptCount val="1"/>
                <c:pt idx="0">
                  <c:v>3007.518731</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a:t>
                    </a:r>
                    <a:r>
                      <a:rPr lang="en-US" altLang="zh-CN"/>
                      <a:t>1</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4.</a:t>
                    </a:r>
                    <a:r>
                      <a:rPr lang="en-US" altLang="zh-CN"/>
                      <a:t>4</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7</a:t>
                    </a:r>
                    <a:r>
                      <a:rPr lang="en-US" altLang="zh-CN"/>
                      <a:t>8</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5.6%</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0.1005</c:v>
                </c:pt>
                <c:pt idx="1">
                  <c:v>0.0435</c:v>
                </c:pt>
                <c:pt idx="2">
                  <c:v>0.7996</c:v>
                </c:pt>
                <c:pt idx="3">
                  <c:v>0.0564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554481758878956"/>
                  <c:y val="0.0059498512537186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a:t>
                    </a:r>
                    <a:r>
                      <a:rPr lang="en-US" altLang="zh-CN"/>
                      <a:t>4</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72239671418217"/>
                  <c:y val="0.0089247768805779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0.6%</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00%">
                  <c:v>0.9937</c:v>
                </c:pt>
                <c:pt idx="2" c:formatCode="0.00%">
                  <c:v>0.0063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5027</Words>
  <Characters>5519</Characters>
  <Lines>0</Lines>
  <Paragraphs>0</Paragraphs>
  <TotalTime>7</TotalTime>
  <ScaleCrop>false</ScaleCrop>
  <LinksUpToDate>false</LinksUpToDate>
  <CharactersWithSpaces>5692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2024-09-18T03:09:24Z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FA27C07DF7AB491EB076EEBE352DBE03_13</vt:lpwstr>
  </property>
</Properties>
</file>