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2B97F">
      <w:pPr>
        <w:pStyle w:val="4"/>
        <w:jc w:val="center"/>
        <w:rPr>
          <w:rFonts w:hint="eastAsia" w:ascii="方正小标宋简体" w:hAnsi="宋体" w:eastAsia="方正小标宋简体" w:cs="Times New Roman"/>
          <w:color w:val="auto"/>
          <w:kern w:val="2"/>
          <w:sz w:val="44"/>
          <w:szCs w:val="44"/>
          <w:highlight w:val="none"/>
          <w:lang w:val="en-US" w:eastAsia="zh-CN" w:bidi="ar-SA"/>
        </w:rPr>
      </w:pPr>
    </w:p>
    <w:p w14:paraId="317A8DC9">
      <w:pPr>
        <w:pStyle w:val="4"/>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2023年度阿坝藏族羌族自治州公路管理局金川公路管理分局单位决算</w:t>
      </w:r>
    </w:p>
    <w:p w14:paraId="580A30DE">
      <w:pPr>
        <w:widowControl/>
        <w:spacing w:line="440" w:lineRule="exact"/>
        <w:jc w:val="left"/>
        <w:rPr>
          <w:rFonts w:ascii="仿宋" w:hAnsi="仿宋" w:eastAsia="仿宋"/>
          <w:b/>
          <w:color w:val="auto"/>
          <w:sz w:val="24"/>
          <w:highlight w:val="none"/>
        </w:rPr>
      </w:pPr>
      <w:r>
        <w:rPr>
          <w:rFonts w:ascii="方正小标宋简体" w:hAnsi="宋体" w:eastAsia="方正小标宋简体"/>
          <w:color w:val="auto"/>
          <w:sz w:val="36"/>
          <w:szCs w:val="36"/>
          <w:highlight w:val="none"/>
        </w:rPr>
        <w:br w:type="page"/>
      </w:r>
    </w:p>
    <w:sdt>
      <w:sdtPr>
        <w:rPr>
          <w:rFonts w:ascii="宋体" w:hAnsi="宋体" w:eastAsia="宋体" w:cs="Times New Roman"/>
          <w:kern w:val="2"/>
          <w:sz w:val="21"/>
          <w:szCs w:val="24"/>
          <w:lang w:val="en-US" w:eastAsia="zh-CN" w:bidi="ar-SA"/>
        </w:rPr>
        <w:id w:val="147476929"/>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466E48EC">
          <w:pPr>
            <w:spacing w:before="0" w:beforeLines="0" w:after="0" w:afterLines="0" w:line="240" w:lineRule="auto"/>
            <w:ind w:left="0" w:leftChars="0" w:right="0" w:rightChars="0" w:firstLine="0" w:firstLineChars="0"/>
            <w:jc w:val="center"/>
            <w:rPr>
              <w:rFonts w:hint="eastAsia" w:ascii="黑体" w:hAnsi="黑体" w:eastAsia="黑体" w:cs="黑体"/>
              <w:kern w:val="2"/>
              <w:sz w:val="48"/>
              <w:szCs w:val="48"/>
              <w:lang w:val="en-US" w:eastAsia="zh-CN" w:bidi="ar-SA"/>
            </w:rPr>
          </w:pPr>
          <w:r>
            <w:rPr>
              <w:rFonts w:hint="eastAsia" w:ascii="黑体" w:hAnsi="黑体" w:eastAsia="黑体" w:cs="黑体"/>
              <w:kern w:val="2"/>
              <w:sz w:val="48"/>
              <w:szCs w:val="48"/>
              <w:lang w:val="en-US" w:eastAsia="zh-CN" w:bidi="ar-SA"/>
            </w:rPr>
            <w:t>目录</w:t>
          </w:r>
        </w:p>
        <w:p w14:paraId="0A685480">
          <w:pPr>
            <w:pStyle w:val="9"/>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p w14:paraId="51C55778">
          <w:pPr>
            <w:pStyle w:val="20"/>
            <w:tabs>
              <w:tab w:val="right" w:leader="dot" w:pos="8306"/>
            </w:tabs>
          </w:pPr>
        </w:p>
        <w:p w14:paraId="4CD0FCEA">
          <w:pPr>
            <w:pStyle w:val="20"/>
            <w:tabs>
              <w:tab w:val="right" w:leader="dot" w:pos="8306"/>
            </w:tabs>
            <w:rPr>
              <w:rFonts w:hint="eastAsia" w:ascii="仿宋" w:hAnsi="仿宋" w:eastAsia="仿宋" w:cs="仿宋"/>
              <w:color w:val="auto"/>
              <w:kern w:val="2"/>
              <w:sz w:val="28"/>
              <w:szCs w:val="28"/>
              <w:highlight w:val="none"/>
              <w:lang w:val="en-US" w:eastAsia="zh-CN" w:bidi="ar-SA"/>
            </w:rPr>
          </w:pPr>
          <w:r>
            <w:fldChar w:fldCharType="begin"/>
          </w:r>
          <w:r>
            <w:instrText xml:space="preserve">TOC \o "1-2" \h \u </w:instrText>
          </w:r>
          <w:r>
            <w:fldChar w:fldCharType="separate"/>
          </w: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HYPERLINK \l _Toc16886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第一部分 单位概况</w:t>
          </w:r>
          <w:r>
            <w:rPr>
              <w:rFonts w:hint="eastAsia" w:ascii="仿宋" w:hAnsi="仿宋" w:eastAsia="仿宋" w:cs="仿宋"/>
              <w:color w:val="auto"/>
              <w:kern w:val="2"/>
              <w:sz w:val="28"/>
              <w:szCs w:val="28"/>
              <w:highlight w:val="none"/>
              <w:lang w:val="en-US" w:eastAsia="zh-CN" w:bidi="ar-SA"/>
            </w:rPr>
            <w:tab/>
          </w: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PAGEREF _Toc16886 \h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- 1 -</w:t>
          </w:r>
          <w:r>
            <w:rPr>
              <w:rFonts w:hint="eastAsia" w:ascii="仿宋" w:hAnsi="仿宋" w:eastAsia="仿宋" w:cs="仿宋"/>
              <w:color w:val="auto"/>
              <w:kern w:val="2"/>
              <w:sz w:val="28"/>
              <w:szCs w:val="28"/>
              <w:highlight w:val="none"/>
              <w:lang w:val="en-US" w:eastAsia="zh-CN" w:bidi="ar-SA"/>
            </w:rPr>
            <w:fldChar w:fldCharType="end"/>
          </w:r>
          <w:r>
            <w:rPr>
              <w:rFonts w:hint="eastAsia" w:ascii="仿宋" w:hAnsi="仿宋" w:eastAsia="仿宋" w:cs="仿宋"/>
              <w:color w:val="auto"/>
              <w:kern w:val="2"/>
              <w:sz w:val="28"/>
              <w:szCs w:val="28"/>
              <w:highlight w:val="none"/>
              <w:lang w:val="en-US" w:eastAsia="zh-CN" w:bidi="ar-SA"/>
            </w:rPr>
            <w:fldChar w:fldCharType="end"/>
          </w:r>
        </w:p>
        <w:p w14:paraId="3EBEE5EB">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_Toc11375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eastAsia="zh-CN"/>
            </w:rPr>
            <w:t>一、主要职责</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_Toc11375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7F3BD0AA">
          <w:pPr>
            <w:pStyle w:val="11"/>
            <w:adjustRightInd w:val="0"/>
            <w:snapToGrid w:val="0"/>
            <w:spacing w:line="440" w:lineRule="exact"/>
            <w:jc w:val="left"/>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_Toc15893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val="en-US" w:eastAsia="zh-CN"/>
            </w:rPr>
            <w:t>二、机构设置</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_Toc15893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462C7969">
          <w:pPr>
            <w:pStyle w:val="20"/>
            <w:tabs>
              <w:tab w:val="right" w:leader="dot" w:pos="8306"/>
            </w:tabs>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HYPERLINK \l _Toc15630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第二部分 2023年度单位决算情况说明</w:t>
          </w:r>
          <w:r>
            <w:rPr>
              <w:rFonts w:hint="eastAsia" w:ascii="仿宋" w:hAnsi="仿宋" w:eastAsia="仿宋" w:cs="仿宋"/>
              <w:color w:val="auto"/>
              <w:kern w:val="2"/>
              <w:sz w:val="28"/>
              <w:szCs w:val="28"/>
              <w:highlight w:val="none"/>
              <w:lang w:val="en-US" w:eastAsia="zh-CN" w:bidi="ar-SA"/>
            </w:rPr>
            <w:tab/>
          </w: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PAGEREF _Toc15630 \h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- 2 -</w:t>
          </w:r>
          <w:r>
            <w:rPr>
              <w:rFonts w:hint="eastAsia" w:ascii="仿宋" w:hAnsi="仿宋" w:eastAsia="仿宋" w:cs="仿宋"/>
              <w:color w:val="auto"/>
              <w:kern w:val="2"/>
              <w:sz w:val="28"/>
              <w:szCs w:val="28"/>
              <w:highlight w:val="none"/>
              <w:lang w:val="en-US" w:eastAsia="zh-CN" w:bidi="ar-SA"/>
            </w:rPr>
            <w:fldChar w:fldCharType="end"/>
          </w:r>
          <w:r>
            <w:rPr>
              <w:rFonts w:hint="eastAsia" w:ascii="仿宋" w:hAnsi="仿宋" w:eastAsia="仿宋" w:cs="仿宋"/>
              <w:color w:val="auto"/>
              <w:kern w:val="2"/>
              <w:sz w:val="28"/>
              <w:szCs w:val="28"/>
              <w:highlight w:val="none"/>
              <w:lang w:val="en-US" w:eastAsia="zh-CN" w:bidi="ar-SA"/>
            </w:rPr>
            <w:fldChar w:fldCharType="end"/>
          </w:r>
        </w:p>
        <w:p w14:paraId="4CBB368D">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_Toc10695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eastAsia="zh-CN"/>
            </w:rPr>
            <w:t>一、</w:t>
          </w:r>
          <w:r>
            <w:rPr>
              <w:rFonts w:hint="eastAsia" w:ascii="仿宋" w:hAnsi="仿宋" w:eastAsia="仿宋" w:cs="仿宋"/>
              <w:color w:val="auto"/>
              <w:sz w:val="28"/>
              <w:szCs w:val="28"/>
              <w:highlight w:val="none"/>
            </w:rPr>
            <w:t>收入支出决算总体情况说明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_Toc10695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2885E1D9">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_Toc12700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eastAsia="zh-CN"/>
            </w:rPr>
            <w:t>二、</w:t>
          </w:r>
          <w:r>
            <w:rPr>
              <w:rFonts w:hint="eastAsia" w:ascii="仿宋" w:hAnsi="仿宋" w:eastAsia="仿宋" w:cs="仿宋"/>
              <w:color w:val="auto"/>
              <w:sz w:val="28"/>
              <w:szCs w:val="28"/>
              <w:highlight w:val="none"/>
            </w:rPr>
            <w:t>收入决算情况说明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_Toc12700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69B0D8D4">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_Toc14587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eastAsia="zh-CN"/>
            </w:rPr>
            <w:t>三、</w:t>
          </w:r>
          <w:r>
            <w:rPr>
              <w:rFonts w:hint="eastAsia" w:ascii="仿宋" w:hAnsi="仿宋" w:eastAsia="仿宋" w:cs="仿宋"/>
              <w:color w:val="auto"/>
              <w:sz w:val="28"/>
              <w:szCs w:val="28"/>
              <w:highlight w:val="none"/>
            </w:rPr>
            <w:t>支出决算情况说明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_Toc14587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- 3 -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0B88576A">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_Toc6016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四、财政拨款收入支出决算总体情况说明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_Toc6016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F1EBE33">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_Toc1191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五、一般公共预算财政拨款支出决算情况说明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_Toc1191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3CEC84D3">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_Toc17903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六、一般公共预算财政拨款基本支出决算情况说明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_Toc17903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- 7 -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2482D533">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_Toc14939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七、财政拨款“三公”经费支出决算情况说明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_Toc14939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- 8 -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0B0989D">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_Toc32752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八、政府性基金预算支出决算情况说明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_Toc32752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2E70CE7">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_Toc7952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eastAsia="zh-CN"/>
            </w:rPr>
            <w:t>九、</w:t>
          </w:r>
          <w:r>
            <w:rPr>
              <w:rFonts w:hint="eastAsia" w:ascii="仿宋" w:hAnsi="仿宋" w:eastAsia="仿宋" w:cs="仿宋"/>
              <w:color w:val="auto"/>
              <w:sz w:val="28"/>
              <w:szCs w:val="28"/>
              <w:highlight w:val="none"/>
            </w:rPr>
            <w:t>国有资本经营预算支出决算情况说明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_Toc7952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- 10 -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20E55EDD">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_Toc10438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eastAsia="zh-CN"/>
            </w:rPr>
            <w:t>十、</w:t>
          </w:r>
          <w:r>
            <w:rPr>
              <w:rFonts w:hint="eastAsia" w:ascii="仿宋" w:hAnsi="仿宋" w:eastAsia="仿宋" w:cs="仿宋"/>
              <w:color w:val="auto"/>
              <w:sz w:val="28"/>
              <w:szCs w:val="28"/>
              <w:highlight w:val="none"/>
            </w:rPr>
            <w:t>其他重要事项的情况说明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_Toc10438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- 10 -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05F7D5AF">
          <w:pPr>
            <w:pStyle w:val="20"/>
            <w:tabs>
              <w:tab w:val="right" w:leader="dot" w:pos="8306"/>
            </w:tabs>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HYPERLINK \l _Toc29265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第三部分 名词解释</w:t>
          </w:r>
          <w:r>
            <w:rPr>
              <w:rFonts w:hint="eastAsia" w:ascii="仿宋" w:hAnsi="仿宋" w:eastAsia="仿宋" w:cs="仿宋"/>
              <w:color w:val="auto"/>
              <w:kern w:val="2"/>
              <w:sz w:val="28"/>
              <w:szCs w:val="28"/>
              <w:highlight w:val="none"/>
              <w:lang w:val="en-US" w:eastAsia="zh-CN" w:bidi="ar-SA"/>
            </w:rPr>
            <w:tab/>
          </w: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PAGEREF _Toc29265 \h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- 12 -</w:t>
          </w:r>
          <w:r>
            <w:rPr>
              <w:rFonts w:hint="eastAsia" w:ascii="仿宋" w:hAnsi="仿宋" w:eastAsia="仿宋" w:cs="仿宋"/>
              <w:color w:val="auto"/>
              <w:kern w:val="2"/>
              <w:sz w:val="28"/>
              <w:szCs w:val="28"/>
              <w:highlight w:val="none"/>
              <w:lang w:val="en-US" w:eastAsia="zh-CN" w:bidi="ar-SA"/>
            </w:rPr>
            <w:fldChar w:fldCharType="end"/>
          </w:r>
          <w:r>
            <w:rPr>
              <w:rFonts w:hint="eastAsia" w:ascii="仿宋" w:hAnsi="仿宋" w:eastAsia="仿宋" w:cs="仿宋"/>
              <w:color w:val="auto"/>
              <w:kern w:val="2"/>
              <w:sz w:val="28"/>
              <w:szCs w:val="28"/>
              <w:highlight w:val="none"/>
              <w:lang w:val="en-US" w:eastAsia="zh-CN" w:bidi="ar-SA"/>
            </w:rPr>
            <w:fldChar w:fldCharType="end"/>
          </w:r>
        </w:p>
        <w:p w14:paraId="1028A9E2">
          <w:pPr>
            <w:pStyle w:val="20"/>
            <w:tabs>
              <w:tab w:val="right" w:leader="dot" w:pos="8306"/>
            </w:tabs>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HYPERLINK \l _Toc3638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第四部分 附件</w:t>
          </w:r>
          <w:r>
            <w:rPr>
              <w:rFonts w:hint="eastAsia" w:ascii="仿宋" w:hAnsi="仿宋" w:eastAsia="仿宋" w:cs="仿宋"/>
              <w:color w:val="auto"/>
              <w:kern w:val="2"/>
              <w:sz w:val="28"/>
              <w:szCs w:val="28"/>
              <w:highlight w:val="none"/>
              <w:lang w:val="en-US" w:eastAsia="zh-CN" w:bidi="ar-SA"/>
            </w:rPr>
            <w:tab/>
          </w: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PAGEREF _Toc3638 \h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- 15 -</w:t>
          </w:r>
          <w:r>
            <w:rPr>
              <w:rFonts w:hint="eastAsia" w:ascii="仿宋" w:hAnsi="仿宋" w:eastAsia="仿宋" w:cs="仿宋"/>
              <w:color w:val="auto"/>
              <w:kern w:val="2"/>
              <w:sz w:val="28"/>
              <w:szCs w:val="28"/>
              <w:highlight w:val="none"/>
              <w:lang w:val="en-US" w:eastAsia="zh-CN" w:bidi="ar-SA"/>
            </w:rPr>
            <w:fldChar w:fldCharType="end"/>
          </w:r>
          <w:r>
            <w:rPr>
              <w:rFonts w:hint="eastAsia" w:ascii="仿宋" w:hAnsi="仿宋" w:eastAsia="仿宋" w:cs="仿宋"/>
              <w:color w:val="auto"/>
              <w:kern w:val="2"/>
              <w:sz w:val="28"/>
              <w:szCs w:val="28"/>
              <w:highlight w:val="none"/>
              <w:lang w:val="en-US" w:eastAsia="zh-CN" w:bidi="ar-SA"/>
            </w:rPr>
            <w:fldChar w:fldCharType="end"/>
          </w:r>
        </w:p>
        <w:p w14:paraId="6E614AB0">
          <w:pPr>
            <w:pStyle w:val="20"/>
            <w:tabs>
              <w:tab w:val="right" w:leader="dot" w:pos="8306"/>
            </w:tabs>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HYPERLINK \l _Toc16227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第五部分 附表</w:t>
          </w:r>
          <w:r>
            <w:rPr>
              <w:rFonts w:hint="eastAsia" w:ascii="仿宋" w:hAnsi="仿宋" w:eastAsia="仿宋" w:cs="仿宋"/>
              <w:color w:val="auto"/>
              <w:kern w:val="2"/>
              <w:sz w:val="28"/>
              <w:szCs w:val="28"/>
              <w:highlight w:val="none"/>
              <w:lang w:val="en-US" w:eastAsia="zh-CN" w:bidi="ar-SA"/>
            </w:rPr>
            <w:tab/>
          </w: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PAGEREF _Toc16227 \h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- 24 -</w:t>
          </w:r>
          <w:r>
            <w:rPr>
              <w:rFonts w:hint="eastAsia" w:ascii="仿宋" w:hAnsi="仿宋" w:eastAsia="仿宋" w:cs="仿宋"/>
              <w:color w:val="auto"/>
              <w:kern w:val="2"/>
              <w:sz w:val="28"/>
              <w:szCs w:val="28"/>
              <w:highlight w:val="none"/>
              <w:lang w:val="en-US" w:eastAsia="zh-CN" w:bidi="ar-SA"/>
            </w:rPr>
            <w:fldChar w:fldCharType="end"/>
          </w:r>
          <w:r>
            <w:rPr>
              <w:rFonts w:hint="eastAsia" w:ascii="仿宋" w:hAnsi="仿宋" w:eastAsia="仿宋" w:cs="仿宋"/>
              <w:color w:val="auto"/>
              <w:kern w:val="2"/>
              <w:sz w:val="28"/>
              <w:szCs w:val="28"/>
              <w:highlight w:val="none"/>
              <w:lang w:val="en-US" w:eastAsia="zh-CN" w:bidi="ar-SA"/>
            </w:rPr>
            <w:fldChar w:fldCharType="end"/>
          </w:r>
        </w:p>
        <w:p w14:paraId="6A1CF3D5">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_Toc6250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一、收入支出决算总表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_Toc6250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04F19EA2">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_Toc1906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二、收入决算表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_Toc1906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35D8F472">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_Toc24754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三、支出决算表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_Toc24754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063FD026">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_Toc25562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四、财政拨款收入支出决算总表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_Toc25562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6A17D1E9">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_Toc26583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五、财政拨款支出决算明细表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_Toc26583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2EA3CA0D">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_Toc17648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六、一般公共预算财政拨款支出决算表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_Toc17648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14F1D88A">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_Toc32296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七、一般公共预算财政拨款支出决算明细表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_Toc32296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662C47E3">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_Toc32233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八、一般公共预算财政拨款基本支出决算表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_Toc32233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738FBB39">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_Toc26012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九、一般公共预算财政拨款项目支出决算表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_Toc26012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F1BAB4A">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_Toc32272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十、政府性基金预算财政拨款收入支出决算表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_Toc32272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7404A616">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_Toc30908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十一、国有资本经营预算</w:t>
          </w:r>
          <w:r>
            <w:rPr>
              <w:rFonts w:hint="eastAsia" w:ascii="仿宋" w:hAnsi="仿宋" w:eastAsia="仿宋" w:cs="仿宋"/>
              <w:color w:val="auto"/>
              <w:sz w:val="28"/>
              <w:szCs w:val="28"/>
              <w:highlight w:val="none"/>
              <w:lang w:eastAsia="zh-CN"/>
            </w:rPr>
            <w:t>财政拨款收入</w:t>
          </w:r>
          <w:r>
            <w:rPr>
              <w:rFonts w:hint="eastAsia" w:ascii="仿宋" w:hAnsi="仿宋" w:eastAsia="仿宋" w:cs="仿宋"/>
              <w:color w:val="auto"/>
              <w:sz w:val="28"/>
              <w:szCs w:val="28"/>
              <w:highlight w:val="none"/>
            </w:rPr>
            <w:t>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_Toc30908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BF354F1">
          <w:pPr>
            <w:pStyle w:val="11"/>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_Toc25742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十二、</w:t>
          </w:r>
          <w:r>
            <w:rPr>
              <w:rFonts w:hint="eastAsia" w:ascii="仿宋" w:hAnsi="仿宋" w:eastAsia="仿宋" w:cs="仿宋"/>
              <w:color w:val="auto"/>
              <w:sz w:val="28"/>
              <w:szCs w:val="28"/>
              <w:highlight w:val="none"/>
              <w:lang w:eastAsia="zh-CN"/>
            </w:rPr>
            <w:t>国有资本经营预算财政拨款支出决算表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_Toc25742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4763CCEB">
          <w:pPr>
            <w:pStyle w:val="11"/>
            <w:adjustRightInd w:val="0"/>
            <w:snapToGrid w:val="0"/>
            <w:spacing w:line="440" w:lineRule="exact"/>
            <w:jc w:val="left"/>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_Toc21963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十三、</w:t>
          </w:r>
          <w:r>
            <w:rPr>
              <w:rFonts w:hint="eastAsia" w:ascii="仿宋" w:hAnsi="仿宋" w:eastAsia="仿宋" w:cs="仿宋"/>
              <w:color w:val="auto"/>
              <w:sz w:val="28"/>
              <w:szCs w:val="28"/>
              <w:highlight w:val="none"/>
              <w:lang w:eastAsia="zh-CN"/>
            </w:rPr>
            <w:t>财政拨款“三公”经费支出决算表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_Toc21963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- 24 -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C6B249F">
          <w:pPr>
            <w:rPr>
              <w:b/>
            </w:rPr>
          </w:pPr>
          <w:r>
            <w:rPr>
              <w:b/>
            </w:rPr>
            <w:fldChar w:fldCharType="end"/>
          </w:r>
        </w:p>
      </w:sdtContent>
    </w:sdt>
    <w:p w14:paraId="1E6683F0">
      <w:pPr>
        <w:rPr>
          <w:b/>
        </w:rPr>
      </w:pPr>
    </w:p>
    <w:p w14:paraId="6A49A878">
      <w:pPr>
        <w:pStyle w:val="2"/>
        <w:jc w:val="center"/>
        <w:rPr>
          <w:rFonts w:hint="eastAsia" w:ascii="黑体" w:hAnsi="黑体" w:eastAsia="黑体"/>
          <w:b w:val="0"/>
          <w:color w:val="auto"/>
          <w:highlight w:val="none"/>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bookmarkStart w:id="0" w:name="_Toc16886"/>
    </w:p>
    <w:p w14:paraId="019B9E7D">
      <w:pPr>
        <w:pStyle w:val="2"/>
        <w:jc w:val="center"/>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5"/>
          <w:rFonts w:hint="eastAsia" w:ascii="黑体" w:hAnsi="黑体" w:eastAsia="黑体"/>
          <w:b w:val="0"/>
          <w:bCs w:val="0"/>
          <w:color w:val="auto"/>
          <w:highlight w:val="none"/>
        </w:rPr>
        <w:t>概况</w:t>
      </w:r>
      <w:bookmarkEnd w:id="0"/>
    </w:p>
    <w:p w14:paraId="5F82C092">
      <w:pPr>
        <w:pStyle w:val="3"/>
        <w:numPr>
          <w:ilvl w:val="0"/>
          <w:numId w:val="1"/>
        </w:numPr>
        <w:rPr>
          <w:rStyle w:val="16"/>
          <w:rFonts w:hint="eastAsia" w:ascii="黑体" w:hAnsi="黑体" w:eastAsia="黑体"/>
          <w:b w:val="0"/>
          <w:bCs w:val="0"/>
          <w:color w:val="auto"/>
          <w:highlight w:val="none"/>
          <w:lang w:eastAsia="zh-CN"/>
        </w:rPr>
      </w:pPr>
      <w:bookmarkStart w:id="1" w:name="_Toc11375"/>
      <w:r>
        <w:rPr>
          <w:rStyle w:val="16"/>
          <w:rFonts w:hint="eastAsia" w:ascii="黑体" w:hAnsi="黑体" w:eastAsia="黑体"/>
          <w:b w:val="0"/>
          <w:bCs w:val="0"/>
          <w:color w:val="auto"/>
          <w:highlight w:val="none"/>
          <w:lang w:eastAsia="zh-CN"/>
        </w:rPr>
        <w:t>主要职责</w:t>
      </w:r>
      <w:bookmarkEnd w:id="1"/>
    </w:p>
    <w:p w14:paraId="08B75FE5">
      <w:pPr>
        <w:pStyle w:val="3"/>
        <w:numPr>
          <w:ilvl w:val="0"/>
          <w:numId w:val="0"/>
        </w:numPr>
        <w:ind w:firstLine="640" w:firstLineChars="200"/>
        <w:rPr>
          <w:rFonts w:hint="eastAsia" w:ascii="仿宋" w:hAnsi="仿宋" w:eastAsia="仿宋" w:cs="Times New Roman"/>
          <w:b w:val="0"/>
          <w:bCs w:val="0"/>
          <w:color w:val="auto"/>
          <w:kern w:val="2"/>
          <w:sz w:val="32"/>
          <w:szCs w:val="32"/>
          <w:highlight w:val="none"/>
          <w:lang w:val="en-US" w:eastAsia="zh-CN" w:bidi="ar-SA"/>
        </w:rPr>
      </w:pPr>
      <w:bookmarkStart w:id="2" w:name="_Toc14666"/>
      <w:bookmarkStart w:id="3" w:name="_Toc27725"/>
      <w:r>
        <w:rPr>
          <w:rFonts w:hint="eastAsia" w:ascii="仿宋" w:hAnsi="仿宋" w:eastAsia="仿宋" w:cs="Times New Roman"/>
          <w:b w:val="0"/>
          <w:bCs w:val="0"/>
          <w:color w:val="auto"/>
          <w:kern w:val="2"/>
          <w:sz w:val="32"/>
          <w:szCs w:val="32"/>
          <w:highlight w:val="none"/>
          <w:lang w:val="en-US" w:eastAsia="zh-CN" w:bidi="ar-SA"/>
        </w:rPr>
        <w:t>阿坝藏族羌族自治州公路管理局金川公路管理分局属于服务型事业单位,主要负责辖区内国道线、省道公路的维护和保养工作。</w:t>
      </w:r>
      <w:bookmarkEnd w:id="2"/>
      <w:bookmarkEnd w:id="3"/>
    </w:p>
    <w:p w14:paraId="166AE2F8">
      <w:pPr>
        <w:pStyle w:val="3"/>
        <w:numPr>
          <w:ilvl w:val="0"/>
          <w:numId w:val="0"/>
        </w:numPr>
        <w:rPr>
          <w:rFonts w:hint="eastAsia" w:ascii="黑体" w:hAnsi="黑体" w:eastAsia="黑体"/>
          <w:b w:val="0"/>
          <w:color w:val="auto"/>
          <w:highlight w:val="none"/>
          <w:lang w:val="en-US" w:eastAsia="zh-CN"/>
        </w:rPr>
      </w:pPr>
      <w:bookmarkStart w:id="4" w:name="_Toc15893"/>
      <w:r>
        <w:rPr>
          <w:rFonts w:hint="eastAsia" w:ascii="黑体" w:hAnsi="黑体" w:eastAsia="黑体"/>
          <w:b w:val="0"/>
          <w:color w:val="auto"/>
          <w:highlight w:val="none"/>
          <w:lang w:val="en-US" w:eastAsia="zh-CN"/>
        </w:rPr>
        <w:t>二、机构设置</w:t>
      </w:r>
      <w:bookmarkEnd w:id="4"/>
    </w:p>
    <w:p w14:paraId="58F602C5">
      <w:pPr>
        <w:widowControl/>
        <w:ind w:firstLine="640" w:firstLineChars="200"/>
        <w:jc w:val="left"/>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本单位本年度纳入本套决算编制范围的独立编制机构数共1个，比上年增加0个。</w:t>
      </w:r>
    </w:p>
    <w:p w14:paraId="74DDD4BE">
      <w:pPr>
        <w:widowControl/>
        <w:ind w:firstLine="640" w:firstLineChars="200"/>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14:paraId="5A305E29">
      <w:pPr>
        <w:pStyle w:val="2"/>
        <w:ind w:right="440"/>
        <w:jc w:val="center"/>
        <w:rPr>
          <w:rStyle w:val="15"/>
          <w:rFonts w:ascii="黑体" w:hAnsi="黑体" w:eastAsia="黑体"/>
          <w:b w:val="0"/>
          <w:bCs/>
          <w:color w:val="auto"/>
          <w:highlight w:val="none"/>
        </w:rPr>
      </w:pPr>
      <w:bookmarkStart w:id="5" w:name="_Toc15630"/>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5"/>
          <w:rFonts w:hint="eastAsia" w:ascii="黑体" w:hAnsi="黑体" w:eastAsia="黑体"/>
          <w:b w:val="0"/>
          <w:bCs/>
          <w:color w:val="auto"/>
          <w:highlight w:val="none"/>
          <w:lang w:eastAsia="zh-CN"/>
        </w:rPr>
        <w:t>单位</w:t>
      </w:r>
      <w:r>
        <w:rPr>
          <w:rStyle w:val="15"/>
          <w:rFonts w:hint="eastAsia" w:ascii="黑体" w:hAnsi="黑体" w:eastAsia="黑体"/>
          <w:b w:val="0"/>
          <w:bCs/>
          <w:color w:val="auto"/>
          <w:highlight w:val="none"/>
        </w:rPr>
        <w:t>决算情况说明</w:t>
      </w:r>
      <w:bookmarkEnd w:id="5"/>
    </w:p>
    <w:p w14:paraId="45F0889C">
      <w:pPr>
        <w:rPr>
          <w:color w:val="auto"/>
          <w:highlight w:val="none"/>
        </w:rPr>
      </w:pPr>
    </w:p>
    <w:p w14:paraId="12FCF631">
      <w:pPr>
        <w:pStyle w:val="17"/>
        <w:numPr>
          <w:ilvl w:val="0"/>
          <w:numId w:val="0"/>
        </w:numPr>
        <w:spacing w:line="600" w:lineRule="exact"/>
        <w:ind w:left="640" w:leftChars="0"/>
        <w:outlineLvl w:val="1"/>
        <w:rPr>
          <w:rStyle w:val="16"/>
          <w:rFonts w:ascii="黑体" w:hAnsi="黑体" w:eastAsia="黑体"/>
          <w:b w:val="0"/>
          <w:color w:val="auto"/>
          <w:highlight w:val="none"/>
        </w:rPr>
      </w:pPr>
      <w:bookmarkStart w:id="6" w:name="_Toc1069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6"/>
          <w:rFonts w:hint="eastAsia" w:ascii="黑体" w:hAnsi="黑体" w:eastAsia="黑体"/>
          <w:b w:val="0"/>
          <w:color w:val="auto"/>
          <w:highlight w:val="none"/>
        </w:rPr>
        <w:t>入支出决算总体情况说明</w:t>
      </w:r>
      <w:bookmarkEnd w:id="6"/>
    </w:p>
    <w:p w14:paraId="4E900C4B">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w:t>
      </w:r>
      <w:r>
        <w:rPr>
          <w:rFonts w:hint="eastAsia" w:ascii="仿宋" w:hAnsi="仿宋" w:eastAsia="仿宋"/>
          <w:color w:val="auto"/>
          <w:sz w:val="32"/>
          <w:szCs w:val="32"/>
          <w:highlight w:val="none"/>
          <w:lang w:val="en-US" w:eastAsia="zh-CN"/>
        </w:rPr>
        <w:t>2576.97</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w:t>
      </w:r>
      <w:r>
        <w:rPr>
          <w:rFonts w:hint="eastAsia" w:ascii="仿宋" w:hAnsi="仿宋" w:eastAsia="仿宋"/>
          <w:color w:val="auto"/>
          <w:sz w:val="32"/>
          <w:szCs w:val="32"/>
          <w:highlight w:val="none"/>
          <w:lang w:val="en-US" w:eastAsia="zh-CN"/>
        </w:rPr>
        <w:t>646.01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33.5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。主要变动原因是财政预算增加</w:t>
      </w:r>
      <w:r>
        <w:rPr>
          <w:rFonts w:hint="eastAsia" w:ascii="仿宋" w:hAnsi="仿宋" w:eastAsia="仿宋"/>
          <w:color w:val="auto"/>
          <w:sz w:val="32"/>
          <w:szCs w:val="32"/>
          <w:highlight w:val="none"/>
          <w:lang w:eastAsia="zh-CN"/>
        </w:rPr>
        <w:t>。</w:t>
      </w:r>
    </w:p>
    <w:p w14:paraId="117F3A86">
      <w:pPr>
        <w:spacing w:line="240" w:lineRule="auto"/>
        <w:ind w:firstLine="0" w:firstLineChars="0"/>
        <w:rPr>
          <w:rFonts w:hint="eastAsia"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1143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C463C79">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0732B243">
      <w:pPr>
        <w:pStyle w:val="17"/>
        <w:numPr>
          <w:ilvl w:val="0"/>
          <w:numId w:val="0"/>
        </w:numPr>
        <w:spacing w:line="600" w:lineRule="exact"/>
        <w:ind w:left="640" w:leftChars="0"/>
        <w:outlineLvl w:val="1"/>
        <w:rPr>
          <w:rStyle w:val="16"/>
          <w:rFonts w:ascii="黑体" w:hAnsi="黑体" w:eastAsia="黑体"/>
          <w:b w:val="0"/>
          <w:color w:val="auto"/>
          <w:highlight w:val="none"/>
        </w:rPr>
      </w:pPr>
      <w:bookmarkStart w:id="7" w:name="_Toc12700"/>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6"/>
          <w:rFonts w:hint="eastAsia" w:ascii="黑体" w:hAnsi="黑体" w:eastAsia="黑体"/>
          <w:b w:val="0"/>
          <w:color w:val="auto"/>
          <w:highlight w:val="none"/>
        </w:rPr>
        <w:t>入决算情况说明</w:t>
      </w:r>
      <w:bookmarkEnd w:id="7"/>
    </w:p>
    <w:p w14:paraId="21740C1A">
      <w:pPr>
        <w:spacing w:line="600" w:lineRule="exact"/>
        <w:ind w:firstLine="640" w:firstLineChars="200"/>
        <w:outlineLvl w:val="1"/>
        <w:rPr>
          <w:rFonts w:ascii="仿宋" w:hAnsi="仿宋" w:eastAsia="仿宋"/>
          <w:color w:val="auto"/>
          <w:sz w:val="32"/>
          <w:szCs w:val="32"/>
          <w:highlight w:val="none"/>
        </w:rPr>
      </w:pPr>
      <w:bookmarkStart w:id="8" w:name="_Toc22114"/>
      <w:bookmarkStart w:id="9" w:name="_Toc20307"/>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w:t>
      </w:r>
      <w:r>
        <w:rPr>
          <w:rFonts w:hint="eastAsia" w:ascii="仿宋" w:hAnsi="仿宋" w:eastAsia="仿宋"/>
          <w:color w:val="auto"/>
          <w:sz w:val="32"/>
          <w:szCs w:val="32"/>
          <w:highlight w:val="none"/>
          <w:lang w:val="en-US" w:eastAsia="zh-CN"/>
        </w:rPr>
        <w:t>2576.97</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2576.97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8"/>
      <w:bookmarkEnd w:id="9"/>
    </w:p>
    <w:p w14:paraId="2406109A">
      <w:pPr>
        <w:spacing w:line="240" w:lineRule="auto"/>
        <w:ind w:firstLine="0" w:firstLineChars="0"/>
        <w:jc w:val="center"/>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1430"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仿宋" w:hAnsi="仿宋" w:eastAsia="仿宋"/>
          <w:color w:val="auto"/>
          <w:sz w:val="32"/>
          <w:szCs w:val="32"/>
          <w:highlight w:val="none"/>
        </w:rPr>
        <w:t>（图2：收入决算结构图）</w:t>
      </w:r>
    </w:p>
    <w:p w14:paraId="4D5D4E3B">
      <w:pPr>
        <w:spacing w:line="600" w:lineRule="exact"/>
        <w:ind w:firstLine="640" w:firstLineChars="200"/>
        <w:rPr>
          <w:rFonts w:ascii="仿宋_GB2312" w:eastAsia="仿宋_GB2312"/>
          <w:color w:val="auto"/>
          <w:sz w:val="32"/>
          <w:szCs w:val="32"/>
          <w:highlight w:val="none"/>
        </w:rPr>
      </w:pPr>
    </w:p>
    <w:p w14:paraId="55BD8A6C">
      <w:pPr>
        <w:pStyle w:val="17"/>
        <w:numPr>
          <w:ilvl w:val="0"/>
          <w:numId w:val="0"/>
        </w:numPr>
        <w:spacing w:line="600" w:lineRule="exact"/>
        <w:ind w:left="640" w:leftChars="0"/>
        <w:outlineLvl w:val="1"/>
        <w:rPr>
          <w:rStyle w:val="16"/>
          <w:rFonts w:ascii="黑体" w:hAnsi="黑体" w:eastAsia="黑体"/>
          <w:b w:val="0"/>
          <w:color w:val="auto"/>
          <w:highlight w:val="none"/>
        </w:rPr>
      </w:pPr>
      <w:bookmarkStart w:id="10" w:name="_Toc1458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6"/>
          <w:rFonts w:hint="eastAsia" w:ascii="黑体" w:hAnsi="黑体" w:eastAsia="黑体"/>
          <w:b w:val="0"/>
          <w:color w:val="auto"/>
          <w:highlight w:val="none"/>
        </w:rPr>
        <w:t>出决算情况说明</w:t>
      </w:r>
      <w:bookmarkEnd w:id="10"/>
    </w:p>
    <w:p w14:paraId="3ED5E3C0">
      <w:pPr>
        <w:spacing w:line="600" w:lineRule="exact"/>
        <w:ind w:firstLine="640" w:firstLineChars="200"/>
        <w:outlineLvl w:val="1"/>
        <w:rPr>
          <w:rFonts w:ascii="仿宋" w:hAnsi="仿宋" w:eastAsia="仿宋"/>
          <w:color w:val="auto"/>
          <w:sz w:val="32"/>
          <w:szCs w:val="32"/>
          <w:highlight w:val="none"/>
        </w:rPr>
      </w:pPr>
      <w:bookmarkStart w:id="11" w:name="_Toc25232"/>
      <w:bookmarkStart w:id="12" w:name="_Toc19529"/>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 w:hAnsi="仿宋" w:eastAsia="仿宋"/>
          <w:color w:val="auto"/>
          <w:sz w:val="32"/>
          <w:szCs w:val="32"/>
          <w:highlight w:val="none"/>
          <w:lang w:val="en-US" w:eastAsia="zh-CN"/>
        </w:rPr>
        <w:t>2576.97</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2422.33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94</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154.64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11"/>
      <w:bookmarkEnd w:id="12"/>
    </w:p>
    <w:p w14:paraId="56FE1586">
      <w:pPr>
        <w:spacing w:line="240" w:lineRule="auto"/>
        <w:ind w:firstLine="0" w:firstLineChars="0"/>
        <w:rPr>
          <w:rFonts w:hint="eastAsia" w:ascii="仿宋" w:hAnsi="仿宋" w:eastAsia="仿宋"/>
          <w:color w:val="auto"/>
          <w:sz w:val="32"/>
          <w:szCs w:val="32"/>
          <w:highlight w:val="none"/>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11430" b="952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566F27C">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w:t>
      </w:r>
    </w:p>
    <w:p w14:paraId="3B4CF7AD">
      <w:pPr>
        <w:spacing w:line="600" w:lineRule="exact"/>
        <w:ind w:firstLine="640" w:firstLineChars="200"/>
        <w:outlineLvl w:val="1"/>
        <w:rPr>
          <w:rStyle w:val="16"/>
          <w:rFonts w:ascii="黑体" w:hAnsi="黑体" w:eastAsia="黑体"/>
          <w:b w:val="0"/>
          <w:color w:val="auto"/>
          <w:highlight w:val="none"/>
        </w:rPr>
      </w:pPr>
      <w:bookmarkStart w:id="13" w:name="_Toc6016"/>
      <w:r>
        <w:rPr>
          <w:rFonts w:hint="eastAsia" w:ascii="黑体" w:hAnsi="黑体" w:eastAsia="黑体"/>
          <w:color w:val="auto"/>
          <w:sz w:val="32"/>
          <w:szCs w:val="32"/>
          <w:highlight w:val="none"/>
        </w:rPr>
        <w:t>四、财</w:t>
      </w:r>
      <w:r>
        <w:rPr>
          <w:rStyle w:val="16"/>
          <w:rFonts w:hint="eastAsia" w:ascii="黑体" w:hAnsi="黑体" w:eastAsia="黑体"/>
          <w:b w:val="0"/>
          <w:color w:val="auto"/>
          <w:highlight w:val="none"/>
        </w:rPr>
        <w:t>政拨款收入支出决算总体情况说明</w:t>
      </w:r>
      <w:bookmarkEnd w:id="13"/>
    </w:p>
    <w:p w14:paraId="0F7501E0">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w:t>
      </w:r>
      <w:r>
        <w:rPr>
          <w:rFonts w:hint="eastAsia" w:ascii="仿宋" w:hAnsi="仿宋" w:eastAsia="仿宋"/>
          <w:color w:val="auto"/>
          <w:sz w:val="32"/>
          <w:szCs w:val="32"/>
          <w:highlight w:val="none"/>
          <w:lang w:val="en-US" w:eastAsia="zh-CN"/>
        </w:rPr>
        <w:t>2576.97</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w:t>
      </w:r>
      <w:r>
        <w:rPr>
          <w:rFonts w:hint="eastAsia" w:ascii="仿宋" w:hAnsi="仿宋" w:eastAsia="仿宋"/>
          <w:color w:val="auto"/>
          <w:sz w:val="32"/>
          <w:szCs w:val="32"/>
          <w:highlight w:val="none"/>
          <w:lang w:val="en-US" w:eastAsia="zh-CN"/>
        </w:rPr>
        <w:t>646.01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33.5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。主要变动原因是财政预算增加</w:t>
      </w:r>
      <w:r>
        <w:rPr>
          <w:rFonts w:hint="eastAsia" w:ascii="仿宋" w:hAnsi="仿宋" w:eastAsia="仿宋"/>
          <w:color w:val="auto"/>
          <w:sz w:val="32"/>
          <w:szCs w:val="32"/>
          <w:highlight w:val="none"/>
          <w:lang w:eastAsia="zh-CN"/>
        </w:rPr>
        <w:t>。</w:t>
      </w:r>
    </w:p>
    <w:p w14:paraId="1B7692F0">
      <w:pPr>
        <w:spacing w:line="240" w:lineRule="auto"/>
        <w:ind w:firstLine="0" w:firstLineChars="0"/>
        <w:jc w:val="center"/>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11430" b="952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仿宋" w:hAnsi="仿宋" w:eastAsia="仿宋"/>
          <w:color w:val="auto"/>
          <w:sz w:val="32"/>
          <w:szCs w:val="32"/>
          <w:highlight w:val="none"/>
        </w:rPr>
        <w:t>（图4：财政拨款收、支决算总计变动情况）</w:t>
      </w:r>
    </w:p>
    <w:p w14:paraId="30C30E54">
      <w:pPr>
        <w:spacing w:line="600" w:lineRule="exact"/>
        <w:ind w:firstLine="640"/>
        <w:rPr>
          <w:rFonts w:ascii="仿宋" w:hAnsi="仿宋" w:eastAsia="仿宋"/>
          <w:b/>
          <w:color w:val="auto"/>
          <w:sz w:val="32"/>
          <w:szCs w:val="32"/>
          <w:highlight w:val="none"/>
        </w:rPr>
      </w:pPr>
    </w:p>
    <w:p w14:paraId="14D9E951">
      <w:pPr>
        <w:spacing w:line="600" w:lineRule="exact"/>
        <w:ind w:firstLine="640" w:firstLineChars="200"/>
        <w:outlineLvl w:val="1"/>
        <w:rPr>
          <w:rStyle w:val="16"/>
          <w:rFonts w:ascii="黑体" w:hAnsi="黑体" w:eastAsia="黑体"/>
          <w:b w:val="0"/>
          <w:color w:val="auto"/>
          <w:highlight w:val="none"/>
        </w:rPr>
      </w:pPr>
      <w:bookmarkStart w:id="14" w:name="_Toc1191"/>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6"/>
          <w:rFonts w:hint="eastAsia" w:ascii="黑体" w:hAnsi="黑体" w:eastAsia="黑体"/>
          <w:b w:val="0"/>
          <w:color w:val="auto"/>
          <w:highlight w:val="none"/>
        </w:rPr>
        <w:t>般公共预算财政拨款支出决算情况说明</w:t>
      </w:r>
      <w:bookmarkEnd w:id="14"/>
    </w:p>
    <w:p w14:paraId="02A6AC68">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（一）一般公共预算财政拨款支出决算总体情况</w:t>
      </w:r>
    </w:p>
    <w:p w14:paraId="6E82E2B2">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2576.97</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646.01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33.5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。主要变动原因是财政预算增加</w:t>
      </w:r>
      <w:r>
        <w:rPr>
          <w:rFonts w:hint="eastAsia" w:ascii="仿宋" w:hAnsi="仿宋" w:eastAsia="仿宋"/>
          <w:color w:val="auto"/>
          <w:sz w:val="32"/>
          <w:szCs w:val="32"/>
          <w:highlight w:val="none"/>
          <w:lang w:eastAsia="zh-CN"/>
        </w:rPr>
        <w:t>。</w:t>
      </w:r>
    </w:p>
    <w:p w14:paraId="51133009">
      <w:pPr>
        <w:spacing w:line="240" w:lineRule="auto"/>
        <w:ind w:firstLine="0" w:firstLineChars="0"/>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11430"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8496733">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6AC23426">
      <w:pPr>
        <w:spacing w:line="600" w:lineRule="exact"/>
        <w:ind w:firstLine="643" w:firstLineChars="200"/>
        <w:outlineLvl w:val="2"/>
        <w:rPr>
          <w:rFonts w:hint="eastAsia"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p>
    <w:p w14:paraId="62B1392E">
      <w:pPr>
        <w:pStyle w:val="4"/>
        <w:ind w:firstLine="640" w:firstLineChars="200"/>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2576.97</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272.49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120.53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交通运输支出</w:t>
      </w:r>
      <w:r>
        <w:rPr>
          <w:rFonts w:hint="eastAsia" w:ascii="仿宋" w:hAnsi="仿宋" w:eastAsia="仿宋"/>
          <w:color w:val="auto"/>
          <w:sz w:val="32"/>
          <w:szCs w:val="32"/>
          <w:highlight w:val="none"/>
          <w:lang w:val="en-US" w:eastAsia="zh-CN"/>
        </w:rPr>
        <w:t>2034.12万元，占78.9%；</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149.83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1F0249D3">
      <w:pPr>
        <w:spacing w:line="600" w:lineRule="exact"/>
        <w:ind w:firstLine="640"/>
        <w:rPr>
          <w:rFonts w:ascii="仿宋" w:hAnsi="仿宋" w:eastAsia="仿宋"/>
          <w:color w:val="auto"/>
          <w:sz w:val="32"/>
          <w:szCs w:val="32"/>
          <w:highlight w:val="none"/>
        </w:rPr>
      </w:pPr>
    </w:p>
    <w:p w14:paraId="6E85CA73">
      <w:pPr>
        <w:spacing w:line="240" w:lineRule="auto"/>
        <w:ind w:firstLine="0" w:firstLineChars="0"/>
        <w:jc w:val="center"/>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1430" b="95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617399C">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570AEBA6">
      <w:pPr>
        <w:spacing w:line="600" w:lineRule="exact"/>
        <w:ind w:firstLine="640" w:firstLineChars="200"/>
        <w:rPr>
          <w:rFonts w:ascii="仿宋" w:hAnsi="仿宋" w:eastAsia="仿宋"/>
          <w:color w:val="auto"/>
          <w:sz w:val="32"/>
          <w:szCs w:val="32"/>
          <w:highlight w:val="none"/>
        </w:rPr>
      </w:pPr>
    </w:p>
    <w:p w14:paraId="0F5A3E60">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14:paraId="5FB958EE">
      <w:pPr>
        <w:spacing w:line="600" w:lineRule="exact"/>
        <w:ind w:firstLine="643" w:firstLineChars="200"/>
        <w:outlineLvl w:val="1"/>
        <w:rPr>
          <w:rFonts w:ascii="仿宋" w:hAnsi="仿宋" w:eastAsia="仿宋"/>
          <w:color w:val="auto"/>
          <w:sz w:val="32"/>
          <w:szCs w:val="32"/>
          <w:highlight w:val="none"/>
        </w:rPr>
      </w:pPr>
      <w:bookmarkStart w:id="15" w:name="_Toc18710"/>
      <w:bookmarkStart w:id="16" w:name="_Toc30274"/>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2576.97万元</w:t>
      </w:r>
      <w:r>
        <w:rPr>
          <w:rFonts w:hint="eastAsia" w:ascii="仿宋" w:hAnsi="仿宋" w:eastAsia="仿宋"/>
          <w:color w:val="auto"/>
          <w:sz w:val="32"/>
          <w:szCs w:val="32"/>
          <w:highlight w:val="none"/>
        </w:rPr>
        <w:t>，</w:t>
      </w:r>
      <w:r>
        <w:rPr>
          <w:rStyle w:val="14"/>
          <w:rFonts w:hint="eastAsia" w:ascii="仿宋" w:hAnsi="仿宋" w:eastAsia="仿宋"/>
          <w:bCs/>
          <w:color w:val="auto"/>
          <w:sz w:val="32"/>
          <w:szCs w:val="32"/>
          <w:highlight w:val="none"/>
        </w:rPr>
        <w:t>完成预算</w:t>
      </w:r>
      <w:r>
        <w:rPr>
          <w:rStyle w:val="14"/>
          <w:rFonts w:hint="eastAsia" w:ascii="仿宋" w:hAnsi="仿宋" w:eastAsia="仿宋"/>
          <w:bCs/>
          <w:color w:val="auto"/>
          <w:sz w:val="32"/>
          <w:szCs w:val="32"/>
          <w:highlight w:val="none"/>
          <w:lang w:val="en-US" w:eastAsia="zh-CN"/>
        </w:rPr>
        <w:t>100</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。其中：</w:t>
      </w:r>
      <w:bookmarkEnd w:id="15"/>
      <w:bookmarkEnd w:id="16"/>
    </w:p>
    <w:p w14:paraId="0124483F">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1.</w:t>
      </w:r>
      <w:r>
        <w:rPr>
          <w:rStyle w:val="14"/>
          <w:rFonts w:hint="eastAsia" w:ascii="仿宋" w:hAnsi="仿宋" w:eastAsia="仿宋"/>
          <w:bCs/>
          <w:color w:val="auto"/>
          <w:sz w:val="32"/>
          <w:szCs w:val="32"/>
          <w:highlight w:val="none"/>
        </w:rPr>
        <w:t>社会保障和就业支出（类）行政事业单位养老支出（款）机关事业单位基本养老保险缴费支出（项）</w:t>
      </w:r>
      <w:r>
        <w:rPr>
          <w:rStyle w:val="14"/>
          <w:rFonts w:ascii="仿宋" w:hAnsi="仿宋" w:eastAsia="仿宋"/>
          <w:bCs/>
          <w:color w:val="auto"/>
          <w:sz w:val="32"/>
          <w:szCs w:val="32"/>
          <w:highlight w:val="none"/>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181.66</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，决算数等于预算数。</w:t>
      </w:r>
    </w:p>
    <w:p w14:paraId="003A6C4C">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2.</w:t>
      </w:r>
      <w:r>
        <w:rPr>
          <w:rStyle w:val="14"/>
          <w:rFonts w:hint="eastAsia" w:ascii="仿宋" w:hAnsi="仿宋" w:eastAsia="仿宋"/>
          <w:bCs/>
          <w:color w:val="auto"/>
          <w:sz w:val="32"/>
          <w:szCs w:val="32"/>
          <w:highlight w:val="none"/>
        </w:rPr>
        <w:t>社会保障和就业支出（类）行政事业单位养老支出（款）机关事业单位职业年金缴费支出（项）</w:t>
      </w:r>
      <w:r>
        <w:rPr>
          <w:rStyle w:val="14"/>
          <w:rFonts w:ascii="仿宋" w:hAnsi="仿宋" w:eastAsia="仿宋"/>
          <w:bCs/>
          <w:color w:val="auto"/>
          <w:sz w:val="32"/>
          <w:szCs w:val="32"/>
          <w:highlight w:val="none"/>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90.83</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，决算数等于预算数。</w:t>
      </w:r>
    </w:p>
    <w:p w14:paraId="085EB2D3">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3.</w:t>
      </w:r>
      <w:r>
        <w:rPr>
          <w:rStyle w:val="14"/>
          <w:rFonts w:hint="eastAsia" w:ascii="仿宋" w:hAnsi="仿宋" w:eastAsia="仿宋"/>
          <w:bCs/>
          <w:color w:val="auto"/>
          <w:sz w:val="32"/>
          <w:szCs w:val="32"/>
          <w:highlight w:val="none"/>
        </w:rPr>
        <w:t>卫生健康支出（类）行政事业单位医疗（款）事业单位医疗（项）</w:t>
      </w:r>
      <w:r>
        <w:rPr>
          <w:rStyle w:val="14"/>
          <w:rFonts w:ascii="仿宋" w:hAnsi="仿宋" w:eastAsia="仿宋"/>
          <w:bCs/>
          <w:color w:val="auto"/>
          <w:sz w:val="32"/>
          <w:szCs w:val="32"/>
          <w:highlight w:val="none"/>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79.63</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，决算数等于预算数。</w:t>
      </w:r>
    </w:p>
    <w:p w14:paraId="4255D13C">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4.</w:t>
      </w:r>
      <w:r>
        <w:rPr>
          <w:rStyle w:val="14"/>
          <w:rFonts w:hint="eastAsia" w:ascii="仿宋" w:hAnsi="仿宋" w:eastAsia="仿宋"/>
          <w:bCs/>
          <w:color w:val="auto"/>
          <w:sz w:val="32"/>
          <w:szCs w:val="32"/>
          <w:highlight w:val="none"/>
        </w:rPr>
        <w:t>卫生健康支出（类）行政事业单位医疗（款）其他行政事业单位医疗支出（项）</w:t>
      </w:r>
      <w:r>
        <w:rPr>
          <w:rStyle w:val="14"/>
          <w:rFonts w:ascii="仿宋" w:hAnsi="仿宋" w:eastAsia="仿宋"/>
          <w:bCs/>
          <w:color w:val="auto"/>
          <w:sz w:val="32"/>
          <w:szCs w:val="32"/>
          <w:highlight w:val="none"/>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40.9</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，决算数等于预算数。</w:t>
      </w:r>
    </w:p>
    <w:p w14:paraId="54477C6D">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5.</w:t>
      </w:r>
      <w:r>
        <w:rPr>
          <w:rStyle w:val="14"/>
          <w:rFonts w:hint="eastAsia" w:ascii="仿宋" w:hAnsi="仿宋" w:eastAsia="仿宋"/>
          <w:bCs/>
          <w:color w:val="auto"/>
          <w:sz w:val="32"/>
          <w:szCs w:val="32"/>
          <w:highlight w:val="none"/>
        </w:rPr>
        <w:t>交通运输支出（类）公路水路运输（款）公路养护（项）</w:t>
      </w:r>
      <w:r>
        <w:rPr>
          <w:rStyle w:val="14"/>
          <w:rFonts w:ascii="仿宋" w:hAnsi="仿宋" w:eastAsia="仿宋"/>
          <w:bCs/>
          <w:color w:val="auto"/>
          <w:sz w:val="32"/>
          <w:szCs w:val="32"/>
          <w:highlight w:val="none"/>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2034.12</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，决算数等于预算数。</w:t>
      </w:r>
    </w:p>
    <w:p w14:paraId="323360D0">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6.</w:t>
      </w:r>
      <w:r>
        <w:rPr>
          <w:rFonts w:hint="eastAsia" w:ascii="仿宋" w:hAnsi="仿宋" w:eastAsia="仿宋"/>
          <w:b/>
          <w:bCs/>
          <w:color w:val="auto"/>
          <w:sz w:val="32"/>
          <w:szCs w:val="32"/>
          <w:highlight w:val="none"/>
        </w:rPr>
        <w:t>住房保障支出</w:t>
      </w:r>
      <w:r>
        <w:rPr>
          <w:rStyle w:val="14"/>
          <w:rFonts w:hint="eastAsia" w:ascii="仿宋" w:hAnsi="仿宋" w:eastAsia="仿宋"/>
          <w:bCs/>
          <w:color w:val="auto"/>
          <w:sz w:val="32"/>
          <w:szCs w:val="32"/>
          <w:highlight w:val="none"/>
        </w:rPr>
        <w:t>（类）住房改革支出（款）住房公积金（项）</w:t>
      </w:r>
      <w:r>
        <w:rPr>
          <w:rStyle w:val="14"/>
          <w:rFonts w:ascii="仿宋" w:hAnsi="仿宋" w:eastAsia="仿宋"/>
          <w:bCs/>
          <w:color w:val="auto"/>
          <w:sz w:val="32"/>
          <w:szCs w:val="32"/>
          <w:highlight w:val="none"/>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144.83</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，决算数等于预算数。</w:t>
      </w:r>
    </w:p>
    <w:p w14:paraId="5835D36D">
      <w:pPr>
        <w:spacing w:line="600" w:lineRule="exact"/>
        <w:ind w:firstLine="643" w:firstLineChars="200"/>
        <w:rPr>
          <w:rFonts w:ascii="仿宋" w:hAnsi="仿宋" w:eastAsia="仿宋"/>
          <w:b/>
          <w:color w:val="auto"/>
          <w:sz w:val="32"/>
          <w:szCs w:val="32"/>
          <w:highlight w:val="none"/>
        </w:rPr>
      </w:pPr>
      <w:r>
        <w:rPr>
          <w:rFonts w:hint="eastAsia" w:ascii="仿宋" w:hAnsi="仿宋" w:eastAsia="仿宋"/>
          <w:b/>
          <w:bCs/>
          <w:color w:val="auto"/>
          <w:sz w:val="32"/>
          <w:szCs w:val="32"/>
          <w:highlight w:val="none"/>
          <w:lang w:val="en-US" w:eastAsia="zh-CN"/>
        </w:rPr>
        <w:t>7</w:t>
      </w:r>
      <w:r>
        <w:rPr>
          <w:rStyle w:val="14"/>
          <w:rFonts w:ascii="仿宋" w:hAnsi="仿宋" w:eastAsia="仿宋"/>
          <w:bCs/>
          <w:color w:val="auto"/>
          <w:sz w:val="32"/>
          <w:szCs w:val="32"/>
          <w:highlight w:val="none"/>
        </w:rPr>
        <w:t>.</w:t>
      </w:r>
      <w:r>
        <w:rPr>
          <w:rFonts w:hint="eastAsia" w:ascii="仿宋" w:hAnsi="仿宋" w:eastAsia="仿宋"/>
          <w:b/>
          <w:bCs/>
          <w:color w:val="auto"/>
          <w:sz w:val="32"/>
          <w:szCs w:val="32"/>
          <w:highlight w:val="none"/>
        </w:rPr>
        <w:t>住房保障支出</w:t>
      </w:r>
      <w:r>
        <w:rPr>
          <w:rStyle w:val="14"/>
          <w:rFonts w:hint="eastAsia" w:ascii="仿宋" w:hAnsi="仿宋" w:eastAsia="仿宋"/>
          <w:bCs/>
          <w:color w:val="auto"/>
          <w:sz w:val="32"/>
          <w:szCs w:val="32"/>
          <w:highlight w:val="none"/>
        </w:rPr>
        <w:t>（类）住房改革支出（款）购房补贴（项）</w:t>
      </w:r>
      <w:r>
        <w:rPr>
          <w:rStyle w:val="14"/>
          <w:rFonts w:ascii="仿宋" w:hAnsi="仿宋" w:eastAsia="仿宋"/>
          <w:bCs/>
          <w:color w:val="auto"/>
          <w:sz w:val="32"/>
          <w:szCs w:val="32"/>
          <w:highlight w:val="none"/>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5</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p>
    <w:p w14:paraId="6B4BFDCC">
      <w:pPr>
        <w:tabs>
          <w:tab w:val="right" w:pos="8306"/>
        </w:tabs>
        <w:spacing w:line="600" w:lineRule="exact"/>
        <w:ind w:firstLine="640"/>
        <w:outlineLvl w:val="1"/>
        <w:rPr>
          <w:rStyle w:val="16"/>
          <w:color w:val="auto"/>
          <w:highlight w:val="none"/>
        </w:rPr>
      </w:pPr>
      <w:bookmarkStart w:id="17" w:name="_Toc17903"/>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6"/>
          <w:rFonts w:hint="eastAsia" w:ascii="黑体" w:hAnsi="黑体" w:eastAsia="黑体"/>
          <w:b w:val="0"/>
          <w:color w:val="auto"/>
          <w:highlight w:val="none"/>
        </w:rPr>
        <w:t>般公共预算财政拨款基本支出决算情况说明</w:t>
      </w:r>
      <w:bookmarkEnd w:id="17"/>
      <w:r>
        <w:rPr>
          <w:rStyle w:val="16"/>
          <w:rFonts w:ascii="黑体" w:hAnsi="黑体" w:eastAsia="黑体"/>
          <w:b w:val="0"/>
          <w:color w:val="auto"/>
          <w:highlight w:val="none"/>
        </w:rPr>
        <w:tab/>
      </w:r>
    </w:p>
    <w:p w14:paraId="464AC80E">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w:t>
      </w:r>
      <w:r>
        <w:rPr>
          <w:rFonts w:hint="eastAsia" w:ascii="仿宋" w:hAnsi="仿宋" w:eastAsia="仿宋"/>
          <w:color w:val="auto"/>
          <w:sz w:val="32"/>
          <w:szCs w:val="32"/>
          <w:highlight w:val="none"/>
          <w:lang w:val="en-US" w:eastAsia="zh-CN"/>
        </w:rPr>
        <w:t>2422.33</w:t>
      </w:r>
      <w:r>
        <w:rPr>
          <w:rFonts w:hint="eastAsia" w:ascii="仿宋" w:hAnsi="仿宋" w:eastAsia="仿宋"/>
          <w:color w:val="auto"/>
          <w:sz w:val="32"/>
          <w:szCs w:val="32"/>
          <w:highlight w:val="none"/>
        </w:rPr>
        <w:t>万元，其中：</w:t>
      </w:r>
    </w:p>
    <w:p w14:paraId="78C7AE71">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2256</w:t>
      </w:r>
      <w:r>
        <w:rPr>
          <w:rFonts w:hint="eastAsia" w:ascii="仿宋" w:hAnsi="仿宋" w:eastAsia="仿宋"/>
          <w:color w:val="auto"/>
          <w:sz w:val="32"/>
          <w:szCs w:val="32"/>
          <w:highlight w:val="none"/>
        </w:rPr>
        <w:t>万元，主要包括：基本工资、津贴补贴、奖金、绩效工资、机关事业单位基本养老保险缴费、职业年金缴费、职工基本医疗保险缴费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其他工资福利支出、抚恤金</w:t>
      </w:r>
      <w:r>
        <w:rPr>
          <w:rFonts w:hint="eastAsia" w:ascii="仿宋" w:hAnsi="仿宋" w:eastAsia="仿宋"/>
          <w:color w:val="auto"/>
          <w:sz w:val="32"/>
          <w:szCs w:val="32"/>
          <w:highlight w:val="none"/>
          <w:lang w:eastAsia="zh-CN"/>
        </w:rPr>
        <w:t>、生活补助、奖励金、</w:t>
      </w:r>
      <w:r>
        <w:rPr>
          <w:rFonts w:hint="eastAsia" w:ascii="仿宋" w:hAnsi="仿宋" w:eastAsia="仿宋"/>
          <w:color w:val="auto"/>
          <w:sz w:val="32"/>
          <w:szCs w:val="32"/>
          <w:highlight w:val="none"/>
        </w:rPr>
        <w:t>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166.34</w:t>
      </w:r>
      <w:r>
        <w:rPr>
          <w:rFonts w:hint="eastAsia" w:ascii="仿宋" w:hAnsi="仿宋" w:eastAsia="仿宋"/>
          <w:color w:val="auto"/>
          <w:sz w:val="32"/>
          <w:szCs w:val="32"/>
          <w:highlight w:val="none"/>
        </w:rPr>
        <w:t>万元，主要包括：办公费</w:t>
      </w:r>
      <w:r>
        <w:rPr>
          <w:rFonts w:hint="eastAsia" w:ascii="仿宋" w:hAnsi="仿宋" w:eastAsia="仿宋"/>
          <w:color w:val="auto"/>
          <w:sz w:val="32"/>
          <w:szCs w:val="32"/>
          <w:highlight w:val="none"/>
          <w:lang w:eastAsia="zh-CN"/>
        </w:rPr>
        <w:t>、水费、邮电费、差旅费、维修（护）费、培训费、公务接待费、专用材料费、委托业务费、福利费、公务用车运行维护费、其他商品和服务支出</w:t>
      </w:r>
      <w:r>
        <w:rPr>
          <w:rFonts w:hint="eastAsia" w:ascii="仿宋" w:hAnsi="仿宋" w:eastAsia="仿宋"/>
          <w:color w:val="auto"/>
          <w:sz w:val="32"/>
          <w:szCs w:val="32"/>
          <w:highlight w:val="none"/>
        </w:rPr>
        <w:t>等。</w:t>
      </w:r>
    </w:p>
    <w:p w14:paraId="4F7A2C9B">
      <w:pPr>
        <w:spacing w:line="600" w:lineRule="exact"/>
        <w:ind w:firstLine="640"/>
        <w:outlineLvl w:val="1"/>
        <w:rPr>
          <w:rStyle w:val="16"/>
          <w:rFonts w:ascii="黑体" w:hAnsi="黑体" w:eastAsia="黑体"/>
          <w:b w:val="0"/>
          <w:color w:val="auto"/>
          <w:highlight w:val="none"/>
        </w:rPr>
      </w:pPr>
      <w:bookmarkStart w:id="18" w:name="_Toc14939"/>
      <w:r>
        <w:rPr>
          <w:rFonts w:hint="eastAsia" w:ascii="黑体" w:eastAsia="黑体"/>
          <w:color w:val="auto"/>
          <w:sz w:val="32"/>
          <w:szCs w:val="32"/>
          <w:highlight w:val="none"/>
        </w:rPr>
        <w:t>七、</w:t>
      </w:r>
      <w:r>
        <w:rPr>
          <w:rStyle w:val="16"/>
          <w:rFonts w:hint="eastAsia" w:ascii="黑体" w:hAnsi="黑体" w:eastAsia="黑体"/>
          <w:b w:val="0"/>
          <w:color w:val="auto"/>
          <w:highlight w:val="none"/>
        </w:rPr>
        <w:t>财政拨款</w:t>
      </w:r>
      <w:r>
        <w:rPr>
          <w:rStyle w:val="16"/>
          <w:rFonts w:hint="eastAsia" w:ascii="黑体" w:hAnsi="黑体" w:eastAsia="黑体"/>
          <w:color w:val="auto"/>
          <w:highlight w:val="none"/>
        </w:rPr>
        <w:t>“</w:t>
      </w:r>
      <w:r>
        <w:rPr>
          <w:rStyle w:val="16"/>
          <w:rFonts w:hint="eastAsia" w:ascii="黑体" w:hAnsi="黑体" w:eastAsia="黑体"/>
          <w:b w:val="0"/>
          <w:color w:val="auto"/>
          <w:highlight w:val="none"/>
        </w:rPr>
        <w:t>三公”经费支出决算情况说明</w:t>
      </w:r>
      <w:bookmarkEnd w:id="18"/>
    </w:p>
    <w:p w14:paraId="50CC6D41">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105F86B8">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w:t>
      </w:r>
      <w:r>
        <w:rPr>
          <w:rFonts w:hint="eastAsia" w:ascii="仿宋" w:hAnsi="仿宋" w:eastAsia="仿宋"/>
          <w:color w:val="auto"/>
          <w:sz w:val="32"/>
          <w:szCs w:val="32"/>
          <w:highlight w:val="none"/>
          <w:lang w:val="en-US" w:eastAsia="zh-CN"/>
        </w:rPr>
        <w:t>19.06</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w:t>
      </w:r>
      <w:r>
        <w:rPr>
          <w:rFonts w:hint="eastAsia" w:ascii="仿宋" w:hAnsi="仿宋" w:eastAsia="仿宋"/>
          <w:color w:val="auto"/>
          <w:sz w:val="32"/>
          <w:szCs w:val="32"/>
          <w:highlight w:val="none"/>
          <w:lang w:val="en-US" w:eastAsia="zh-CN"/>
        </w:rPr>
        <w:t>减少0.76万元，下降3.9%。</w:t>
      </w:r>
      <w:r>
        <w:rPr>
          <w:rFonts w:hint="eastAsia" w:ascii="仿宋" w:hAnsi="仿宋" w:eastAsia="仿宋"/>
          <w:color w:val="auto"/>
          <w:sz w:val="32"/>
          <w:szCs w:val="32"/>
          <w:highlight w:val="none"/>
        </w:rPr>
        <w:t>决算数与预算数持平。</w:t>
      </w:r>
    </w:p>
    <w:p w14:paraId="6028A869">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2FF36BEB">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19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99.7</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0.06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0.3</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0A7EC5F6">
      <w:pPr>
        <w:spacing w:line="240" w:lineRule="auto"/>
        <w:ind w:firstLine="0"/>
        <w:rPr>
          <w:rFonts w:hint="eastAsia" w:ascii="仿宋" w:hAnsi="仿宋" w:eastAsia="仿宋"/>
          <w:color w:val="auto"/>
          <w:sz w:val="32"/>
          <w:szCs w:val="32"/>
          <w:highlight w:val="none"/>
          <w:lang w:eastAsia="zh-CN"/>
        </w:rPr>
      </w:pPr>
      <w:r>
        <w:rPr>
          <w:rFonts w:hint="eastAsia" w:eastAsia="仿宋"/>
          <w:lang w:eastAsia="zh-CN"/>
        </w:rPr>
        <w:drawing>
          <wp:inline distT="0" distB="0" distL="114300" distR="114300">
            <wp:extent cx="5256530" cy="2988310"/>
            <wp:effectExtent l="5080" t="4445" r="11430" b="952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F02B4A4">
      <w:pPr>
        <w:spacing w:line="600" w:lineRule="exact"/>
        <w:ind w:firstLine="64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14:paraId="3137E4FF">
      <w:pPr>
        <w:spacing w:line="600" w:lineRule="exact"/>
        <w:ind w:firstLine="640"/>
        <w:rPr>
          <w:rFonts w:hint="eastAsia" w:ascii="仿宋_GB2312" w:eastAsia="仿宋_GB2312"/>
          <w:b/>
          <w:color w:val="auto"/>
          <w:sz w:val="32"/>
          <w:szCs w:val="32"/>
          <w:highlight w:val="none"/>
          <w:lang w:eastAsia="zh-CN"/>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决算数持平</w:t>
      </w:r>
      <w:r>
        <w:rPr>
          <w:rFonts w:hint="eastAsia" w:ascii="仿宋_GB2312" w:eastAsia="仿宋_GB2312"/>
          <w:color w:val="auto"/>
          <w:sz w:val="32"/>
          <w:szCs w:val="32"/>
          <w:highlight w:val="none"/>
          <w:lang w:eastAsia="zh-CN"/>
        </w:rPr>
        <w:t>。</w:t>
      </w:r>
    </w:p>
    <w:p w14:paraId="737A4B97">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19</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w:t>
      </w:r>
      <w:r>
        <w:rPr>
          <w:rFonts w:hint="eastAsia" w:ascii="仿宋_GB2312" w:eastAsia="仿宋_GB2312"/>
          <w:color w:val="auto"/>
          <w:sz w:val="32"/>
          <w:szCs w:val="32"/>
          <w:highlight w:val="none"/>
          <w:lang w:val="en-US" w:eastAsia="zh-CN"/>
        </w:rPr>
        <w:t>0.57</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2.9</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依据厉行节约原则，缩减三公经费</w:t>
      </w:r>
      <w:r>
        <w:rPr>
          <w:rFonts w:hint="eastAsia" w:ascii="仿宋_GB2312" w:eastAsia="仿宋_GB2312"/>
          <w:color w:val="auto"/>
          <w:sz w:val="32"/>
          <w:szCs w:val="32"/>
          <w:highlight w:val="none"/>
        </w:rPr>
        <w:t>。</w:t>
      </w:r>
    </w:p>
    <w:p w14:paraId="6E2621AA">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val="en-US" w:eastAsia="zh-CN"/>
        </w:rPr>
        <w:t>其他车型1</w:t>
      </w:r>
      <w:r>
        <w:rPr>
          <w:rFonts w:hint="eastAsia" w:ascii="仿宋_GB2312" w:eastAsia="仿宋_GB2312"/>
          <w:color w:val="auto"/>
          <w:sz w:val="32"/>
          <w:szCs w:val="32"/>
          <w:highlight w:val="none"/>
        </w:rPr>
        <w:t>辆。</w:t>
      </w:r>
    </w:p>
    <w:p w14:paraId="0EB90B88">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19</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rPr>
        <w:t>等所需的公务用车燃料费、维修费、过路过桥费、保险费等支出。</w:t>
      </w:r>
    </w:p>
    <w:p w14:paraId="568E69A9">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0.06</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w:t>
      </w:r>
      <w:r>
        <w:rPr>
          <w:rFonts w:hint="eastAsia" w:ascii="仿宋_GB2312" w:eastAsia="仿宋_GB2312"/>
          <w:color w:val="auto"/>
          <w:sz w:val="32"/>
          <w:szCs w:val="32"/>
          <w:highlight w:val="none"/>
          <w:lang w:val="en-US" w:eastAsia="zh-CN"/>
        </w:rPr>
        <w:t>0.19</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77.2</w:t>
      </w:r>
      <w:bookmarkStart w:id="42" w:name="_GoBack"/>
      <w:bookmarkEnd w:id="42"/>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。主要原因是接待减少。其中：</w:t>
      </w:r>
    </w:p>
    <w:p w14:paraId="6C144719">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0.06</w:t>
      </w:r>
      <w:r>
        <w:rPr>
          <w:rFonts w:hint="eastAsia" w:ascii="仿宋_GB2312" w:eastAsia="仿宋_GB2312"/>
          <w:color w:val="auto"/>
          <w:sz w:val="32"/>
          <w:szCs w:val="32"/>
          <w:highlight w:val="none"/>
        </w:rPr>
        <w:t>万元，主要用于执行公务、开展业务活动开支的交通费、住宿费、用餐费等。国内公务接待</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0.06</w:t>
      </w:r>
      <w:r>
        <w:rPr>
          <w:rFonts w:hint="eastAsia" w:ascii="仿宋_GB2312" w:eastAsia="仿宋_GB2312"/>
          <w:color w:val="auto"/>
          <w:sz w:val="32"/>
          <w:szCs w:val="32"/>
          <w:highlight w:val="none"/>
        </w:rPr>
        <w:t>万元，具体内容包括：州公路局第一季度考核组8人费用576元。</w:t>
      </w:r>
    </w:p>
    <w:p w14:paraId="04D67411">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414C1F18">
      <w:pPr>
        <w:spacing w:line="600" w:lineRule="exact"/>
        <w:outlineLvl w:val="9"/>
        <w:rPr>
          <w:rFonts w:ascii="黑体" w:eastAsia="黑体"/>
          <w:color w:val="auto"/>
          <w:sz w:val="32"/>
          <w:szCs w:val="32"/>
          <w:highlight w:val="none"/>
        </w:rPr>
      </w:pPr>
    </w:p>
    <w:p w14:paraId="5969D79D">
      <w:pPr>
        <w:spacing w:line="600" w:lineRule="exact"/>
        <w:ind w:firstLine="640"/>
        <w:outlineLvl w:val="1"/>
        <w:rPr>
          <w:rStyle w:val="16"/>
          <w:rFonts w:ascii="黑体" w:hAnsi="黑体" w:eastAsia="黑体"/>
          <w:color w:val="auto"/>
          <w:highlight w:val="none"/>
        </w:rPr>
      </w:pPr>
      <w:bookmarkStart w:id="19" w:name="_Toc32752"/>
      <w:r>
        <w:rPr>
          <w:rFonts w:hint="eastAsia" w:ascii="黑体" w:eastAsia="黑体"/>
          <w:color w:val="auto"/>
          <w:sz w:val="32"/>
          <w:szCs w:val="32"/>
          <w:highlight w:val="none"/>
        </w:rPr>
        <w:t>八、</w:t>
      </w:r>
      <w:r>
        <w:rPr>
          <w:rStyle w:val="16"/>
          <w:rFonts w:hint="eastAsia" w:ascii="黑体" w:hAnsi="黑体" w:eastAsia="黑体"/>
          <w:b w:val="0"/>
          <w:color w:val="auto"/>
          <w:highlight w:val="none"/>
        </w:rPr>
        <w:t>政府性基金预算支出决算情况说明</w:t>
      </w:r>
      <w:bookmarkEnd w:id="19"/>
    </w:p>
    <w:p w14:paraId="156F0ACA">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07DE2C28">
      <w:pPr>
        <w:spacing w:line="600" w:lineRule="exact"/>
        <w:ind w:firstLine="640"/>
        <w:rPr>
          <w:rFonts w:ascii="仿宋_GB2312" w:eastAsia="仿宋_GB2312"/>
          <w:color w:val="auto"/>
          <w:sz w:val="32"/>
          <w:szCs w:val="32"/>
          <w:highlight w:val="none"/>
        </w:rPr>
      </w:pPr>
    </w:p>
    <w:p w14:paraId="6E1207C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6"/>
          <w:rFonts w:ascii="黑体" w:hAnsi="黑体" w:eastAsia="黑体"/>
          <w:b w:val="0"/>
          <w:color w:val="auto"/>
          <w:highlight w:val="none"/>
        </w:rPr>
      </w:pPr>
      <w:bookmarkStart w:id="20" w:name="_Toc7952"/>
      <w:r>
        <w:rPr>
          <w:rStyle w:val="16"/>
          <w:rFonts w:hint="eastAsia" w:ascii="黑体" w:hAnsi="黑体" w:eastAsia="黑体"/>
          <w:b w:val="0"/>
          <w:color w:val="auto"/>
          <w:highlight w:val="none"/>
          <w:lang w:eastAsia="zh-CN"/>
        </w:rPr>
        <w:t>九、</w:t>
      </w:r>
      <w:r>
        <w:rPr>
          <w:rStyle w:val="16"/>
          <w:rFonts w:hint="eastAsia" w:ascii="黑体" w:hAnsi="黑体" w:eastAsia="黑体"/>
          <w:b w:val="0"/>
          <w:color w:val="auto"/>
          <w:highlight w:val="none"/>
        </w:rPr>
        <w:t>国有资本经营预算支出决算情况说明</w:t>
      </w:r>
      <w:bookmarkEnd w:id="20"/>
    </w:p>
    <w:p w14:paraId="409B1067">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58F78DF3">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1EB643B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6"/>
          <w:rFonts w:hint="eastAsia" w:ascii="黑体" w:hAnsi="黑体" w:eastAsia="黑体"/>
          <w:b w:val="0"/>
          <w:color w:val="auto"/>
          <w:highlight w:val="none"/>
        </w:rPr>
      </w:pPr>
      <w:bookmarkStart w:id="21" w:name="_Toc10438"/>
      <w:r>
        <w:rPr>
          <w:rStyle w:val="16"/>
          <w:rFonts w:hint="eastAsia" w:ascii="黑体" w:hAnsi="黑体" w:eastAsia="黑体"/>
          <w:b w:val="0"/>
          <w:color w:val="auto"/>
          <w:highlight w:val="none"/>
          <w:lang w:eastAsia="zh-CN"/>
        </w:rPr>
        <w:t>十、</w:t>
      </w:r>
      <w:r>
        <w:rPr>
          <w:rStyle w:val="16"/>
          <w:rFonts w:hint="eastAsia" w:ascii="黑体" w:hAnsi="黑体" w:eastAsia="黑体"/>
          <w:b w:val="0"/>
          <w:color w:val="auto"/>
          <w:highlight w:val="none"/>
        </w:rPr>
        <w:t>其他重要事项的情况说明</w:t>
      </w:r>
      <w:bookmarkEnd w:id="21"/>
    </w:p>
    <w:p w14:paraId="1BCBD257">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14:paraId="4598DB61">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，阿坝藏族羌族自治州公路管理局金川公路管理分局机关运行经费支出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决算数持平。</w:t>
      </w:r>
    </w:p>
    <w:p w14:paraId="7B84F9AA">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p>
    <w:p w14:paraId="6E9874FD">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，阿坝藏族羌族自治州公路管理局金川公路管理分局政府采购支出总额</w:t>
      </w:r>
      <w:r>
        <w:rPr>
          <w:rFonts w:hint="eastAsia" w:ascii="仿宋_GB2312" w:eastAsia="仿宋_GB2312"/>
          <w:color w:val="auto"/>
          <w:sz w:val="32"/>
          <w:szCs w:val="32"/>
          <w:highlight w:val="none"/>
          <w:lang w:val="en-US" w:eastAsia="zh-CN"/>
        </w:rPr>
        <w:t>39.2</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39.2</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万元。主要用于购置公务用车。授予中小企业合同金额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34E98D55">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p>
    <w:p w14:paraId="3C80AA9D">
      <w:pPr>
        <w:autoSpaceDE w:val="0"/>
        <w:autoSpaceDN w:val="0"/>
        <w:adjustRightInd w:val="0"/>
        <w:spacing w:line="600" w:lineRule="exact"/>
        <w:ind w:firstLine="640" w:firstLineChars="200"/>
        <w:jc w:val="left"/>
        <w:rPr>
          <w:rFonts w:ascii="仿宋" w:hAnsi="仿宋" w:eastAsia="仿宋"/>
          <w:b/>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日，阿坝藏族羌族自治州公路管理局金川公路管理分局共有车辆</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val="en-US" w:eastAsia="zh-CN"/>
        </w:rPr>
        <w:t>其他用车0辆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34858889">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12CF22EF">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2023年度</w:t>
      </w:r>
      <w:r>
        <w:rPr>
          <w:rFonts w:hint="eastAsia" w:ascii="仿宋_GB2312" w:hAnsi="Times New Roman" w:eastAsia="仿宋_GB2312" w:cs="Times New Roman"/>
          <w:color w:val="auto"/>
          <w:sz w:val="32"/>
          <w:szCs w:val="32"/>
          <w:highlight w:val="none"/>
          <w:lang w:eastAsia="zh-CN"/>
        </w:rPr>
        <w:t>预算编制阶段，组织对</w:t>
      </w:r>
      <w:r>
        <w:rPr>
          <w:rFonts w:hint="eastAsia" w:ascii="仿宋_GB2312" w:hAnsi="Times New Roman" w:eastAsia="仿宋_GB2312" w:cs="Times New Roman"/>
          <w:color w:val="auto"/>
          <w:sz w:val="32"/>
          <w:szCs w:val="32"/>
          <w:highlight w:val="none"/>
          <w:lang w:val="en-US" w:eastAsia="zh-CN"/>
        </w:rPr>
        <w:t>金川分局小修保养经费、金川公路管理分局交调站维护费、金川分局隧道电费</w:t>
      </w:r>
      <w:r>
        <w:rPr>
          <w:rFonts w:hint="eastAsia" w:ascii="仿宋_GB2312" w:hAnsi="Times New Roman" w:eastAsia="仿宋_GB2312" w:cs="Times New Roman"/>
          <w:color w:val="auto"/>
          <w:sz w:val="32"/>
          <w:szCs w:val="32"/>
          <w:highlight w:val="none"/>
          <w:lang w:eastAsia="zh-CN"/>
        </w:rPr>
        <w:t>项目等</w:t>
      </w:r>
      <w:r>
        <w:rPr>
          <w:rFonts w:hint="eastAsia" w:ascii="仿宋_GB2312" w:eastAsia="仿宋_GB2312" w:cs="Times New Roman"/>
          <w:color w:val="auto"/>
          <w:sz w:val="32"/>
          <w:szCs w:val="32"/>
          <w:highlight w:val="none"/>
          <w:lang w:val="en-US" w:eastAsia="zh-CN"/>
        </w:rPr>
        <w:t>9</w:t>
      </w:r>
      <w:r>
        <w:rPr>
          <w:rFonts w:hint="eastAsia" w:ascii="仿宋_GB2312" w:hAnsi="Times New Roman" w:eastAsia="仿宋_GB2312" w:cs="Times New Roman"/>
          <w:color w:val="auto"/>
          <w:sz w:val="32"/>
          <w:szCs w:val="32"/>
          <w:highlight w:val="none"/>
          <w:lang w:val="en-US" w:eastAsia="zh-CN"/>
        </w:rPr>
        <w:t>个项目</w:t>
      </w:r>
      <w:r>
        <w:rPr>
          <w:rFonts w:hint="eastAsia" w:ascii="仿宋_GB2312" w:hAnsi="Times New Roman" w:eastAsia="仿宋_GB2312" w:cs="Times New Roman"/>
          <w:color w:val="auto"/>
          <w:sz w:val="32"/>
          <w:szCs w:val="32"/>
          <w:highlight w:val="none"/>
          <w:lang w:eastAsia="zh-CN"/>
        </w:rPr>
        <w:t>开展了预算事前绩效评估，对</w:t>
      </w:r>
      <w:r>
        <w:rPr>
          <w:rFonts w:hint="eastAsia" w:ascii="仿宋_GB2312" w:eastAsia="仿宋_GB2312" w:cs="Times New Roman"/>
          <w:color w:val="auto"/>
          <w:sz w:val="32"/>
          <w:szCs w:val="32"/>
          <w:highlight w:val="none"/>
          <w:lang w:val="en-US" w:eastAsia="zh-CN"/>
        </w:rPr>
        <w:t>9</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eastAsia="仿宋_GB2312" w:cs="Times New Roman"/>
          <w:color w:val="auto"/>
          <w:sz w:val="32"/>
          <w:szCs w:val="32"/>
          <w:highlight w:val="none"/>
          <w:lang w:val="en-US" w:eastAsia="zh-CN"/>
        </w:rPr>
        <w:t>9</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eastAsia="仿宋_GB2312" w:cs="Times New Roman"/>
          <w:color w:val="auto"/>
          <w:sz w:val="32"/>
          <w:szCs w:val="32"/>
          <w:highlight w:val="none"/>
          <w:lang w:val="en-US" w:eastAsia="zh-CN"/>
        </w:rPr>
        <w:t>9</w:t>
      </w:r>
      <w:r>
        <w:rPr>
          <w:rFonts w:hint="eastAsia" w:ascii="仿宋_GB2312" w:hAnsi="Times New Roman" w:eastAsia="仿宋_GB2312" w:cs="Times New Roman"/>
          <w:color w:val="auto"/>
          <w:sz w:val="32"/>
          <w:szCs w:val="32"/>
          <w:highlight w:val="none"/>
          <w:lang w:val="en-US" w:eastAsia="zh-CN"/>
        </w:rPr>
        <w:t>个项目开展绩效自评，绩效自评表详见第四部分附件。</w:t>
      </w:r>
    </w:p>
    <w:p w14:paraId="49F148C9">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14:paraId="790CDC1B">
      <w:pPr>
        <w:numPr>
          <w:ilvl w:val="0"/>
          <w:numId w:val="0"/>
        </w:numPr>
        <w:spacing w:line="600" w:lineRule="exact"/>
        <w:jc w:val="center"/>
        <w:outlineLvl w:val="0"/>
        <w:rPr>
          <w:rStyle w:val="15"/>
          <w:rFonts w:ascii="黑体" w:hAnsi="黑体" w:eastAsia="黑体"/>
          <w:b w:val="0"/>
          <w:color w:val="auto"/>
          <w:highlight w:val="none"/>
        </w:rPr>
      </w:pPr>
      <w:bookmarkStart w:id="22" w:name="_Toc29265"/>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5"/>
          <w:rFonts w:hint="eastAsia" w:ascii="黑体" w:hAnsi="黑体" w:eastAsia="黑体"/>
          <w:b w:val="0"/>
          <w:color w:val="auto"/>
          <w:highlight w:val="none"/>
        </w:rPr>
        <w:t>词解释</w:t>
      </w:r>
      <w:bookmarkEnd w:id="22"/>
    </w:p>
    <w:p w14:paraId="44BA160A">
      <w:pPr>
        <w:spacing w:line="600" w:lineRule="exact"/>
        <w:jc w:val="left"/>
        <w:rPr>
          <w:rFonts w:ascii="宋体"/>
          <w:b/>
          <w:color w:val="auto"/>
          <w:sz w:val="44"/>
          <w:szCs w:val="44"/>
          <w:highlight w:val="none"/>
        </w:rPr>
      </w:pPr>
    </w:p>
    <w:p w14:paraId="6EF5BB56">
      <w:pPr>
        <w:pStyle w:val="18"/>
        <w:spacing w:line="560" w:lineRule="exact"/>
        <w:ind w:firstLine="640" w:firstLineChars="200"/>
        <w:outlineLvl w:val="1"/>
        <w:rPr>
          <w:rFonts w:ascii="仿宋_GB2312" w:eastAsia="仿宋_GB2312"/>
          <w:color w:val="auto"/>
          <w:sz w:val="32"/>
          <w:szCs w:val="32"/>
          <w:highlight w:val="none"/>
        </w:rPr>
      </w:pPr>
      <w:bookmarkStart w:id="23" w:name="_Toc4156"/>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取得的财政预算资金。</w:t>
      </w:r>
      <w:bookmarkEnd w:id="23"/>
    </w:p>
    <w:p w14:paraId="5CC113AE">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04A1E4AB">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5E014064">
      <w:pPr>
        <w:pStyle w:val="18"/>
        <w:spacing w:line="560" w:lineRule="exact"/>
        <w:ind w:firstLine="640" w:firstLineChars="200"/>
        <w:outlineLvl w:val="1"/>
        <w:rPr>
          <w:rFonts w:ascii="仿宋_GB2312" w:eastAsia="仿宋_GB2312"/>
          <w:color w:val="auto"/>
          <w:sz w:val="32"/>
          <w:szCs w:val="32"/>
          <w:highlight w:val="none"/>
        </w:rPr>
      </w:pPr>
      <w:bookmarkStart w:id="24" w:name="_Toc27946"/>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bookmarkEnd w:id="24"/>
    </w:p>
    <w:p w14:paraId="3B3CC598">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p>
    <w:p w14:paraId="2A18F655">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p>
    <w:p w14:paraId="7FE6D2EF">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7872B1E4">
      <w:pPr>
        <w:pStyle w:val="18"/>
        <w:spacing w:line="560" w:lineRule="exact"/>
        <w:ind w:firstLine="640" w:firstLineChars="200"/>
        <w:outlineLvl w:val="1"/>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066F6117">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 保险费支出。</w:t>
      </w:r>
    </w:p>
    <w:p w14:paraId="0EAD3AB6">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反映机关事业单位实施养老保险制度由单位实际缴纳的职业 年金支出。</w:t>
      </w:r>
    </w:p>
    <w:p w14:paraId="66F76A37">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反映财政部门安排的事业单位基本医疗保险缴费经费，未参加医疗保险的事业单位的公费医疗经费，按国家规定享受离休人员待遇的医疗经费。</w:t>
      </w:r>
    </w:p>
    <w:p w14:paraId="40DBBA22">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反映除上述项目以外的其他用于行政事业单位医疗方面的支出 。</w:t>
      </w:r>
    </w:p>
    <w:p w14:paraId="3AAC73A5">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.交通运输支出（类）公路水路运输（款）公路养护（项）: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反映公路养护支出。</w:t>
      </w:r>
    </w:p>
    <w:p w14:paraId="38CBAA5D">
      <w:pPr>
        <w:ind w:firstLine="640" w:firstLineChars="200"/>
        <w:rPr>
          <w:rFonts w:ascii="仿宋" w:hAnsi="仿宋" w:eastAsia="仿宋"/>
          <w:b/>
          <w:color w:val="auto"/>
          <w:sz w:val="32"/>
          <w:szCs w:val="32"/>
          <w:highlight w:val="none"/>
        </w:rPr>
      </w:pP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住房保障支出（类）住房改革支出（款）住房公积金（项）: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反映行政事业单位按人力资源和社会保障部、财政部规定的基本工资和津贴补贴以及规定比例为职工缴纳的住房公积金。</w:t>
      </w:r>
    </w:p>
    <w:p w14:paraId="35DDFAE1">
      <w:pPr>
        <w:ind w:firstLine="640" w:firstLineChars="200"/>
        <w:rPr>
          <w:rFonts w:ascii="仿宋" w:hAnsi="仿宋" w:eastAsia="仿宋"/>
          <w:b/>
          <w:color w:val="auto"/>
          <w:sz w:val="32"/>
          <w:szCs w:val="32"/>
          <w:highlight w:val="none"/>
        </w:rPr>
      </w:pP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.住房保障支出（类）住房改革支出（款）购房补贴（项）: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反映按房改政策规定，行政事业单位向符合条件职工(含离退休人员)、军队(含武警)向转役复员离退休人员发放的用于购买住房的补贴。</w:t>
      </w:r>
    </w:p>
    <w:p w14:paraId="3A6C0575">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691134E5">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308470CD">
      <w:pPr>
        <w:pStyle w:val="1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3502291">
      <w:pPr>
        <w:pStyle w:val="1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19</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6D027C7">
      <w:pPr>
        <w:spacing w:line="600" w:lineRule="exact"/>
        <w:jc w:val="center"/>
        <w:outlineLvl w:val="0"/>
        <w:rPr>
          <w:rFonts w:ascii="仿宋_GB2312" w:hAnsi="仿宋_GB2312" w:eastAsia="仿宋_GB2312" w:cs="仿宋_GB2312"/>
          <w:color w:val="auto"/>
          <w:sz w:val="32"/>
          <w:szCs w:val="32"/>
          <w:highlight w:val="none"/>
        </w:rPr>
      </w:pPr>
      <w:r>
        <w:rPr>
          <w:rFonts w:ascii="宋体"/>
          <w:b/>
          <w:color w:val="auto"/>
          <w:sz w:val="44"/>
          <w:szCs w:val="44"/>
          <w:highlight w:val="none"/>
        </w:rPr>
        <w:br w:type="page"/>
      </w:r>
      <w:bookmarkStart w:id="25" w:name="_Toc3638"/>
      <w:r>
        <w:rPr>
          <w:rFonts w:hint="eastAsia" w:ascii="黑体" w:hAnsi="黑体" w:eastAsia="黑体"/>
          <w:color w:val="auto"/>
          <w:sz w:val="44"/>
          <w:szCs w:val="44"/>
          <w:highlight w:val="none"/>
        </w:rPr>
        <w:t>第</w:t>
      </w:r>
      <w:r>
        <w:rPr>
          <w:rStyle w:val="15"/>
          <w:rFonts w:hint="eastAsia" w:ascii="黑体" w:hAnsi="黑体" w:eastAsia="黑体"/>
          <w:b w:val="0"/>
          <w:color w:val="auto"/>
          <w:highlight w:val="none"/>
        </w:rPr>
        <w:t>四部分 附件</w:t>
      </w:r>
      <w:bookmarkEnd w:id="25"/>
    </w:p>
    <w:p w14:paraId="732D1D75">
      <w:pPr>
        <w:spacing w:line="240" w:lineRule="auto"/>
        <w:jc w:val="center"/>
        <w:outlineLvl w:val="1"/>
        <w:rPr>
          <w:rFonts w:hint="eastAsia" w:ascii="仿宋_GB2312" w:hAnsi="Calibri" w:eastAsia="仿宋_GB2312" w:cs="仿宋"/>
          <w:color w:val="auto"/>
          <w:kern w:val="0"/>
          <w:sz w:val="32"/>
          <w:szCs w:val="32"/>
          <w:highlight w:val="none"/>
          <w:lang w:val="en-US" w:eastAsia="zh-CN" w:bidi="ar-SA"/>
        </w:rPr>
      </w:pPr>
      <w:bookmarkStart w:id="26" w:name="_Toc8682"/>
      <w:bookmarkStart w:id="27" w:name="_Toc31140"/>
      <w:r>
        <w:rPr>
          <w:rFonts w:hint="eastAsia" w:cs="Times New Roman"/>
          <w:sz w:val="32"/>
          <w:szCs w:val="32"/>
          <w:highlight w:val="none"/>
          <w:lang w:val="en-US" w:eastAsia="zh-CN"/>
        </w:rPr>
        <w:t>单位</w:t>
      </w:r>
      <w:r>
        <w:rPr>
          <w:rFonts w:hint="eastAsia" w:hAnsi="Times New Roman" w:cs="Times New Roman"/>
          <w:sz w:val="32"/>
          <w:szCs w:val="32"/>
          <w:highlight w:val="none"/>
          <w:lang w:val="en-US" w:eastAsia="zh-CN"/>
        </w:rPr>
        <w:t>预算项目支出绩效自评表（202</w:t>
      </w:r>
      <w:r>
        <w:rPr>
          <w:rFonts w:hint="eastAsia" w:cs="Times New Roman"/>
          <w:sz w:val="32"/>
          <w:szCs w:val="32"/>
          <w:highlight w:val="none"/>
          <w:lang w:val="en-US" w:eastAsia="zh-CN"/>
        </w:rPr>
        <w:t>3</w:t>
      </w:r>
      <w:r>
        <w:rPr>
          <w:rFonts w:hint="eastAsia" w:hAnsi="Times New Roman" w:cs="Times New Roman"/>
          <w:sz w:val="32"/>
          <w:szCs w:val="32"/>
          <w:highlight w:val="none"/>
          <w:lang w:val="en-US" w:eastAsia="zh-CN"/>
        </w:rPr>
        <w:t>年度）</w:t>
      </w:r>
      <w:bookmarkEnd w:id="26"/>
      <w:bookmarkEnd w:id="27"/>
      <w:r>
        <w:rPr>
          <w:rFonts w:hint="eastAsia" w:ascii="仿宋_GB2312" w:hAnsi="Calibri" w:eastAsia="仿宋_GB2312" w:cs="仿宋"/>
          <w:color w:val="auto"/>
          <w:kern w:val="0"/>
          <w:sz w:val="32"/>
          <w:szCs w:val="32"/>
          <w:highlight w:val="none"/>
          <w:lang w:val="en-US" w:eastAsia="zh-CN" w:bidi="ar-SA"/>
        </w:rPr>
        <w:object>
          <v:shape id="_x0000_i1025" o:spt="75" type="#_x0000_t75" style="height:633.75pt;width:415.05pt;" o:ole="t" filled="f" o:preferrelative="t" stroked="f" coordsize="21600,21600">
            <v:path/>
            <v:fill on="f" focussize="0,0"/>
            <v:stroke on="f"/>
            <v:imagedata r:id="rId16" o:title=""/>
            <o:lock v:ext="edit" aspectratio="f"/>
            <w10:wrap type="none"/>
            <w10:anchorlock/>
          </v:shape>
          <o:OLEObject Type="Embed" ProgID="Excel.Sheet.12" ShapeID="_x0000_i1025" DrawAspect="Content" ObjectID="_1468075725" r:id="rId15">
            <o:LockedField>false</o:LockedField>
          </o:OLEObject>
        </w:object>
      </w:r>
    </w:p>
    <w:p w14:paraId="3D317216">
      <w:pPr>
        <w:pStyle w:val="4"/>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object>
          <v:shape id="_x0000_i1026" o:spt="75" type="#_x0000_t75" style="height:459.35pt;width:415.05pt;" o:ole="t" filled="f" o:preferrelative="t" stroked="f" coordsize="21600,21600">
            <v:path/>
            <v:fill on="f" focussize="0,0"/>
            <v:stroke on="f"/>
            <v:imagedata r:id="rId18" o:title=""/>
            <o:lock v:ext="edit" aspectratio="f"/>
            <w10:wrap type="none"/>
            <w10:anchorlock/>
          </v:shape>
          <o:OLEObject Type="Embed" ProgID="Excel.Sheet.12" ShapeID="_x0000_i1026" DrawAspect="Content" ObjectID="_1468075726" r:id="rId17">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27" o:spt="75" type="#_x0000_t75" style="height:500.5pt;width:415.05pt;" o:ole="t" filled="f" o:preferrelative="t" stroked="f" coordsize="21600,21600">
            <v:path/>
            <v:fill on="f" focussize="0,0"/>
            <v:stroke on="f"/>
            <v:imagedata r:id="rId20" o:title=""/>
            <o:lock v:ext="edit" aspectratio="f"/>
            <w10:wrap type="none"/>
            <w10:anchorlock/>
          </v:shape>
          <o:OLEObject Type="Embed" ProgID="Excel.Sheet.12" ShapeID="_x0000_i1027" DrawAspect="Content" ObjectID="_1468075727" r:id="rId19">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28" o:spt="75" type="#_x0000_t75" style="height:632.55pt;width:415.05pt;" o:ole="t" filled="f" o:preferrelative="t" stroked="f" coordsize="21600,21600">
            <v:path/>
            <v:fill on="f" focussize="0,0"/>
            <v:stroke on="f"/>
            <v:imagedata r:id="rId22" o:title=""/>
            <o:lock v:ext="edit" aspectratio="f"/>
            <w10:wrap type="none"/>
            <w10:anchorlock/>
          </v:shape>
          <o:OLEObject Type="Embed" ProgID="Excel.Sheet.12" ShapeID="_x0000_i1028" DrawAspect="Content" ObjectID="_1468075728" r:id="rId21">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29" o:spt="75" type="#_x0000_t75" style="height:495.4pt;width:415.05pt;" o:ole="t" filled="f" o:preferrelative="t" stroked="f" coordsize="21600,21600">
            <v:path/>
            <v:fill on="f" focussize="0,0"/>
            <v:stroke on="f"/>
            <v:imagedata r:id="rId24" o:title=""/>
            <o:lock v:ext="edit" aspectratio="f"/>
            <w10:wrap type="none"/>
            <w10:anchorlock/>
          </v:shape>
          <o:OLEObject Type="Embed" ProgID="Excel.Sheet.12" ShapeID="_x0000_i1029" DrawAspect="Content" ObjectID="_1468075729" r:id="rId23">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0" o:spt="75" type="#_x0000_t75" style="height:525.2pt;width:415.05pt;" o:ole="t" filled="f" o:preferrelative="t" stroked="f" coordsize="21600,21600">
            <v:path/>
            <v:fill on="f" focussize="0,0"/>
            <v:stroke on="f"/>
            <v:imagedata r:id="rId26" o:title=""/>
            <o:lock v:ext="edit" aspectratio="f"/>
            <w10:wrap type="none"/>
            <w10:anchorlock/>
          </v:shape>
          <o:OLEObject Type="Embed" ProgID="Excel.Sheet.12" ShapeID="_x0000_i1030" DrawAspect="Content" ObjectID="_1468075730" r:id="rId25">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1" o:spt="75" type="#_x0000_t75" style="height:540.45pt;width:415.05pt;" o:ole="t" filled="f" o:preferrelative="t" stroked="f" coordsize="21600,21600">
            <v:path/>
            <v:fill on="f" focussize="0,0"/>
            <v:stroke on="f"/>
            <v:imagedata r:id="rId28" o:title=""/>
            <o:lock v:ext="edit" aspectratio="f"/>
            <w10:wrap type="none"/>
            <w10:anchorlock/>
          </v:shape>
          <o:OLEObject Type="Embed" ProgID="Excel.Sheet.12" ShapeID="_x0000_i1031" DrawAspect="Content" ObjectID="_1468075731" r:id="rId27">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2" o:spt="75" type="#_x0000_t75" style="height:444.45pt;width:415.05pt;" o:ole="t" filled="f" o:preferrelative="t" stroked="f" coordsize="21600,21600">
            <v:path/>
            <v:fill on="f" focussize="0,0"/>
            <v:stroke on="f"/>
            <v:imagedata r:id="rId30" o:title=""/>
            <o:lock v:ext="edit" aspectratio="f"/>
            <w10:wrap type="none"/>
            <w10:anchorlock/>
          </v:shape>
          <o:OLEObject Type="Embed" ProgID="Excel.Sheet.12" ShapeID="_x0000_i1032" DrawAspect="Content" ObjectID="_1468075732" r:id="rId29">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3" o:spt="75" type="#_x0000_t75" style="height:454.25pt;width:415.05pt;" o:ole="t" filled="f" o:preferrelative="t" stroked="f" coordsize="21600,21600">
            <v:path/>
            <v:fill on="f" focussize="0,0"/>
            <v:stroke on="f"/>
            <v:imagedata r:id="rId32" o:title=""/>
            <o:lock v:ext="edit" aspectratio="f"/>
            <w10:wrap type="none"/>
            <w10:anchorlock/>
          </v:shape>
          <o:OLEObject Type="Embed" ProgID="Excel.Sheet.12" ShapeID="_x0000_i1033" DrawAspect="Content" ObjectID="_1468075733" r:id="rId31">
            <o:LockedField>false</o:LockedField>
          </o:OLEObject>
        </w:object>
      </w:r>
    </w:p>
    <w:p w14:paraId="04BD062C">
      <w:pPr>
        <w:pStyle w:val="4"/>
        <w:rPr>
          <w:rFonts w:hint="eastAsia" w:ascii="仿宋_GB2312" w:hAnsi="Calibri" w:eastAsia="仿宋_GB2312" w:cs="仿宋"/>
          <w:color w:val="auto"/>
          <w:kern w:val="0"/>
          <w:sz w:val="32"/>
          <w:szCs w:val="32"/>
          <w:highlight w:val="none"/>
          <w:lang w:val="en-US" w:eastAsia="zh-CN" w:bidi="ar-SA"/>
        </w:rPr>
      </w:pPr>
    </w:p>
    <w:p w14:paraId="2012C35B">
      <w:pPr>
        <w:pStyle w:val="4"/>
        <w:rPr>
          <w:rFonts w:hint="eastAsia" w:ascii="仿宋_GB2312" w:hAnsi="Calibri" w:eastAsia="仿宋_GB2312" w:cs="仿宋"/>
          <w:color w:val="auto"/>
          <w:kern w:val="0"/>
          <w:sz w:val="32"/>
          <w:szCs w:val="32"/>
          <w:highlight w:val="none"/>
          <w:lang w:val="en-US" w:eastAsia="zh-CN" w:bidi="ar-SA"/>
        </w:rPr>
      </w:pPr>
    </w:p>
    <w:p w14:paraId="6BE30EBC">
      <w:pPr>
        <w:pStyle w:val="4"/>
        <w:rPr>
          <w:rFonts w:hint="eastAsia" w:ascii="仿宋_GB2312" w:hAnsi="Calibri" w:eastAsia="仿宋_GB2312" w:cs="仿宋"/>
          <w:color w:val="auto"/>
          <w:kern w:val="0"/>
          <w:sz w:val="32"/>
          <w:szCs w:val="32"/>
          <w:highlight w:val="none"/>
          <w:lang w:val="en-US" w:eastAsia="zh-CN" w:bidi="ar-SA"/>
        </w:rPr>
      </w:pPr>
    </w:p>
    <w:p w14:paraId="67F38EFE">
      <w:pPr>
        <w:pStyle w:val="4"/>
        <w:rPr>
          <w:rFonts w:hint="eastAsia" w:ascii="仿宋_GB2312" w:hAnsi="Calibri" w:eastAsia="仿宋_GB2312" w:cs="仿宋"/>
          <w:color w:val="auto"/>
          <w:kern w:val="0"/>
          <w:sz w:val="32"/>
          <w:szCs w:val="32"/>
          <w:highlight w:val="none"/>
          <w:lang w:val="en-US" w:eastAsia="zh-CN" w:bidi="ar-SA"/>
        </w:rPr>
      </w:pPr>
    </w:p>
    <w:p w14:paraId="28B17FF8">
      <w:pPr>
        <w:pStyle w:val="4"/>
        <w:rPr>
          <w:rFonts w:hint="eastAsia" w:ascii="仿宋_GB2312" w:hAnsi="Calibri" w:eastAsia="仿宋_GB2312" w:cs="仿宋"/>
          <w:color w:val="auto"/>
          <w:kern w:val="0"/>
          <w:sz w:val="32"/>
          <w:szCs w:val="32"/>
          <w:highlight w:val="none"/>
          <w:lang w:val="en-US" w:eastAsia="zh-CN" w:bidi="ar-SA"/>
        </w:rPr>
      </w:pPr>
    </w:p>
    <w:p w14:paraId="0F676D33">
      <w:pPr>
        <w:pStyle w:val="4"/>
        <w:rPr>
          <w:rFonts w:hint="eastAsia" w:ascii="仿宋_GB2312" w:hAnsi="Calibri" w:eastAsia="仿宋_GB2312" w:cs="仿宋"/>
          <w:color w:val="auto"/>
          <w:kern w:val="0"/>
          <w:sz w:val="32"/>
          <w:szCs w:val="32"/>
          <w:highlight w:val="none"/>
          <w:lang w:val="en-US" w:eastAsia="zh-CN" w:bidi="ar-SA"/>
        </w:rPr>
      </w:pPr>
    </w:p>
    <w:p w14:paraId="08E268BA">
      <w:pPr>
        <w:rPr>
          <w:rFonts w:hint="eastAsia" w:ascii="黑体" w:hAnsi="黑体" w:eastAsia="黑体"/>
          <w:color w:val="auto"/>
          <w:sz w:val="44"/>
          <w:szCs w:val="44"/>
          <w:highlight w:val="none"/>
        </w:rPr>
      </w:pPr>
    </w:p>
    <w:p w14:paraId="3BE114F8">
      <w:pPr>
        <w:spacing w:line="600" w:lineRule="exact"/>
        <w:jc w:val="center"/>
        <w:outlineLvl w:val="0"/>
        <w:rPr>
          <w:rFonts w:hint="eastAsia" w:ascii="仿宋" w:hAnsi="仿宋" w:eastAsia="仿宋"/>
          <w:b w:val="0"/>
          <w:color w:val="auto"/>
          <w:highlight w:val="none"/>
        </w:rPr>
      </w:pPr>
      <w:bookmarkStart w:id="28" w:name="_Toc16227"/>
      <w:r>
        <w:rPr>
          <w:rFonts w:hint="eastAsia" w:ascii="黑体" w:hAnsi="黑体" w:eastAsia="黑体"/>
          <w:color w:val="auto"/>
          <w:sz w:val="44"/>
          <w:szCs w:val="44"/>
          <w:highlight w:val="none"/>
        </w:rPr>
        <w:t>第</w:t>
      </w:r>
      <w:r>
        <w:rPr>
          <w:rStyle w:val="15"/>
          <w:rFonts w:hint="eastAsia" w:ascii="黑体" w:hAnsi="黑体" w:eastAsia="黑体"/>
          <w:b w:val="0"/>
          <w:color w:val="auto"/>
          <w:highlight w:val="none"/>
        </w:rPr>
        <w:t>五部分 附表</w:t>
      </w:r>
      <w:bookmarkEnd w:id="28"/>
    </w:p>
    <w:p w14:paraId="0F02DCC3">
      <w:pPr>
        <w:pStyle w:val="3"/>
        <w:rPr>
          <w:rFonts w:ascii="仿宋" w:hAnsi="仿宋" w:eastAsia="仿宋"/>
          <w:color w:val="auto"/>
          <w:highlight w:val="none"/>
        </w:rPr>
      </w:pPr>
      <w:bookmarkStart w:id="29" w:name="_Toc6250"/>
      <w:r>
        <w:rPr>
          <w:rFonts w:hint="eastAsia" w:ascii="仿宋" w:hAnsi="仿宋" w:eastAsia="仿宋"/>
          <w:b w:val="0"/>
          <w:color w:val="auto"/>
          <w:highlight w:val="none"/>
        </w:rPr>
        <w:t>一、收</w:t>
      </w:r>
      <w:r>
        <w:rPr>
          <w:rStyle w:val="16"/>
          <w:rFonts w:hint="eastAsia" w:ascii="仿宋" w:hAnsi="仿宋" w:eastAsia="仿宋"/>
          <w:b w:val="0"/>
          <w:bCs w:val="0"/>
          <w:color w:val="auto"/>
          <w:highlight w:val="none"/>
        </w:rPr>
        <w:t>入支出决算总表</w:t>
      </w:r>
      <w:bookmarkEnd w:id="29"/>
    </w:p>
    <w:p w14:paraId="61857407">
      <w:pPr>
        <w:pStyle w:val="3"/>
        <w:rPr>
          <w:rFonts w:ascii="仿宋" w:hAnsi="仿宋" w:eastAsia="仿宋"/>
          <w:color w:val="auto"/>
          <w:highlight w:val="none"/>
        </w:rPr>
      </w:pPr>
      <w:bookmarkStart w:id="30" w:name="_Toc1906"/>
      <w:r>
        <w:rPr>
          <w:rFonts w:hint="eastAsia" w:ascii="仿宋" w:hAnsi="仿宋" w:eastAsia="仿宋"/>
          <w:b w:val="0"/>
          <w:color w:val="auto"/>
          <w:highlight w:val="none"/>
        </w:rPr>
        <w:t>二、收</w:t>
      </w:r>
      <w:r>
        <w:rPr>
          <w:rStyle w:val="16"/>
          <w:rFonts w:hint="eastAsia" w:ascii="仿宋" w:hAnsi="仿宋" w:eastAsia="仿宋"/>
          <w:b w:val="0"/>
          <w:bCs w:val="0"/>
          <w:color w:val="auto"/>
          <w:highlight w:val="none"/>
        </w:rPr>
        <w:t>入决算表</w:t>
      </w:r>
      <w:bookmarkEnd w:id="30"/>
    </w:p>
    <w:p w14:paraId="0E04F451">
      <w:pPr>
        <w:pStyle w:val="3"/>
        <w:rPr>
          <w:rFonts w:ascii="仿宋" w:hAnsi="仿宋" w:eastAsia="仿宋"/>
          <w:color w:val="auto"/>
          <w:highlight w:val="none"/>
        </w:rPr>
      </w:pPr>
      <w:bookmarkStart w:id="31" w:name="_Toc24754"/>
      <w:r>
        <w:rPr>
          <w:rStyle w:val="16"/>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6"/>
          <w:rFonts w:hint="eastAsia" w:ascii="仿宋" w:hAnsi="仿宋" w:eastAsia="仿宋"/>
          <w:b w:val="0"/>
          <w:bCs w:val="0"/>
          <w:color w:val="auto"/>
          <w:highlight w:val="none"/>
        </w:rPr>
        <w:t>出决算表</w:t>
      </w:r>
      <w:bookmarkEnd w:id="31"/>
    </w:p>
    <w:p w14:paraId="43FE41CA">
      <w:pPr>
        <w:pStyle w:val="3"/>
        <w:rPr>
          <w:rFonts w:ascii="仿宋" w:hAnsi="仿宋" w:eastAsia="仿宋"/>
          <w:b w:val="0"/>
          <w:color w:val="auto"/>
          <w:highlight w:val="none"/>
        </w:rPr>
      </w:pPr>
      <w:bookmarkStart w:id="32" w:name="_Toc25562"/>
      <w:r>
        <w:rPr>
          <w:rStyle w:val="16"/>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6"/>
          <w:rFonts w:hint="eastAsia" w:ascii="仿宋" w:hAnsi="仿宋" w:eastAsia="仿宋"/>
          <w:b w:val="0"/>
          <w:bCs w:val="0"/>
          <w:color w:val="auto"/>
          <w:highlight w:val="none"/>
        </w:rPr>
        <w:t>政拨款收入支出决算总表</w:t>
      </w:r>
      <w:bookmarkEnd w:id="32"/>
    </w:p>
    <w:p w14:paraId="6C074AA1">
      <w:pPr>
        <w:pStyle w:val="3"/>
        <w:rPr>
          <w:rStyle w:val="16"/>
          <w:rFonts w:ascii="仿宋" w:hAnsi="仿宋" w:eastAsia="仿宋"/>
          <w:b w:val="0"/>
          <w:bCs w:val="0"/>
          <w:color w:val="auto"/>
          <w:highlight w:val="none"/>
        </w:rPr>
      </w:pPr>
      <w:bookmarkStart w:id="33" w:name="_Toc26583"/>
      <w:r>
        <w:rPr>
          <w:rStyle w:val="16"/>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6"/>
          <w:rFonts w:hint="eastAsia" w:ascii="仿宋" w:hAnsi="仿宋" w:eastAsia="仿宋"/>
          <w:b w:val="0"/>
          <w:bCs w:val="0"/>
          <w:color w:val="auto"/>
          <w:highlight w:val="none"/>
        </w:rPr>
        <w:t>政拨款支出决算明细表</w:t>
      </w:r>
      <w:bookmarkEnd w:id="33"/>
    </w:p>
    <w:p w14:paraId="3F4F188C">
      <w:pPr>
        <w:pStyle w:val="3"/>
        <w:rPr>
          <w:rFonts w:ascii="仿宋" w:hAnsi="仿宋" w:eastAsia="仿宋"/>
          <w:color w:val="auto"/>
          <w:highlight w:val="none"/>
        </w:rPr>
      </w:pPr>
      <w:bookmarkStart w:id="34" w:name="_Toc17648"/>
      <w:r>
        <w:rPr>
          <w:rStyle w:val="16"/>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般公共预算财政拨款支出决算表</w:t>
      </w:r>
      <w:bookmarkEnd w:id="34"/>
    </w:p>
    <w:p w14:paraId="36815810">
      <w:pPr>
        <w:pStyle w:val="3"/>
        <w:rPr>
          <w:rFonts w:ascii="仿宋" w:hAnsi="仿宋" w:eastAsia="仿宋"/>
          <w:color w:val="auto"/>
          <w:highlight w:val="none"/>
        </w:rPr>
      </w:pPr>
      <w:bookmarkStart w:id="35" w:name="_Toc32296"/>
      <w:r>
        <w:rPr>
          <w:rStyle w:val="16"/>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般公共预算财政拨款支出决算明细表</w:t>
      </w:r>
      <w:bookmarkEnd w:id="35"/>
    </w:p>
    <w:p w14:paraId="1BF70AB4">
      <w:pPr>
        <w:pStyle w:val="3"/>
        <w:rPr>
          <w:rFonts w:ascii="仿宋" w:hAnsi="仿宋" w:eastAsia="仿宋"/>
          <w:color w:val="auto"/>
          <w:highlight w:val="none"/>
        </w:rPr>
      </w:pPr>
      <w:bookmarkStart w:id="36" w:name="_Toc32233"/>
      <w:r>
        <w:rPr>
          <w:rStyle w:val="16"/>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般公共预算财政拨款基本支出决算表</w:t>
      </w:r>
      <w:bookmarkEnd w:id="36"/>
    </w:p>
    <w:p w14:paraId="38B97AE9">
      <w:pPr>
        <w:pStyle w:val="3"/>
        <w:rPr>
          <w:rFonts w:ascii="仿宋" w:hAnsi="仿宋" w:eastAsia="仿宋"/>
          <w:color w:val="auto"/>
          <w:highlight w:val="none"/>
        </w:rPr>
      </w:pPr>
      <w:bookmarkStart w:id="37" w:name="_Toc26012"/>
      <w:r>
        <w:rPr>
          <w:rStyle w:val="16"/>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般公共预算财政拨款项目支出决算表</w:t>
      </w:r>
      <w:bookmarkEnd w:id="37"/>
    </w:p>
    <w:p w14:paraId="1342A979">
      <w:pPr>
        <w:pStyle w:val="3"/>
        <w:rPr>
          <w:rFonts w:ascii="仿宋" w:hAnsi="仿宋" w:eastAsia="仿宋"/>
          <w:color w:val="auto"/>
          <w:highlight w:val="none"/>
        </w:rPr>
      </w:pPr>
      <w:bookmarkStart w:id="38" w:name="_Toc32272"/>
      <w:r>
        <w:rPr>
          <w:rStyle w:val="16"/>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6"/>
          <w:rFonts w:hint="eastAsia" w:ascii="仿宋" w:hAnsi="仿宋" w:eastAsia="仿宋"/>
          <w:b w:val="0"/>
          <w:bCs w:val="0"/>
          <w:color w:val="auto"/>
          <w:highlight w:val="none"/>
        </w:rPr>
        <w:t>府性基金预算财政拨款收入支出决算表</w:t>
      </w:r>
      <w:bookmarkEnd w:id="38"/>
    </w:p>
    <w:p w14:paraId="67CFEF38">
      <w:pPr>
        <w:pStyle w:val="3"/>
        <w:rPr>
          <w:rFonts w:ascii="仿宋" w:hAnsi="仿宋" w:eastAsia="仿宋"/>
          <w:color w:val="auto"/>
          <w:highlight w:val="none"/>
        </w:rPr>
      </w:pPr>
      <w:bookmarkStart w:id="39" w:name="_Toc30908"/>
      <w:r>
        <w:rPr>
          <w:rStyle w:val="16"/>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6"/>
          <w:rFonts w:hint="eastAsia" w:ascii="仿宋" w:hAnsi="仿宋" w:eastAsia="仿宋"/>
          <w:b w:val="0"/>
          <w:bCs w:val="0"/>
          <w:color w:val="auto"/>
          <w:highlight w:val="none"/>
        </w:rPr>
        <w:t>有资本经营预算</w:t>
      </w:r>
      <w:r>
        <w:rPr>
          <w:rStyle w:val="16"/>
          <w:rFonts w:hint="eastAsia" w:ascii="仿宋" w:hAnsi="仿宋" w:eastAsia="仿宋"/>
          <w:b w:val="0"/>
          <w:bCs w:val="0"/>
          <w:color w:val="auto"/>
          <w:highlight w:val="none"/>
          <w:lang w:eastAsia="zh-CN"/>
        </w:rPr>
        <w:t>财政拨款收入</w:t>
      </w:r>
      <w:r>
        <w:rPr>
          <w:rStyle w:val="16"/>
          <w:rFonts w:hint="eastAsia" w:ascii="仿宋" w:hAnsi="仿宋" w:eastAsia="仿宋"/>
          <w:b w:val="0"/>
          <w:bCs w:val="0"/>
          <w:color w:val="auto"/>
          <w:highlight w:val="none"/>
        </w:rPr>
        <w:t>支出决算表</w:t>
      </w:r>
      <w:bookmarkEnd w:id="39"/>
    </w:p>
    <w:p w14:paraId="24F57D65">
      <w:pPr>
        <w:pStyle w:val="3"/>
        <w:rPr>
          <w:rFonts w:ascii="仿宋" w:hAnsi="仿宋" w:eastAsia="仿宋"/>
          <w:color w:val="auto"/>
          <w:highlight w:val="none"/>
        </w:rPr>
      </w:pPr>
      <w:bookmarkStart w:id="40" w:name="_Toc25742"/>
      <w:r>
        <w:rPr>
          <w:rStyle w:val="16"/>
          <w:rFonts w:hint="eastAsia" w:ascii="仿宋" w:hAnsi="仿宋" w:eastAsia="仿宋"/>
          <w:b w:val="0"/>
          <w:bCs w:val="0"/>
          <w:color w:val="auto"/>
          <w:highlight w:val="none"/>
        </w:rPr>
        <w:t>十二、</w:t>
      </w:r>
      <w:r>
        <w:rPr>
          <w:rStyle w:val="16"/>
          <w:rFonts w:hint="eastAsia" w:ascii="仿宋" w:hAnsi="仿宋" w:eastAsia="仿宋"/>
          <w:b w:val="0"/>
          <w:bCs w:val="0"/>
          <w:color w:val="auto"/>
          <w:highlight w:val="none"/>
          <w:lang w:eastAsia="zh-CN"/>
        </w:rPr>
        <w:t>国有资本经营预算财政拨款支出决算表</w:t>
      </w:r>
      <w:bookmarkEnd w:id="40"/>
    </w:p>
    <w:p w14:paraId="6337C4E7">
      <w:pPr>
        <w:pStyle w:val="3"/>
        <w:rPr>
          <w:rFonts w:hint="eastAsia" w:eastAsia="仿宋"/>
          <w:color w:val="auto"/>
          <w:highlight w:val="none"/>
          <w:lang w:eastAsia="zh-CN"/>
        </w:rPr>
      </w:pPr>
      <w:bookmarkStart w:id="41" w:name="_Toc21963"/>
      <w:r>
        <w:rPr>
          <w:rStyle w:val="16"/>
          <w:rFonts w:hint="eastAsia" w:ascii="仿宋" w:hAnsi="仿宋" w:eastAsia="仿宋"/>
          <w:b w:val="0"/>
          <w:bCs w:val="0"/>
          <w:color w:val="auto"/>
          <w:highlight w:val="none"/>
        </w:rPr>
        <w:t>十三、</w:t>
      </w:r>
      <w:r>
        <w:rPr>
          <w:rStyle w:val="16"/>
          <w:rFonts w:hint="eastAsia" w:ascii="仿宋" w:hAnsi="仿宋" w:eastAsia="仿宋"/>
          <w:b w:val="0"/>
          <w:bCs w:val="0"/>
          <w:color w:val="auto"/>
          <w:highlight w:val="none"/>
          <w:lang w:eastAsia="zh-CN"/>
        </w:rPr>
        <w:t>财政拨款“三公”经费支出决算表</w:t>
      </w:r>
      <w:bookmarkEnd w:id="41"/>
    </w:p>
    <w:p w14:paraId="7A51B853">
      <w:pPr>
        <w:rPr>
          <w:rFonts w:hint="eastAsia"/>
          <w:lang w:eastAsia="zh-CN"/>
        </w:rPr>
      </w:pPr>
    </w:p>
    <w:p w14:paraId="4D313CE4"/>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6664F">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2856A893">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49A99384">
                          <w:pPr>
                            <w:pStyle w:val="10"/>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2856A893">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49A99384">
                    <w:pPr>
                      <w:pStyle w:val="10"/>
                    </w:pPr>
                  </w:p>
                </w:txbxContent>
              </v:textbox>
            </v:shape>
          </w:pict>
        </mc:Fallback>
      </mc:AlternateContent>
    </w:r>
  </w:p>
  <w:p w14:paraId="4E89849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7B2C8">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2A3DF4">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732A3DF4">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C4EC2">
    <w:pPr>
      <w:pStyle w:val="7"/>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2383"/>
                          </w:sdtPr>
                          <w:sdtContent>
                            <w:p w14:paraId="7DCB5675">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64DF0A1A">
                          <w:pPr>
                            <w:pStyle w:val="10"/>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sdt>
                    <w:sdtPr>
                      <w:id w:val="147472383"/>
                    </w:sdtPr>
                    <w:sdtContent>
                      <w:p w14:paraId="7DCB5675">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64DF0A1A">
                    <w:pPr>
                      <w:pStyle w:val="10"/>
                    </w:pPr>
                  </w:p>
                </w:txbxContent>
              </v:textbox>
            </v:shape>
          </w:pict>
        </mc:Fallback>
      </mc:AlternateContent>
    </w:r>
  </w:p>
  <w:p w14:paraId="58EE1D7D">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FB1AD">
    <w:pPr>
      <w:pStyle w:val="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A8307E">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4EA8307E">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0CB09CD"/>
    <w:rsid w:val="00FE0324"/>
    <w:rsid w:val="07F67816"/>
    <w:rsid w:val="07F97307"/>
    <w:rsid w:val="082F59E8"/>
    <w:rsid w:val="08D63D26"/>
    <w:rsid w:val="0A075D0B"/>
    <w:rsid w:val="0AA827C4"/>
    <w:rsid w:val="0AEC4F01"/>
    <w:rsid w:val="0C281F69"/>
    <w:rsid w:val="121D1E44"/>
    <w:rsid w:val="12CA1FCB"/>
    <w:rsid w:val="20EA55E7"/>
    <w:rsid w:val="249935AC"/>
    <w:rsid w:val="25F27417"/>
    <w:rsid w:val="26355556"/>
    <w:rsid w:val="265F6A26"/>
    <w:rsid w:val="27955252"/>
    <w:rsid w:val="286B34B1"/>
    <w:rsid w:val="2CA64AB8"/>
    <w:rsid w:val="2DD029D5"/>
    <w:rsid w:val="314B4EBC"/>
    <w:rsid w:val="3298755C"/>
    <w:rsid w:val="33C07B15"/>
    <w:rsid w:val="37A42346"/>
    <w:rsid w:val="39485B35"/>
    <w:rsid w:val="3BB63F2B"/>
    <w:rsid w:val="3C945361"/>
    <w:rsid w:val="3DD12D25"/>
    <w:rsid w:val="3EED47C8"/>
    <w:rsid w:val="3FC079FF"/>
    <w:rsid w:val="40A92971"/>
    <w:rsid w:val="40C77C97"/>
    <w:rsid w:val="42E3660E"/>
    <w:rsid w:val="433E3B47"/>
    <w:rsid w:val="434D0B14"/>
    <w:rsid w:val="438A7AD3"/>
    <w:rsid w:val="453B5FB7"/>
    <w:rsid w:val="48645AFB"/>
    <w:rsid w:val="4BAF3578"/>
    <w:rsid w:val="4BCD1C09"/>
    <w:rsid w:val="4CA54934"/>
    <w:rsid w:val="4CAA6A9E"/>
    <w:rsid w:val="4E116D2E"/>
    <w:rsid w:val="50334136"/>
    <w:rsid w:val="55B32AE8"/>
    <w:rsid w:val="56372AA1"/>
    <w:rsid w:val="57874CE6"/>
    <w:rsid w:val="58BD6B62"/>
    <w:rsid w:val="5A01422C"/>
    <w:rsid w:val="5A283B23"/>
    <w:rsid w:val="5A582FE6"/>
    <w:rsid w:val="5BEC60DC"/>
    <w:rsid w:val="5EC250F5"/>
    <w:rsid w:val="5F5875E4"/>
    <w:rsid w:val="61182238"/>
    <w:rsid w:val="623D71A2"/>
    <w:rsid w:val="63DB465F"/>
    <w:rsid w:val="6646020A"/>
    <w:rsid w:val="6A995680"/>
    <w:rsid w:val="6AC90B84"/>
    <w:rsid w:val="6BA00B03"/>
    <w:rsid w:val="6C604227"/>
    <w:rsid w:val="6E6768E9"/>
    <w:rsid w:val="6E7B6E4B"/>
    <w:rsid w:val="6E9720C8"/>
    <w:rsid w:val="6EED4FC9"/>
    <w:rsid w:val="70691D55"/>
    <w:rsid w:val="71722787"/>
    <w:rsid w:val="7279768E"/>
    <w:rsid w:val="7329331A"/>
    <w:rsid w:val="762E16DC"/>
    <w:rsid w:val="7A6678F0"/>
    <w:rsid w:val="7AE2272C"/>
    <w:rsid w:val="7B18614D"/>
    <w:rsid w:val="7CA852AF"/>
    <w:rsid w:val="7DA53C86"/>
    <w:rsid w:val="7F0A2251"/>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eastAsia="仿宋_GB2312"/>
      <w:kern w:val="0"/>
      <w:sz w:val="30"/>
    </w:rPr>
  </w:style>
  <w:style w:type="paragraph" w:styleId="5">
    <w:name w:val="Body Text Indent"/>
    <w:basedOn w:val="1"/>
    <w:next w:val="6"/>
    <w:qFormat/>
    <w:uiPriority w:val="0"/>
    <w:pPr>
      <w:spacing w:after="120"/>
      <w:ind w:leftChars="200"/>
    </w:pPr>
    <w:rPr>
      <w:rFonts w:ascii="仿宋_GB2312"/>
      <w:szCs w:val="32"/>
    </w:rPr>
  </w:style>
  <w:style w:type="paragraph" w:styleId="6">
    <w:name w:val="Body Text First Indent 2"/>
    <w:basedOn w:val="5"/>
    <w:unhideWhenUsed/>
    <w:qFormat/>
    <w:uiPriority w:val="99"/>
    <w:pPr>
      <w:ind w:firstLine="420" w:firstLineChars="200"/>
    </w:pPr>
  </w:style>
  <w:style w:type="paragraph" w:styleId="7">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0">
    <w:name w:val="footnote text"/>
    <w:basedOn w:val="1"/>
    <w:next w:val="6"/>
    <w:semiHidden/>
    <w:qFormat/>
    <w:uiPriority w:val="0"/>
    <w:pPr>
      <w:snapToGrid w:val="0"/>
      <w:jc w:val="left"/>
    </w:pPr>
    <w:rPr>
      <w:sz w:val="18"/>
      <w:szCs w:val="1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customStyle="1" w:styleId="15">
    <w:name w:val="标题 1 Char"/>
    <w:basedOn w:val="13"/>
    <w:link w:val="2"/>
    <w:qFormat/>
    <w:uiPriority w:val="9"/>
    <w:rPr>
      <w:b/>
      <w:bCs/>
      <w:kern w:val="44"/>
      <w:sz w:val="44"/>
      <w:szCs w:val="44"/>
    </w:rPr>
  </w:style>
  <w:style w:type="character" w:customStyle="1" w:styleId="16">
    <w:name w:val="标题 2 Char"/>
    <w:basedOn w:val="13"/>
    <w:link w:val="3"/>
    <w:qFormat/>
    <w:uiPriority w:val="9"/>
    <w:rPr>
      <w:rFonts w:asciiTheme="majorHAnsi" w:hAnsiTheme="majorHAnsi" w:eastAsiaTheme="majorEastAsia" w:cstheme="majorBidi"/>
      <w:b/>
      <w:bCs/>
      <w:sz w:val="32"/>
      <w:szCs w:val="32"/>
    </w:rPr>
  </w:style>
  <w:style w:type="paragraph" w:styleId="17">
    <w:name w:val="List Paragraph"/>
    <w:basedOn w:val="1"/>
    <w:qFormat/>
    <w:uiPriority w:val="34"/>
    <w:pPr>
      <w:ind w:firstLine="420" w:firstLineChars="200"/>
    </w:pPr>
  </w:style>
  <w:style w:type="paragraph" w:customStyle="1" w:styleId="1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9.emf"/><Relationship Id="rId31" Type="http://schemas.openxmlformats.org/officeDocument/2006/relationships/oleObject" Target="embeddings/oleObject9.bin"/><Relationship Id="rId30" Type="http://schemas.openxmlformats.org/officeDocument/2006/relationships/image" Target="media/image8.emf"/><Relationship Id="rId3" Type="http://schemas.openxmlformats.org/officeDocument/2006/relationships/footer" Target="footer1.xml"/><Relationship Id="rId29" Type="http://schemas.openxmlformats.org/officeDocument/2006/relationships/oleObject" Target="embeddings/oleObject8.bin"/><Relationship Id="rId28" Type="http://schemas.openxmlformats.org/officeDocument/2006/relationships/image" Target="media/image7.emf"/><Relationship Id="rId27" Type="http://schemas.openxmlformats.org/officeDocument/2006/relationships/oleObject" Target="embeddings/oleObject7.bin"/><Relationship Id="rId26" Type="http://schemas.openxmlformats.org/officeDocument/2006/relationships/image" Target="media/image6.emf"/><Relationship Id="rId25" Type="http://schemas.openxmlformats.org/officeDocument/2006/relationships/oleObject" Target="embeddings/oleObject6.bin"/><Relationship Id="rId24" Type="http://schemas.openxmlformats.org/officeDocument/2006/relationships/image" Target="media/image5.emf"/><Relationship Id="rId23" Type="http://schemas.openxmlformats.org/officeDocument/2006/relationships/oleObject" Target="embeddings/oleObject5.bin"/><Relationship Id="rId22" Type="http://schemas.openxmlformats.org/officeDocument/2006/relationships/image" Target="media/image4.emf"/><Relationship Id="rId21" Type="http://schemas.openxmlformats.org/officeDocument/2006/relationships/oleObject" Target="embeddings/oleObject4.bin"/><Relationship Id="rId20" Type="http://schemas.openxmlformats.org/officeDocument/2006/relationships/image" Target="media/image3.e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2.emf"/><Relationship Id="rId17" Type="http://schemas.openxmlformats.org/officeDocument/2006/relationships/oleObject" Target="embeddings/oleObject2.bin"/><Relationship Id="rId16" Type="http://schemas.openxmlformats.org/officeDocument/2006/relationships/image" Target="media/image1.emf"/><Relationship Id="rId15" Type="http://schemas.openxmlformats.org/officeDocument/2006/relationships/oleObject" Target="embeddings/oleObject1.bin"/><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0.00_ </c:formatCode>
                <c:ptCount val="2"/>
                <c:pt idx="0">
                  <c:v>2576.967252</c:v>
                </c:pt>
                <c:pt idx="1">
                  <c:v>2576.967252</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General</c:formatCode>
                <c:ptCount val="2"/>
                <c:pt idx="0">
                  <c:v>1930.96</c:v>
                </c:pt>
                <c:pt idx="1">
                  <c:v>1930.96</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100%</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2576.97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altLang="en-US"/>
              <a:t>支出决算结构图</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94.00%</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6.00%</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0.00_ </c:formatCode>
                <c:ptCount val="2"/>
                <c:pt idx="0">
                  <c:v>2422.331809</c:v>
                </c:pt>
                <c:pt idx="1">
                  <c:v>154.635443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0.00_ </c:formatCode>
                <c:ptCount val="2"/>
                <c:pt idx="0">
                  <c:v>2576.967252</c:v>
                </c:pt>
                <c:pt idx="1">
                  <c:v>2576.967252</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General</c:formatCode>
                <c:ptCount val="2"/>
                <c:pt idx="0">
                  <c:v>1930.96</c:v>
                </c:pt>
                <c:pt idx="1">
                  <c:v>1930.96</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0.00_ </c:formatCode>
                <c:ptCount val="1"/>
                <c:pt idx="0">
                  <c:v>2576.967252</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1930.96</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10.6%</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4.7%</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78.9%</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5.8%</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General</c:formatCode>
                <c:ptCount val="4"/>
                <c:pt idx="0">
                  <c:v>272.49</c:v>
                </c:pt>
                <c:pt idx="1">
                  <c:v>120.53</c:v>
                </c:pt>
                <c:pt idx="2" c:formatCode="#,##0.00">
                  <c:v>2034.12</c:v>
                </c:pt>
                <c:pt idx="3">
                  <c:v>149.83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87267455907224"/>
          <c:y val="0.0284742881427964"/>
        </c:manualLayout>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manualLayout>
                  <c:x val="0.0507368929693163"/>
                  <c:y val="0.0076498087547811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289925102681807"/>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99.7%</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681323991302247"/>
                  <c:y val="-0.012749681257968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0.3%</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19</c:v>
                </c:pt>
                <c:pt idx="2">
                  <c:v>0.06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4685</Words>
  <Characters>5109</Characters>
  <Lines>0</Lines>
  <Paragraphs>0</Paragraphs>
  <TotalTime>4</TotalTime>
  <ScaleCrop>false</ScaleCrop>
  <LinksUpToDate>false</LinksUpToDate>
  <CharactersWithSpaces>5278</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2024-09-18T01:58:14Z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4B36885EC3FC4924A625572C45ACC197_13</vt:lpwstr>
  </property>
</Properties>
</file>