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8FCF5">
      <w:pPr>
        <w:pStyle w:val="7"/>
        <w:spacing w:before="93"/>
        <w:jc w:val="center"/>
        <w:rPr>
          <w:rFonts w:hint="eastAsia" w:ascii="方正小标宋简体" w:hAnsi="宋体" w:eastAsia="方正小标宋简体"/>
          <w:kern w:val="2"/>
          <w:sz w:val="44"/>
          <w:szCs w:val="44"/>
        </w:rPr>
      </w:pPr>
    </w:p>
    <w:p w14:paraId="708D0F0E">
      <w:pPr>
        <w:pStyle w:val="7"/>
        <w:spacing w:before="93"/>
        <w:jc w:val="center"/>
        <w:rPr>
          <w:rFonts w:hint="eastAsia" w:ascii="方正小标宋简体" w:hAnsi="宋体" w:eastAsia="方正小标宋简体"/>
          <w:kern w:val="2"/>
          <w:sz w:val="44"/>
          <w:szCs w:val="44"/>
        </w:rPr>
      </w:pPr>
      <w:r>
        <w:rPr>
          <w:rFonts w:hint="eastAsia" w:ascii="方正小标宋简体" w:hAnsi="宋体" w:eastAsia="方正小标宋简体"/>
          <w:kern w:val="2"/>
          <w:sz w:val="44"/>
          <w:szCs w:val="44"/>
        </w:rPr>
        <w:t>2023年度阿坝藏族羌族自治州公路管理局阿坝公路管理分局单位决算</w:t>
      </w:r>
    </w:p>
    <w:p w14:paraId="7DB00A75">
      <w:pPr>
        <w:widowControl/>
        <w:spacing w:line="440" w:lineRule="exact"/>
        <w:jc w:val="left"/>
        <w:rPr>
          <w:rFonts w:hint="eastAsia" w:ascii="仿宋" w:hAnsi="仿宋" w:eastAsia="仿宋"/>
          <w:bCs/>
          <w:kern w:val="44"/>
          <w:sz w:val="24"/>
        </w:rPr>
      </w:pPr>
      <w:r>
        <w:rPr>
          <w:rFonts w:ascii="方正小标宋简体" w:hAnsi="宋体" w:eastAsia="方正小标宋简体"/>
          <w:sz w:val="36"/>
          <w:szCs w:val="36"/>
        </w:rPr>
        <w:br w:type="page"/>
      </w:r>
    </w:p>
    <w:sdt>
      <w:sdtPr>
        <w:rPr>
          <w:rFonts w:ascii="Times New Roman" w:hAnsi="Times New Roman" w:eastAsia="宋体" w:cs="Times New Roman"/>
          <w:color w:val="auto"/>
          <w:kern w:val="2"/>
          <w:sz w:val="21"/>
          <w:szCs w:val="24"/>
          <w:lang w:val="zh-CN"/>
        </w:rPr>
        <w:id w:val="483281703"/>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658E26A8">
          <w:pPr>
            <w:pStyle w:val="21"/>
            <w:jc w:val="center"/>
            <w:rPr>
              <w:rFonts w:hint="eastAsia" w:ascii="黑体" w:hAnsi="黑体" w:eastAsia="黑体"/>
              <w:color w:val="000000" w:themeColor="text1"/>
              <w:sz w:val="48"/>
              <w:szCs w:val="48"/>
              <w:lang w:val="zh-CN"/>
              <w14:textFill>
                <w14:solidFill>
                  <w14:schemeClr w14:val="tx1"/>
                </w14:solidFill>
              </w14:textFill>
            </w:rPr>
          </w:pPr>
          <w:r>
            <w:rPr>
              <w:rFonts w:ascii="黑体" w:hAnsi="黑体" w:eastAsia="黑体"/>
              <w:color w:val="000000" w:themeColor="text1"/>
              <w:sz w:val="48"/>
              <w:szCs w:val="48"/>
              <w:lang w:val="zh-CN"/>
              <w14:textFill>
                <w14:solidFill>
                  <w14:schemeClr w14:val="tx1"/>
                </w14:solidFill>
              </w14:textFill>
            </w:rPr>
            <w:t>目录</w:t>
          </w:r>
        </w:p>
        <w:p w14:paraId="7230E170">
          <w:pPr>
            <w:pStyle w:val="11"/>
            <w:rPr>
              <w:rFonts w:hint="eastAsia"/>
            </w:rPr>
          </w:pPr>
          <w:r>
            <w:rPr>
              <w:rFonts w:hint="eastAsia"/>
            </w:rPr>
            <w:t>公开时间：2024年9月</w:t>
          </w:r>
          <w:r>
            <w:rPr>
              <w:rFonts w:hint="eastAsia"/>
              <w:lang w:val="en-US" w:eastAsia="zh-CN"/>
            </w:rPr>
            <w:t>18</w:t>
          </w:r>
          <w:r>
            <w:rPr>
              <w:rFonts w:hint="eastAsia"/>
            </w:rPr>
            <w:t>日</w:t>
          </w:r>
        </w:p>
        <w:p w14:paraId="7B16F8D1">
          <w:pPr>
            <w:pStyle w:val="11"/>
            <w:rPr>
              <w:rFonts w:hint="eastAsia" w:cstheme="minorBidi"/>
              <w14:ligatures w14:val="standardContextual"/>
            </w:rPr>
          </w:pPr>
          <w:r>
            <w:fldChar w:fldCharType="begin"/>
          </w:r>
          <w:r>
            <w:instrText xml:space="preserve"> TOC \o "1-3" \h \z \u </w:instrText>
          </w:r>
          <w:r>
            <w:fldChar w:fldCharType="separate"/>
          </w:r>
          <w:r>
            <w:fldChar w:fldCharType="begin"/>
          </w:r>
          <w:r>
            <w:instrText xml:space="preserve"> HYPERLINK \l "_Toc176448920" </w:instrText>
          </w:r>
          <w:r>
            <w:fldChar w:fldCharType="separate"/>
          </w:r>
          <w:r>
            <w:rPr>
              <w:rStyle w:val="16"/>
              <w:rFonts w:hint="eastAsia"/>
            </w:rPr>
            <w:t>第一部分 单位概况</w:t>
          </w:r>
          <w:r>
            <w:rPr>
              <w:rFonts w:hint="eastAsia"/>
            </w:rPr>
            <w:tab/>
          </w:r>
          <w:r>
            <w:rPr>
              <w:rFonts w:hint="eastAsia"/>
            </w:rPr>
            <w:fldChar w:fldCharType="begin"/>
          </w:r>
          <w:r>
            <w:rPr>
              <w:rFonts w:hint="eastAsia"/>
            </w:rPr>
            <w:instrText xml:space="preserve"> </w:instrText>
          </w:r>
          <w:r>
            <w:instrText xml:space="preserve">PAGEREF _Toc176448920 \h</w:instrText>
          </w:r>
          <w:r>
            <w:rPr>
              <w:rFonts w:hint="eastAsia"/>
            </w:rPr>
            <w:instrText xml:space="preserve"> </w:instrText>
          </w:r>
          <w:r>
            <w:rPr>
              <w:rFonts w:hint="eastAsia"/>
            </w:rPr>
            <w:fldChar w:fldCharType="separate"/>
          </w:r>
          <w:r>
            <w:rPr>
              <w:rFonts w:hint="eastAsia"/>
            </w:rPr>
            <w:t>- 1 -</w:t>
          </w:r>
          <w:r>
            <w:rPr>
              <w:rFonts w:hint="eastAsia"/>
            </w:rPr>
            <w:fldChar w:fldCharType="end"/>
          </w:r>
          <w:r>
            <w:rPr>
              <w:rFonts w:hint="eastAsia"/>
            </w:rPr>
            <w:fldChar w:fldCharType="end"/>
          </w:r>
        </w:p>
        <w:p w14:paraId="3B54651C">
          <w:pPr>
            <w:pStyle w:val="12"/>
            <w:rPr>
              <w:rFonts w:hint="eastAsia" w:ascii="仿宋" w:hAnsi="仿宋" w:eastAsia="仿宋" w:cstheme="minorBidi"/>
              <w:sz w:val="28"/>
              <w:szCs w:val="28"/>
              <w14:ligatures w14:val="standardContextual"/>
            </w:rPr>
          </w:pPr>
          <w:r>
            <w:fldChar w:fldCharType="begin"/>
          </w:r>
          <w:r>
            <w:instrText xml:space="preserve"> HYPERLINK \l "_Toc176448921" </w:instrText>
          </w:r>
          <w:r>
            <w:fldChar w:fldCharType="separate"/>
          </w:r>
          <w:r>
            <w:rPr>
              <w:rStyle w:val="16"/>
              <w:rFonts w:hint="eastAsia" w:ascii="仿宋" w:hAnsi="仿宋" w:eastAsia="仿宋"/>
              <w:sz w:val="28"/>
              <w:szCs w:val="28"/>
            </w:rPr>
            <w:t>一、主要职责</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_Toc176448921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FB7AE54">
          <w:pPr>
            <w:pStyle w:val="12"/>
            <w:rPr>
              <w:rFonts w:hint="eastAsia" w:ascii="仿宋" w:hAnsi="仿宋" w:eastAsia="仿宋" w:cstheme="minorBidi"/>
              <w:sz w:val="28"/>
              <w:szCs w:val="28"/>
              <w14:ligatures w14:val="standardContextual"/>
            </w:rPr>
          </w:pPr>
          <w:r>
            <w:fldChar w:fldCharType="begin"/>
          </w:r>
          <w:r>
            <w:instrText xml:space="preserve"> HYPERLINK \l "_Toc176448922" </w:instrText>
          </w:r>
          <w:r>
            <w:fldChar w:fldCharType="separate"/>
          </w:r>
          <w:r>
            <w:rPr>
              <w:rStyle w:val="16"/>
              <w:rFonts w:hint="eastAsia" w:ascii="仿宋" w:hAnsi="仿宋" w:eastAsia="仿宋"/>
              <w:sz w:val="28"/>
              <w:szCs w:val="28"/>
            </w:rPr>
            <w:t>二、机构设置</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_Toc176448922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- 2 -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4A7871C">
          <w:pPr>
            <w:pStyle w:val="11"/>
            <w:rPr>
              <w:rFonts w:hint="eastAsia" w:cstheme="minorBidi"/>
              <w14:ligatures w14:val="standardContextual"/>
            </w:rPr>
          </w:pPr>
          <w:r>
            <w:fldChar w:fldCharType="begin"/>
          </w:r>
          <w:r>
            <w:instrText xml:space="preserve"> HYPERLINK \l "_Toc176448923" </w:instrText>
          </w:r>
          <w:r>
            <w:fldChar w:fldCharType="separate"/>
          </w:r>
          <w:r>
            <w:rPr>
              <w:rStyle w:val="16"/>
              <w:rFonts w:hint="eastAsia"/>
            </w:rPr>
            <w:t>第二部分 2023年度单位决算情况说明</w:t>
          </w:r>
          <w:r>
            <w:rPr>
              <w:rFonts w:hint="eastAsia"/>
            </w:rPr>
            <w:tab/>
          </w:r>
          <w:r>
            <w:rPr>
              <w:rFonts w:hint="eastAsia"/>
            </w:rPr>
            <w:fldChar w:fldCharType="begin"/>
          </w:r>
          <w:r>
            <w:rPr>
              <w:rFonts w:hint="eastAsia"/>
            </w:rPr>
            <w:instrText xml:space="preserve"> </w:instrText>
          </w:r>
          <w:r>
            <w:instrText xml:space="preserve">PAGEREF _Toc176448923 \h</w:instrText>
          </w:r>
          <w:r>
            <w:rPr>
              <w:rFonts w:hint="eastAsia"/>
            </w:rPr>
            <w:instrText xml:space="preserve"> </w:instrText>
          </w:r>
          <w:r>
            <w:rPr>
              <w:rFonts w:hint="eastAsia"/>
            </w:rPr>
            <w:fldChar w:fldCharType="separate"/>
          </w:r>
          <w:r>
            <w:rPr>
              <w:rFonts w:hint="eastAsia"/>
            </w:rPr>
            <w:t>- 3 -</w:t>
          </w:r>
          <w:r>
            <w:rPr>
              <w:rFonts w:hint="eastAsia"/>
            </w:rPr>
            <w:fldChar w:fldCharType="end"/>
          </w:r>
          <w:r>
            <w:rPr>
              <w:rFonts w:hint="eastAsia"/>
            </w:rPr>
            <w:fldChar w:fldCharType="end"/>
          </w:r>
        </w:p>
        <w:p w14:paraId="19F718A9">
          <w:pPr>
            <w:pStyle w:val="12"/>
            <w:rPr>
              <w:rFonts w:hint="eastAsia" w:ascii="仿宋" w:hAnsi="仿宋" w:eastAsia="仿宋" w:cstheme="minorBidi"/>
              <w:sz w:val="28"/>
              <w:szCs w:val="28"/>
              <w14:ligatures w14:val="standardContextual"/>
            </w:rPr>
          </w:pPr>
          <w:r>
            <w:fldChar w:fldCharType="begin"/>
          </w:r>
          <w:r>
            <w:instrText xml:space="preserve"> HYPERLINK \l "_Toc176448924" </w:instrText>
          </w:r>
          <w:r>
            <w:fldChar w:fldCharType="separate"/>
          </w:r>
          <w:r>
            <w:rPr>
              <w:rStyle w:val="16"/>
              <w:rFonts w:hint="eastAsia" w:ascii="仿宋" w:hAnsi="仿宋" w:eastAsia="仿宋"/>
              <w:sz w:val="28"/>
              <w:szCs w:val="28"/>
            </w:rPr>
            <w:t>一、收</w:t>
          </w:r>
          <w:r>
            <w:rPr>
              <w:rStyle w:val="16"/>
              <w:rFonts w:hint="eastAsia" w:ascii="仿宋" w:hAnsi="仿宋" w:eastAsia="仿宋" w:cstheme="majorBidi"/>
              <w:bCs/>
              <w:sz w:val="28"/>
              <w:szCs w:val="28"/>
            </w:rPr>
            <w:t>入支出决算总体情况说明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_Toc176448924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- 3 -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779DCEB">
          <w:pPr>
            <w:pStyle w:val="12"/>
            <w:rPr>
              <w:rFonts w:hint="eastAsia" w:ascii="仿宋" w:hAnsi="仿宋" w:eastAsia="仿宋" w:cstheme="minorBidi"/>
              <w:sz w:val="28"/>
              <w:szCs w:val="28"/>
              <w14:ligatures w14:val="standardContextual"/>
            </w:rPr>
          </w:pPr>
          <w:r>
            <w:fldChar w:fldCharType="begin"/>
          </w:r>
          <w:r>
            <w:instrText xml:space="preserve"> HYPERLINK \l "_Toc176448925" </w:instrText>
          </w:r>
          <w:r>
            <w:fldChar w:fldCharType="separate"/>
          </w:r>
          <w:r>
            <w:rPr>
              <w:rStyle w:val="16"/>
              <w:rFonts w:hint="eastAsia" w:ascii="仿宋" w:hAnsi="仿宋" w:eastAsia="仿宋"/>
              <w:sz w:val="28"/>
              <w:szCs w:val="28"/>
            </w:rPr>
            <w:t>二、收</w:t>
          </w:r>
          <w:r>
            <w:rPr>
              <w:rStyle w:val="16"/>
              <w:rFonts w:hint="eastAsia" w:ascii="仿宋" w:hAnsi="仿宋" w:eastAsia="仿宋" w:cstheme="majorBidi"/>
              <w:bCs/>
              <w:sz w:val="28"/>
              <w:szCs w:val="28"/>
            </w:rPr>
            <w:t>入决算情况说明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_Toc176448925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- 3 -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591CEED3">
          <w:pPr>
            <w:pStyle w:val="12"/>
            <w:rPr>
              <w:rFonts w:hint="eastAsia" w:ascii="仿宋" w:hAnsi="仿宋" w:eastAsia="仿宋" w:cstheme="minorBidi"/>
              <w:sz w:val="28"/>
              <w:szCs w:val="28"/>
              <w14:ligatures w14:val="standardContextual"/>
            </w:rPr>
          </w:pPr>
          <w:r>
            <w:fldChar w:fldCharType="begin"/>
          </w:r>
          <w:r>
            <w:instrText xml:space="preserve"> HYPERLINK \l "_Toc176448926" </w:instrText>
          </w:r>
          <w:r>
            <w:fldChar w:fldCharType="separate"/>
          </w:r>
          <w:r>
            <w:rPr>
              <w:rStyle w:val="16"/>
              <w:rFonts w:hint="eastAsia" w:ascii="仿宋" w:hAnsi="仿宋" w:eastAsia="仿宋"/>
              <w:sz w:val="28"/>
              <w:szCs w:val="28"/>
            </w:rPr>
            <w:t>三、支</w:t>
          </w:r>
          <w:r>
            <w:rPr>
              <w:rStyle w:val="16"/>
              <w:rFonts w:hint="eastAsia" w:ascii="仿宋" w:hAnsi="仿宋" w:eastAsia="仿宋" w:cstheme="majorBidi"/>
              <w:bCs/>
              <w:sz w:val="28"/>
              <w:szCs w:val="28"/>
            </w:rPr>
            <w:t>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_Toc176448926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- 4 -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602EB1F">
          <w:pPr>
            <w:pStyle w:val="12"/>
            <w:rPr>
              <w:rFonts w:hint="eastAsia" w:ascii="仿宋" w:hAnsi="仿宋" w:eastAsia="仿宋" w:cstheme="minorBidi"/>
              <w:sz w:val="28"/>
              <w:szCs w:val="28"/>
              <w14:ligatures w14:val="standardContextual"/>
            </w:rPr>
          </w:pPr>
          <w:r>
            <w:fldChar w:fldCharType="begin"/>
          </w:r>
          <w:r>
            <w:instrText xml:space="preserve"> HYPERLINK \l "_Toc176448927" </w:instrText>
          </w:r>
          <w:r>
            <w:fldChar w:fldCharType="separate"/>
          </w:r>
          <w:r>
            <w:rPr>
              <w:rStyle w:val="16"/>
              <w:rFonts w:hint="eastAsia" w:ascii="仿宋" w:hAnsi="仿宋" w:eastAsia="仿宋"/>
              <w:sz w:val="28"/>
              <w:szCs w:val="28"/>
            </w:rPr>
            <w:t>四、财</w:t>
          </w:r>
          <w:r>
            <w:rPr>
              <w:rStyle w:val="16"/>
              <w:rFonts w:hint="eastAsia" w:ascii="仿宋" w:hAnsi="仿宋" w:eastAsia="仿宋" w:cstheme="majorBidi"/>
              <w:bCs/>
              <w:sz w:val="28"/>
              <w:szCs w:val="28"/>
            </w:rPr>
            <w:t>政拨款收入支出决算总体情况说明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_Toc176448927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- 5 -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902CF43">
          <w:pPr>
            <w:pStyle w:val="12"/>
            <w:rPr>
              <w:rFonts w:hint="eastAsia" w:ascii="仿宋" w:hAnsi="仿宋" w:eastAsia="仿宋" w:cstheme="minorBidi"/>
              <w:sz w:val="28"/>
              <w:szCs w:val="28"/>
              <w14:ligatures w14:val="standardContextual"/>
            </w:rPr>
          </w:pPr>
          <w:r>
            <w:fldChar w:fldCharType="begin"/>
          </w:r>
          <w:r>
            <w:instrText xml:space="preserve"> HYPERLINK \l "_Toc176448928" </w:instrText>
          </w:r>
          <w:r>
            <w:fldChar w:fldCharType="separate"/>
          </w:r>
          <w:r>
            <w:rPr>
              <w:rStyle w:val="16"/>
              <w:rFonts w:hint="eastAsia" w:ascii="仿宋" w:hAnsi="仿宋" w:eastAsia="仿宋"/>
              <w:sz w:val="28"/>
              <w:szCs w:val="28"/>
            </w:rPr>
            <w:t>五、</w:t>
          </w:r>
          <w:r>
            <w:rPr>
              <w:rStyle w:val="16"/>
              <w:rFonts w:hint="eastAsia" w:ascii="仿宋" w:hAnsi="仿宋" w:eastAsia="仿宋"/>
              <w:b/>
              <w:sz w:val="28"/>
              <w:szCs w:val="28"/>
            </w:rPr>
            <w:t>一</w:t>
          </w:r>
          <w:r>
            <w:rPr>
              <w:rStyle w:val="16"/>
              <w:rFonts w:hint="eastAsia" w:ascii="仿宋" w:hAnsi="仿宋" w:eastAsia="仿宋" w:cstheme="majorBidi"/>
              <w:bCs/>
              <w:sz w:val="28"/>
              <w:szCs w:val="28"/>
            </w:rPr>
            <w:t>般公共预算财政拨款支出决算情况说明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_Toc176448928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- 5 -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2E464BC">
          <w:pPr>
            <w:pStyle w:val="12"/>
            <w:rPr>
              <w:rFonts w:hint="eastAsia" w:ascii="仿宋" w:hAnsi="仿宋" w:eastAsia="仿宋" w:cstheme="minorBidi"/>
              <w:sz w:val="28"/>
              <w:szCs w:val="28"/>
              <w14:ligatures w14:val="standardContextual"/>
            </w:rPr>
          </w:pPr>
          <w:r>
            <w:fldChar w:fldCharType="begin"/>
          </w:r>
          <w:r>
            <w:instrText xml:space="preserve"> HYPERLINK \l "_Toc176448932" </w:instrText>
          </w:r>
          <w:r>
            <w:fldChar w:fldCharType="separate"/>
          </w:r>
          <w:r>
            <w:rPr>
              <w:rStyle w:val="16"/>
              <w:rFonts w:hint="eastAsia" w:ascii="仿宋" w:hAnsi="仿宋" w:eastAsia="仿宋"/>
              <w:sz w:val="28"/>
              <w:szCs w:val="28"/>
            </w:rPr>
            <w:t>六</w:t>
          </w:r>
          <w:r>
            <w:rPr>
              <w:rStyle w:val="16"/>
              <w:rFonts w:hint="eastAsia" w:ascii="仿宋" w:hAnsi="仿宋" w:eastAsia="仿宋"/>
              <w:b/>
              <w:sz w:val="28"/>
              <w:szCs w:val="28"/>
            </w:rPr>
            <w:t>、一</w:t>
          </w:r>
          <w:r>
            <w:rPr>
              <w:rStyle w:val="16"/>
              <w:rFonts w:hint="eastAsia" w:ascii="仿宋" w:hAnsi="仿宋" w:eastAsia="仿宋" w:cstheme="majorBidi"/>
              <w:bCs/>
              <w:sz w:val="28"/>
              <w:szCs w:val="28"/>
            </w:rPr>
            <w:t>般公共预算财政拨款基本支出决算情况说明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_Toc176448932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EF9557D">
          <w:pPr>
            <w:pStyle w:val="12"/>
            <w:rPr>
              <w:rFonts w:hint="eastAsia" w:ascii="仿宋" w:hAnsi="仿宋" w:eastAsia="仿宋" w:cstheme="minorBidi"/>
              <w:sz w:val="28"/>
              <w:szCs w:val="28"/>
              <w14:ligatures w14:val="standardContextual"/>
            </w:rPr>
          </w:pPr>
          <w:r>
            <w:fldChar w:fldCharType="begin"/>
          </w:r>
          <w:r>
            <w:instrText xml:space="preserve"> HYPERLINK \l "_Toc176448933" </w:instrText>
          </w:r>
          <w:r>
            <w:fldChar w:fldCharType="separate"/>
          </w:r>
          <w:r>
            <w:rPr>
              <w:rStyle w:val="16"/>
              <w:rFonts w:hint="eastAsia" w:ascii="仿宋" w:hAnsi="仿宋" w:eastAsia="仿宋"/>
              <w:sz w:val="28"/>
              <w:szCs w:val="28"/>
            </w:rPr>
            <w:t>七、</w:t>
          </w:r>
          <w:r>
            <w:rPr>
              <w:rStyle w:val="16"/>
              <w:rFonts w:hint="eastAsia" w:ascii="仿宋" w:hAnsi="仿宋" w:eastAsia="仿宋" w:cstheme="majorBidi"/>
              <w:bCs/>
              <w:sz w:val="28"/>
              <w:szCs w:val="28"/>
            </w:rPr>
            <w:t>财政拨款</w:t>
          </w:r>
          <w:r>
            <w:rPr>
              <w:rStyle w:val="16"/>
              <w:rFonts w:hint="eastAsia" w:ascii="仿宋" w:hAnsi="仿宋" w:eastAsia="仿宋" w:cstheme="majorBidi"/>
              <w:b/>
              <w:bCs/>
              <w:sz w:val="28"/>
              <w:szCs w:val="28"/>
            </w:rPr>
            <w:t>“</w:t>
          </w:r>
          <w:r>
            <w:rPr>
              <w:rStyle w:val="16"/>
              <w:rFonts w:hint="eastAsia" w:ascii="仿宋" w:hAnsi="仿宋" w:eastAsia="仿宋" w:cstheme="majorBidi"/>
              <w:bCs/>
              <w:sz w:val="28"/>
              <w:szCs w:val="28"/>
            </w:rPr>
            <w:t>三公”经费支出决算情况说明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_Toc176448933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- 9 -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1D4E9B6">
          <w:pPr>
            <w:pStyle w:val="12"/>
            <w:rPr>
              <w:rFonts w:hint="eastAsia" w:ascii="仿宋" w:hAnsi="仿宋" w:eastAsia="仿宋" w:cstheme="minorBidi"/>
              <w:sz w:val="28"/>
              <w:szCs w:val="28"/>
              <w14:ligatures w14:val="standardContextual"/>
            </w:rPr>
          </w:pPr>
          <w:r>
            <w:fldChar w:fldCharType="begin"/>
          </w:r>
          <w:r>
            <w:instrText xml:space="preserve"> HYPERLINK \l "_Toc176448936" </w:instrText>
          </w:r>
          <w:r>
            <w:fldChar w:fldCharType="separate"/>
          </w:r>
          <w:r>
            <w:rPr>
              <w:rStyle w:val="16"/>
              <w:rFonts w:hint="eastAsia" w:ascii="仿宋" w:hAnsi="仿宋" w:eastAsia="仿宋"/>
              <w:sz w:val="28"/>
              <w:szCs w:val="28"/>
            </w:rPr>
            <w:t>八、</w:t>
          </w:r>
          <w:r>
            <w:rPr>
              <w:rStyle w:val="16"/>
              <w:rFonts w:hint="eastAsia" w:ascii="仿宋" w:hAnsi="仿宋" w:eastAsia="仿宋" w:cstheme="majorBidi"/>
              <w:bCs/>
              <w:sz w:val="28"/>
              <w:szCs w:val="28"/>
            </w:rPr>
            <w:t>政府性基金预算支出决算情况说明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_Toc176448936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- 11 -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016D166">
          <w:pPr>
            <w:pStyle w:val="12"/>
            <w:rPr>
              <w:rFonts w:hint="eastAsia" w:ascii="仿宋" w:hAnsi="仿宋" w:eastAsia="仿宋" w:cstheme="minorBidi"/>
              <w:sz w:val="28"/>
              <w:szCs w:val="28"/>
              <w14:ligatures w14:val="standardContextual"/>
            </w:rPr>
          </w:pPr>
          <w:r>
            <w:fldChar w:fldCharType="begin"/>
          </w:r>
          <w:r>
            <w:instrText xml:space="preserve"> HYPERLINK \l "_Toc176448937" </w:instrText>
          </w:r>
          <w:r>
            <w:fldChar w:fldCharType="separate"/>
          </w:r>
          <w:r>
            <w:rPr>
              <w:rStyle w:val="16"/>
              <w:rFonts w:hint="eastAsia" w:ascii="仿宋" w:hAnsi="仿宋" w:eastAsia="仿宋" w:cstheme="majorBidi"/>
              <w:bCs/>
              <w:sz w:val="28"/>
              <w:szCs w:val="28"/>
            </w:rPr>
            <w:t>九、国有资本经营预算支出决算情况说明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_Toc176448937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- 11 -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66BE736">
          <w:pPr>
            <w:pStyle w:val="12"/>
            <w:rPr>
              <w:rFonts w:hint="eastAsia" w:ascii="仿宋" w:hAnsi="仿宋" w:eastAsia="仿宋" w:cstheme="minorBidi"/>
              <w:sz w:val="28"/>
              <w:szCs w:val="28"/>
              <w14:ligatures w14:val="standardContextual"/>
            </w:rPr>
          </w:pPr>
          <w:r>
            <w:fldChar w:fldCharType="begin"/>
          </w:r>
          <w:r>
            <w:instrText xml:space="preserve"> HYPERLINK \l "_Toc176448938" </w:instrText>
          </w:r>
          <w:r>
            <w:fldChar w:fldCharType="separate"/>
          </w:r>
          <w:r>
            <w:rPr>
              <w:rStyle w:val="16"/>
              <w:rFonts w:hint="eastAsia" w:ascii="仿宋" w:hAnsi="仿宋" w:eastAsia="仿宋" w:cstheme="majorBidi"/>
              <w:bCs/>
              <w:sz w:val="28"/>
              <w:szCs w:val="28"/>
            </w:rPr>
            <w:t>十、其他重要事项的情况说明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_Toc176448938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- 11 -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CD0EDD0">
          <w:pPr>
            <w:pStyle w:val="11"/>
            <w:rPr>
              <w:rFonts w:hint="eastAsia" w:cstheme="minorBidi"/>
              <w14:ligatures w14:val="standardContextual"/>
            </w:rPr>
          </w:pPr>
          <w:r>
            <w:fldChar w:fldCharType="begin"/>
          </w:r>
          <w:r>
            <w:instrText xml:space="preserve"> HYPERLINK \l "_Toc176448943" </w:instrText>
          </w:r>
          <w:r>
            <w:fldChar w:fldCharType="separate"/>
          </w:r>
          <w:r>
            <w:rPr>
              <w:rStyle w:val="16"/>
              <w:rFonts w:hint="eastAsia"/>
            </w:rPr>
            <w:t>第三部分 名</w:t>
          </w:r>
          <w:r>
            <w:rPr>
              <w:rStyle w:val="16"/>
              <w:rFonts w:hint="eastAsia"/>
              <w:bCs/>
              <w:kern w:val="44"/>
            </w:rPr>
            <w:t>词解释</w:t>
          </w:r>
          <w:r>
            <w:rPr>
              <w:rFonts w:hint="eastAsia"/>
            </w:rPr>
            <w:tab/>
          </w:r>
          <w:r>
            <w:rPr>
              <w:rFonts w:hint="eastAsia"/>
            </w:rPr>
            <w:fldChar w:fldCharType="begin"/>
          </w:r>
          <w:r>
            <w:rPr>
              <w:rFonts w:hint="eastAsia"/>
            </w:rPr>
            <w:instrText xml:space="preserve"> </w:instrText>
          </w:r>
          <w:r>
            <w:instrText xml:space="preserve">PAGEREF _Toc176448943 \h</w:instrText>
          </w:r>
          <w:r>
            <w:rPr>
              <w:rFonts w:hint="eastAsia"/>
            </w:rPr>
            <w:instrText xml:space="preserve"> </w:instrText>
          </w:r>
          <w:r>
            <w:rPr>
              <w:rFonts w:hint="eastAsia"/>
            </w:rPr>
            <w:fldChar w:fldCharType="separate"/>
          </w:r>
          <w:r>
            <w:rPr>
              <w:rFonts w:hint="eastAsia"/>
            </w:rPr>
            <w:t>- 13 -</w:t>
          </w:r>
          <w:r>
            <w:rPr>
              <w:rFonts w:hint="eastAsia"/>
            </w:rPr>
            <w:fldChar w:fldCharType="end"/>
          </w:r>
          <w:r>
            <w:rPr>
              <w:rFonts w:hint="eastAsia"/>
            </w:rPr>
            <w:fldChar w:fldCharType="end"/>
          </w:r>
        </w:p>
        <w:p w14:paraId="664011BD">
          <w:pPr>
            <w:pStyle w:val="11"/>
            <w:rPr>
              <w:rFonts w:hint="eastAsia" w:cstheme="minorBidi"/>
              <w14:ligatures w14:val="standardContextual"/>
            </w:rPr>
          </w:pPr>
          <w:r>
            <w:fldChar w:fldCharType="begin"/>
          </w:r>
          <w:r>
            <w:instrText xml:space="preserve"> HYPERLINK \l "_Toc176448944" </w:instrText>
          </w:r>
          <w:r>
            <w:fldChar w:fldCharType="separate"/>
          </w:r>
          <w:r>
            <w:rPr>
              <w:rStyle w:val="16"/>
              <w:rFonts w:hint="eastAsia"/>
            </w:rPr>
            <w:t>第</w:t>
          </w:r>
          <w:r>
            <w:rPr>
              <w:rStyle w:val="16"/>
              <w:rFonts w:hint="eastAsia"/>
              <w:bCs/>
              <w:kern w:val="44"/>
            </w:rPr>
            <w:t>四部分 附件</w:t>
          </w:r>
          <w:r>
            <w:rPr>
              <w:rFonts w:hint="eastAsia"/>
            </w:rPr>
            <w:tab/>
          </w:r>
          <w:r>
            <w:rPr>
              <w:rFonts w:hint="eastAsia"/>
            </w:rPr>
            <w:fldChar w:fldCharType="begin"/>
          </w:r>
          <w:r>
            <w:rPr>
              <w:rFonts w:hint="eastAsia"/>
            </w:rPr>
            <w:instrText xml:space="preserve"> </w:instrText>
          </w:r>
          <w:r>
            <w:instrText xml:space="preserve">PAGEREF _Toc176448944 \h</w:instrText>
          </w:r>
          <w:r>
            <w:rPr>
              <w:rFonts w:hint="eastAsia"/>
            </w:rPr>
            <w:instrText xml:space="preserve"> </w:instrText>
          </w:r>
          <w:r>
            <w:rPr>
              <w:rFonts w:hint="eastAsia"/>
            </w:rPr>
            <w:fldChar w:fldCharType="separate"/>
          </w:r>
          <w:r>
            <w:rPr>
              <w:rFonts w:hint="eastAsia"/>
            </w:rPr>
            <w:t>- 16 -</w:t>
          </w:r>
          <w:r>
            <w:rPr>
              <w:rFonts w:hint="eastAsia"/>
            </w:rPr>
            <w:fldChar w:fldCharType="end"/>
          </w:r>
          <w:r>
            <w:rPr>
              <w:rFonts w:hint="eastAsia"/>
            </w:rPr>
            <w:fldChar w:fldCharType="end"/>
          </w:r>
        </w:p>
        <w:p w14:paraId="42F55CF2">
          <w:pPr>
            <w:pStyle w:val="11"/>
            <w:rPr>
              <w:rFonts w:hint="eastAsia" w:cstheme="minorBidi"/>
              <w14:ligatures w14:val="standardContextual"/>
            </w:rPr>
          </w:pPr>
          <w:r>
            <w:fldChar w:fldCharType="begin"/>
          </w:r>
          <w:r>
            <w:instrText xml:space="preserve"> HYPERLINK \l "_Toc176448945" </w:instrText>
          </w:r>
          <w:r>
            <w:fldChar w:fldCharType="separate"/>
          </w:r>
          <w:r>
            <w:rPr>
              <w:rStyle w:val="16"/>
              <w:rFonts w:hint="eastAsia"/>
            </w:rPr>
            <w:t>第</w:t>
          </w:r>
          <w:r>
            <w:rPr>
              <w:rStyle w:val="16"/>
              <w:rFonts w:hint="eastAsia"/>
              <w:bCs/>
              <w:kern w:val="44"/>
            </w:rPr>
            <w:t>五部分 附表</w:t>
          </w:r>
          <w:r>
            <w:rPr>
              <w:rFonts w:hint="eastAsia"/>
            </w:rPr>
            <w:tab/>
          </w:r>
          <w:r>
            <w:rPr>
              <w:rFonts w:hint="eastAsia"/>
            </w:rPr>
            <w:fldChar w:fldCharType="begin"/>
          </w:r>
          <w:r>
            <w:rPr>
              <w:rFonts w:hint="eastAsia"/>
            </w:rPr>
            <w:instrText xml:space="preserve"> </w:instrText>
          </w:r>
          <w:r>
            <w:instrText xml:space="preserve">PAGEREF _Toc176448945 \h</w:instrText>
          </w:r>
          <w:r>
            <w:rPr>
              <w:rFonts w:hint="eastAsia"/>
            </w:rPr>
            <w:instrText xml:space="preserve"> </w:instrText>
          </w:r>
          <w:r>
            <w:rPr>
              <w:rFonts w:hint="eastAsia"/>
            </w:rPr>
            <w:fldChar w:fldCharType="separate"/>
          </w:r>
          <w:r>
            <w:rPr>
              <w:rFonts w:hint="eastAsia"/>
            </w:rPr>
            <w:t>- 17 -</w:t>
          </w:r>
          <w:r>
            <w:rPr>
              <w:rFonts w:hint="eastAsia"/>
            </w:rPr>
            <w:fldChar w:fldCharType="end"/>
          </w:r>
          <w:r>
            <w:rPr>
              <w:rFonts w:hint="eastAsia"/>
            </w:rPr>
            <w:fldChar w:fldCharType="end"/>
          </w:r>
        </w:p>
        <w:p w14:paraId="59FB8F39">
          <w:pPr>
            <w:pStyle w:val="12"/>
            <w:rPr>
              <w:rFonts w:hint="eastAsia" w:ascii="仿宋" w:hAnsi="仿宋" w:eastAsia="仿宋" w:cstheme="minorBidi"/>
              <w:sz w:val="28"/>
              <w:szCs w:val="28"/>
              <w14:ligatures w14:val="standardContextual"/>
            </w:rPr>
          </w:pPr>
          <w:r>
            <w:fldChar w:fldCharType="begin"/>
          </w:r>
          <w:r>
            <w:instrText xml:space="preserve"> HYPERLINK \l "_Toc176448946" </w:instrText>
          </w:r>
          <w:r>
            <w:fldChar w:fldCharType="separate"/>
          </w:r>
          <w:r>
            <w:rPr>
              <w:rStyle w:val="16"/>
              <w:rFonts w:hint="eastAsia" w:ascii="仿宋" w:hAnsi="仿宋" w:eastAsia="仿宋"/>
              <w:sz w:val="28"/>
              <w:szCs w:val="28"/>
            </w:rPr>
            <w:t>一、收入支出决算总表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_Toc176448946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2B25959">
          <w:pPr>
            <w:pStyle w:val="12"/>
            <w:rPr>
              <w:rFonts w:hint="eastAsia" w:ascii="仿宋" w:hAnsi="仿宋" w:eastAsia="仿宋" w:cstheme="minorBidi"/>
              <w:sz w:val="28"/>
              <w:szCs w:val="28"/>
              <w14:ligatures w14:val="standardContextual"/>
            </w:rPr>
          </w:pPr>
          <w:r>
            <w:fldChar w:fldCharType="begin"/>
          </w:r>
          <w:r>
            <w:instrText xml:space="preserve"> HYPERLINK \l "_Toc176448947" </w:instrText>
          </w:r>
          <w:r>
            <w:fldChar w:fldCharType="separate"/>
          </w:r>
          <w:r>
            <w:rPr>
              <w:rStyle w:val="16"/>
              <w:rFonts w:hint="eastAsia" w:ascii="仿宋" w:hAnsi="仿宋" w:eastAsia="仿宋"/>
              <w:sz w:val="28"/>
              <w:szCs w:val="28"/>
            </w:rPr>
            <w:t>二、收入决算表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_Toc176448947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F1A646E">
          <w:pPr>
            <w:pStyle w:val="12"/>
            <w:rPr>
              <w:rFonts w:hint="eastAsia" w:ascii="仿宋" w:hAnsi="仿宋" w:eastAsia="仿宋" w:cstheme="minorBidi"/>
              <w:sz w:val="28"/>
              <w:szCs w:val="28"/>
              <w14:ligatures w14:val="standardContextual"/>
            </w:rPr>
          </w:pPr>
          <w:r>
            <w:fldChar w:fldCharType="begin"/>
          </w:r>
          <w:r>
            <w:instrText xml:space="preserve"> HYPERLINK \l "_Toc176448948" </w:instrText>
          </w:r>
          <w:r>
            <w:fldChar w:fldCharType="separate"/>
          </w:r>
          <w:r>
            <w:rPr>
              <w:rStyle w:val="16"/>
              <w:rFonts w:hint="eastAsia" w:ascii="仿宋" w:hAnsi="仿宋" w:eastAsia="仿宋"/>
              <w:sz w:val="28"/>
              <w:szCs w:val="28"/>
            </w:rPr>
            <w:t>三、支出决算表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_Toc176448948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28B932C">
          <w:pPr>
            <w:pStyle w:val="12"/>
            <w:rPr>
              <w:rFonts w:hint="eastAsia" w:ascii="仿宋" w:hAnsi="仿宋" w:eastAsia="仿宋" w:cstheme="minorBidi"/>
              <w:sz w:val="28"/>
              <w:szCs w:val="28"/>
              <w14:ligatures w14:val="standardContextual"/>
            </w:rPr>
          </w:pPr>
          <w:r>
            <w:fldChar w:fldCharType="begin"/>
          </w:r>
          <w:r>
            <w:instrText xml:space="preserve"> HYPERLINK \l "_Toc176448949" </w:instrText>
          </w:r>
          <w:r>
            <w:fldChar w:fldCharType="separate"/>
          </w:r>
          <w:r>
            <w:rPr>
              <w:rStyle w:val="16"/>
              <w:rFonts w:hint="eastAsia" w:ascii="仿宋" w:hAnsi="仿宋" w:eastAsia="仿宋"/>
              <w:sz w:val="28"/>
              <w:szCs w:val="28"/>
            </w:rPr>
            <w:t>四、财政拨款收入支出决算总表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_Toc176448949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5F99D633">
          <w:pPr>
            <w:pStyle w:val="12"/>
            <w:rPr>
              <w:rFonts w:hint="eastAsia" w:ascii="仿宋" w:hAnsi="仿宋" w:eastAsia="仿宋" w:cstheme="minorBidi"/>
              <w:sz w:val="28"/>
              <w:szCs w:val="28"/>
              <w14:ligatures w14:val="standardContextual"/>
            </w:rPr>
          </w:pPr>
          <w:r>
            <w:fldChar w:fldCharType="begin"/>
          </w:r>
          <w:r>
            <w:instrText xml:space="preserve"> HYPERLINK \l "_Toc176448950" </w:instrText>
          </w:r>
          <w:r>
            <w:fldChar w:fldCharType="separate"/>
          </w:r>
          <w:r>
            <w:rPr>
              <w:rStyle w:val="16"/>
              <w:rFonts w:hint="eastAsia" w:ascii="仿宋" w:hAnsi="仿宋" w:eastAsia="仿宋"/>
              <w:sz w:val="28"/>
              <w:szCs w:val="28"/>
            </w:rPr>
            <w:t>五、财政拨款支出决算明细表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_Toc176448950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BBB4CDA">
          <w:pPr>
            <w:pStyle w:val="12"/>
            <w:rPr>
              <w:rFonts w:hint="eastAsia" w:ascii="仿宋" w:hAnsi="仿宋" w:eastAsia="仿宋" w:cstheme="minorBidi"/>
              <w:sz w:val="28"/>
              <w:szCs w:val="28"/>
              <w14:ligatures w14:val="standardContextual"/>
            </w:rPr>
          </w:pPr>
          <w:r>
            <w:fldChar w:fldCharType="begin"/>
          </w:r>
          <w:r>
            <w:instrText xml:space="preserve"> HYPERLINK \l "_Toc176448951" </w:instrText>
          </w:r>
          <w:r>
            <w:fldChar w:fldCharType="separate"/>
          </w:r>
          <w:r>
            <w:rPr>
              <w:rStyle w:val="16"/>
              <w:rFonts w:hint="eastAsia" w:ascii="仿宋" w:hAnsi="仿宋" w:eastAsia="仿宋"/>
              <w:sz w:val="28"/>
              <w:szCs w:val="28"/>
            </w:rPr>
            <w:t>六、一般公共预算财政拨款支出决算表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_Toc176448951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B80175E">
          <w:pPr>
            <w:pStyle w:val="12"/>
            <w:rPr>
              <w:rFonts w:hint="eastAsia" w:ascii="仿宋" w:hAnsi="仿宋" w:eastAsia="仿宋" w:cstheme="minorBidi"/>
              <w:sz w:val="28"/>
              <w:szCs w:val="28"/>
              <w14:ligatures w14:val="standardContextual"/>
            </w:rPr>
          </w:pPr>
          <w:r>
            <w:fldChar w:fldCharType="begin"/>
          </w:r>
          <w:r>
            <w:instrText xml:space="preserve"> HYPERLINK \l "_Toc176448952" </w:instrText>
          </w:r>
          <w:r>
            <w:fldChar w:fldCharType="separate"/>
          </w:r>
          <w:r>
            <w:rPr>
              <w:rStyle w:val="16"/>
              <w:rFonts w:hint="eastAsia" w:ascii="仿宋" w:hAnsi="仿宋" w:eastAsia="仿宋"/>
              <w:sz w:val="28"/>
              <w:szCs w:val="28"/>
            </w:rPr>
            <w:t>七、一般公共预算财政拨款支出决算明细表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_Toc176448952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0C0D58A1">
          <w:pPr>
            <w:pStyle w:val="12"/>
            <w:rPr>
              <w:rFonts w:hint="eastAsia" w:ascii="仿宋" w:hAnsi="仿宋" w:eastAsia="仿宋" w:cstheme="minorBidi"/>
              <w:sz w:val="28"/>
              <w:szCs w:val="28"/>
              <w14:ligatures w14:val="standardContextual"/>
            </w:rPr>
          </w:pPr>
          <w:r>
            <w:fldChar w:fldCharType="begin"/>
          </w:r>
          <w:r>
            <w:instrText xml:space="preserve"> HYPERLINK \l "_Toc176448953" </w:instrText>
          </w:r>
          <w:r>
            <w:fldChar w:fldCharType="separate"/>
          </w:r>
          <w:r>
            <w:rPr>
              <w:rStyle w:val="16"/>
              <w:rFonts w:hint="eastAsia" w:ascii="仿宋" w:hAnsi="仿宋" w:eastAsia="仿宋"/>
              <w:sz w:val="28"/>
              <w:szCs w:val="28"/>
            </w:rPr>
            <w:t>八、一般公共预算财政拨款基本支出决算表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_Toc176448953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70DC60B">
          <w:pPr>
            <w:pStyle w:val="12"/>
            <w:rPr>
              <w:rFonts w:hint="eastAsia" w:ascii="仿宋" w:hAnsi="仿宋" w:eastAsia="仿宋" w:cstheme="minorBidi"/>
              <w:sz w:val="28"/>
              <w:szCs w:val="28"/>
              <w14:ligatures w14:val="standardContextual"/>
            </w:rPr>
          </w:pPr>
          <w:r>
            <w:fldChar w:fldCharType="begin"/>
          </w:r>
          <w:r>
            <w:instrText xml:space="preserve"> HYPERLINK \l "_Toc176448954" </w:instrText>
          </w:r>
          <w:r>
            <w:fldChar w:fldCharType="separate"/>
          </w:r>
          <w:r>
            <w:rPr>
              <w:rStyle w:val="16"/>
              <w:rFonts w:hint="eastAsia" w:ascii="仿宋" w:hAnsi="仿宋" w:eastAsia="仿宋"/>
              <w:sz w:val="28"/>
              <w:szCs w:val="28"/>
            </w:rPr>
            <w:t>九、一般公共预算财政拨款项目支出决算表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_Toc176448954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6737E9E">
          <w:pPr>
            <w:pStyle w:val="12"/>
            <w:rPr>
              <w:rFonts w:hint="eastAsia" w:ascii="仿宋" w:hAnsi="仿宋" w:eastAsia="仿宋" w:cstheme="minorBidi"/>
              <w:sz w:val="28"/>
              <w:szCs w:val="28"/>
              <w14:ligatures w14:val="standardContextual"/>
            </w:rPr>
          </w:pPr>
          <w:r>
            <w:fldChar w:fldCharType="begin"/>
          </w:r>
          <w:r>
            <w:instrText xml:space="preserve"> HYPERLINK \l "_Toc176448955" </w:instrText>
          </w:r>
          <w:r>
            <w:fldChar w:fldCharType="separate"/>
          </w:r>
          <w:r>
            <w:rPr>
              <w:rStyle w:val="16"/>
              <w:rFonts w:hint="eastAsia" w:ascii="仿宋" w:hAnsi="仿宋" w:eastAsia="仿宋"/>
              <w:sz w:val="28"/>
              <w:szCs w:val="28"/>
            </w:rPr>
            <w:t>十、政府性基金预算财政拨款收入支出决算表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_Toc176448955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7CD5F84">
          <w:pPr>
            <w:pStyle w:val="12"/>
            <w:rPr>
              <w:rFonts w:hint="eastAsia" w:ascii="仿宋" w:hAnsi="仿宋" w:eastAsia="仿宋" w:cstheme="minorBidi"/>
              <w:sz w:val="28"/>
              <w:szCs w:val="28"/>
              <w14:ligatures w14:val="standardContextual"/>
            </w:rPr>
          </w:pPr>
          <w:r>
            <w:fldChar w:fldCharType="begin"/>
          </w:r>
          <w:r>
            <w:instrText xml:space="preserve"> HYPERLINK \l "_Toc176448956" </w:instrText>
          </w:r>
          <w:r>
            <w:fldChar w:fldCharType="separate"/>
          </w:r>
          <w:r>
            <w:rPr>
              <w:rStyle w:val="16"/>
              <w:rFonts w:hint="eastAsia" w:ascii="仿宋" w:hAnsi="仿宋" w:eastAsia="仿宋"/>
              <w:sz w:val="28"/>
              <w:szCs w:val="28"/>
            </w:rPr>
            <w:t>十一、国有资本经营预算财政拨款收入支出决算表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_Toc176448956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1CD64F47">
          <w:pPr>
            <w:pStyle w:val="12"/>
            <w:rPr>
              <w:rFonts w:hint="eastAsia" w:ascii="仿宋" w:hAnsi="仿宋" w:eastAsia="仿宋" w:cstheme="minorBidi"/>
              <w:sz w:val="28"/>
              <w:szCs w:val="28"/>
              <w14:ligatures w14:val="standardContextual"/>
            </w:rPr>
          </w:pPr>
          <w:r>
            <w:fldChar w:fldCharType="begin"/>
          </w:r>
          <w:r>
            <w:instrText xml:space="preserve"> HYPERLINK \l "_Toc176448957" </w:instrText>
          </w:r>
          <w:r>
            <w:fldChar w:fldCharType="separate"/>
          </w:r>
          <w:r>
            <w:rPr>
              <w:rStyle w:val="16"/>
              <w:rFonts w:hint="eastAsia" w:ascii="仿宋" w:hAnsi="仿宋" w:eastAsia="仿宋"/>
              <w:sz w:val="28"/>
              <w:szCs w:val="28"/>
            </w:rPr>
            <w:t>十二、国有资本经营预算财政拨款支出决算表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_Toc176448957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4AC283D">
          <w:pPr>
            <w:pStyle w:val="12"/>
            <w:rPr>
              <w:rFonts w:hint="eastAsia" w:ascii="仿宋" w:hAnsi="仿宋" w:eastAsia="仿宋" w:cstheme="minorBidi"/>
              <w:sz w:val="28"/>
              <w:szCs w:val="28"/>
              <w14:ligatures w14:val="standardContextual"/>
            </w:rPr>
          </w:pPr>
          <w:r>
            <w:fldChar w:fldCharType="begin"/>
          </w:r>
          <w:r>
            <w:instrText xml:space="preserve"> HYPERLINK \l "_Toc176448958" </w:instrText>
          </w:r>
          <w:r>
            <w:fldChar w:fldCharType="separate"/>
          </w:r>
          <w:r>
            <w:rPr>
              <w:rStyle w:val="16"/>
              <w:rFonts w:hint="eastAsia" w:ascii="仿宋" w:hAnsi="仿宋" w:eastAsia="仿宋"/>
              <w:sz w:val="28"/>
              <w:szCs w:val="28"/>
            </w:rPr>
            <w:t>十三、财政拨款“三公”经费支出决算表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_Toc176448958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F35AEB0">
          <w:r>
            <w:rPr>
              <w:rFonts w:ascii="仿宋" w:hAnsi="仿宋" w:eastAsia="仿宋"/>
              <w:b/>
              <w:bCs/>
              <w:sz w:val="28"/>
              <w:szCs w:val="28"/>
              <w:lang w:val="zh-CN"/>
            </w:rPr>
            <w:fldChar w:fldCharType="end"/>
          </w:r>
        </w:p>
      </w:sdtContent>
    </w:sdt>
    <w:p w14:paraId="534B5E4F">
      <w:pPr>
        <w:pStyle w:val="5"/>
        <w:jc w:val="center"/>
        <w:rPr>
          <w:rFonts w:hint="eastAsia" w:ascii="黑体" w:hAnsi="黑体" w:eastAsia="黑体"/>
          <w:b w:val="0"/>
        </w:rPr>
        <w:sectPr>
          <w:footerReference r:id="rId3" w:type="default"/>
          <w:pgSz w:w="11906" w:h="16838"/>
          <w:pgMar w:top="1440" w:right="1800" w:bottom="1440" w:left="1800" w:header="851" w:footer="992" w:gutter="0"/>
          <w:pgNumType w:fmt="numberInDash" w:start="1"/>
          <w:cols w:space="425" w:num="1"/>
          <w:docGrid w:type="lines" w:linePitch="312" w:charSpace="0"/>
        </w:sectPr>
      </w:pPr>
      <w:bookmarkStart w:id="0" w:name="_Toc176448920"/>
    </w:p>
    <w:p w14:paraId="4DF3CE3F">
      <w:pPr>
        <w:pStyle w:val="5"/>
        <w:jc w:val="center"/>
        <w:rPr>
          <w:rStyle w:val="17"/>
          <w:rFonts w:hint="eastAsia" w:ascii="黑体" w:hAnsi="黑体" w:eastAsia="黑体"/>
          <w:b/>
          <w:bCs w:val="0"/>
        </w:rPr>
      </w:pPr>
      <w:r>
        <w:rPr>
          <w:rFonts w:hint="eastAsia" w:ascii="黑体" w:hAnsi="黑体" w:eastAsia="黑体"/>
          <w:b w:val="0"/>
        </w:rPr>
        <w:t>第一部分 单位</w:t>
      </w:r>
      <w:r>
        <w:rPr>
          <w:rStyle w:val="17"/>
          <w:rFonts w:hint="eastAsia" w:ascii="黑体" w:hAnsi="黑体" w:eastAsia="黑体"/>
          <w:b w:val="0"/>
          <w:bCs w:val="0"/>
        </w:rPr>
        <w:t>概况</w:t>
      </w:r>
      <w:bookmarkEnd w:id="0"/>
    </w:p>
    <w:p w14:paraId="1D3C2440">
      <w:pPr>
        <w:widowControl/>
        <w:jc w:val="left"/>
        <w:rPr>
          <w:rFonts w:ascii="黑体" w:eastAsia="黑体"/>
          <w:sz w:val="32"/>
          <w:szCs w:val="32"/>
        </w:rPr>
      </w:pPr>
    </w:p>
    <w:p w14:paraId="27476B2A">
      <w:pPr>
        <w:pStyle w:val="6"/>
        <w:numPr>
          <w:ilvl w:val="0"/>
          <w:numId w:val="1"/>
        </w:numPr>
        <w:rPr>
          <w:rStyle w:val="18"/>
          <w:rFonts w:hint="eastAsia" w:ascii="黑体" w:hAnsi="黑体" w:eastAsia="黑体"/>
          <w:b w:val="0"/>
          <w:bCs w:val="0"/>
        </w:rPr>
      </w:pPr>
      <w:bookmarkStart w:id="1" w:name="_Toc176448921"/>
      <w:r>
        <w:rPr>
          <w:rStyle w:val="18"/>
          <w:rFonts w:hint="eastAsia" w:ascii="黑体" w:hAnsi="黑体" w:eastAsia="黑体"/>
          <w:b w:val="0"/>
          <w:bCs w:val="0"/>
        </w:rPr>
        <w:t>主要职责</w:t>
      </w:r>
      <w:bookmarkEnd w:id="1"/>
    </w:p>
    <w:p w14:paraId="2F8F1D57">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（一）贯彻执行上级有关公路交通管理的法律、法规、政策。</w:t>
      </w:r>
    </w:p>
    <w:p w14:paraId="20655B11">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（二）依照上级部门有关养护施工的规章制度和技术规范，制定完善养护生产计划，坚持科学养护与规范化管理，提高公路养护质量，改善公路服务水平。</w:t>
      </w:r>
    </w:p>
    <w:p w14:paraId="6B635817">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（三）严格按照上级部门大中修管理办法和小修保养管理办法进行监管及实施。负责编制小修保养、大修中修工程前期准备、施工设计、招采、施工实施，质量监督、收方、交竣工和审计工作。</w:t>
      </w:r>
    </w:p>
    <w:p w14:paraId="5D375E0B">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（四）认真贯彻落实安全生产的方针政策、法律法规；积极宣传安全生产知识及法律法规；完善应急预案，认真开展应急救援演练，及时排查处理安全生产隐患，保障道路安全畅通。</w:t>
      </w:r>
    </w:p>
    <w:p w14:paraId="301FB73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（五）制定和完善公路抢险应急预案，掌握雨情、灾情和防汛等抢险救灾情况，及时组织抢险队伍迅速、有序的做好应急抢险工作。</w:t>
      </w:r>
    </w:p>
    <w:p w14:paraId="4BC4B669">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（六）严格执行机械管养制度，做好养护机械日常维护，提高机械化养护管理。逐步推进公路养护现代化建设。</w:t>
      </w:r>
    </w:p>
    <w:p w14:paraId="5496B68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（七）加强职工队伍建设，提高职工队伍职业道德素质和业务水平。</w:t>
      </w:r>
    </w:p>
    <w:p w14:paraId="34E557D3">
      <w:pPr>
        <w:snapToGrid w:val="0"/>
        <w:spacing w:line="600" w:lineRule="exact"/>
        <w:ind w:firstLine="640" w:firstLineChars="200"/>
        <w:rPr>
          <w:rFonts w:hint="eastAsia" w:ascii="仿宋" w:hAnsi="仿宋" w:eastAsia="仿宋"/>
          <w:sz w:val="32"/>
          <w:szCs w:val="32"/>
          <w:highlight w:val="yellow"/>
        </w:rPr>
      </w:pPr>
      <w:r>
        <w:rPr>
          <w:rFonts w:hint="eastAsia" w:ascii="仿宋" w:hAnsi="仿宋" w:eastAsia="仿宋"/>
          <w:sz w:val="32"/>
          <w:szCs w:val="32"/>
        </w:rPr>
        <w:t>（八）认真贯彻落实上级部门下达的各项养护生产任务。</w:t>
      </w:r>
    </w:p>
    <w:p w14:paraId="3D7E379C"/>
    <w:p w14:paraId="79E701C5">
      <w:pPr>
        <w:pStyle w:val="6"/>
        <w:rPr>
          <w:rFonts w:hint="eastAsia" w:ascii="黑体" w:hAnsi="黑体" w:eastAsia="黑体"/>
          <w:b w:val="0"/>
        </w:rPr>
      </w:pPr>
      <w:bookmarkStart w:id="2" w:name="_Toc176448922"/>
      <w:r>
        <w:rPr>
          <w:rFonts w:hint="eastAsia" w:ascii="黑体" w:hAnsi="黑体" w:eastAsia="黑体"/>
          <w:b w:val="0"/>
        </w:rPr>
        <w:t>二、机构设置</w:t>
      </w:r>
      <w:bookmarkEnd w:id="2"/>
    </w:p>
    <w:p w14:paraId="46858AE2">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阿坝公路管理分局隶属于阿坝藏族羌族自治州公路管理局。管养G347线阿坝县境内干线公路120.98公里。分局内设党支部办公室、行政办公室、工程股、安全股、人事股、财务股、机料股，以及下辖的一个公路应急保通中心及查理公路养护管理站。在州公路局及县委、县政府的领导下，负责干线公路、隧道、桥梁的养护管理；完成州公路局下达的大中修计划任务及各项目标任务；负责组织实施全县国、省干线公路遭受自然灾害的抢修恢复；指导各养护站养护管理工作；完成州公路局和县委、县政府交办的其他任务</w:t>
      </w:r>
      <w:r>
        <w:rPr>
          <w:rFonts w:hint="eastAsia" w:ascii="仿宋" w:hAnsi="仿宋" w:eastAsia="仿宋"/>
          <w:color w:val="000000"/>
          <w:sz w:val="32"/>
          <w:szCs w:val="32"/>
          <w:shd w:val="clear" w:color="auto" w:fill="FFFFFF"/>
        </w:rPr>
        <w:t>。</w:t>
      </w:r>
    </w:p>
    <w:p w14:paraId="4CE34972">
      <w:pPr>
        <w:rPr>
          <w:rFonts w:hint="eastAsia" w:ascii="仿宋" w:hAnsi="仿宋" w:eastAsia="仿宋"/>
        </w:rPr>
      </w:pPr>
    </w:p>
    <w:p w14:paraId="2E3BE8C4">
      <w:pPr>
        <w:widowControl/>
        <w:jc w:val="left"/>
        <w:rPr>
          <w:rFonts w:hint="eastAsia" w:ascii="仿宋" w:hAnsi="仿宋" w:eastAsia="仿宋"/>
          <w:kern w:val="0"/>
          <w:sz w:val="32"/>
          <w:szCs w:val="32"/>
        </w:rPr>
      </w:pPr>
      <w:r>
        <w:rPr>
          <w:rFonts w:ascii="仿宋" w:hAnsi="仿宋" w:eastAsia="仿宋"/>
          <w:sz w:val="32"/>
          <w:szCs w:val="32"/>
        </w:rPr>
        <w:br w:type="page"/>
      </w:r>
    </w:p>
    <w:p w14:paraId="4B5D66F7">
      <w:pPr>
        <w:pStyle w:val="5"/>
        <w:ind w:right="440"/>
        <w:jc w:val="center"/>
        <w:rPr>
          <w:rStyle w:val="17"/>
          <w:rFonts w:hint="eastAsia" w:ascii="黑体" w:hAnsi="黑体" w:eastAsia="黑体"/>
          <w:b w:val="0"/>
          <w:bCs/>
        </w:rPr>
      </w:pPr>
      <w:bookmarkStart w:id="3" w:name="_Toc176448923"/>
      <w:r>
        <w:rPr>
          <w:rFonts w:hint="eastAsia" w:ascii="黑体" w:hAnsi="黑体" w:eastAsia="黑体"/>
          <w:b w:val="0"/>
        </w:rPr>
        <w:t>第二部分 2023年度</w:t>
      </w:r>
      <w:r>
        <w:rPr>
          <w:rStyle w:val="17"/>
          <w:rFonts w:hint="eastAsia" w:ascii="黑体" w:hAnsi="黑体" w:eastAsia="黑体"/>
          <w:b w:val="0"/>
          <w:bCs/>
        </w:rPr>
        <w:t>单位决算情况说明</w:t>
      </w:r>
      <w:bookmarkEnd w:id="3"/>
    </w:p>
    <w:p w14:paraId="594401AC"/>
    <w:p w14:paraId="21010B90">
      <w:pPr>
        <w:pStyle w:val="19"/>
        <w:spacing w:line="600" w:lineRule="exact"/>
        <w:ind w:left="640" w:firstLine="0" w:firstLineChars="0"/>
        <w:outlineLvl w:val="1"/>
        <w:rPr>
          <w:rStyle w:val="18"/>
          <w:rFonts w:hint="eastAsia" w:ascii="黑体" w:hAnsi="黑体" w:eastAsia="黑体"/>
          <w:b w:val="0"/>
        </w:rPr>
      </w:pPr>
      <w:bookmarkStart w:id="4" w:name="_Toc176448924"/>
      <w:r>
        <w:rPr>
          <w:rFonts w:hint="eastAsia" w:ascii="黑体" w:hAnsi="黑体" w:eastAsia="黑体"/>
          <w:sz w:val="32"/>
          <w:szCs w:val="32"/>
        </w:rPr>
        <w:t>一、收</w:t>
      </w:r>
      <w:r>
        <w:rPr>
          <w:rStyle w:val="18"/>
          <w:rFonts w:hint="eastAsia" w:ascii="黑体" w:hAnsi="黑体" w:eastAsia="黑体"/>
          <w:b w:val="0"/>
        </w:rPr>
        <w:t>入支出决算总体情况说明</w:t>
      </w:r>
      <w:bookmarkEnd w:id="4"/>
    </w:p>
    <w:p w14:paraId="40255241">
      <w:pPr>
        <w:spacing w:line="600" w:lineRule="exact"/>
        <w:ind w:firstLine="420" w:firstLineChars="200"/>
        <w:rPr>
          <w:rFonts w:hint="eastAsia" w:ascii="仿宋" w:hAnsi="仿宋" w:eastAsia="仿宋"/>
          <w:sz w:val="32"/>
          <w:szCs w:val="32"/>
        </w:rPr>
      </w:pPr>
      <w:r>
        <w:rPr>
          <w:rFonts w:hint="eastAsia"/>
        </w:rPr>
        <w:drawing>
          <wp:anchor distT="0" distB="0" distL="114300" distR="114300" simplePos="0" relativeHeight="251659264" behindDoc="0" locked="0" layoutInCell="1" allowOverlap="1">
            <wp:simplePos x="0" y="0"/>
            <wp:positionH relativeFrom="column">
              <wp:posOffset>-1905</wp:posOffset>
            </wp:positionH>
            <wp:positionV relativeFrom="paragraph">
              <wp:posOffset>1408430</wp:posOffset>
            </wp:positionV>
            <wp:extent cx="5256530" cy="2988310"/>
            <wp:effectExtent l="0" t="0" r="1270" b="2540"/>
            <wp:wrapThrough wrapText="bothSides">
              <wp:wrapPolygon>
                <wp:start x="0" y="0"/>
                <wp:lineTo x="0" y="21481"/>
                <wp:lineTo x="21527" y="21481"/>
                <wp:lineTo x="21527" y="0"/>
                <wp:lineTo x="0" y="0"/>
              </wp:wrapPolygon>
            </wp:wrapThrough>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sz w:val="32"/>
          <w:szCs w:val="32"/>
        </w:rPr>
        <w:t>2023年度收、支总计均为</w:t>
      </w:r>
      <w:r>
        <w:rPr>
          <w:rFonts w:ascii="仿宋" w:hAnsi="仿宋" w:eastAsia="仿宋"/>
          <w:sz w:val="32"/>
          <w:szCs w:val="32"/>
        </w:rPr>
        <w:t>3,212.4</w:t>
      </w:r>
      <w:r>
        <w:rPr>
          <w:rFonts w:hint="eastAsia" w:ascii="仿宋" w:hAnsi="仿宋" w:eastAsia="仿宋"/>
          <w:sz w:val="32"/>
          <w:szCs w:val="32"/>
        </w:rPr>
        <w:t>万元。与2022年度相比，收、支总计各增加</w:t>
      </w:r>
      <w:r>
        <w:rPr>
          <w:rFonts w:ascii="仿宋" w:hAnsi="仿宋" w:eastAsia="仿宋"/>
          <w:sz w:val="32"/>
          <w:szCs w:val="32"/>
        </w:rPr>
        <w:t>1,060.69</w:t>
      </w:r>
      <w:r>
        <w:rPr>
          <w:rFonts w:hint="eastAsia" w:ascii="仿宋" w:hAnsi="仿宋" w:eastAsia="仿宋"/>
          <w:sz w:val="32"/>
          <w:szCs w:val="32"/>
        </w:rPr>
        <w:t>万元，增长</w:t>
      </w:r>
      <w:r>
        <w:rPr>
          <w:rFonts w:ascii="仿宋" w:hAnsi="仿宋" w:eastAsia="仿宋"/>
          <w:sz w:val="32"/>
          <w:szCs w:val="32"/>
        </w:rPr>
        <w:t>49.3%</w:t>
      </w:r>
      <w:r>
        <w:rPr>
          <w:rFonts w:hint="eastAsia" w:ascii="仿宋" w:hAnsi="仿宋" w:eastAsia="仿宋"/>
          <w:sz w:val="32"/>
          <w:szCs w:val="32"/>
        </w:rPr>
        <w:t>。主要变动原因是新招录人员,人员经费增加。</w:t>
      </w:r>
    </w:p>
    <w:p w14:paraId="72D15144">
      <w:pPr>
        <w:spacing w:line="600" w:lineRule="exact"/>
        <w:jc w:val="center"/>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14:paraId="63278CBF">
      <w:pPr>
        <w:spacing w:line="600" w:lineRule="exact"/>
        <w:ind w:firstLine="640" w:firstLineChars="200"/>
        <w:jc w:val="left"/>
        <w:rPr>
          <w:rFonts w:ascii="仿宋_GB2312" w:eastAsia="仿宋_GB2312"/>
          <w:sz w:val="32"/>
          <w:szCs w:val="32"/>
        </w:rPr>
      </w:pPr>
    </w:p>
    <w:p w14:paraId="7F4F5CB7">
      <w:pPr>
        <w:pStyle w:val="19"/>
        <w:spacing w:line="600" w:lineRule="exact"/>
        <w:ind w:left="640" w:firstLine="0" w:firstLineChars="0"/>
        <w:outlineLvl w:val="1"/>
        <w:rPr>
          <w:rStyle w:val="18"/>
          <w:rFonts w:hint="eastAsia" w:ascii="黑体" w:hAnsi="黑体" w:eastAsia="黑体"/>
          <w:b w:val="0"/>
        </w:rPr>
      </w:pPr>
      <w:bookmarkStart w:id="5" w:name="_Toc176448925"/>
      <w:r>
        <w:rPr>
          <w:rFonts w:hint="eastAsia" w:ascii="黑体" w:hAnsi="黑体" w:eastAsia="黑体"/>
          <w:sz w:val="32"/>
          <w:szCs w:val="32"/>
        </w:rPr>
        <w:t>二、收</w:t>
      </w:r>
      <w:r>
        <w:rPr>
          <w:rStyle w:val="18"/>
          <w:rFonts w:hint="eastAsia" w:ascii="黑体" w:hAnsi="黑体" w:eastAsia="黑体"/>
          <w:b w:val="0"/>
        </w:rPr>
        <w:t>入决算情况说明</w:t>
      </w:r>
      <w:bookmarkEnd w:id="5"/>
    </w:p>
    <w:p w14:paraId="28D1A6A1">
      <w:pPr>
        <w:spacing w:line="600" w:lineRule="exact"/>
        <w:ind w:firstLine="640" w:firstLineChars="200"/>
        <w:rPr>
          <w:rFonts w:hint="eastAsia" w:ascii="仿宋" w:hAnsi="仿宋" w:eastAsia="仿宋"/>
          <w:b/>
          <w:sz w:val="32"/>
          <w:szCs w:val="32"/>
        </w:rPr>
      </w:pPr>
      <w:r>
        <w:rPr>
          <w:rFonts w:hint="eastAsia" w:ascii="仿宋" w:hAnsi="仿宋" w:eastAsia="仿宋"/>
          <w:sz w:val="32"/>
          <w:szCs w:val="32"/>
        </w:rPr>
        <w:t>2023年度本年收入合计</w:t>
      </w:r>
      <w:r>
        <w:rPr>
          <w:rFonts w:ascii="仿宋" w:hAnsi="仿宋" w:eastAsia="仿宋"/>
          <w:sz w:val="32"/>
          <w:szCs w:val="32"/>
        </w:rPr>
        <w:t>3,212.4</w:t>
      </w:r>
      <w:r>
        <w:rPr>
          <w:rFonts w:hint="eastAsia" w:ascii="仿宋" w:hAnsi="仿宋" w:eastAsia="仿宋"/>
          <w:sz w:val="32"/>
          <w:szCs w:val="32"/>
        </w:rPr>
        <w:t>万元，其中：一般公共预算财政拨款收入</w:t>
      </w:r>
      <w:r>
        <w:rPr>
          <w:rFonts w:ascii="仿宋" w:hAnsi="仿宋" w:eastAsia="仿宋"/>
          <w:sz w:val="32"/>
          <w:szCs w:val="32"/>
        </w:rPr>
        <w:t>3,212.4</w:t>
      </w:r>
      <w:r>
        <w:rPr>
          <w:rFonts w:hint="eastAsia" w:ascii="仿宋" w:hAnsi="仿宋" w:eastAsia="仿宋"/>
          <w:sz w:val="32"/>
          <w:szCs w:val="32"/>
        </w:rPr>
        <w:t>万元，占100%</w:t>
      </w:r>
    </w:p>
    <w:p w14:paraId="23042DBB">
      <w:pPr>
        <w:spacing w:line="600" w:lineRule="exact"/>
        <w:jc w:val="center"/>
        <w:rPr>
          <w:rFonts w:hint="eastAsia" w:ascii="仿宋" w:hAnsi="仿宋" w:eastAsia="仿宋"/>
          <w:sz w:val="32"/>
          <w:szCs w:val="32"/>
        </w:rPr>
      </w:pPr>
      <w:r>
        <w:rPr>
          <w:rFonts w:hint="eastAsia" w:ascii="仿宋" w:hAnsi="仿宋" w:eastAsia="仿宋"/>
          <w:sz w:val="32"/>
          <w:szCs w:val="32"/>
        </w:rPr>
        <w:br w:type="column"/>
      </w:r>
      <w:r>
        <w:rPr>
          <w:rFonts w:hint="eastAsia" w:ascii="仿宋" w:hAnsi="仿宋" w:eastAsia="仿宋"/>
          <w:sz w:val="32"/>
        </w:rPr>
        <w:drawing>
          <wp:anchor distT="0" distB="0" distL="114300" distR="114300" simplePos="0" relativeHeight="251662336" behindDoc="0" locked="0" layoutInCell="1" allowOverlap="1">
            <wp:simplePos x="0" y="0"/>
            <wp:positionH relativeFrom="column">
              <wp:posOffset>0</wp:posOffset>
            </wp:positionH>
            <wp:positionV relativeFrom="paragraph">
              <wp:posOffset>-635</wp:posOffset>
            </wp:positionV>
            <wp:extent cx="5256530" cy="2988310"/>
            <wp:effectExtent l="0" t="0" r="1270" b="2540"/>
            <wp:wrapThrough wrapText="bothSides">
              <wp:wrapPolygon>
                <wp:start x="0" y="0"/>
                <wp:lineTo x="0" y="21481"/>
                <wp:lineTo x="21527" y="21481"/>
                <wp:lineTo x="21527" y="0"/>
                <wp:lineTo x="0" y="0"/>
              </wp:wrapPolygon>
            </wp:wrapThrough>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sz w:val="32"/>
          <w:szCs w:val="32"/>
        </w:rPr>
        <w:t>（图2：收入决算结构图）</w:t>
      </w:r>
    </w:p>
    <w:p w14:paraId="725B36BF">
      <w:pPr>
        <w:spacing w:line="600" w:lineRule="exact"/>
        <w:ind w:firstLine="640" w:firstLineChars="200"/>
        <w:rPr>
          <w:rFonts w:ascii="仿宋_GB2312" w:eastAsia="仿宋_GB2312"/>
          <w:sz w:val="32"/>
          <w:szCs w:val="32"/>
        </w:rPr>
      </w:pPr>
    </w:p>
    <w:p w14:paraId="30503918">
      <w:pPr>
        <w:pStyle w:val="19"/>
        <w:spacing w:line="600" w:lineRule="exact"/>
        <w:ind w:left="640" w:firstLine="0" w:firstLineChars="0"/>
        <w:outlineLvl w:val="1"/>
        <w:rPr>
          <w:rStyle w:val="18"/>
          <w:rFonts w:hint="eastAsia" w:ascii="黑体" w:hAnsi="黑体" w:eastAsia="黑体"/>
          <w:b w:val="0"/>
        </w:rPr>
      </w:pPr>
      <w:bookmarkStart w:id="6" w:name="_Toc176448926"/>
      <w:r>
        <w:rPr>
          <w:rFonts w:hint="eastAsia" w:ascii="黑体" w:hAnsi="黑体" w:eastAsia="黑体"/>
          <w:sz w:val="32"/>
          <w:szCs w:val="32"/>
        </w:rPr>
        <w:t>三、支</w:t>
      </w:r>
      <w:r>
        <w:rPr>
          <w:rStyle w:val="18"/>
          <w:rFonts w:hint="eastAsia" w:ascii="黑体" w:hAnsi="黑体" w:eastAsia="黑体"/>
          <w:b w:val="0"/>
        </w:rPr>
        <w:t>出决算情况说明</w:t>
      </w:r>
      <w:bookmarkEnd w:id="6"/>
    </w:p>
    <w:p w14:paraId="10AB235D">
      <w:pPr>
        <w:spacing w:line="600" w:lineRule="exact"/>
        <w:ind w:firstLine="640" w:firstLineChars="200"/>
        <w:rPr>
          <w:rFonts w:hint="eastAsia" w:ascii="仿宋" w:hAnsi="仿宋" w:eastAsia="仿宋"/>
          <w:sz w:val="32"/>
          <w:szCs w:val="32"/>
        </w:rPr>
      </w:pPr>
      <w:r>
        <w:rPr>
          <w:rFonts w:hint="eastAsia" w:ascii="仿宋" w:hAnsi="仿宋" w:eastAsia="仿宋"/>
          <w:sz w:val="32"/>
          <w:szCs w:val="32"/>
          <w:shd w:val="pct10" w:color="auto" w:fill="FFFFFF"/>
        </w:rPr>
        <w:drawing>
          <wp:anchor distT="0" distB="0" distL="114300" distR="114300" simplePos="0" relativeHeight="251660288" behindDoc="0" locked="0" layoutInCell="1" allowOverlap="1">
            <wp:simplePos x="0" y="0"/>
            <wp:positionH relativeFrom="column">
              <wp:posOffset>1905</wp:posOffset>
            </wp:positionH>
            <wp:positionV relativeFrom="paragraph">
              <wp:posOffset>958850</wp:posOffset>
            </wp:positionV>
            <wp:extent cx="5256530" cy="2740025"/>
            <wp:effectExtent l="0" t="0" r="1270" b="3175"/>
            <wp:wrapThrough wrapText="bothSides">
              <wp:wrapPolygon>
                <wp:start x="0" y="0"/>
                <wp:lineTo x="0" y="21475"/>
                <wp:lineTo x="21527" y="21475"/>
                <wp:lineTo x="21527" y="0"/>
                <wp:lineTo x="0" y="0"/>
              </wp:wrapPolygon>
            </wp:wrapThrough>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sz w:val="32"/>
          <w:szCs w:val="32"/>
        </w:rPr>
        <w:t>2023年度本年支出合计</w:t>
      </w:r>
      <w:r>
        <w:rPr>
          <w:rFonts w:ascii="仿宋" w:hAnsi="仿宋" w:eastAsia="仿宋"/>
          <w:sz w:val="32"/>
          <w:szCs w:val="32"/>
        </w:rPr>
        <w:t>3,212.4</w:t>
      </w:r>
      <w:r>
        <w:rPr>
          <w:rFonts w:hint="eastAsia" w:ascii="仿宋" w:hAnsi="仿宋" w:eastAsia="仿宋"/>
          <w:sz w:val="32"/>
          <w:szCs w:val="32"/>
        </w:rPr>
        <w:t>万元，其中：基本支出</w:t>
      </w:r>
      <w:r>
        <w:rPr>
          <w:rFonts w:ascii="仿宋" w:hAnsi="仿宋" w:eastAsia="仿宋"/>
          <w:sz w:val="32"/>
          <w:szCs w:val="32"/>
        </w:rPr>
        <w:t>3,114.29</w:t>
      </w:r>
      <w:r>
        <w:rPr>
          <w:rFonts w:hint="eastAsia" w:ascii="仿宋" w:hAnsi="仿宋" w:eastAsia="仿宋"/>
          <w:sz w:val="32"/>
          <w:szCs w:val="32"/>
        </w:rPr>
        <w:t>万元，占</w:t>
      </w:r>
      <w:r>
        <w:rPr>
          <w:rFonts w:ascii="仿宋" w:hAnsi="仿宋" w:eastAsia="仿宋"/>
          <w:sz w:val="32"/>
          <w:szCs w:val="32"/>
        </w:rPr>
        <w:t>9</w:t>
      </w:r>
      <w:r>
        <w:rPr>
          <w:rFonts w:hint="eastAsia" w:ascii="仿宋" w:hAnsi="仿宋" w:eastAsia="仿宋"/>
          <w:sz w:val="32"/>
          <w:szCs w:val="32"/>
          <w:lang w:val="en-US" w:eastAsia="zh-CN"/>
        </w:rPr>
        <w:t>7</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sz w:val="32"/>
          <w:szCs w:val="32"/>
        </w:rPr>
        <w:t>98.11</w:t>
      </w:r>
      <w:r>
        <w:rPr>
          <w:rFonts w:hint="eastAsia" w:ascii="仿宋" w:hAnsi="仿宋" w:eastAsia="仿宋"/>
          <w:sz w:val="32"/>
          <w:szCs w:val="32"/>
        </w:rPr>
        <w:t>万元，占</w:t>
      </w:r>
      <w:r>
        <w:rPr>
          <w:rFonts w:ascii="仿宋" w:hAnsi="仿宋" w:eastAsia="仿宋"/>
          <w:sz w:val="32"/>
          <w:szCs w:val="32"/>
        </w:rPr>
        <w:t>3.</w:t>
      </w:r>
      <w:r>
        <w:rPr>
          <w:rFonts w:hint="eastAsia" w:ascii="仿宋" w:hAnsi="仿宋" w:eastAsia="仿宋"/>
          <w:sz w:val="32"/>
          <w:szCs w:val="32"/>
          <w:lang w:val="en-US" w:eastAsia="zh-CN"/>
        </w:rPr>
        <w:t>1</w:t>
      </w:r>
      <w:r>
        <w:rPr>
          <w:rFonts w:ascii="仿宋" w:hAnsi="仿宋" w:eastAsia="仿宋"/>
          <w:sz w:val="32"/>
          <w:szCs w:val="32"/>
        </w:rPr>
        <w:t>%</w:t>
      </w:r>
      <w:r>
        <w:rPr>
          <w:rFonts w:hint="eastAsia" w:ascii="仿宋" w:hAnsi="仿宋" w:eastAsia="仿宋"/>
          <w:sz w:val="32"/>
          <w:szCs w:val="32"/>
        </w:rPr>
        <w:t>。</w:t>
      </w:r>
    </w:p>
    <w:p w14:paraId="76982E09">
      <w:pPr>
        <w:spacing w:line="600" w:lineRule="exact"/>
        <w:jc w:val="center"/>
        <w:rPr>
          <w:rFonts w:hint="eastAsia" w:ascii="仿宋" w:hAnsi="仿宋" w:eastAsia="仿宋"/>
          <w:sz w:val="32"/>
          <w:szCs w:val="32"/>
        </w:rPr>
      </w:pPr>
      <w:r>
        <w:rPr>
          <w:rFonts w:hint="eastAsia" w:ascii="仿宋" w:hAnsi="仿宋" w:eastAsia="仿宋"/>
          <w:sz w:val="32"/>
          <w:szCs w:val="32"/>
        </w:rPr>
        <w:t>（图3：支出决算结构图）</w:t>
      </w:r>
    </w:p>
    <w:p w14:paraId="472B06C8">
      <w:pPr>
        <w:spacing w:line="600" w:lineRule="exact"/>
        <w:ind w:firstLine="640" w:firstLineChars="200"/>
        <w:rPr>
          <w:rFonts w:ascii="仿宋_GB2312" w:eastAsia="仿宋_GB2312"/>
          <w:sz w:val="32"/>
          <w:szCs w:val="32"/>
        </w:rPr>
      </w:pPr>
    </w:p>
    <w:p w14:paraId="58AFF5B4">
      <w:pPr>
        <w:spacing w:line="600" w:lineRule="exact"/>
        <w:ind w:firstLine="640" w:firstLineChars="200"/>
        <w:outlineLvl w:val="1"/>
        <w:rPr>
          <w:rStyle w:val="18"/>
          <w:rFonts w:hint="eastAsia" w:ascii="黑体" w:hAnsi="黑体" w:eastAsia="黑体"/>
          <w:b w:val="0"/>
        </w:rPr>
      </w:pPr>
      <w:bookmarkStart w:id="7" w:name="_Toc176448927"/>
      <w:r>
        <w:rPr>
          <w:rFonts w:hint="eastAsia" w:ascii="黑体" w:hAnsi="黑体" w:eastAsia="黑体"/>
          <w:sz w:val="32"/>
          <w:szCs w:val="32"/>
        </w:rPr>
        <w:t>四、财</w:t>
      </w:r>
      <w:r>
        <w:rPr>
          <w:rStyle w:val="18"/>
          <w:rFonts w:hint="eastAsia" w:ascii="黑体" w:hAnsi="黑体" w:eastAsia="黑体"/>
          <w:b w:val="0"/>
        </w:rPr>
        <w:t>政拨款收入支出决算总体情况说明</w:t>
      </w:r>
      <w:bookmarkEnd w:id="7"/>
    </w:p>
    <w:p w14:paraId="7171EC6E">
      <w:pPr>
        <w:spacing w:line="600" w:lineRule="exact"/>
        <w:ind w:firstLine="640"/>
        <w:rPr>
          <w:rFonts w:hint="eastAsia" w:ascii="仿宋" w:hAnsi="仿宋" w:eastAsia="仿宋"/>
          <w:sz w:val="32"/>
          <w:szCs w:val="32"/>
        </w:rPr>
      </w:pPr>
      <w:r>
        <w:rPr>
          <w:rFonts w:hint="eastAsia"/>
        </w:rPr>
        <w:drawing>
          <wp:anchor distT="0" distB="0" distL="114300" distR="114300" simplePos="0" relativeHeight="251661312" behindDoc="0" locked="0" layoutInCell="1" allowOverlap="1">
            <wp:simplePos x="0" y="0"/>
            <wp:positionH relativeFrom="column">
              <wp:posOffset>0</wp:posOffset>
            </wp:positionH>
            <wp:positionV relativeFrom="paragraph">
              <wp:posOffset>1400810</wp:posOffset>
            </wp:positionV>
            <wp:extent cx="5256530" cy="2988310"/>
            <wp:effectExtent l="0" t="0" r="1270" b="2540"/>
            <wp:wrapThrough wrapText="bothSides">
              <wp:wrapPolygon>
                <wp:start x="0" y="0"/>
                <wp:lineTo x="0" y="21481"/>
                <wp:lineTo x="21527" y="21481"/>
                <wp:lineTo x="21527" y="0"/>
                <wp:lineTo x="0" y="0"/>
              </wp:wrapPolygon>
            </wp:wrapThrough>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sz w:val="32"/>
          <w:szCs w:val="32"/>
        </w:rPr>
        <w:t>2023年度财政拨款收、支总计均为</w:t>
      </w:r>
      <w:r>
        <w:rPr>
          <w:rFonts w:ascii="仿宋" w:hAnsi="仿宋" w:eastAsia="仿宋"/>
          <w:sz w:val="32"/>
          <w:szCs w:val="32"/>
        </w:rPr>
        <w:t>3,212.4</w:t>
      </w:r>
      <w:r>
        <w:rPr>
          <w:rFonts w:hint="eastAsia" w:ascii="仿宋" w:hAnsi="仿宋" w:eastAsia="仿宋"/>
          <w:sz w:val="32"/>
          <w:szCs w:val="32"/>
        </w:rPr>
        <w:t>万元。与2022年度相比，财政拨款收、支总计各增加</w:t>
      </w:r>
      <w:r>
        <w:rPr>
          <w:rFonts w:ascii="仿宋" w:hAnsi="仿宋" w:eastAsia="仿宋"/>
          <w:sz w:val="32"/>
          <w:szCs w:val="32"/>
        </w:rPr>
        <w:t>1,060.69</w:t>
      </w:r>
      <w:r>
        <w:rPr>
          <w:rFonts w:hint="eastAsia" w:ascii="仿宋" w:hAnsi="仿宋" w:eastAsia="仿宋"/>
          <w:sz w:val="32"/>
          <w:szCs w:val="32"/>
        </w:rPr>
        <w:t>万元，增长</w:t>
      </w:r>
      <w:r>
        <w:rPr>
          <w:rFonts w:ascii="仿宋" w:hAnsi="仿宋" w:eastAsia="仿宋"/>
          <w:sz w:val="32"/>
          <w:szCs w:val="32"/>
        </w:rPr>
        <w:t>49.3%</w:t>
      </w:r>
      <w:r>
        <w:rPr>
          <w:rFonts w:hint="eastAsia" w:ascii="仿宋" w:hAnsi="仿宋" w:eastAsia="仿宋"/>
          <w:sz w:val="32"/>
          <w:szCs w:val="32"/>
        </w:rPr>
        <w:t>。主要变动原因是新招录人员,人员经费增加。</w:t>
      </w:r>
    </w:p>
    <w:p w14:paraId="55218A1E">
      <w:pPr>
        <w:spacing w:line="600" w:lineRule="exact"/>
        <w:jc w:val="center"/>
        <w:rPr>
          <w:rFonts w:hint="eastAsia" w:ascii="仿宋" w:hAnsi="仿宋" w:eastAsia="仿宋"/>
          <w:sz w:val="32"/>
          <w:szCs w:val="32"/>
        </w:rPr>
      </w:pPr>
      <w:r>
        <w:rPr>
          <w:rFonts w:hint="eastAsia" w:ascii="仿宋" w:hAnsi="仿宋" w:eastAsia="仿宋"/>
          <w:sz w:val="32"/>
          <w:szCs w:val="32"/>
        </w:rPr>
        <w:t>（图4：财政拨款收、支决算总计变动情况）</w:t>
      </w:r>
    </w:p>
    <w:p w14:paraId="02BC75F2">
      <w:pPr>
        <w:spacing w:line="600" w:lineRule="exact"/>
        <w:ind w:firstLine="640"/>
        <w:rPr>
          <w:rFonts w:hint="eastAsia" w:ascii="仿宋" w:hAnsi="仿宋" w:eastAsia="仿宋"/>
          <w:b/>
          <w:sz w:val="32"/>
          <w:szCs w:val="32"/>
        </w:rPr>
      </w:pPr>
    </w:p>
    <w:p w14:paraId="13057E9D">
      <w:pPr>
        <w:spacing w:line="600" w:lineRule="exact"/>
        <w:ind w:firstLine="640" w:firstLineChars="200"/>
        <w:outlineLvl w:val="1"/>
        <w:rPr>
          <w:rStyle w:val="18"/>
          <w:rFonts w:hint="eastAsia" w:ascii="黑体" w:hAnsi="黑体" w:eastAsia="黑体"/>
          <w:b w:val="0"/>
        </w:rPr>
      </w:pPr>
      <w:bookmarkStart w:id="8" w:name="_Toc176448928"/>
      <w:r>
        <w:rPr>
          <w:rFonts w:hint="eastAsia" w:ascii="黑体" w:hAnsi="黑体" w:eastAsia="黑体"/>
          <w:sz w:val="32"/>
          <w:szCs w:val="32"/>
        </w:rPr>
        <w:t>五、</w:t>
      </w:r>
      <w:r>
        <w:rPr>
          <w:rFonts w:hint="eastAsia" w:ascii="黑体" w:hAnsi="黑体" w:eastAsia="黑体"/>
          <w:b/>
          <w:sz w:val="32"/>
          <w:szCs w:val="32"/>
        </w:rPr>
        <w:t>一</w:t>
      </w:r>
      <w:r>
        <w:rPr>
          <w:rStyle w:val="18"/>
          <w:rFonts w:hint="eastAsia" w:ascii="黑体" w:hAnsi="黑体" w:eastAsia="黑体"/>
          <w:b w:val="0"/>
        </w:rPr>
        <w:t>般公共预算财政拨款支出决算情况说明</w:t>
      </w:r>
      <w:bookmarkEnd w:id="8"/>
    </w:p>
    <w:p w14:paraId="54D6FB44">
      <w:pPr>
        <w:spacing w:line="600" w:lineRule="exact"/>
        <w:ind w:firstLine="643" w:firstLineChars="200"/>
        <w:outlineLvl w:val="2"/>
        <w:rPr>
          <w:rFonts w:hint="eastAsia" w:ascii="仿宋" w:hAnsi="仿宋" w:eastAsia="仿宋"/>
          <w:b/>
          <w:sz w:val="32"/>
          <w:szCs w:val="32"/>
        </w:rPr>
      </w:pPr>
      <w:bookmarkStart w:id="9" w:name="_Toc176448929"/>
      <w:r>
        <w:rPr>
          <w:rFonts w:hint="eastAsia" w:ascii="仿宋" w:hAnsi="仿宋" w:eastAsia="仿宋"/>
          <w:b/>
          <w:sz w:val="32"/>
          <w:szCs w:val="32"/>
        </w:rPr>
        <w:t>（一）一般公共预算财政拨款支出决算总体情况</w:t>
      </w:r>
      <w:bookmarkEnd w:id="9"/>
    </w:p>
    <w:p w14:paraId="56725351">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sz w:val="32"/>
          <w:szCs w:val="32"/>
        </w:rPr>
        <w:t>3,212.4</w:t>
      </w:r>
      <w:r>
        <w:rPr>
          <w:rFonts w:hint="eastAsia" w:ascii="仿宋" w:hAnsi="仿宋" w:eastAsia="仿宋"/>
          <w:sz w:val="32"/>
          <w:szCs w:val="32"/>
        </w:rPr>
        <w:t>万元，占本年支出合计的100%。与2022年度相比，一般公共预算财政拨款支出增加</w:t>
      </w:r>
      <w:r>
        <w:rPr>
          <w:rFonts w:ascii="仿宋" w:hAnsi="仿宋" w:eastAsia="仿宋"/>
          <w:sz w:val="32"/>
          <w:szCs w:val="32"/>
        </w:rPr>
        <w:t>1,060.69</w:t>
      </w:r>
      <w:r>
        <w:rPr>
          <w:rFonts w:hint="eastAsia" w:ascii="仿宋" w:hAnsi="仿宋" w:eastAsia="仿宋"/>
          <w:sz w:val="32"/>
          <w:szCs w:val="32"/>
        </w:rPr>
        <w:t>万元，增长</w:t>
      </w:r>
      <w:r>
        <w:rPr>
          <w:rFonts w:ascii="仿宋" w:hAnsi="仿宋" w:eastAsia="仿宋"/>
          <w:sz w:val="32"/>
          <w:szCs w:val="32"/>
        </w:rPr>
        <w:t>49.3%</w:t>
      </w:r>
      <w:r>
        <w:rPr>
          <w:rFonts w:hint="eastAsia" w:ascii="仿宋" w:hAnsi="仿宋" w:eastAsia="仿宋"/>
          <w:sz w:val="32"/>
          <w:szCs w:val="32"/>
        </w:rPr>
        <w:t>。主要变动原因是新招录人员,人员经费增加。</w:t>
      </w:r>
    </w:p>
    <w:p w14:paraId="5E52A466">
      <w:pPr>
        <w:pStyle w:val="2"/>
        <w:snapToGrid/>
        <w:jc w:val="center"/>
        <w:rPr>
          <w:rFonts w:hint="eastAsia" w:ascii="仿宋" w:hAnsi="仿宋" w:eastAsia="仿宋"/>
          <w:sz w:val="32"/>
          <w:szCs w:val="32"/>
        </w:rPr>
      </w:pPr>
      <w:r>
        <w:rPr>
          <w:rFonts w:hint="eastAsia"/>
        </w:rPr>
        <w:drawing>
          <wp:anchor distT="0" distB="0" distL="114300" distR="114300" simplePos="0" relativeHeight="251663360" behindDoc="0" locked="0" layoutInCell="1" allowOverlap="1">
            <wp:simplePos x="0" y="0"/>
            <wp:positionH relativeFrom="column">
              <wp:posOffset>0</wp:posOffset>
            </wp:positionH>
            <wp:positionV relativeFrom="paragraph">
              <wp:posOffset>195580</wp:posOffset>
            </wp:positionV>
            <wp:extent cx="5256530" cy="2988310"/>
            <wp:effectExtent l="0" t="0" r="1270" b="2540"/>
            <wp:wrapThrough wrapText="bothSides">
              <wp:wrapPolygon>
                <wp:start x="0" y="0"/>
                <wp:lineTo x="0" y="21481"/>
                <wp:lineTo x="21527" y="21481"/>
                <wp:lineTo x="21527" y="0"/>
                <wp:lineTo x="0" y="0"/>
              </wp:wrapPolygon>
            </wp:wrapThrough>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sz w:val="32"/>
          <w:szCs w:val="32"/>
        </w:rPr>
        <w:t>（图5：一般公共预算财政拨款支出决算变动情况）</w:t>
      </w:r>
    </w:p>
    <w:p w14:paraId="2379B925">
      <w:pPr>
        <w:spacing w:line="600" w:lineRule="exact"/>
        <w:ind w:firstLine="640" w:firstLineChars="200"/>
        <w:rPr>
          <w:rFonts w:hint="eastAsia" w:ascii="仿宋" w:hAnsi="仿宋" w:eastAsia="仿宋"/>
          <w:sz w:val="32"/>
          <w:szCs w:val="32"/>
        </w:rPr>
      </w:pPr>
    </w:p>
    <w:p w14:paraId="0FC07CFD">
      <w:pPr>
        <w:spacing w:line="600" w:lineRule="exact"/>
        <w:ind w:firstLine="643" w:firstLineChars="200"/>
        <w:outlineLvl w:val="2"/>
        <w:rPr>
          <w:rFonts w:hint="eastAsia" w:ascii="仿宋" w:hAnsi="仿宋" w:eastAsia="仿宋"/>
          <w:b/>
          <w:sz w:val="32"/>
          <w:szCs w:val="32"/>
        </w:rPr>
      </w:pPr>
      <w:bookmarkStart w:id="10" w:name="_Toc176448930"/>
      <w:r>
        <w:rPr>
          <w:rFonts w:hint="eastAsia" w:ascii="仿宋" w:hAnsi="仿宋" w:eastAsia="仿宋"/>
          <w:b/>
          <w:sz w:val="32"/>
          <w:szCs w:val="32"/>
        </w:rPr>
        <w:t>（二）一般公共预算财政拨款支出决算结构情况</w:t>
      </w:r>
      <w:bookmarkEnd w:id="10"/>
    </w:p>
    <w:p w14:paraId="6687A064">
      <w:pPr>
        <w:spacing w:line="600" w:lineRule="exact"/>
        <w:ind w:firstLine="640"/>
        <w:rPr>
          <w:rFonts w:hint="eastAsia"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sz w:val="32"/>
          <w:szCs w:val="32"/>
        </w:rPr>
        <w:t>3,212.4</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ascii="仿宋" w:hAnsi="仿宋" w:eastAsia="仿宋"/>
          <w:sz w:val="32"/>
          <w:szCs w:val="32"/>
        </w:rPr>
        <w:t>341.49</w:t>
      </w:r>
      <w:r>
        <w:rPr>
          <w:rFonts w:hint="eastAsia" w:ascii="仿宋" w:hAnsi="仿宋" w:eastAsia="仿宋"/>
          <w:sz w:val="32"/>
          <w:szCs w:val="32"/>
        </w:rPr>
        <w:t>万元，占</w:t>
      </w:r>
      <w:r>
        <w:rPr>
          <w:rFonts w:ascii="仿宋" w:hAnsi="仿宋" w:eastAsia="仿宋"/>
          <w:sz w:val="32"/>
          <w:szCs w:val="32"/>
        </w:rPr>
        <w:t>10.6%</w:t>
      </w:r>
      <w:r>
        <w:rPr>
          <w:rFonts w:hint="eastAsia" w:ascii="仿宋" w:hAnsi="仿宋" w:eastAsia="仿宋"/>
          <w:sz w:val="32"/>
          <w:szCs w:val="32"/>
        </w:rPr>
        <w:t>；</w:t>
      </w:r>
      <w:r>
        <w:rPr>
          <w:rFonts w:hint="eastAsia" w:ascii="仿宋" w:hAnsi="仿宋" w:eastAsia="仿宋"/>
          <w:b/>
          <w:bCs/>
          <w:sz w:val="32"/>
          <w:szCs w:val="32"/>
        </w:rPr>
        <w:t>卫生健康支出</w:t>
      </w:r>
      <w:r>
        <w:rPr>
          <w:rFonts w:ascii="仿宋" w:hAnsi="仿宋" w:eastAsia="仿宋"/>
          <w:sz w:val="32"/>
          <w:szCs w:val="32"/>
        </w:rPr>
        <w:t>157.58</w:t>
      </w:r>
      <w:r>
        <w:rPr>
          <w:rFonts w:hint="eastAsia" w:ascii="仿宋" w:hAnsi="仿宋" w:eastAsia="仿宋"/>
          <w:sz w:val="32"/>
          <w:szCs w:val="32"/>
        </w:rPr>
        <w:t>万元，占</w:t>
      </w:r>
      <w:r>
        <w:rPr>
          <w:rFonts w:ascii="仿宋" w:hAnsi="仿宋" w:eastAsia="仿宋"/>
          <w:sz w:val="32"/>
          <w:szCs w:val="32"/>
        </w:rPr>
        <w:t>4.9%</w:t>
      </w:r>
      <w:r>
        <w:rPr>
          <w:rFonts w:hint="eastAsia" w:ascii="仿宋" w:hAnsi="仿宋" w:eastAsia="仿宋"/>
          <w:sz w:val="32"/>
          <w:szCs w:val="32"/>
        </w:rPr>
        <w:t>；</w:t>
      </w:r>
      <w:r>
        <w:rPr>
          <w:rFonts w:hint="eastAsia" w:ascii="仿宋" w:hAnsi="仿宋" w:eastAsia="仿宋"/>
          <w:b/>
          <w:sz w:val="32"/>
          <w:szCs w:val="32"/>
        </w:rPr>
        <w:t>交通运输支出</w:t>
      </w:r>
      <w:r>
        <w:rPr>
          <w:rFonts w:ascii="仿宋" w:hAnsi="仿宋" w:eastAsia="仿宋"/>
          <w:sz w:val="32"/>
          <w:szCs w:val="32"/>
        </w:rPr>
        <w:t>2,530.59</w:t>
      </w:r>
      <w:r>
        <w:rPr>
          <w:rFonts w:hint="eastAsia" w:ascii="仿宋" w:hAnsi="仿宋" w:eastAsia="仿宋"/>
          <w:sz w:val="32"/>
          <w:szCs w:val="32"/>
        </w:rPr>
        <w:t>万元，占</w:t>
      </w:r>
      <w:r>
        <w:rPr>
          <w:rFonts w:ascii="仿宋" w:hAnsi="仿宋" w:eastAsia="仿宋"/>
          <w:sz w:val="32"/>
          <w:szCs w:val="32"/>
        </w:rPr>
        <w:t>78.</w:t>
      </w:r>
      <w:r>
        <w:rPr>
          <w:rFonts w:hint="eastAsia" w:ascii="仿宋" w:hAnsi="仿宋" w:eastAsia="仿宋"/>
          <w:sz w:val="32"/>
          <w:szCs w:val="32"/>
          <w:lang w:val="en-US" w:eastAsia="zh-CN"/>
        </w:rPr>
        <w:t>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ascii="仿宋" w:hAnsi="仿宋" w:eastAsia="仿宋"/>
          <w:sz w:val="32"/>
          <w:szCs w:val="32"/>
        </w:rPr>
        <w:t>182.74</w:t>
      </w:r>
      <w:r>
        <w:rPr>
          <w:rFonts w:hint="eastAsia" w:ascii="仿宋" w:hAnsi="仿宋" w:eastAsia="仿宋"/>
          <w:sz w:val="32"/>
          <w:szCs w:val="32"/>
        </w:rPr>
        <w:t>万元，占</w:t>
      </w:r>
      <w:r>
        <w:rPr>
          <w:rFonts w:ascii="仿宋" w:hAnsi="仿宋" w:eastAsia="仿宋"/>
          <w:sz w:val="32"/>
          <w:szCs w:val="32"/>
        </w:rPr>
        <w:t>5.</w:t>
      </w:r>
      <w:r>
        <w:rPr>
          <w:rFonts w:hint="eastAsia" w:ascii="仿宋" w:hAnsi="仿宋" w:eastAsia="仿宋"/>
          <w:sz w:val="32"/>
          <w:szCs w:val="32"/>
          <w:lang w:val="en-US" w:eastAsia="zh-CN"/>
        </w:rPr>
        <w:t>7</w:t>
      </w:r>
      <w:r>
        <w:rPr>
          <w:rFonts w:ascii="仿宋" w:hAnsi="仿宋" w:eastAsia="仿宋"/>
          <w:sz w:val="32"/>
          <w:szCs w:val="32"/>
        </w:rPr>
        <w:t>%</w:t>
      </w:r>
      <w:r>
        <w:rPr>
          <w:rFonts w:hint="eastAsia" w:ascii="仿宋" w:hAnsi="仿宋" w:eastAsia="仿宋"/>
          <w:sz w:val="32"/>
          <w:szCs w:val="32"/>
        </w:rPr>
        <w:t>。</w:t>
      </w:r>
    </w:p>
    <w:p w14:paraId="07FC4A48">
      <w:pPr>
        <w:spacing w:line="600" w:lineRule="exact"/>
        <w:jc w:val="center"/>
        <w:rPr>
          <w:rFonts w:hint="eastAsia" w:ascii="仿宋" w:hAnsi="仿宋" w:eastAsia="仿宋"/>
          <w:sz w:val="32"/>
          <w:szCs w:val="32"/>
        </w:rPr>
      </w:pPr>
      <w:r>
        <w:rPr>
          <w:rFonts w:hint="eastAsia" w:ascii="仿宋" w:hAnsi="仿宋" w:eastAsia="仿宋"/>
          <w:sz w:val="32"/>
          <w:szCs w:val="32"/>
        </w:rPr>
        <w:br w:type="column"/>
      </w:r>
      <w:r>
        <w:rPr>
          <w:rFonts w:hint="eastAsia" w:ascii="仿宋" w:hAnsi="仿宋" w:eastAsia="仿宋"/>
          <w:sz w:val="32"/>
          <w:szCs w:val="32"/>
          <w:lang w:val="zh-CN"/>
        </w:rPr>
        <w:drawing>
          <wp:anchor distT="0" distB="0" distL="114300" distR="114300" simplePos="0" relativeHeight="251664384" behindDoc="0" locked="0" layoutInCell="1" allowOverlap="1">
            <wp:simplePos x="0" y="0"/>
            <wp:positionH relativeFrom="column">
              <wp:posOffset>-9525</wp:posOffset>
            </wp:positionH>
            <wp:positionV relativeFrom="paragraph">
              <wp:posOffset>197485</wp:posOffset>
            </wp:positionV>
            <wp:extent cx="5274310" cy="3076575"/>
            <wp:effectExtent l="0" t="0" r="2540" b="9525"/>
            <wp:wrapThrough wrapText="bothSides">
              <wp:wrapPolygon>
                <wp:start x="0" y="0"/>
                <wp:lineTo x="0" y="21533"/>
                <wp:lineTo x="21532" y="21533"/>
                <wp:lineTo x="21532" y="0"/>
                <wp:lineTo x="0" y="0"/>
              </wp:wrapPolygon>
            </wp:wrapThrough>
            <wp:docPr id="201947716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sz w:val="32"/>
          <w:szCs w:val="32"/>
        </w:rPr>
        <w:t>（图6：一般公共预算财政拨款支出决算结构）</w:t>
      </w:r>
    </w:p>
    <w:p w14:paraId="74BA591C">
      <w:pPr>
        <w:spacing w:line="600" w:lineRule="exact"/>
        <w:ind w:firstLine="640" w:firstLineChars="200"/>
        <w:rPr>
          <w:rFonts w:hint="eastAsia" w:ascii="仿宋" w:hAnsi="仿宋" w:eastAsia="仿宋"/>
          <w:sz w:val="32"/>
          <w:szCs w:val="32"/>
        </w:rPr>
      </w:pPr>
    </w:p>
    <w:p w14:paraId="2BF986C7">
      <w:pPr>
        <w:spacing w:line="600" w:lineRule="exact"/>
        <w:ind w:firstLine="643" w:firstLineChars="200"/>
        <w:outlineLvl w:val="2"/>
        <w:rPr>
          <w:rFonts w:hint="eastAsia" w:ascii="仿宋" w:hAnsi="仿宋" w:eastAsia="仿宋"/>
          <w:b/>
          <w:sz w:val="32"/>
          <w:szCs w:val="32"/>
        </w:rPr>
      </w:pPr>
      <w:bookmarkStart w:id="11" w:name="_Toc176448931"/>
      <w:r>
        <w:rPr>
          <w:rFonts w:hint="eastAsia" w:ascii="仿宋" w:hAnsi="仿宋" w:eastAsia="仿宋"/>
          <w:b/>
          <w:sz w:val="32"/>
          <w:szCs w:val="32"/>
        </w:rPr>
        <w:t>（三）一般公共预算财政拨款支出决算具体情况</w:t>
      </w:r>
      <w:bookmarkEnd w:id="11"/>
    </w:p>
    <w:p w14:paraId="1EB440A9">
      <w:pPr>
        <w:spacing w:line="600" w:lineRule="exact"/>
        <w:ind w:firstLine="643" w:firstLineChars="200"/>
        <w:rPr>
          <w:rFonts w:hint="eastAsia" w:ascii="仿宋" w:hAnsi="仿宋" w:eastAsia="仿宋"/>
          <w:sz w:val="32"/>
          <w:szCs w:val="32"/>
        </w:rPr>
      </w:pPr>
      <w:r>
        <w:rPr>
          <w:rFonts w:hint="eastAsia" w:ascii="仿宋" w:hAnsi="仿宋" w:eastAsia="仿宋"/>
          <w:b/>
          <w:sz w:val="32"/>
          <w:szCs w:val="32"/>
        </w:rPr>
        <w:t>2023年度一般公共预算支出决算数为</w:t>
      </w:r>
      <w:r>
        <w:rPr>
          <w:rFonts w:ascii="仿宋" w:hAnsi="仿宋" w:eastAsia="仿宋"/>
          <w:b/>
          <w:sz w:val="32"/>
          <w:szCs w:val="32"/>
        </w:rPr>
        <w:t>3212.4</w:t>
      </w:r>
      <w:r>
        <w:rPr>
          <w:rFonts w:hint="eastAsia" w:ascii="仿宋" w:hAnsi="仿宋" w:eastAsia="仿宋"/>
          <w:b/>
          <w:sz w:val="32"/>
          <w:szCs w:val="32"/>
        </w:rPr>
        <w:t>万元</w:t>
      </w:r>
      <w:r>
        <w:rPr>
          <w:rFonts w:hint="eastAsia" w:ascii="仿宋" w:hAnsi="仿宋" w:eastAsia="仿宋"/>
          <w:sz w:val="32"/>
          <w:szCs w:val="32"/>
        </w:rPr>
        <w:t>，</w:t>
      </w:r>
      <w:r>
        <w:rPr>
          <w:rStyle w:val="15"/>
          <w:rFonts w:hint="eastAsia" w:ascii="仿宋" w:hAnsi="仿宋" w:eastAsia="仿宋"/>
          <w:bCs/>
          <w:sz w:val="32"/>
          <w:szCs w:val="32"/>
        </w:rPr>
        <w:t>完成预算100%。其中：</w:t>
      </w:r>
    </w:p>
    <w:p w14:paraId="39AF08A1">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1.</w:t>
      </w:r>
      <w:r>
        <w:rPr>
          <w:rFonts w:hint="eastAsia" w:ascii="仿宋" w:hAnsi="仿宋" w:eastAsia="仿宋"/>
          <w:sz w:val="32"/>
          <w:szCs w:val="32"/>
        </w:rPr>
        <w:t xml:space="preserve"> </w:t>
      </w:r>
      <w:r>
        <w:rPr>
          <w:rStyle w:val="15"/>
          <w:rFonts w:hint="eastAsia" w:ascii="仿宋" w:hAnsi="仿宋" w:eastAsia="仿宋"/>
          <w:bCs/>
          <w:sz w:val="32"/>
          <w:szCs w:val="32"/>
        </w:rPr>
        <w:t>社会保障和就业支出（类）行政事业单位养老支出（款）机关事业单位基本养老保险缴费支出（项）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227.66</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0AEAD31F">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2.</w:t>
      </w:r>
      <w:r>
        <w:rPr>
          <w:rFonts w:hint="eastAsia" w:ascii="仿宋" w:hAnsi="仿宋" w:eastAsia="仿宋"/>
          <w:sz w:val="32"/>
          <w:szCs w:val="32"/>
        </w:rPr>
        <w:t xml:space="preserve"> </w:t>
      </w:r>
      <w:r>
        <w:rPr>
          <w:rStyle w:val="15"/>
          <w:rFonts w:hint="eastAsia" w:ascii="仿宋" w:hAnsi="仿宋" w:eastAsia="仿宋"/>
          <w:bCs/>
          <w:sz w:val="32"/>
          <w:szCs w:val="32"/>
        </w:rPr>
        <w:t>社会保障和就业支出（类）行政事业单位养老支出（款）机关事业单位职业年金缴费支出（项）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113.83</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6DB1FC70">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3.</w:t>
      </w:r>
      <w:r>
        <w:rPr>
          <w:rFonts w:hint="eastAsia" w:ascii="仿宋" w:hAnsi="仿宋" w:eastAsia="仿宋"/>
          <w:sz w:val="32"/>
          <w:szCs w:val="32"/>
        </w:rPr>
        <w:t xml:space="preserve"> </w:t>
      </w:r>
      <w:r>
        <w:rPr>
          <w:rStyle w:val="15"/>
          <w:rFonts w:hint="eastAsia" w:ascii="仿宋" w:hAnsi="仿宋" w:eastAsia="仿宋"/>
          <w:bCs/>
          <w:sz w:val="32"/>
          <w:szCs w:val="32"/>
        </w:rPr>
        <w:t>卫生健康支出（类）行政事业单位医疗（款）事业单位医疗（项）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100.27</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602E4D05">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4.</w:t>
      </w:r>
      <w:r>
        <w:rPr>
          <w:rFonts w:hint="eastAsia" w:ascii="仿宋" w:hAnsi="仿宋" w:eastAsia="仿宋"/>
          <w:sz w:val="32"/>
          <w:szCs w:val="32"/>
        </w:rPr>
        <w:t xml:space="preserve"> </w:t>
      </w:r>
      <w:r>
        <w:rPr>
          <w:rStyle w:val="15"/>
          <w:rFonts w:hint="eastAsia" w:ascii="仿宋" w:hAnsi="仿宋" w:eastAsia="仿宋"/>
          <w:bCs/>
          <w:sz w:val="32"/>
          <w:szCs w:val="32"/>
        </w:rPr>
        <w:t>卫生健康支出（类）行政事业单位医疗（款）其他行政事业单位医疗支出（项）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57.31</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6B4DAE3A">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5.</w:t>
      </w:r>
      <w:r>
        <w:rPr>
          <w:rFonts w:hint="eastAsia" w:ascii="仿宋" w:hAnsi="仿宋" w:eastAsia="仿宋"/>
          <w:sz w:val="32"/>
          <w:szCs w:val="32"/>
        </w:rPr>
        <w:t xml:space="preserve"> </w:t>
      </w:r>
      <w:r>
        <w:rPr>
          <w:rStyle w:val="15"/>
          <w:rFonts w:hint="eastAsia" w:ascii="仿宋" w:hAnsi="仿宋" w:eastAsia="仿宋"/>
          <w:bCs/>
          <w:sz w:val="32"/>
          <w:szCs w:val="32"/>
        </w:rPr>
        <w:t>交通运输支出（类）公路水路运输（款）公路养护（项）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2528.07</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1E21D91D">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6.</w:t>
      </w:r>
      <w:r>
        <w:rPr>
          <w:rFonts w:hint="eastAsia" w:ascii="仿宋" w:hAnsi="仿宋" w:eastAsia="仿宋"/>
          <w:sz w:val="32"/>
          <w:szCs w:val="32"/>
        </w:rPr>
        <w:t xml:space="preserve"> </w:t>
      </w:r>
      <w:r>
        <w:rPr>
          <w:rStyle w:val="15"/>
          <w:rFonts w:hint="eastAsia" w:ascii="仿宋" w:hAnsi="仿宋" w:eastAsia="仿宋"/>
          <w:bCs/>
          <w:sz w:val="32"/>
          <w:szCs w:val="32"/>
        </w:rPr>
        <w:t>交通运输支出（类）公路水路运输（款）其他公路水路运输支出（项）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2.52</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1392F2B2">
      <w:pPr>
        <w:spacing w:line="600" w:lineRule="exact"/>
        <w:ind w:firstLine="643" w:firstLineChars="200"/>
        <w:rPr>
          <w:rStyle w:val="15"/>
          <w:rFonts w:hint="eastAsia" w:ascii="仿宋" w:hAnsi="仿宋" w:eastAsia="仿宋"/>
          <w:b w:val="0"/>
          <w:bCs/>
          <w:sz w:val="32"/>
          <w:szCs w:val="32"/>
        </w:rPr>
      </w:pPr>
      <w:r>
        <w:rPr>
          <w:rStyle w:val="15"/>
          <w:rFonts w:hint="eastAsia" w:ascii="仿宋" w:hAnsi="仿宋" w:eastAsia="仿宋"/>
          <w:bCs/>
          <w:sz w:val="32"/>
          <w:szCs w:val="32"/>
        </w:rPr>
        <w:t>7.</w:t>
      </w:r>
      <w:r>
        <w:rPr>
          <w:rFonts w:hint="eastAsia" w:ascii="仿宋" w:hAnsi="仿宋" w:eastAsia="仿宋"/>
          <w:sz w:val="32"/>
          <w:szCs w:val="32"/>
        </w:rPr>
        <w:t xml:space="preserve"> </w:t>
      </w:r>
      <w:r>
        <w:rPr>
          <w:rStyle w:val="15"/>
          <w:rFonts w:hint="eastAsia" w:ascii="仿宋" w:hAnsi="仿宋" w:eastAsia="仿宋"/>
          <w:bCs/>
          <w:sz w:val="32"/>
          <w:szCs w:val="32"/>
        </w:rPr>
        <w:t>住房保障支出（类）住房改革支出（款）住房公积金（项）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174.74</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5E84A432">
      <w:pPr>
        <w:spacing w:line="600" w:lineRule="exact"/>
        <w:ind w:firstLine="643" w:firstLineChars="200"/>
        <w:rPr>
          <w:rFonts w:hint="eastAsia" w:ascii="仿宋" w:hAnsi="仿宋" w:eastAsia="仿宋"/>
          <w:b/>
          <w:sz w:val="32"/>
          <w:szCs w:val="32"/>
        </w:rPr>
      </w:pPr>
      <w:r>
        <w:rPr>
          <w:rStyle w:val="15"/>
          <w:rFonts w:hint="eastAsia" w:ascii="仿宋" w:hAnsi="仿宋" w:eastAsia="仿宋"/>
          <w:bCs/>
          <w:sz w:val="32"/>
          <w:szCs w:val="32"/>
        </w:rPr>
        <w:t>8.</w:t>
      </w:r>
      <w:r>
        <w:rPr>
          <w:rFonts w:hint="eastAsia" w:ascii="仿宋" w:hAnsi="仿宋" w:eastAsia="仿宋"/>
          <w:sz w:val="32"/>
          <w:szCs w:val="32"/>
        </w:rPr>
        <w:t xml:space="preserve"> </w:t>
      </w:r>
      <w:r>
        <w:rPr>
          <w:rStyle w:val="15"/>
          <w:rFonts w:hint="eastAsia" w:ascii="仿宋" w:hAnsi="仿宋" w:eastAsia="仿宋"/>
          <w:bCs/>
          <w:sz w:val="32"/>
          <w:szCs w:val="32"/>
        </w:rPr>
        <w:t>住房保障支出（类）住房改革支出（款）购房补贴（项）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8</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219BFFF0">
      <w:pPr>
        <w:spacing w:line="600" w:lineRule="exact"/>
        <w:ind w:firstLine="640"/>
        <w:rPr>
          <w:rFonts w:hint="eastAsia" w:ascii="仿宋" w:hAnsi="仿宋" w:eastAsia="仿宋"/>
          <w:b/>
          <w:sz w:val="32"/>
          <w:szCs w:val="32"/>
        </w:rPr>
      </w:pPr>
    </w:p>
    <w:p w14:paraId="78B651A2">
      <w:pPr>
        <w:tabs>
          <w:tab w:val="right" w:pos="8306"/>
        </w:tabs>
        <w:spacing w:line="600" w:lineRule="exact"/>
        <w:ind w:firstLine="640"/>
        <w:outlineLvl w:val="1"/>
        <w:rPr>
          <w:rStyle w:val="18"/>
        </w:rPr>
      </w:pPr>
      <w:bookmarkStart w:id="12" w:name="_Toc176448932"/>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18"/>
          <w:rFonts w:hint="eastAsia" w:ascii="黑体" w:hAnsi="黑体" w:eastAsia="黑体"/>
          <w:b w:val="0"/>
        </w:rPr>
        <w:t>般公共预算财政拨款基本支出决算情况说明</w:t>
      </w:r>
      <w:bookmarkEnd w:id="12"/>
      <w:r>
        <w:rPr>
          <w:rStyle w:val="18"/>
          <w:rFonts w:ascii="黑体" w:hAnsi="黑体" w:eastAsia="黑体"/>
          <w:b w:val="0"/>
        </w:rPr>
        <w:tab/>
      </w:r>
    </w:p>
    <w:p w14:paraId="05669D94">
      <w:pPr>
        <w:spacing w:line="600" w:lineRule="exact"/>
        <w:ind w:firstLine="645"/>
        <w:rPr>
          <w:rFonts w:hint="eastAsia"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sz w:val="32"/>
          <w:szCs w:val="32"/>
        </w:rPr>
        <w:t>3,114.29</w:t>
      </w:r>
      <w:r>
        <w:rPr>
          <w:rFonts w:hint="eastAsia" w:ascii="仿宋" w:hAnsi="仿宋" w:eastAsia="仿宋"/>
          <w:sz w:val="32"/>
          <w:szCs w:val="32"/>
        </w:rPr>
        <w:t>万元，其中：</w:t>
      </w:r>
    </w:p>
    <w:p w14:paraId="4CB7F5A1">
      <w:pPr>
        <w:spacing w:line="600" w:lineRule="exact"/>
        <w:ind w:firstLine="645"/>
        <w:rPr>
          <w:rFonts w:hint="eastAsia" w:ascii="仿宋" w:hAnsi="仿宋" w:eastAsia="仿宋"/>
          <w:sz w:val="32"/>
          <w:szCs w:val="32"/>
        </w:rPr>
      </w:pPr>
      <w:r>
        <w:rPr>
          <w:rFonts w:hint="eastAsia" w:ascii="仿宋" w:hAnsi="仿宋" w:eastAsia="仿宋"/>
          <w:sz w:val="32"/>
          <w:szCs w:val="32"/>
        </w:rPr>
        <w:t>人员经费</w:t>
      </w:r>
      <w:r>
        <w:rPr>
          <w:rFonts w:ascii="仿宋" w:hAnsi="仿宋" w:eastAsia="仿宋"/>
          <w:sz w:val="32"/>
          <w:szCs w:val="32"/>
        </w:rPr>
        <w:t>2,926.2</w:t>
      </w:r>
      <w:r>
        <w:rPr>
          <w:rFonts w:hint="eastAsia" w:ascii="仿宋" w:hAnsi="仿宋" w:eastAsia="仿宋"/>
          <w:sz w:val="32"/>
          <w:szCs w:val="32"/>
        </w:rPr>
        <w:t>万元，主要包括：基本工资、津贴补贴、奖金、伙食补助费、绩效工资、机关事业单位基本养老保险缴费、职业年金缴费、职工基本医疗保险缴费、其他社会保障缴费、住房公积金、抚恤金、生活补助、奖励金等。</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sz w:val="32"/>
          <w:szCs w:val="32"/>
        </w:rPr>
        <w:t>188.1</w:t>
      </w:r>
      <w:r>
        <w:rPr>
          <w:rFonts w:hint="eastAsia" w:ascii="仿宋" w:hAnsi="仿宋" w:eastAsia="仿宋"/>
          <w:sz w:val="32"/>
          <w:szCs w:val="32"/>
        </w:rPr>
        <w:t>万元，主要包括：办公费、咨询费、电费、邮电费、差旅费、维修（护）费、培训费、专用材料费、专用燃料费、劳务费、委托业务费、福利费、公务用车运行维护费、其他商品和服务支出、办公设备购置、专用设备购置、基础设施建设等。</w:t>
      </w:r>
    </w:p>
    <w:p w14:paraId="4E3C1CEF">
      <w:pPr>
        <w:spacing w:line="600" w:lineRule="exact"/>
        <w:ind w:firstLine="640"/>
        <w:rPr>
          <w:rFonts w:hint="eastAsia" w:ascii="仿宋" w:hAnsi="仿宋" w:eastAsia="仿宋"/>
          <w:b/>
          <w:sz w:val="32"/>
          <w:szCs w:val="32"/>
        </w:rPr>
      </w:pPr>
    </w:p>
    <w:p w14:paraId="732EDDA1">
      <w:pPr>
        <w:spacing w:line="600" w:lineRule="exact"/>
        <w:ind w:firstLine="640"/>
        <w:outlineLvl w:val="1"/>
        <w:rPr>
          <w:rStyle w:val="18"/>
          <w:rFonts w:hint="eastAsia" w:ascii="黑体" w:hAnsi="黑体" w:eastAsia="黑体"/>
          <w:b w:val="0"/>
        </w:rPr>
      </w:pPr>
      <w:bookmarkStart w:id="13" w:name="_Toc176448933"/>
      <w:r>
        <w:rPr>
          <w:rFonts w:hint="eastAsia" w:ascii="黑体" w:eastAsia="黑体"/>
          <w:sz w:val="32"/>
          <w:szCs w:val="32"/>
        </w:rPr>
        <w:t>七、</w:t>
      </w:r>
      <w:r>
        <w:rPr>
          <w:rStyle w:val="18"/>
          <w:rFonts w:hint="eastAsia" w:ascii="黑体" w:hAnsi="黑体" w:eastAsia="黑体"/>
          <w:b w:val="0"/>
        </w:rPr>
        <w:t>财政拨款</w:t>
      </w:r>
      <w:r>
        <w:rPr>
          <w:rStyle w:val="18"/>
          <w:rFonts w:hint="eastAsia" w:ascii="黑体" w:hAnsi="黑体" w:eastAsia="黑体"/>
        </w:rPr>
        <w:t>“</w:t>
      </w:r>
      <w:r>
        <w:rPr>
          <w:rStyle w:val="18"/>
          <w:rFonts w:hint="eastAsia" w:ascii="黑体" w:hAnsi="黑体" w:eastAsia="黑体"/>
          <w:b w:val="0"/>
        </w:rPr>
        <w:t>三公”经费支出决算情况说明</w:t>
      </w:r>
      <w:bookmarkEnd w:id="13"/>
    </w:p>
    <w:p w14:paraId="67F95D66">
      <w:pPr>
        <w:spacing w:line="600" w:lineRule="exact"/>
        <w:ind w:firstLine="640"/>
        <w:outlineLvl w:val="2"/>
        <w:rPr>
          <w:rFonts w:hint="eastAsia" w:ascii="仿宋" w:hAnsi="仿宋" w:eastAsia="仿宋"/>
          <w:b/>
          <w:sz w:val="32"/>
          <w:szCs w:val="32"/>
        </w:rPr>
      </w:pPr>
      <w:bookmarkStart w:id="14" w:name="_Toc176448934"/>
      <w:r>
        <w:rPr>
          <w:rFonts w:hint="eastAsia" w:ascii="仿宋" w:hAnsi="仿宋" w:eastAsia="仿宋"/>
          <w:b/>
          <w:sz w:val="32"/>
          <w:szCs w:val="32"/>
        </w:rPr>
        <w:t>（一）“三公”经费财政拨款支出决算总体情况说明</w:t>
      </w:r>
      <w:bookmarkEnd w:id="14"/>
    </w:p>
    <w:p w14:paraId="64811241">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sz w:val="32"/>
          <w:szCs w:val="32"/>
        </w:rPr>
        <w:t>18.32</w:t>
      </w:r>
      <w:r>
        <w:rPr>
          <w:rFonts w:hint="eastAsia" w:ascii="仿宋" w:hAnsi="仿宋" w:eastAsia="仿宋"/>
          <w:sz w:val="32"/>
          <w:szCs w:val="32"/>
        </w:rPr>
        <w:t>万元，完成预算</w:t>
      </w:r>
      <w:r>
        <w:rPr>
          <w:rFonts w:ascii="仿宋" w:hAnsi="仿宋" w:eastAsia="仿宋"/>
          <w:sz w:val="32"/>
          <w:szCs w:val="32"/>
        </w:rPr>
        <w:t>83.</w:t>
      </w:r>
      <w:r>
        <w:rPr>
          <w:rFonts w:hint="eastAsia" w:ascii="仿宋" w:hAnsi="仿宋" w:eastAsia="仿宋"/>
          <w:sz w:val="32"/>
          <w:szCs w:val="32"/>
          <w:lang w:val="en-US" w:eastAsia="zh-CN"/>
        </w:rPr>
        <w:t>3</w:t>
      </w:r>
      <w:r>
        <w:rPr>
          <w:rFonts w:ascii="仿宋" w:hAnsi="仿宋" w:eastAsia="仿宋"/>
          <w:sz w:val="32"/>
          <w:szCs w:val="32"/>
        </w:rPr>
        <w:t>%</w:t>
      </w:r>
      <w:r>
        <w:rPr>
          <w:rFonts w:hint="eastAsia" w:ascii="仿宋" w:hAnsi="仿宋" w:eastAsia="仿宋"/>
          <w:sz w:val="32"/>
          <w:szCs w:val="32"/>
        </w:rPr>
        <w:t>，较上年度减少</w:t>
      </w:r>
      <w:r>
        <w:rPr>
          <w:rFonts w:ascii="仿宋" w:hAnsi="仿宋" w:eastAsia="仿宋"/>
          <w:sz w:val="32"/>
          <w:szCs w:val="32"/>
        </w:rPr>
        <w:t>1.68</w:t>
      </w:r>
      <w:r>
        <w:rPr>
          <w:rFonts w:hint="eastAsia" w:ascii="仿宋" w:hAnsi="仿宋" w:eastAsia="仿宋"/>
          <w:sz w:val="32"/>
          <w:szCs w:val="32"/>
        </w:rPr>
        <w:t>万元，下降</w:t>
      </w:r>
      <w:r>
        <w:rPr>
          <w:rFonts w:ascii="仿宋" w:hAnsi="仿宋" w:eastAsia="仿宋"/>
          <w:sz w:val="32"/>
          <w:szCs w:val="32"/>
        </w:rPr>
        <w:t>8.4</w:t>
      </w:r>
      <w:r>
        <w:rPr>
          <w:rFonts w:hint="eastAsia" w:ascii="仿宋" w:hAnsi="仿宋" w:eastAsia="仿宋"/>
          <w:sz w:val="32"/>
          <w:szCs w:val="32"/>
        </w:rPr>
        <w:t>%。决算数小于预算数的主要原因是本年度厉行节约，缩减三公经费支出。</w:t>
      </w:r>
    </w:p>
    <w:p w14:paraId="72E49CB1">
      <w:pPr>
        <w:spacing w:line="600" w:lineRule="exact"/>
        <w:ind w:firstLine="640"/>
        <w:outlineLvl w:val="2"/>
        <w:rPr>
          <w:rFonts w:hint="eastAsia" w:ascii="仿宋" w:hAnsi="仿宋" w:eastAsia="仿宋"/>
          <w:b/>
          <w:sz w:val="32"/>
          <w:szCs w:val="32"/>
        </w:rPr>
      </w:pPr>
      <w:bookmarkStart w:id="15" w:name="_Toc176448935"/>
      <w:r>
        <w:rPr>
          <w:rFonts w:hint="eastAsia" w:ascii="仿宋" w:hAnsi="仿宋" w:eastAsia="仿宋"/>
          <w:b/>
          <w:sz w:val="32"/>
          <w:szCs w:val="32"/>
        </w:rPr>
        <w:t>（二）“三公”经费财政拨款支出决算具体情况说明</w:t>
      </w:r>
      <w:bookmarkEnd w:id="15"/>
    </w:p>
    <w:p w14:paraId="475C26E4">
      <w:pPr>
        <w:spacing w:line="600" w:lineRule="exact"/>
        <w:ind w:firstLine="640"/>
        <w:rPr>
          <w:rFonts w:hint="eastAsia" w:ascii="仿宋" w:hAnsi="仿宋" w:eastAsia="仿宋"/>
          <w:sz w:val="32"/>
          <w:szCs w:val="32"/>
        </w:rPr>
      </w:pPr>
      <w:r>
        <w:rPr>
          <w:rFonts w:hint="eastAsia" w:ascii="仿宋" w:hAnsi="仿宋" w:eastAsia="仿宋"/>
          <w:sz w:val="32"/>
          <w:szCs w:val="32"/>
          <w:lang w:val="zh-CN"/>
        </w:rPr>
        <w:drawing>
          <wp:anchor distT="0" distB="0" distL="114300" distR="114300" simplePos="0" relativeHeight="251665408" behindDoc="0" locked="0" layoutInCell="1" allowOverlap="1">
            <wp:simplePos x="0" y="0"/>
            <wp:positionH relativeFrom="column">
              <wp:posOffset>0</wp:posOffset>
            </wp:positionH>
            <wp:positionV relativeFrom="paragraph">
              <wp:posOffset>1689735</wp:posOffset>
            </wp:positionV>
            <wp:extent cx="5274310" cy="3076575"/>
            <wp:effectExtent l="0" t="0" r="2540" b="9525"/>
            <wp:wrapThrough wrapText="bothSides">
              <wp:wrapPolygon>
                <wp:start x="0" y="0"/>
                <wp:lineTo x="0" y="21533"/>
                <wp:lineTo x="21532" y="21533"/>
                <wp:lineTo x="21532" y="0"/>
                <wp:lineTo x="0" y="0"/>
              </wp:wrapPolygon>
            </wp:wrapThrough>
            <wp:docPr id="141697328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 w:hAnsi="仿宋" w:eastAsia="仿宋"/>
          <w:sz w:val="32"/>
          <w:szCs w:val="32"/>
        </w:rPr>
        <w:t>2023年度“三公”经费财政拨款支出决算中，因公出国（境）费支出决算0万元，占0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sz w:val="32"/>
          <w:szCs w:val="32"/>
        </w:rPr>
        <w:t>18.32</w:t>
      </w:r>
      <w:r>
        <w:rPr>
          <w:rFonts w:hint="eastAsia" w:ascii="仿宋" w:hAnsi="仿宋" w:eastAsia="仿宋"/>
          <w:sz w:val="32"/>
          <w:szCs w:val="32"/>
        </w:rPr>
        <w:t>万元，占100%；公务接待费支出决算0万元，占0</w:t>
      </w:r>
      <w:r>
        <w:rPr>
          <w:rFonts w:ascii="仿宋" w:hAnsi="仿宋" w:eastAsia="仿宋"/>
          <w:sz w:val="32"/>
          <w:szCs w:val="32"/>
        </w:rPr>
        <w:t>%</w:t>
      </w:r>
      <w:r>
        <w:rPr>
          <w:rFonts w:hint="eastAsia" w:ascii="仿宋" w:hAnsi="仿宋" w:eastAsia="仿宋"/>
          <w:sz w:val="32"/>
          <w:szCs w:val="32"/>
        </w:rPr>
        <w:t>。具体情况如下：</w:t>
      </w:r>
    </w:p>
    <w:p w14:paraId="354CC495">
      <w:pPr>
        <w:spacing w:line="600" w:lineRule="exact"/>
        <w:jc w:val="center"/>
        <w:rPr>
          <w:rFonts w:hint="eastAsia" w:ascii="仿宋" w:hAnsi="仿宋" w:eastAsia="仿宋"/>
          <w:sz w:val="32"/>
          <w:szCs w:val="32"/>
        </w:rPr>
      </w:pPr>
      <w:r>
        <w:rPr>
          <w:rFonts w:hint="eastAsia" w:ascii="仿宋" w:hAnsi="仿宋" w:eastAsia="仿宋"/>
          <w:sz w:val="32"/>
          <w:szCs w:val="32"/>
        </w:rPr>
        <w:t>（图7：“三公”经费财政拨款支出结构）</w:t>
      </w:r>
    </w:p>
    <w:p w14:paraId="2F9F5845">
      <w:pPr>
        <w:pStyle w:val="2"/>
        <w:snapToGrid/>
        <w:spacing w:line="600" w:lineRule="exact"/>
      </w:pPr>
    </w:p>
    <w:p w14:paraId="6F8D70B0">
      <w:pPr>
        <w:spacing w:line="600" w:lineRule="exact"/>
        <w:ind w:firstLine="640"/>
        <w:rPr>
          <w:rFonts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0万元，</w:t>
      </w:r>
      <w:r>
        <w:rPr>
          <w:rStyle w:val="15"/>
          <w:rFonts w:hint="eastAsia" w:ascii="仿宋" w:hAnsi="仿宋" w:eastAsia="仿宋"/>
          <w:b w:val="0"/>
          <w:bCs/>
          <w:sz w:val="32"/>
          <w:szCs w:val="32"/>
        </w:rPr>
        <w:t>完成预算0</w:t>
      </w:r>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全年安排因公出国（境）团组0次，出国（境）0人。因公出国（境）支出决算与2022年度持平。</w:t>
      </w:r>
    </w:p>
    <w:p w14:paraId="20290AD2">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_GB2312" w:eastAsia="仿宋_GB2312"/>
          <w:sz w:val="32"/>
          <w:szCs w:val="32"/>
        </w:rPr>
        <w:t>18.32</w:t>
      </w:r>
      <w:r>
        <w:rPr>
          <w:rFonts w:hint="eastAsia" w:ascii="仿宋_GB2312" w:eastAsia="仿宋_GB2312"/>
          <w:sz w:val="32"/>
          <w:szCs w:val="32"/>
        </w:rPr>
        <w:t>万元,</w:t>
      </w:r>
      <w:r>
        <w:rPr>
          <w:rStyle w:val="15"/>
          <w:rFonts w:hint="eastAsia" w:ascii="仿宋" w:hAnsi="仿宋" w:eastAsia="仿宋"/>
          <w:b w:val="0"/>
          <w:bCs/>
          <w:sz w:val="32"/>
          <w:szCs w:val="32"/>
        </w:rPr>
        <w:t>完成预算</w:t>
      </w:r>
      <w:r>
        <w:rPr>
          <w:rStyle w:val="15"/>
          <w:rFonts w:ascii="仿宋" w:hAnsi="仿宋" w:eastAsia="仿宋"/>
          <w:b w:val="0"/>
          <w:bCs/>
          <w:sz w:val="32"/>
          <w:szCs w:val="32"/>
        </w:rPr>
        <w:t>96.4%</w:t>
      </w:r>
      <w:r>
        <w:rPr>
          <w:rStyle w:val="15"/>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公务用车购置及运行维护费支出决算比2022年度减少</w:t>
      </w:r>
      <w:r>
        <w:rPr>
          <w:rFonts w:ascii="仿宋_GB2312" w:eastAsia="仿宋_GB2312"/>
          <w:sz w:val="32"/>
          <w:szCs w:val="32"/>
        </w:rPr>
        <w:t>1.68</w:t>
      </w:r>
      <w:r>
        <w:rPr>
          <w:rFonts w:hint="eastAsia" w:ascii="仿宋_GB2312" w:eastAsia="仿宋_GB2312"/>
          <w:sz w:val="32"/>
          <w:szCs w:val="32"/>
        </w:rPr>
        <w:t>万元，下降</w:t>
      </w:r>
      <w:r>
        <w:rPr>
          <w:rFonts w:ascii="仿宋_GB2312" w:eastAsia="仿宋_GB2312"/>
          <w:sz w:val="32"/>
          <w:szCs w:val="32"/>
        </w:rPr>
        <w:t>8.4</w:t>
      </w:r>
      <w:bookmarkStart w:id="39" w:name="_GoBack"/>
      <w:bookmarkEnd w:id="39"/>
      <w:r>
        <w:rPr>
          <w:rFonts w:ascii="仿宋_GB2312" w:eastAsia="仿宋_GB2312"/>
          <w:sz w:val="32"/>
          <w:szCs w:val="32"/>
        </w:rPr>
        <w:t>%</w:t>
      </w:r>
      <w:r>
        <w:rPr>
          <w:rFonts w:hint="eastAsia" w:ascii="仿宋_GB2312" w:eastAsia="仿宋_GB2312"/>
          <w:sz w:val="32"/>
          <w:szCs w:val="32"/>
        </w:rPr>
        <w:t>。主要原因是本年度厉行节约，缩减三公经费支出。</w:t>
      </w:r>
    </w:p>
    <w:p w14:paraId="6190EFEE">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rPr>
        <w:t>0万元。全年按规定更新购置公务用车0辆，其中：轿车0辆、金额0万元，越野车0辆、金额0万元，载客汽车0辆、金额0万元。截至2023年</w:t>
      </w:r>
      <w:r>
        <w:rPr>
          <w:rFonts w:ascii="仿宋_GB2312" w:eastAsia="仿宋_GB2312"/>
          <w:sz w:val="32"/>
          <w:szCs w:val="32"/>
        </w:rPr>
        <w:t>12</w:t>
      </w:r>
      <w:r>
        <w:rPr>
          <w:rFonts w:hint="eastAsia" w:ascii="仿宋_GB2312" w:eastAsia="仿宋_GB2312"/>
          <w:sz w:val="32"/>
          <w:szCs w:val="32"/>
        </w:rPr>
        <w:t>月31日，单位共有公务用车6辆，其中：轿车2辆、其他车型4辆。</w:t>
      </w:r>
    </w:p>
    <w:p w14:paraId="10516EE8">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_GB2312" w:eastAsia="仿宋_GB2312"/>
          <w:sz w:val="32"/>
          <w:szCs w:val="32"/>
        </w:rPr>
        <w:t>18.32</w:t>
      </w:r>
      <w:r>
        <w:rPr>
          <w:rFonts w:hint="eastAsia" w:ascii="仿宋_GB2312" w:eastAsia="仿宋_GB2312"/>
          <w:sz w:val="32"/>
          <w:szCs w:val="32"/>
        </w:rPr>
        <w:t>万元。主要用于公路养护等所需的公务用车燃料费、维修费、过路过桥费、保险费等支出。</w:t>
      </w:r>
    </w:p>
    <w:p w14:paraId="1F186DE9">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rPr>
        <w:t>0万元，</w:t>
      </w:r>
      <w:r>
        <w:rPr>
          <w:rStyle w:val="15"/>
          <w:rFonts w:hint="eastAsia" w:ascii="仿宋" w:hAnsi="仿宋" w:eastAsia="仿宋"/>
          <w:b w:val="0"/>
          <w:bCs/>
          <w:sz w:val="32"/>
          <w:szCs w:val="32"/>
        </w:rPr>
        <w:t>完成预算0</w:t>
      </w:r>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公务接待费支出决算与2022年度持平。其中：</w:t>
      </w:r>
    </w:p>
    <w:p w14:paraId="073D3CE5">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rPr>
        <w:t>0</w:t>
      </w:r>
      <w:r>
        <w:rPr>
          <w:rFonts w:hint="eastAsia" w:ascii="仿宋_GB2312" w:eastAsia="仿宋_GB2312"/>
          <w:sz w:val="32"/>
          <w:szCs w:val="32"/>
        </w:rPr>
        <w:t>万元。国内公务接待0批次，0人次（不包括陪同人员），共计支出0万元。</w:t>
      </w:r>
    </w:p>
    <w:p w14:paraId="5355C7FA">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rPr>
        <w:t>0</w:t>
      </w:r>
      <w:r>
        <w:rPr>
          <w:rFonts w:hint="eastAsia" w:ascii="仿宋_GB2312" w:eastAsia="仿宋_GB2312"/>
          <w:sz w:val="32"/>
          <w:szCs w:val="32"/>
        </w:rPr>
        <w:t>万元。外事接待0批次，0人次（不包括陪同人员），共计支出0万元。</w:t>
      </w:r>
    </w:p>
    <w:p w14:paraId="1CE590CC">
      <w:pPr>
        <w:spacing w:line="600" w:lineRule="exact"/>
        <w:ind w:firstLine="641"/>
        <w:rPr>
          <w:rFonts w:ascii="黑体" w:eastAsia="黑体"/>
          <w:sz w:val="32"/>
          <w:szCs w:val="32"/>
        </w:rPr>
      </w:pPr>
    </w:p>
    <w:p w14:paraId="5B2D4D3A">
      <w:pPr>
        <w:spacing w:line="600" w:lineRule="exact"/>
        <w:ind w:firstLine="641"/>
        <w:rPr>
          <w:rFonts w:ascii="黑体" w:eastAsia="黑体"/>
          <w:sz w:val="32"/>
          <w:szCs w:val="32"/>
        </w:rPr>
      </w:pPr>
      <w:bookmarkStart w:id="16" w:name="_Toc176448936"/>
    </w:p>
    <w:p w14:paraId="2DF0A6D2">
      <w:pPr>
        <w:spacing w:line="600" w:lineRule="exact"/>
        <w:ind w:firstLine="640"/>
        <w:outlineLvl w:val="1"/>
        <w:rPr>
          <w:rStyle w:val="18"/>
          <w:rFonts w:hint="eastAsia" w:ascii="黑体" w:hAnsi="黑体" w:eastAsia="黑体"/>
        </w:rPr>
      </w:pPr>
      <w:r>
        <w:rPr>
          <w:rFonts w:hint="eastAsia" w:ascii="黑体" w:eastAsia="黑体"/>
          <w:sz w:val="32"/>
          <w:szCs w:val="32"/>
        </w:rPr>
        <w:t>八、</w:t>
      </w:r>
      <w:r>
        <w:rPr>
          <w:rStyle w:val="18"/>
          <w:rFonts w:hint="eastAsia" w:ascii="黑体" w:hAnsi="黑体" w:eastAsia="黑体"/>
          <w:b w:val="0"/>
        </w:rPr>
        <w:t>政府性基金预算支出决算情况说明</w:t>
      </w:r>
      <w:bookmarkEnd w:id="16"/>
    </w:p>
    <w:p w14:paraId="043C8F6C">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2023年度政府性基金预算财政拨款支出0万元。</w:t>
      </w:r>
    </w:p>
    <w:p w14:paraId="2256E080">
      <w:pPr>
        <w:spacing w:line="600" w:lineRule="exact"/>
        <w:ind w:firstLine="640"/>
        <w:rPr>
          <w:rFonts w:ascii="仿宋_GB2312" w:eastAsia="仿宋_GB2312"/>
          <w:sz w:val="32"/>
          <w:szCs w:val="32"/>
        </w:rPr>
      </w:pPr>
    </w:p>
    <w:p w14:paraId="6A4DB368">
      <w:pPr>
        <w:pStyle w:val="2"/>
      </w:pPr>
    </w:p>
    <w:p w14:paraId="79EF662A">
      <w:pPr>
        <w:spacing w:line="600" w:lineRule="exact"/>
        <w:ind w:firstLine="640" w:firstLineChars="200"/>
        <w:outlineLvl w:val="1"/>
        <w:rPr>
          <w:rStyle w:val="18"/>
          <w:rFonts w:hint="eastAsia" w:ascii="黑体" w:hAnsi="黑体" w:eastAsia="黑体"/>
          <w:b w:val="0"/>
        </w:rPr>
      </w:pPr>
      <w:bookmarkStart w:id="17" w:name="_Toc176448937"/>
      <w:r>
        <w:rPr>
          <w:rStyle w:val="18"/>
          <w:rFonts w:hint="eastAsia" w:ascii="黑体" w:hAnsi="黑体" w:eastAsia="黑体"/>
          <w:b w:val="0"/>
        </w:rPr>
        <w:t>九、国有资本经营预算支出决算情况说明</w:t>
      </w:r>
      <w:bookmarkEnd w:id="17"/>
    </w:p>
    <w:p w14:paraId="702F4706">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2023年度国有资本经营预算财政拨款支出0万元。</w:t>
      </w:r>
    </w:p>
    <w:p w14:paraId="60C4B56D">
      <w:pPr>
        <w:spacing w:line="580" w:lineRule="exact"/>
        <w:ind w:firstLine="880" w:firstLineChars="200"/>
        <w:jc w:val="center"/>
        <w:rPr>
          <w:rFonts w:hint="eastAsia" w:ascii="方正小标宋简体" w:hAnsi="方正小标宋简体" w:eastAsia="方正小标宋简体" w:cs="方正小标宋简体"/>
          <w:sz w:val="44"/>
          <w:szCs w:val="44"/>
        </w:rPr>
      </w:pPr>
    </w:p>
    <w:p w14:paraId="7571075D">
      <w:pPr>
        <w:spacing w:line="600" w:lineRule="exact"/>
        <w:ind w:firstLine="640" w:firstLineChars="200"/>
        <w:outlineLvl w:val="1"/>
        <w:rPr>
          <w:rStyle w:val="18"/>
          <w:rFonts w:hint="eastAsia" w:ascii="黑体" w:hAnsi="黑体" w:eastAsia="黑体"/>
          <w:b w:val="0"/>
        </w:rPr>
      </w:pPr>
      <w:bookmarkStart w:id="18" w:name="_Toc176448938"/>
      <w:r>
        <w:rPr>
          <w:rStyle w:val="18"/>
          <w:rFonts w:hint="eastAsia" w:ascii="黑体" w:hAnsi="黑体" w:eastAsia="黑体"/>
          <w:b w:val="0"/>
        </w:rPr>
        <w:t>十、其他重要事项的情况说明</w:t>
      </w:r>
      <w:bookmarkEnd w:id="18"/>
    </w:p>
    <w:p w14:paraId="0C3462CA">
      <w:pPr>
        <w:spacing w:line="600" w:lineRule="exact"/>
        <w:ind w:firstLine="643" w:firstLineChars="200"/>
        <w:outlineLvl w:val="2"/>
        <w:rPr>
          <w:rFonts w:hint="eastAsia" w:ascii="仿宋" w:hAnsi="仿宋" w:eastAsia="仿宋"/>
          <w:sz w:val="32"/>
          <w:szCs w:val="32"/>
        </w:rPr>
      </w:pPr>
      <w:bookmarkStart w:id="19" w:name="_Toc176448939"/>
      <w:r>
        <w:rPr>
          <w:rFonts w:hint="eastAsia" w:ascii="仿宋" w:hAnsi="仿宋" w:eastAsia="仿宋"/>
          <w:b/>
          <w:sz w:val="32"/>
          <w:szCs w:val="32"/>
        </w:rPr>
        <w:t>（一）机关运行经费支出情况</w:t>
      </w:r>
      <w:bookmarkEnd w:id="19"/>
    </w:p>
    <w:p w14:paraId="50BE975B">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2023年度，阿坝藏族羌族自治州公路管理局阿坝公路管理分局机关运行经费支出0万元，与2022年度决算数持平。</w:t>
      </w:r>
    </w:p>
    <w:p w14:paraId="2487190D">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20" w:name="_Toc176448940"/>
      <w:r>
        <w:rPr>
          <w:rFonts w:hint="eastAsia" w:ascii="仿宋" w:hAnsi="仿宋" w:eastAsia="仿宋"/>
          <w:b/>
          <w:sz w:val="32"/>
          <w:szCs w:val="32"/>
        </w:rPr>
        <w:t>（二）政府采购支出情况</w:t>
      </w:r>
      <w:bookmarkEnd w:id="20"/>
    </w:p>
    <w:p w14:paraId="6DD8C60F">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阿坝藏族羌族自治州公路管理局阿坝公路管理分局政府采购支出总额0万元，其中：政府采购货物支出0万元、政府采购工程支出0万元、政府采购服务支出0万元。授予中小企业合同金额0万元，占政府采购支出总额的0</w:t>
      </w:r>
      <w:r>
        <w:rPr>
          <w:rFonts w:ascii="仿宋_GB2312" w:eastAsia="仿宋_GB2312"/>
          <w:sz w:val="32"/>
          <w:szCs w:val="32"/>
        </w:rPr>
        <w:t>%</w:t>
      </w:r>
      <w:r>
        <w:rPr>
          <w:rFonts w:hint="eastAsia" w:ascii="仿宋_GB2312" w:eastAsia="仿宋_GB2312"/>
          <w:sz w:val="32"/>
          <w:szCs w:val="32"/>
        </w:rPr>
        <w:t>，其中：授予小微企业合同金额0万元，占政府采购支出总额的0</w:t>
      </w:r>
      <w:r>
        <w:rPr>
          <w:rFonts w:ascii="仿宋_GB2312" w:eastAsia="仿宋_GB2312"/>
          <w:sz w:val="32"/>
          <w:szCs w:val="32"/>
        </w:rPr>
        <w:t>%</w:t>
      </w:r>
      <w:r>
        <w:rPr>
          <w:rFonts w:hint="eastAsia" w:ascii="仿宋_GB2312" w:eastAsia="仿宋_GB2312"/>
          <w:sz w:val="32"/>
          <w:szCs w:val="32"/>
        </w:rPr>
        <w:t>。</w:t>
      </w:r>
    </w:p>
    <w:p w14:paraId="37232924">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21" w:name="_Toc176448941"/>
      <w:r>
        <w:rPr>
          <w:rFonts w:hint="eastAsia" w:ascii="仿宋" w:hAnsi="仿宋" w:eastAsia="仿宋"/>
          <w:b/>
          <w:sz w:val="32"/>
          <w:szCs w:val="32"/>
        </w:rPr>
        <w:t>（三）国有资产占有使用情况</w:t>
      </w:r>
      <w:bookmarkEnd w:id="21"/>
    </w:p>
    <w:p w14:paraId="5AEE08DE">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日，阿坝藏族羌族自治州公路管理局阿坝公路管理分局共有车辆6辆，其中：主要领导干部用车0辆、机要通信用车0辆、应急保障用车5辆、其他用车1辆，其他用车主要是用于公路养护。单价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万元以上专用设备（不含车辆）0台（套）。</w:t>
      </w:r>
    </w:p>
    <w:p w14:paraId="6D5CECDB">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22" w:name="_Toc176448942"/>
      <w:r>
        <w:rPr>
          <w:rFonts w:hint="eastAsia" w:ascii="仿宋" w:hAnsi="仿宋" w:eastAsia="仿宋"/>
          <w:b/>
          <w:sz w:val="32"/>
          <w:szCs w:val="32"/>
        </w:rPr>
        <w:t>（四）预算绩效管理情况</w:t>
      </w:r>
      <w:bookmarkEnd w:id="22"/>
    </w:p>
    <w:p w14:paraId="20F76DFE">
      <w:pPr>
        <w:spacing w:line="600" w:lineRule="exact"/>
        <w:ind w:firstLine="640" w:firstLineChars="200"/>
        <w:rPr>
          <w:rFonts w:ascii="仿宋_GB2312" w:eastAsia="仿宋_GB2312"/>
          <w:sz w:val="32"/>
          <w:szCs w:val="32"/>
        </w:rPr>
      </w:pPr>
      <w:r>
        <w:rPr>
          <w:rFonts w:hint="eastAsia" w:ascii="仿宋_GB2312" w:eastAsia="仿宋_GB2312"/>
          <w:sz w:val="32"/>
          <w:szCs w:val="32"/>
        </w:rPr>
        <w:t>2023年本单位完成整体绩效自评，并撰写自评报告，自评得分86.64分。不涉及项目绩效自评，故无项目绩效自评表。</w:t>
      </w:r>
    </w:p>
    <w:p w14:paraId="4F437A6C">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14:paraId="6ABC5035">
      <w:pPr>
        <w:spacing w:line="600" w:lineRule="exact"/>
        <w:jc w:val="center"/>
        <w:outlineLvl w:val="0"/>
        <w:rPr>
          <w:rStyle w:val="17"/>
          <w:rFonts w:hint="eastAsia" w:ascii="黑体" w:hAnsi="黑体" w:eastAsia="黑体"/>
          <w:b w:val="0"/>
        </w:rPr>
      </w:pPr>
      <w:bookmarkStart w:id="23" w:name="_Toc176448943"/>
      <w:r>
        <w:rPr>
          <w:rFonts w:hint="eastAsia" w:ascii="黑体" w:hAnsi="黑体" w:eastAsia="黑体"/>
          <w:sz w:val="44"/>
          <w:szCs w:val="44"/>
        </w:rPr>
        <w:t>第三部分  名</w:t>
      </w:r>
      <w:r>
        <w:rPr>
          <w:rStyle w:val="17"/>
          <w:rFonts w:hint="eastAsia" w:ascii="黑体" w:hAnsi="黑体" w:eastAsia="黑体"/>
          <w:b w:val="0"/>
        </w:rPr>
        <w:t>词解释</w:t>
      </w:r>
      <w:bookmarkEnd w:id="23"/>
    </w:p>
    <w:p w14:paraId="555DEC53">
      <w:pPr>
        <w:spacing w:line="600" w:lineRule="exact"/>
        <w:jc w:val="left"/>
        <w:rPr>
          <w:rFonts w:ascii="宋体"/>
          <w:b/>
          <w:sz w:val="44"/>
          <w:szCs w:val="44"/>
        </w:rPr>
      </w:pPr>
    </w:p>
    <w:p w14:paraId="510634AC">
      <w:pPr>
        <w:pStyle w:val="20"/>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1.财政拨款收入：指单位从同级财政单位取得的财政预算资金。</w:t>
      </w:r>
    </w:p>
    <w:p w14:paraId="761F87FF">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32B1267E">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511E7621">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14:paraId="18A6BF56">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p>
    <w:p w14:paraId="5006F692">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p>
    <w:p w14:paraId="362E1EF3">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226616F0">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418AB3AE">
      <w:pPr>
        <w:spacing w:line="600" w:lineRule="exact"/>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社会保障和就业支出（类）行政事业单位养老支出（款）机关事业单位基本养老保险缴费支出（项）：指反映机关事业单位实施养老保险制度由单位缴纳的基本养老保险费支出。</w:t>
      </w:r>
    </w:p>
    <w:p w14:paraId="011BE06C">
      <w:pPr>
        <w:spacing w:line="600" w:lineRule="exact"/>
        <w:ind w:firstLine="640" w:firstLineChars="200"/>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10.社会保障和就业支出（类）行政事业单位养老支出（款）机关事业单位职业年金缴费支出（项）：指反映机关事业单位实施养老保险制度由单位实际缴纳的职业年金支出。</w:t>
      </w:r>
    </w:p>
    <w:p w14:paraId="257D4A48">
      <w:pPr>
        <w:spacing w:line="600" w:lineRule="exact"/>
        <w:ind w:firstLine="640" w:firstLineChars="200"/>
        <w:rPr>
          <w:rFonts w:ascii="仿宋_GB2312" w:eastAsia="仿宋_GB2312"/>
          <w:sz w:val="32"/>
          <w:szCs w:val="32"/>
        </w:rPr>
      </w:pPr>
      <w:r>
        <w:rPr>
          <w:rFonts w:hint="eastAsia" w:ascii="仿宋_GB2312" w:eastAsia="仿宋_GB2312"/>
          <w:sz w:val="32"/>
          <w:szCs w:val="32"/>
        </w:rPr>
        <w:t>11.卫生健康支出（类）行政事业单位医疗（款）事业单位医疗（项）：指反映财政部门安排的事业单位基本医疗保险缴费经费，未参加医疗保险的事业单位的公费医疗经费，按国家规定享受离休人员待遇的医疗经费。</w:t>
      </w:r>
    </w:p>
    <w:p w14:paraId="529764BA">
      <w:pPr>
        <w:spacing w:line="600" w:lineRule="exact"/>
        <w:ind w:firstLine="640" w:firstLineChars="200"/>
        <w:rPr>
          <w:rFonts w:ascii="仿宋_GB2312" w:eastAsia="仿宋_GB2312"/>
          <w:sz w:val="32"/>
          <w:szCs w:val="32"/>
        </w:rPr>
      </w:pPr>
      <w:r>
        <w:rPr>
          <w:rFonts w:hint="eastAsia" w:ascii="仿宋_GB2312" w:eastAsia="仿宋_GB2312"/>
          <w:sz w:val="32"/>
          <w:szCs w:val="32"/>
        </w:rPr>
        <w:t>12.卫生健康支出（类）行政事业单位医疗（款）其他行政事业单位医疗支出（项）：指反映除上述项目以外的其他用于行政事业单位医疗方面的支出。</w:t>
      </w:r>
    </w:p>
    <w:p w14:paraId="15001E3C">
      <w:pPr>
        <w:spacing w:line="600" w:lineRule="exact"/>
        <w:ind w:firstLine="640" w:firstLineChars="200"/>
        <w:rPr>
          <w:rFonts w:ascii="仿宋_GB2312" w:eastAsia="仿宋_GB2312"/>
          <w:sz w:val="32"/>
          <w:szCs w:val="32"/>
        </w:rPr>
      </w:pPr>
      <w:r>
        <w:rPr>
          <w:rFonts w:hint="eastAsia" w:ascii="仿宋_GB2312" w:eastAsia="仿宋_GB2312"/>
          <w:sz w:val="32"/>
          <w:szCs w:val="32"/>
        </w:rPr>
        <w:t>13.交通运输支出（类）公路水路运输（款）公路养护（项）：指反映公路养护支出。</w:t>
      </w:r>
    </w:p>
    <w:p w14:paraId="409499BF">
      <w:pPr>
        <w:spacing w:line="600" w:lineRule="exact"/>
        <w:ind w:firstLine="640" w:firstLineChars="200"/>
        <w:rPr>
          <w:rFonts w:ascii="仿宋_GB2312" w:eastAsia="仿宋_GB2312"/>
          <w:sz w:val="32"/>
          <w:szCs w:val="32"/>
        </w:rPr>
      </w:pPr>
      <w:r>
        <w:rPr>
          <w:rFonts w:hint="eastAsia" w:ascii="仿宋_GB2312" w:eastAsia="仿宋_GB2312"/>
          <w:sz w:val="32"/>
          <w:szCs w:val="32"/>
        </w:rPr>
        <w:t>14.交通运输支出（类）公路水路运输（款）其他公路水路运输支出（项）：指反映除上述项目以外其他用于公路水路运输方面的支出。</w:t>
      </w:r>
    </w:p>
    <w:p w14:paraId="1FDB05D6">
      <w:pPr>
        <w:spacing w:line="600" w:lineRule="exact"/>
        <w:ind w:firstLine="640" w:firstLineChars="200"/>
        <w:rPr>
          <w:rFonts w:ascii="仿宋_GB2312" w:eastAsia="仿宋_GB2312"/>
          <w:sz w:val="32"/>
          <w:szCs w:val="32"/>
        </w:rPr>
      </w:pPr>
      <w:r>
        <w:rPr>
          <w:rFonts w:hint="eastAsia" w:ascii="仿宋_GB2312" w:eastAsia="仿宋_GB2312"/>
          <w:sz w:val="32"/>
          <w:szCs w:val="32"/>
        </w:rPr>
        <w:t>15.住房保障支出（类）住房改革支出（款）住房公积金（项）：指反映行政事业单位按人力资源和社会保障部、财政部规定的基本工资和津贴补贴以及规定比例为职工缴纳的住房公积金。</w:t>
      </w:r>
    </w:p>
    <w:p w14:paraId="307BA73A">
      <w:pPr>
        <w:spacing w:line="600" w:lineRule="exact"/>
        <w:ind w:firstLine="640" w:firstLineChars="200"/>
        <w:rPr>
          <w:rFonts w:ascii="仿宋_GB2312" w:eastAsia="仿宋_GB2312"/>
          <w:sz w:val="32"/>
          <w:szCs w:val="32"/>
        </w:rPr>
      </w:pPr>
      <w:r>
        <w:rPr>
          <w:rFonts w:hint="eastAsia" w:ascii="仿宋_GB2312" w:eastAsia="仿宋_GB2312"/>
          <w:sz w:val="32"/>
          <w:szCs w:val="32"/>
        </w:rPr>
        <w:t>16.住房保障支出（类）住房改革支出（款）购房补贴（项）：指反映按房改政策规定，行政事业单位向符合条件职工（含离退休人员）、军队（含武警）向转役复员离退休人员发放的用于购买住房的补贴。</w:t>
      </w:r>
    </w:p>
    <w:p w14:paraId="12CB36A9">
      <w:pPr>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7.</w:t>
      </w:r>
      <w:r>
        <w:rPr>
          <w:rFonts w:hint="eastAsia" w:ascii="仿宋_GB2312" w:eastAsia="仿宋_GB2312"/>
          <w:sz w:val="32"/>
          <w:szCs w:val="32"/>
        </w:rPr>
        <w:t>基本支出：指为保障机构正常运转、完成日常工作任务而发生的人员支出和公用支出。</w:t>
      </w:r>
    </w:p>
    <w:p w14:paraId="18FCBC07">
      <w:pPr>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8.</w:t>
      </w:r>
      <w:r>
        <w:rPr>
          <w:rFonts w:hint="eastAsia" w:ascii="仿宋_GB2312" w:eastAsia="仿宋_GB2312"/>
          <w:sz w:val="32"/>
          <w:szCs w:val="32"/>
        </w:rPr>
        <w:t>项目支出：指在基本支出之外为完成特定行政任务和事业发展目标所发生的支出。</w:t>
      </w:r>
    </w:p>
    <w:p w14:paraId="32C608B9">
      <w:pPr>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9.</w:t>
      </w:r>
      <w:r>
        <w:rPr>
          <w:rFonts w:hint="eastAsia" w:ascii="仿宋_GB2312" w:eastAsia="仿宋_GB2312"/>
          <w:sz w:val="32"/>
          <w:szCs w:val="32"/>
        </w:rPr>
        <w:t>经营支出：指事业单位在专业业务活动及其辅助活动之外开展非独立核算经营活动发生的支出。</w:t>
      </w:r>
    </w:p>
    <w:p w14:paraId="7249732D">
      <w:pPr>
        <w:pStyle w:val="20"/>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06D47A9D">
      <w:pPr>
        <w:pStyle w:val="20"/>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CA11685">
      <w:pPr>
        <w:spacing w:line="600" w:lineRule="exact"/>
        <w:jc w:val="center"/>
        <w:outlineLvl w:val="0"/>
        <w:rPr>
          <w:rStyle w:val="17"/>
          <w:rFonts w:hint="eastAsia" w:ascii="黑体" w:hAnsi="黑体" w:eastAsia="黑体"/>
          <w:b w:val="0"/>
        </w:rPr>
      </w:pPr>
      <w:r>
        <w:rPr>
          <w:rFonts w:ascii="宋体"/>
          <w:b/>
          <w:sz w:val="44"/>
          <w:szCs w:val="44"/>
        </w:rPr>
        <w:br w:type="page"/>
      </w:r>
      <w:bookmarkStart w:id="24" w:name="_Toc176448944"/>
      <w:r>
        <w:rPr>
          <w:rFonts w:hint="eastAsia" w:ascii="黑体" w:hAnsi="黑体" w:eastAsia="黑体"/>
          <w:sz w:val="44"/>
          <w:szCs w:val="44"/>
        </w:rPr>
        <w:t>第</w:t>
      </w:r>
      <w:r>
        <w:rPr>
          <w:rStyle w:val="17"/>
          <w:rFonts w:hint="eastAsia" w:ascii="黑体" w:hAnsi="黑体" w:eastAsia="黑体"/>
          <w:b w:val="0"/>
        </w:rPr>
        <w:t>四部分 附件</w:t>
      </w:r>
      <w:bookmarkEnd w:id="24"/>
    </w:p>
    <w:p w14:paraId="6AE9A183">
      <w:pPr>
        <w:spacing w:line="572" w:lineRule="exact"/>
        <w:jc w:val="left"/>
        <w:rPr>
          <w:rFonts w:ascii="仿宋_GB2312" w:hAnsi="仿宋_GB2312" w:eastAsia="仿宋_GB2312" w:cs="仿宋_GB2312"/>
          <w:sz w:val="32"/>
          <w:szCs w:val="32"/>
        </w:rPr>
      </w:pPr>
    </w:p>
    <w:p w14:paraId="5FEEA621">
      <w:pPr>
        <w:pStyle w:val="3"/>
        <w:spacing w:line="560" w:lineRule="exact"/>
        <w:ind w:left="0" w:leftChars="0" w:firstLine="640"/>
        <w:rPr>
          <w:rFonts w:hint="eastAsia" w:ascii="仿宋" w:hAnsi="仿宋" w:eastAsia="仿宋"/>
          <w:sz w:val="32"/>
        </w:rPr>
      </w:pPr>
      <w:r>
        <w:rPr>
          <w:rFonts w:hint="eastAsia" w:ascii="仿宋" w:hAnsi="仿宋" w:eastAsia="仿宋"/>
          <w:sz w:val="32"/>
        </w:rPr>
        <w:t>2023年阿坝藏族羌族自治州公路管理局阿坝公路管理分局无单位预算项目支出绩效自评表。</w:t>
      </w:r>
    </w:p>
    <w:p w14:paraId="55F433CE">
      <w:pPr>
        <w:pStyle w:val="7"/>
        <w:spacing w:before="93"/>
        <w:rPr>
          <w:rFonts w:hAnsi="Calibri" w:cs="仿宋"/>
          <w:sz w:val="32"/>
          <w:szCs w:val="32"/>
        </w:rPr>
      </w:pPr>
    </w:p>
    <w:p w14:paraId="14744B11">
      <w:pPr>
        <w:pStyle w:val="7"/>
        <w:spacing w:before="93"/>
        <w:rPr>
          <w:rFonts w:hAnsi="Calibri" w:cs="仿宋"/>
          <w:sz w:val="32"/>
          <w:szCs w:val="32"/>
        </w:rPr>
      </w:pPr>
    </w:p>
    <w:p w14:paraId="4C708DDD">
      <w:pPr>
        <w:pStyle w:val="7"/>
        <w:spacing w:before="93"/>
        <w:rPr>
          <w:rFonts w:hAnsi="Calibri" w:cs="仿宋"/>
          <w:sz w:val="32"/>
          <w:szCs w:val="32"/>
        </w:rPr>
      </w:pPr>
    </w:p>
    <w:p w14:paraId="14FF2417">
      <w:pPr>
        <w:pStyle w:val="7"/>
        <w:spacing w:before="93"/>
        <w:rPr>
          <w:rFonts w:hAnsi="Calibri" w:cs="仿宋"/>
          <w:sz w:val="32"/>
          <w:szCs w:val="32"/>
        </w:rPr>
      </w:pPr>
    </w:p>
    <w:p w14:paraId="1B1840CD">
      <w:pPr>
        <w:pStyle w:val="7"/>
        <w:spacing w:before="93"/>
        <w:rPr>
          <w:rFonts w:hAnsi="Calibri" w:cs="仿宋"/>
          <w:sz w:val="32"/>
          <w:szCs w:val="32"/>
        </w:rPr>
      </w:pPr>
    </w:p>
    <w:p w14:paraId="0C7AC607">
      <w:pPr>
        <w:pStyle w:val="7"/>
        <w:spacing w:before="93"/>
        <w:rPr>
          <w:rFonts w:hAnsi="Calibri" w:cs="仿宋"/>
          <w:sz w:val="32"/>
          <w:szCs w:val="32"/>
        </w:rPr>
      </w:pPr>
    </w:p>
    <w:p w14:paraId="5D0BADF1">
      <w:pPr>
        <w:pStyle w:val="7"/>
        <w:spacing w:before="93"/>
        <w:rPr>
          <w:rFonts w:hAnsi="Calibri" w:cs="仿宋"/>
          <w:sz w:val="32"/>
          <w:szCs w:val="32"/>
        </w:rPr>
      </w:pPr>
    </w:p>
    <w:p w14:paraId="241CE79F">
      <w:pPr>
        <w:pStyle w:val="7"/>
        <w:spacing w:before="93"/>
        <w:rPr>
          <w:rFonts w:hAnsi="Calibri" w:cs="仿宋"/>
          <w:sz w:val="32"/>
          <w:szCs w:val="32"/>
        </w:rPr>
      </w:pPr>
    </w:p>
    <w:p w14:paraId="03EE75EA">
      <w:pPr>
        <w:pStyle w:val="7"/>
        <w:spacing w:before="93"/>
        <w:rPr>
          <w:rFonts w:hAnsi="Calibri" w:cs="仿宋"/>
          <w:sz w:val="32"/>
          <w:szCs w:val="32"/>
        </w:rPr>
      </w:pPr>
    </w:p>
    <w:p w14:paraId="6E2E397E">
      <w:pPr>
        <w:pStyle w:val="7"/>
        <w:spacing w:before="93"/>
        <w:rPr>
          <w:rFonts w:hAnsi="Calibri" w:cs="仿宋"/>
          <w:sz w:val="32"/>
          <w:szCs w:val="32"/>
        </w:rPr>
      </w:pPr>
    </w:p>
    <w:p w14:paraId="7E608C68">
      <w:pPr>
        <w:pStyle w:val="7"/>
        <w:spacing w:before="93"/>
        <w:rPr>
          <w:rFonts w:hAnsi="Calibri" w:cs="仿宋"/>
          <w:sz w:val="32"/>
          <w:szCs w:val="32"/>
        </w:rPr>
      </w:pPr>
    </w:p>
    <w:p w14:paraId="58F778E0">
      <w:pPr>
        <w:pStyle w:val="7"/>
        <w:spacing w:before="93"/>
        <w:rPr>
          <w:rFonts w:hAnsi="Calibri" w:cs="仿宋"/>
          <w:sz w:val="32"/>
          <w:szCs w:val="32"/>
        </w:rPr>
      </w:pPr>
    </w:p>
    <w:p w14:paraId="28E51666">
      <w:pPr>
        <w:rPr>
          <w:rFonts w:hint="eastAsia" w:ascii="黑体" w:hAnsi="黑体" w:eastAsia="黑体"/>
          <w:sz w:val="44"/>
          <w:szCs w:val="44"/>
        </w:rPr>
      </w:pPr>
      <w:r>
        <w:rPr>
          <w:rFonts w:hint="eastAsia" w:ascii="黑体" w:hAnsi="黑体" w:eastAsia="黑体"/>
          <w:sz w:val="44"/>
          <w:szCs w:val="44"/>
        </w:rPr>
        <w:br w:type="page"/>
      </w:r>
    </w:p>
    <w:p w14:paraId="7799058B">
      <w:pPr>
        <w:spacing w:line="600" w:lineRule="exact"/>
        <w:jc w:val="center"/>
        <w:outlineLvl w:val="0"/>
        <w:rPr>
          <w:rFonts w:hint="eastAsia" w:ascii="仿宋" w:hAnsi="仿宋" w:eastAsia="仿宋"/>
        </w:rPr>
      </w:pPr>
      <w:bookmarkStart w:id="25" w:name="_Toc176448945"/>
      <w:r>
        <w:rPr>
          <w:rFonts w:hint="eastAsia" w:ascii="黑体" w:hAnsi="黑体" w:eastAsia="黑体"/>
          <w:sz w:val="44"/>
          <w:szCs w:val="44"/>
        </w:rPr>
        <w:t>第</w:t>
      </w:r>
      <w:r>
        <w:rPr>
          <w:rStyle w:val="17"/>
          <w:rFonts w:hint="eastAsia" w:ascii="黑体" w:hAnsi="黑体" w:eastAsia="黑体"/>
          <w:b w:val="0"/>
        </w:rPr>
        <w:t>五部分 附表</w:t>
      </w:r>
      <w:bookmarkEnd w:id="25"/>
    </w:p>
    <w:p w14:paraId="44769211">
      <w:pPr>
        <w:pStyle w:val="6"/>
        <w:rPr>
          <w:rFonts w:hint="eastAsia" w:ascii="仿宋" w:hAnsi="仿宋" w:eastAsia="仿宋"/>
        </w:rPr>
      </w:pPr>
      <w:bookmarkStart w:id="26" w:name="_Toc176448946"/>
      <w:r>
        <w:rPr>
          <w:rFonts w:hint="eastAsia" w:ascii="仿宋" w:hAnsi="仿宋" w:eastAsia="仿宋"/>
          <w:b w:val="0"/>
        </w:rPr>
        <w:t>一、收</w:t>
      </w:r>
      <w:r>
        <w:rPr>
          <w:rStyle w:val="18"/>
          <w:rFonts w:hint="eastAsia" w:ascii="仿宋" w:hAnsi="仿宋" w:eastAsia="仿宋"/>
          <w:b w:val="0"/>
          <w:bCs w:val="0"/>
        </w:rPr>
        <w:t>入支出决算总表</w:t>
      </w:r>
      <w:bookmarkEnd w:id="26"/>
    </w:p>
    <w:p w14:paraId="13CE77A9">
      <w:pPr>
        <w:pStyle w:val="6"/>
        <w:rPr>
          <w:rFonts w:hint="eastAsia" w:ascii="仿宋" w:hAnsi="仿宋" w:eastAsia="仿宋"/>
        </w:rPr>
      </w:pPr>
      <w:bookmarkStart w:id="27" w:name="_Toc176448947"/>
      <w:r>
        <w:rPr>
          <w:rFonts w:hint="eastAsia" w:ascii="仿宋" w:hAnsi="仿宋" w:eastAsia="仿宋"/>
          <w:b w:val="0"/>
        </w:rPr>
        <w:t>二、收</w:t>
      </w:r>
      <w:r>
        <w:rPr>
          <w:rStyle w:val="18"/>
          <w:rFonts w:hint="eastAsia" w:ascii="仿宋" w:hAnsi="仿宋" w:eastAsia="仿宋"/>
          <w:b w:val="0"/>
          <w:bCs w:val="0"/>
        </w:rPr>
        <w:t>入决算表</w:t>
      </w:r>
      <w:bookmarkEnd w:id="27"/>
    </w:p>
    <w:p w14:paraId="72D14DEE">
      <w:pPr>
        <w:pStyle w:val="6"/>
        <w:rPr>
          <w:rFonts w:hint="eastAsia" w:ascii="仿宋" w:hAnsi="仿宋" w:eastAsia="仿宋"/>
        </w:rPr>
      </w:pPr>
      <w:bookmarkStart w:id="28" w:name="_Toc176448948"/>
      <w:r>
        <w:rPr>
          <w:rStyle w:val="18"/>
          <w:rFonts w:hint="eastAsia" w:ascii="仿宋" w:hAnsi="仿宋" w:eastAsia="仿宋"/>
          <w:b w:val="0"/>
          <w:bCs w:val="0"/>
        </w:rPr>
        <w:t>三、</w:t>
      </w:r>
      <w:r>
        <w:rPr>
          <w:rFonts w:hint="eastAsia" w:ascii="仿宋" w:hAnsi="仿宋" w:eastAsia="仿宋"/>
          <w:b w:val="0"/>
        </w:rPr>
        <w:t>支</w:t>
      </w:r>
      <w:r>
        <w:rPr>
          <w:rStyle w:val="18"/>
          <w:rFonts w:hint="eastAsia" w:ascii="仿宋" w:hAnsi="仿宋" w:eastAsia="仿宋"/>
          <w:b w:val="0"/>
          <w:bCs w:val="0"/>
        </w:rPr>
        <w:t>出决算表</w:t>
      </w:r>
      <w:bookmarkEnd w:id="28"/>
    </w:p>
    <w:p w14:paraId="62A7A4DC">
      <w:pPr>
        <w:pStyle w:val="6"/>
        <w:rPr>
          <w:rFonts w:hint="eastAsia" w:ascii="仿宋" w:hAnsi="仿宋" w:eastAsia="仿宋"/>
          <w:b w:val="0"/>
        </w:rPr>
      </w:pPr>
      <w:bookmarkStart w:id="29" w:name="_Toc176448949"/>
      <w:r>
        <w:rPr>
          <w:rStyle w:val="18"/>
          <w:rFonts w:hint="eastAsia" w:ascii="仿宋" w:hAnsi="仿宋" w:eastAsia="仿宋"/>
          <w:b w:val="0"/>
          <w:bCs w:val="0"/>
        </w:rPr>
        <w:t>四、</w:t>
      </w:r>
      <w:r>
        <w:rPr>
          <w:rFonts w:hint="eastAsia" w:ascii="仿宋" w:hAnsi="仿宋" w:eastAsia="仿宋"/>
          <w:b w:val="0"/>
        </w:rPr>
        <w:t>财</w:t>
      </w:r>
      <w:r>
        <w:rPr>
          <w:rStyle w:val="18"/>
          <w:rFonts w:hint="eastAsia" w:ascii="仿宋" w:hAnsi="仿宋" w:eastAsia="仿宋"/>
          <w:b w:val="0"/>
          <w:bCs w:val="0"/>
        </w:rPr>
        <w:t>政拨款收入支出决算总表</w:t>
      </w:r>
      <w:bookmarkEnd w:id="29"/>
    </w:p>
    <w:p w14:paraId="546C806F">
      <w:pPr>
        <w:pStyle w:val="6"/>
        <w:rPr>
          <w:rStyle w:val="18"/>
          <w:rFonts w:hint="eastAsia" w:ascii="仿宋" w:hAnsi="仿宋" w:eastAsia="仿宋"/>
          <w:b w:val="0"/>
          <w:bCs w:val="0"/>
        </w:rPr>
      </w:pPr>
      <w:bookmarkStart w:id="30" w:name="_Toc176448950"/>
      <w:r>
        <w:rPr>
          <w:rStyle w:val="18"/>
          <w:rFonts w:hint="eastAsia" w:ascii="仿宋" w:hAnsi="仿宋" w:eastAsia="仿宋"/>
          <w:b w:val="0"/>
          <w:bCs w:val="0"/>
        </w:rPr>
        <w:t>五、</w:t>
      </w:r>
      <w:r>
        <w:rPr>
          <w:rFonts w:hint="eastAsia" w:ascii="仿宋" w:hAnsi="仿宋" w:eastAsia="仿宋"/>
          <w:b w:val="0"/>
        </w:rPr>
        <w:t>财</w:t>
      </w:r>
      <w:r>
        <w:rPr>
          <w:rStyle w:val="18"/>
          <w:rFonts w:hint="eastAsia" w:ascii="仿宋" w:hAnsi="仿宋" w:eastAsia="仿宋"/>
          <w:b w:val="0"/>
          <w:bCs w:val="0"/>
        </w:rPr>
        <w:t>政拨款支出决算明细表</w:t>
      </w:r>
      <w:bookmarkEnd w:id="30"/>
    </w:p>
    <w:p w14:paraId="61880D78">
      <w:pPr>
        <w:pStyle w:val="6"/>
        <w:rPr>
          <w:rFonts w:hint="eastAsia" w:ascii="仿宋" w:hAnsi="仿宋" w:eastAsia="仿宋"/>
        </w:rPr>
      </w:pPr>
      <w:bookmarkStart w:id="31" w:name="_Toc176448951"/>
      <w:r>
        <w:rPr>
          <w:rStyle w:val="18"/>
          <w:rFonts w:hint="eastAsia" w:ascii="仿宋" w:hAnsi="仿宋" w:eastAsia="仿宋"/>
          <w:b w:val="0"/>
          <w:bCs w:val="0"/>
        </w:rPr>
        <w:t>六、</w:t>
      </w:r>
      <w:r>
        <w:rPr>
          <w:rFonts w:hint="eastAsia" w:ascii="仿宋" w:hAnsi="仿宋" w:eastAsia="仿宋"/>
          <w:b w:val="0"/>
        </w:rPr>
        <w:t>一</w:t>
      </w:r>
      <w:r>
        <w:rPr>
          <w:rStyle w:val="18"/>
          <w:rFonts w:hint="eastAsia" w:ascii="仿宋" w:hAnsi="仿宋" w:eastAsia="仿宋"/>
          <w:b w:val="0"/>
          <w:bCs w:val="0"/>
        </w:rPr>
        <w:t>般公共预算财政拨款支出决算表</w:t>
      </w:r>
      <w:bookmarkEnd w:id="31"/>
    </w:p>
    <w:p w14:paraId="3B79AB0E">
      <w:pPr>
        <w:pStyle w:val="6"/>
        <w:rPr>
          <w:rFonts w:hint="eastAsia" w:ascii="仿宋" w:hAnsi="仿宋" w:eastAsia="仿宋"/>
        </w:rPr>
      </w:pPr>
      <w:bookmarkStart w:id="32" w:name="_Toc176448952"/>
      <w:r>
        <w:rPr>
          <w:rStyle w:val="18"/>
          <w:rFonts w:hint="eastAsia" w:ascii="仿宋" w:hAnsi="仿宋" w:eastAsia="仿宋"/>
          <w:b w:val="0"/>
          <w:bCs w:val="0"/>
        </w:rPr>
        <w:t>七、</w:t>
      </w:r>
      <w:r>
        <w:rPr>
          <w:rFonts w:hint="eastAsia" w:ascii="仿宋" w:hAnsi="仿宋" w:eastAsia="仿宋"/>
          <w:b w:val="0"/>
        </w:rPr>
        <w:t>一</w:t>
      </w:r>
      <w:r>
        <w:rPr>
          <w:rStyle w:val="18"/>
          <w:rFonts w:hint="eastAsia" w:ascii="仿宋" w:hAnsi="仿宋" w:eastAsia="仿宋"/>
          <w:b w:val="0"/>
          <w:bCs w:val="0"/>
        </w:rPr>
        <w:t>般公共预算财政拨款支出决算明细表</w:t>
      </w:r>
      <w:bookmarkEnd w:id="32"/>
    </w:p>
    <w:p w14:paraId="45A41898">
      <w:pPr>
        <w:pStyle w:val="6"/>
        <w:rPr>
          <w:rFonts w:hint="eastAsia" w:ascii="仿宋" w:hAnsi="仿宋" w:eastAsia="仿宋"/>
        </w:rPr>
      </w:pPr>
      <w:bookmarkStart w:id="33" w:name="_Toc176448953"/>
      <w:r>
        <w:rPr>
          <w:rStyle w:val="18"/>
          <w:rFonts w:hint="eastAsia" w:ascii="仿宋" w:hAnsi="仿宋" w:eastAsia="仿宋"/>
          <w:b w:val="0"/>
          <w:bCs w:val="0"/>
        </w:rPr>
        <w:t>八、</w:t>
      </w:r>
      <w:r>
        <w:rPr>
          <w:rFonts w:hint="eastAsia" w:ascii="仿宋" w:hAnsi="仿宋" w:eastAsia="仿宋"/>
          <w:b w:val="0"/>
        </w:rPr>
        <w:t>一</w:t>
      </w:r>
      <w:r>
        <w:rPr>
          <w:rStyle w:val="18"/>
          <w:rFonts w:hint="eastAsia" w:ascii="仿宋" w:hAnsi="仿宋" w:eastAsia="仿宋"/>
          <w:b w:val="0"/>
          <w:bCs w:val="0"/>
        </w:rPr>
        <w:t>般公共预算财政拨款基本支出决算表</w:t>
      </w:r>
      <w:bookmarkEnd w:id="33"/>
    </w:p>
    <w:p w14:paraId="43505742">
      <w:pPr>
        <w:pStyle w:val="6"/>
        <w:rPr>
          <w:rFonts w:hint="eastAsia" w:ascii="仿宋" w:hAnsi="仿宋" w:eastAsia="仿宋"/>
        </w:rPr>
      </w:pPr>
      <w:bookmarkStart w:id="34" w:name="_Toc176448954"/>
      <w:r>
        <w:rPr>
          <w:rStyle w:val="18"/>
          <w:rFonts w:hint="eastAsia" w:ascii="仿宋" w:hAnsi="仿宋" w:eastAsia="仿宋"/>
          <w:b w:val="0"/>
          <w:bCs w:val="0"/>
        </w:rPr>
        <w:t>九、</w:t>
      </w:r>
      <w:r>
        <w:rPr>
          <w:rFonts w:hint="eastAsia" w:ascii="仿宋" w:hAnsi="仿宋" w:eastAsia="仿宋"/>
          <w:b w:val="0"/>
        </w:rPr>
        <w:t>一</w:t>
      </w:r>
      <w:r>
        <w:rPr>
          <w:rStyle w:val="18"/>
          <w:rFonts w:hint="eastAsia" w:ascii="仿宋" w:hAnsi="仿宋" w:eastAsia="仿宋"/>
          <w:b w:val="0"/>
          <w:bCs w:val="0"/>
        </w:rPr>
        <w:t>般公共预算财政拨款项目支出决算表</w:t>
      </w:r>
      <w:bookmarkEnd w:id="34"/>
    </w:p>
    <w:p w14:paraId="7C306939">
      <w:pPr>
        <w:pStyle w:val="6"/>
        <w:rPr>
          <w:rFonts w:hint="eastAsia" w:ascii="仿宋" w:hAnsi="仿宋" w:eastAsia="仿宋"/>
        </w:rPr>
      </w:pPr>
      <w:bookmarkStart w:id="35" w:name="_Toc176448955"/>
      <w:r>
        <w:rPr>
          <w:rStyle w:val="18"/>
          <w:rFonts w:hint="eastAsia" w:ascii="仿宋" w:hAnsi="仿宋" w:eastAsia="仿宋"/>
          <w:b w:val="0"/>
          <w:bCs w:val="0"/>
        </w:rPr>
        <w:t>十、</w:t>
      </w:r>
      <w:r>
        <w:rPr>
          <w:rFonts w:hint="eastAsia" w:ascii="仿宋" w:hAnsi="仿宋" w:eastAsia="仿宋"/>
          <w:b w:val="0"/>
        </w:rPr>
        <w:t>政</w:t>
      </w:r>
      <w:r>
        <w:rPr>
          <w:rStyle w:val="18"/>
          <w:rFonts w:hint="eastAsia" w:ascii="仿宋" w:hAnsi="仿宋" w:eastAsia="仿宋"/>
          <w:b w:val="0"/>
          <w:bCs w:val="0"/>
        </w:rPr>
        <w:t>府性基金预算财政拨款收入支出决算表</w:t>
      </w:r>
      <w:bookmarkEnd w:id="35"/>
    </w:p>
    <w:p w14:paraId="68419F46">
      <w:pPr>
        <w:pStyle w:val="6"/>
        <w:rPr>
          <w:rFonts w:hint="eastAsia" w:ascii="仿宋" w:hAnsi="仿宋" w:eastAsia="仿宋"/>
        </w:rPr>
      </w:pPr>
      <w:bookmarkStart w:id="36" w:name="_Toc176448956"/>
      <w:r>
        <w:rPr>
          <w:rStyle w:val="18"/>
          <w:rFonts w:hint="eastAsia" w:ascii="仿宋" w:hAnsi="仿宋" w:eastAsia="仿宋"/>
          <w:b w:val="0"/>
          <w:bCs w:val="0"/>
        </w:rPr>
        <w:t>十一、</w:t>
      </w:r>
      <w:r>
        <w:rPr>
          <w:rFonts w:hint="eastAsia" w:ascii="仿宋" w:hAnsi="仿宋" w:eastAsia="仿宋"/>
          <w:b w:val="0"/>
        </w:rPr>
        <w:t>国</w:t>
      </w:r>
      <w:r>
        <w:rPr>
          <w:rStyle w:val="18"/>
          <w:rFonts w:hint="eastAsia" w:ascii="仿宋" w:hAnsi="仿宋" w:eastAsia="仿宋"/>
          <w:b w:val="0"/>
          <w:bCs w:val="0"/>
        </w:rPr>
        <w:t>有资本经营预算财政拨款收入支出决算表</w:t>
      </w:r>
      <w:bookmarkEnd w:id="36"/>
    </w:p>
    <w:p w14:paraId="38882C1A">
      <w:pPr>
        <w:pStyle w:val="6"/>
        <w:rPr>
          <w:rFonts w:hint="eastAsia" w:ascii="仿宋" w:hAnsi="仿宋" w:eastAsia="仿宋"/>
        </w:rPr>
      </w:pPr>
      <w:bookmarkStart w:id="37" w:name="_Toc176448957"/>
      <w:r>
        <w:rPr>
          <w:rStyle w:val="18"/>
          <w:rFonts w:hint="eastAsia" w:ascii="仿宋" w:hAnsi="仿宋" w:eastAsia="仿宋"/>
          <w:b w:val="0"/>
          <w:bCs w:val="0"/>
        </w:rPr>
        <w:t>十二、国有资本经营预算财政拨款支出决算表</w:t>
      </w:r>
      <w:bookmarkEnd w:id="37"/>
    </w:p>
    <w:p w14:paraId="5B10BBF5">
      <w:pPr>
        <w:pStyle w:val="6"/>
        <w:rPr>
          <w:rFonts w:eastAsia="仿宋"/>
        </w:rPr>
      </w:pPr>
      <w:bookmarkStart w:id="38" w:name="_Toc176448958"/>
      <w:r>
        <w:rPr>
          <w:rStyle w:val="18"/>
          <w:rFonts w:hint="eastAsia" w:ascii="仿宋" w:hAnsi="仿宋" w:eastAsia="仿宋"/>
          <w:b w:val="0"/>
          <w:bCs w:val="0"/>
        </w:rPr>
        <w:t>十三、财政拨款“三公”经费支出决算表</w:t>
      </w:r>
      <w:bookmarkEnd w:id="38"/>
    </w:p>
    <w:p w14:paraId="2C079007"/>
    <w:p w14:paraId="392D3735"/>
    <w:sectPr>
      <w:footerReference r:id="rId5" w:type="first"/>
      <w:footerReference r:id="rId4"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C8487">
    <w:pPr>
      <w:pStyle w:val="9"/>
      <w:jc w:val="center"/>
    </w:pPr>
  </w:p>
  <w:p w14:paraId="73572E47">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1051181"/>
      <w:docPartObj>
        <w:docPartGallery w:val="autotext"/>
      </w:docPartObj>
    </w:sdtPr>
    <w:sdtContent>
      <w:p w14:paraId="18927AD3">
        <w:pPr>
          <w:pStyle w:val="9"/>
          <w:jc w:val="center"/>
        </w:pPr>
        <w:r>
          <w:fldChar w:fldCharType="begin"/>
        </w:r>
        <w:r>
          <w:instrText xml:space="preserve">PAGE   \* MERGEFORMAT</w:instrText>
        </w:r>
        <w:r>
          <w:fldChar w:fldCharType="separate"/>
        </w:r>
        <w:r>
          <w:rPr>
            <w:lang w:val="zh-CN"/>
          </w:rPr>
          <w:t>2</w:t>
        </w:r>
        <w:r>
          <w:fldChar w:fldCharType="end"/>
        </w:r>
      </w:p>
    </w:sdtContent>
  </w:sdt>
  <w:p w14:paraId="18AF889D">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644962"/>
      <w:docPartObj>
        <w:docPartGallery w:val="autotext"/>
      </w:docPartObj>
    </w:sdtPr>
    <w:sdtContent>
      <w:p w14:paraId="2D7CBFA0">
        <w:pPr>
          <w:pStyle w:val="9"/>
          <w:jc w:val="center"/>
        </w:pPr>
        <w:r>
          <w:fldChar w:fldCharType="begin"/>
        </w:r>
        <w:r>
          <w:instrText xml:space="preserve">PAGE   \* MERGEFORMAT</w:instrText>
        </w:r>
        <w:r>
          <w:fldChar w:fldCharType="separate"/>
        </w:r>
        <w:r>
          <w:rPr>
            <w:lang w:val="zh-CN"/>
          </w:rPr>
          <w:t>2</w:t>
        </w:r>
        <w:r>
          <w:fldChar w:fldCharType="end"/>
        </w:r>
      </w:p>
    </w:sdtContent>
  </w:sdt>
  <w:p w14:paraId="69321D9B">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000776C"/>
    <w:rsid w:val="00084C6F"/>
    <w:rsid w:val="000D58EA"/>
    <w:rsid w:val="00173280"/>
    <w:rsid w:val="0019608B"/>
    <w:rsid w:val="00212EBD"/>
    <w:rsid w:val="002317C4"/>
    <w:rsid w:val="00235C23"/>
    <w:rsid w:val="00254671"/>
    <w:rsid w:val="002F2124"/>
    <w:rsid w:val="0030279A"/>
    <w:rsid w:val="003036BE"/>
    <w:rsid w:val="00354739"/>
    <w:rsid w:val="00382429"/>
    <w:rsid w:val="003A6CEA"/>
    <w:rsid w:val="003D3760"/>
    <w:rsid w:val="004015E3"/>
    <w:rsid w:val="00406F35"/>
    <w:rsid w:val="00407B0A"/>
    <w:rsid w:val="00471401"/>
    <w:rsid w:val="004C61E0"/>
    <w:rsid w:val="00516FD6"/>
    <w:rsid w:val="0053638B"/>
    <w:rsid w:val="005679B1"/>
    <w:rsid w:val="0057389B"/>
    <w:rsid w:val="005C3C2D"/>
    <w:rsid w:val="00600E5B"/>
    <w:rsid w:val="00647BCD"/>
    <w:rsid w:val="006608C0"/>
    <w:rsid w:val="00670C0B"/>
    <w:rsid w:val="0069145F"/>
    <w:rsid w:val="00697559"/>
    <w:rsid w:val="006C19D5"/>
    <w:rsid w:val="006D25D7"/>
    <w:rsid w:val="006E153F"/>
    <w:rsid w:val="006E65CE"/>
    <w:rsid w:val="00721C02"/>
    <w:rsid w:val="00750495"/>
    <w:rsid w:val="00751D88"/>
    <w:rsid w:val="00790BEF"/>
    <w:rsid w:val="007C3FCC"/>
    <w:rsid w:val="007D578C"/>
    <w:rsid w:val="007F0CE0"/>
    <w:rsid w:val="00835D08"/>
    <w:rsid w:val="008558EA"/>
    <w:rsid w:val="00882345"/>
    <w:rsid w:val="00892927"/>
    <w:rsid w:val="00896F65"/>
    <w:rsid w:val="008A4173"/>
    <w:rsid w:val="008C1463"/>
    <w:rsid w:val="008E2292"/>
    <w:rsid w:val="00925501"/>
    <w:rsid w:val="00953E7F"/>
    <w:rsid w:val="009567ED"/>
    <w:rsid w:val="009657B6"/>
    <w:rsid w:val="00974429"/>
    <w:rsid w:val="0097754B"/>
    <w:rsid w:val="00991366"/>
    <w:rsid w:val="009B3B4F"/>
    <w:rsid w:val="009C70F1"/>
    <w:rsid w:val="009C7ABF"/>
    <w:rsid w:val="009F1673"/>
    <w:rsid w:val="009F2503"/>
    <w:rsid w:val="00A3571C"/>
    <w:rsid w:val="00A71E2A"/>
    <w:rsid w:val="00AB2AC5"/>
    <w:rsid w:val="00AE7839"/>
    <w:rsid w:val="00AF776E"/>
    <w:rsid w:val="00B014D2"/>
    <w:rsid w:val="00B85211"/>
    <w:rsid w:val="00B91F7C"/>
    <w:rsid w:val="00BA5EA0"/>
    <w:rsid w:val="00BC0C7A"/>
    <w:rsid w:val="00BD61A7"/>
    <w:rsid w:val="00C14512"/>
    <w:rsid w:val="00C20055"/>
    <w:rsid w:val="00C27DDC"/>
    <w:rsid w:val="00C60DEA"/>
    <w:rsid w:val="00C7047D"/>
    <w:rsid w:val="00CB1128"/>
    <w:rsid w:val="00CC21A1"/>
    <w:rsid w:val="00CD6C80"/>
    <w:rsid w:val="00CD7B96"/>
    <w:rsid w:val="00D354A3"/>
    <w:rsid w:val="00D52344"/>
    <w:rsid w:val="00D5239B"/>
    <w:rsid w:val="00D7614A"/>
    <w:rsid w:val="00D8305A"/>
    <w:rsid w:val="00D93D52"/>
    <w:rsid w:val="00DC288C"/>
    <w:rsid w:val="00DF19DD"/>
    <w:rsid w:val="00E457D0"/>
    <w:rsid w:val="00E67EDF"/>
    <w:rsid w:val="00E94AC9"/>
    <w:rsid w:val="00EF5095"/>
    <w:rsid w:val="00EF6800"/>
    <w:rsid w:val="00F52EC6"/>
    <w:rsid w:val="00F543C3"/>
    <w:rsid w:val="00F82A03"/>
    <w:rsid w:val="00F852FB"/>
    <w:rsid w:val="00FB0F82"/>
    <w:rsid w:val="00FD61CB"/>
    <w:rsid w:val="19AB1E91"/>
    <w:rsid w:val="29840729"/>
    <w:rsid w:val="459B3400"/>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7">
    <w:name w:val="Body Text"/>
    <w:basedOn w:val="1"/>
    <w:qFormat/>
    <w:uiPriority w:val="99"/>
    <w:pPr>
      <w:spacing w:beforeLines="30"/>
    </w:pPr>
    <w:rPr>
      <w:rFonts w:ascii="仿宋_GB2312" w:eastAsia="仿宋_GB2312"/>
      <w:kern w:val="0"/>
      <w:sz w:val="30"/>
    </w:rPr>
  </w:style>
  <w:style w:type="paragraph" w:styleId="8">
    <w:name w:val="toc 3"/>
    <w:basedOn w:val="1"/>
    <w:next w:val="1"/>
    <w:autoRedefine/>
    <w:qFormat/>
    <w:uiPriority w:val="39"/>
    <w:pPr>
      <w:ind w:left="840" w:leftChars="400"/>
    </w:p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2"/>
    <w:qFormat/>
    <w:uiPriority w:val="0"/>
    <w:pP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字符"/>
    <w:basedOn w:val="14"/>
    <w:link w:val="5"/>
    <w:qFormat/>
    <w:uiPriority w:val="9"/>
    <w:rPr>
      <w:b/>
      <w:bCs/>
      <w:kern w:val="44"/>
      <w:sz w:val="44"/>
      <w:szCs w:val="44"/>
    </w:rPr>
  </w:style>
  <w:style w:type="character" w:customStyle="1" w:styleId="18">
    <w:name w:val="标题 2 字符"/>
    <w:basedOn w:val="14"/>
    <w:link w:val="6"/>
    <w:qFormat/>
    <w:uiPriority w:val="9"/>
    <w:rPr>
      <w:rFonts w:asciiTheme="majorHAnsi" w:hAnsiTheme="majorHAnsi" w:eastAsiaTheme="majorEastAsia" w:cstheme="majorBidi"/>
      <w:b/>
      <w:bCs/>
      <w:sz w:val="32"/>
      <w:szCs w:val="32"/>
    </w:rPr>
  </w:style>
  <w:style w:type="paragraph" w:styleId="19">
    <w:name w:val="List Paragraph"/>
    <w:basedOn w:val="1"/>
    <w:qFormat/>
    <w:uiPriority w:val="34"/>
    <w:pPr>
      <w:ind w:firstLine="420" w:firstLineChars="200"/>
    </w:pPr>
  </w:style>
  <w:style w:type="paragraph" w:customStyle="1" w:styleId="2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1">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2">
    <w:name w:val="页眉 字符"/>
    <w:basedOn w:val="14"/>
    <w:link w:val="10"/>
    <w:qFormat/>
    <w:uiPriority w:val="0"/>
    <w:rPr>
      <w:rFonts w:ascii="Times New Roman" w:hAnsi="Times New Roman" w:eastAsia="宋体" w:cs="Times New Roman"/>
      <w:kern w:val="2"/>
      <w:sz w:val="18"/>
      <w:szCs w:val="18"/>
    </w:rPr>
  </w:style>
  <w:style w:type="character" w:customStyle="1" w:styleId="23">
    <w:name w:val="页脚 字符"/>
    <w:basedOn w:val="14"/>
    <w:link w:val="9"/>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收、支决算总计变动情况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3212.403787</c:v>
                </c:pt>
                <c:pt idx="1">
                  <c:v>3212.403787</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2151.711825</c:v>
                </c:pt>
                <c:pt idx="1">
                  <c:v>2151.711825</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收入决算结构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3212.403787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支出决算结构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1"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a:t>
                    </a:r>
                    <a:r>
                      <a:rPr lang="en-US" altLang="zh-CN"/>
                      <a:t>7</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1"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3.</a:t>
                    </a:r>
                    <a:r>
                      <a:rPr lang="en-US" altLang="zh-CN"/>
                      <a:t>1</a:t>
                    </a:r>
                    <a:r>
                      <a:t>%</a:t>
                    </a:r>
                  </a:p>
                </c:rich>
              </c:tx>
              <c:dLblPos val="outEnd"/>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3114.294387</c:v>
                </c:pt>
                <c:pt idx="1">
                  <c:v>98.1094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财政拨款收、支决算总计变动情况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#,##0.00</c:formatCode>
                <c:ptCount val="2"/>
                <c:pt idx="0">
                  <c:v>3212.403787</c:v>
                </c:pt>
                <c:pt idx="1">
                  <c:v>3212.403787</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#,##0.00</c:formatCode>
                <c:ptCount val="2"/>
                <c:pt idx="0">
                  <c:v>2151.711825</c:v>
                </c:pt>
                <c:pt idx="1">
                  <c:v>2151.711825</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一般公共预算财政拨款支出决算总计变动情况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c:formatCode>
                <c:ptCount val="1"/>
                <c:pt idx="0">
                  <c:v>3212.403787</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#,##0.00</c:formatCode>
                <c:ptCount val="1"/>
                <c:pt idx="0">
                  <c:v>2151.711825</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一般公共预算财政拨款支出</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10.6%</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4.9%</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manualLayout>
                  <c:x val="0.00541777028653985"/>
                  <c:y val="0"/>
                </c:manualLayout>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78.</a:t>
                    </a:r>
                    <a:r>
                      <a:rPr lang="en-US" altLang="zh-CN"/>
                      <a:t>8</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5.</a:t>
                    </a:r>
                    <a:r>
                      <a:rPr lang="en-US" altLang="zh-CN"/>
                      <a:t>7</a:t>
                    </a:r>
                    <a:r>
                      <a:t>%</a:t>
                    </a:r>
                  </a:p>
                </c:rich>
              </c:tx>
              <c:dLblPos val="outEnd"/>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#,##0.00</c:formatCode>
                <c:ptCount val="4"/>
                <c:pt idx="0">
                  <c:v>341.49024</c:v>
                </c:pt>
                <c:pt idx="1">
                  <c:v>157.582942</c:v>
                </c:pt>
                <c:pt idx="2">
                  <c:v>2530.593305</c:v>
                </c:pt>
                <c:pt idx="3">
                  <c:v>182.7373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“三公”经费财政拨款支出</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052973753912834"/>
                  <c:y val="-0.0082559339525284"/>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553816518179629"/>
                  <c:y val="-0.00825593395252836"/>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 公务用车购置及运行维护费</c:v>
                </c:pt>
                <c:pt idx="2">
                  <c:v>公务接待费</c:v>
                </c:pt>
              </c:strCache>
            </c:strRef>
          </c:cat>
          <c:val>
            <c:numRef>
              <c:f>Sheet1!$B$2:$B$4</c:f>
              <c:numCache>
                <c:formatCode>General</c:formatCode>
                <c:ptCount val="3"/>
                <c:pt idx="0">
                  <c:v>0</c:v>
                </c:pt>
                <c:pt idx="1" c:formatCode="0.00">
                  <c:v>18.316764</c:v>
                </c:pt>
                <c:pt idx="2">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C3987-DB8F-4281-81CF-16D5D0FA05DF}">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5324</Words>
  <Characters>5764</Characters>
  <Lines>55</Lines>
  <Paragraphs>15</Paragraphs>
  <TotalTime>4</TotalTime>
  <ScaleCrop>false</ScaleCrop>
  <LinksUpToDate>false</LinksUpToDate>
  <CharactersWithSpaces>5940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2024-09-18T01:42:46Z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6E436F6CC5F44DB191341E3F674AA5F8_13</vt:lpwstr>
  </property>
</Properties>
</file>