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3EACD">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05068F67">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2023年度阿坝藏族羌族自治州公路管理局若尔盖公路管理分局单位决算</w:t>
      </w:r>
    </w:p>
    <w:p w14:paraId="6FF4CB7B">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5C15551E">
      <w:pPr>
        <w:widowControl/>
        <w:jc w:val="center"/>
        <w:rPr>
          <w:rFonts w:ascii="黑体" w:hAnsi="黑体" w:eastAsia="黑体" w:cstheme="minorBidi"/>
          <w:color w:val="auto"/>
          <w:sz w:val="28"/>
          <w:szCs w:val="28"/>
          <w:highlight w:val="none"/>
        </w:rPr>
      </w:pPr>
    </w:p>
    <w:p w14:paraId="58B0313A">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10E3940B">
      <w:pPr>
        <w:rPr>
          <w:color w:val="auto"/>
          <w:highlight w:val="none"/>
        </w:rPr>
      </w:pPr>
    </w:p>
    <w:sdt>
      <w:sdtPr>
        <w:rPr>
          <w:rFonts w:ascii="宋体" w:hAnsi="宋体" w:eastAsia="宋体" w:cs="Times New Roman"/>
          <w:kern w:val="2"/>
          <w:sz w:val="21"/>
          <w:szCs w:val="24"/>
          <w:lang w:val="en-US" w:eastAsia="zh-CN" w:bidi="ar-SA"/>
        </w:rPr>
        <w:id w:val="147462728"/>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78AB9D4A">
          <w:pPr>
            <w:spacing w:before="0" w:beforeLines="0" w:after="0" w:afterLines="0" w:line="240" w:lineRule="auto"/>
            <w:ind w:left="0" w:leftChars="0" w:right="0" w:rightChars="0" w:firstLine="0" w:firstLineChars="0"/>
            <w:jc w:val="center"/>
          </w:pPr>
        </w:p>
        <w:p w14:paraId="44983E38">
          <w:pPr>
            <w:pStyle w:val="18"/>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_Toc13766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_Toc13766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32FE884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_Toc4860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_Toc4860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0F1306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_Toc215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A43E6B4">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_Toc29249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_Toc29249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75FF749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_Toc19137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_Toc19137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2A0798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_Toc25082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_Toc25082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78E126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_Toc16042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_Toc16042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24252B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_Toc17388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_Toc17388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53C3488">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_Toc17154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_Toc17154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A85ED5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_Toc32082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_Toc32082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B561EE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_Toc17242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_Toc17242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3D2850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_Toc32590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_Toc32590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6371DF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_Toc6780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_Toc6780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9A9603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_Toc12355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_Toc12355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2984103">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_Toc31659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_Toc31659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7385F8C9">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_Toc32687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_Toc32687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EE8433C">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_Toc20610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_Toc20610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5FF24D48">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_Toc19625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_Toc19625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71F106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_Toc32579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_Toc32579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7236EC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_Toc22902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_Toc22902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8E1678E">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_Toc32588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_Toc32588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940C4E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_Toc4394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_Toc4394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C9F59D7">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_Toc12131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_Toc12131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4291F6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_Toc32622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_Toc32622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127A0B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_Toc23711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_Toc23711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B706C5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_Toc13508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_Toc13508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FFCD2F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_Toc5655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_Toc5655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C2CF5B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_Toc18949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_Toc18949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449BFD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_Toc9980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_Toc9980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D99870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_Toc25734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_Toc25734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796FF6D">
          <w:pPr>
            <w:rPr>
              <w:b/>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sz w:val="28"/>
              <w:szCs w:val="28"/>
            </w:rPr>
            <w:fldChar w:fldCharType="end"/>
          </w:r>
        </w:p>
      </w:sdtContent>
    </w:sdt>
    <w:p w14:paraId="49FF8CF1">
      <w:pPr>
        <w:pStyle w:val="3"/>
        <w:jc w:val="center"/>
        <w:rPr>
          <w:rStyle w:val="14"/>
          <w:rFonts w:ascii="黑体" w:hAnsi="黑体" w:eastAsia="黑体"/>
          <w:b/>
          <w:bCs w:val="0"/>
          <w:color w:val="auto"/>
          <w:highlight w:val="none"/>
        </w:rPr>
      </w:pPr>
      <w:bookmarkStart w:id="0" w:name="_Toc1376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6D49AF82">
      <w:pPr>
        <w:widowControl/>
        <w:jc w:val="left"/>
        <w:rPr>
          <w:rFonts w:ascii="黑体" w:eastAsia="黑体"/>
          <w:color w:val="auto"/>
          <w:sz w:val="32"/>
          <w:szCs w:val="32"/>
          <w:highlight w:val="none"/>
        </w:rPr>
      </w:pPr>
    </w:p>
    <w:p w14:paraId="240934E3">
      <w:pPr>
        <w:pStyle w:val="4"/>
        <w:numPr>
          <w:ilvl w:val="0"/>
          <w:numId w:val="1"/>
        </w:numPr>
        <w:rPr>
          <w:rStyle w:val="15"/>
          <w:rFonts w:hint="eastAsia" w:ascii="黑体" w:hAnsi="黑体" w:eastAsia="黑体"/>
          <w:b w:val="0"/>
          <w:bCs w:val="0"/>
          <w:color w:val="auto"/>
          <w:highlight w:val="none"/>
          <w:lang w:eastAsia="zh-CN"/>
        </w:rPr>
      </w:pPr>
      <w:bookmarkStart w:id="1" w:name="_Toc4860"/>
      <w:r>
        <w:rPr>
          <w:rStyle w:val="15"/>
          <w:rFonts w:hint="eastAsia" w:ascii="黑体" w:hAnsi="黑体" w:eastAsia="黑体"/>
          <w:b w:val="0"/>
          <w:bCs w:val="0"/>
          <w:color w:val="auto"/>
          <w:highlight w:val="none"/>
          <w:lang w:eastAsia="zh-CN"/>
        </w:rPr>
        <w:t>主要职责</w:t>
      </w:r>
      <w:bookmarkEnd w:id="1"/>
    </w:p>
    <w:p w14:paraId="125769F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若尔盖公路管理分局前身是阿坝养路总段若尔盖县养路段，成立于1972年，1998年实行段队合一，更名为阿坝藏族羌族自治州公路管理局若尔盖公路管理分局，隶属于阿坝州公路管理局直属领导，在州公路管理局的领导下，负责辖区内国省干线公路养护、管理；分局设有党小组办公室、行政办公室、工程股、机料股、财务股、人事股、安全股，各部门各司其职并相互配合。按照州公路管理局下达的经费和要求，编制年度实施计划；分局属于服务型事业单位，主要负责国道G213线，省道S248线若尔盖县境内公路的养护工作。对遭受自然灾害的公路实施抢修恢复，保障公路安全畅通；指导各养护站的公路养护管理工作；完成州公路管理局交办的其他工作任务。</w:t>
      </w:r>
    </w:p>
    <w:p w14:paraId="3969D6B3">
      <w:pPr>
        <w:pStyle w:val="4"/>
        <w:numPr>
          <w:ilvl w:val="0"/>
          <w:numId w:val="0"/>
        </w:numPr>
        <w:rPr>
          <w:rFonts w:hint="eastAsia" w:ascii="黑体" w:hAnsi="黑体" w:eastAsia="黑体"/>
          <w:b w:val="0"/>
          <w:color w:val="auto"/>
          <w:highlight w:val="none"/>
          <w:lang w:val="en-US" w:eastAsia="zh-CN"/>
        </w:rPr>
      </w:pPr>
      <w:bookmarkStart w:id="2" w:name="_Toc215"/>
      <w:r>
        <w:rPr>
          <w:rFonts w:hint="eastAsia" w:ascii="黑体" w:hAnsi="黑体" w:eastAsia="黑体"/>
          <w:b w:val="0"/>
          <w:color w:val="auto"/>
          <w:highlight w:val="none"/>
          <w:lang w:val="en-US" w:eastAsia="zh-CN"/>
        </w:rPr>
        <w:t>二、机构设置</w:t>
      </w:r>
      <w:bookmarkEnd w:id="2"/>
    </w:p>
    <w:p w14:paraId="5F72EB3D">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本单位</w:t>
      </w:r>
      <w:r>
        <w:rPr>
          <w:rFonts w:hint="eastAsia" w:ascii="仿宋" w:hAnsi="仿宋" w:eastAsia="仿宋"/>
          <w:color w:val="auto"/>
          <w:sz w:val="32"/>
          <w:szCs w:val="32"/>
          <w:highlight w:val="none"/>
          <w:lang w:val="en-US" w:eastAsia="zh-CN"/>
        </w:rPr>
        <w:t>2023</w:t>
      </w:r>
      <w:r>
        <w:rPr>
          <w:rFonts w:hint="eastAsia" w:ascii="仿宋" w:hAnsi="仿宋" w:eastAsia="仿宋"/>
          <w:color w:val="auto"/>
          <w:sz w:val="32"/>
          <w:szCs w:val="32"/>
          <w:highlight w:val="none"/>
        </w:rPr>
        <w:t>年度纳入本套决算编制范围的独立编制机构数共1个，</w:t>
      </w:r>
      <w:r>
        <w:rPr>
          <w:rFonts w:hint="eastAsia" w:ascii="仿宋" w:hAnsi="仿宋" w:eastAsia="仿宋"/>
          <w:color w:val="auto"/>
          <w:sz w:val="32"/>
          <w:szCs w:val="32"/>
          <w:highlight w:val="none"/>
          <w:lang w:val="en-US" w:eastAsia="zh-CN"/>
        </w:rPr>
        <w:t>与上年持平。</w:t>
      </w:r>
    </w:p>
    <w:p w14:paraId="005AE95D">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168239A6">
      <w:pPr>
        <w:pStyle w:val="3"/>
        <w:ind w:right="440"/>
        <w:jc w:val="center"/>
        <w:rPr>
          <w:rStyle w:val="14"/>
          <w:rFonts w:ascii="黑体" w:hAnsi="黑体" w:eastAsia="黑体"/>
          <w:b w:val="0"/>
          <w:bCs/>
          <w:color w:val="auto"/>
          <w:highlight w:val="none"/>
        </w:rPr>
      </w:pPr>
      <w:bookmarkStart w:id="3" w:name="_Toc29249"/>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50EC341E">
      <w:pPr>
        <w:rPr>
          <w:color w:val="auto"/>
          <w:highlight w:val="none"/>
        </w:rPr>
      </w:pPr>
    </w:p>
    <w:p w14:paraId="13028EF1">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19137"/>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52C2BC50">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均为5,111.06</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相比，收、支总计各增加1,479.7万元，增长40.</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。主要变动原因是若尔盖分局小修保养</w:t>
      </w:r>
      <w:r>
        <w:rPr>
          <w:rFonts w:hint="eastAsia" w:ascii="仿宋" w:hAnsi="仿宋" w:eastAsia="仿宋"/>
          <w:color w:val="auto"/>
          <w:sz w:val="32"/>
          <w:szCs w:val="32"/>
          <w:highlight w:val="none"/>
          <w:lang w:val="en-US" w:eastAsia="zh-CN"/>
        </w:rPr>
        <w:t>等项目经费增加</w:t>
      </w:r>
      <w:r>
        <w:rPr>
          <w:rFonts w:hint="eastAsia" w:ascii="仿宋" w:hAnsi="仿宋" w:eastAsia="仿宋"/>
          <w:color w:val="auto"/>
          <w:sz w:val="32"/>
          <w:szCs w:val="32"/>
          <w:highlight w:val="none"/>
          <w:lang w:eastAsia="zh-CN"/>
        </w:rPr>
        <w:t>。</w:t>
      </w:r>
    </w:p>
    <w:p w14:paraId="498E8576">
      <w:pPr>
        <w:pStyle w:val="9"/>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E571693">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00F51685">
      <w:pPr>
        <w:spacing w:line="600" w:lineRule="exact"/>
        <w:ind w:firstLine="640" w:firstLineChars="200"/>
        <w:jc w:val="left"/>
        <w:rPr>
          <w:rFonts w:ascii="仿宋_GB2312" w:eastAsia="仿宋_GB2312"/>
          <w:color w:val="auto"/>
          <w:sz w:val="32"/>
          <w:szCs w:val="32"/>
          <w:highlight w:val="none"/>
        </w:rPr>
      </w:pPr>
    </w:p>
    <w:p w14:paraId="5D264864">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25082"/>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6F8E9D5B">
      <w:pPr>
        <w:spacing w:line="600" w:lineRule="exact"/>
        <w:ind w:firstLine="640" w:firstLineChars="200"/>
        <w:outlineLvl w:val="1"/>
        <w:rPr>
          <w:rFonts w:ascii="仿宋" w:hAnsi="仿宋" w:eastAsia="仿宋"/>
          <w:b/>
          <w:color w:val="auto"/>
          <w:sz w:val="32"/>
          <w:szCs w:val="32"/>
          <w:highlight w:val="none"/>
        </w:rPr>
      </w:pPr>
      <w:bookmarkStart w:id="6" w:name="_Toc1363"/>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本年收入合计5,111.06万元，其中：一般公共预算财政拨款收入5,111.06万元，占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331F89A5">
      <w:pPr>
        <w:spacing w:line="240" w:lineRule="auto"/>
        <w:ind w:firstLine="0" w:firstLineChars="0"/>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C31EFA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5C046DF2">
      <w:pPr>
        <w:spacing w:line="600" w:lineRule="exact"/>
        <w:ind w:firstLine="640" w:firstLineChars="200"/>
        <w:rPr>
          <w:rFonts w:ascii="仿宋_GB2312" w:eastAsia="仿宋_GB2312"/>
          <w:color w:val="auto"/>
          <w:sz w:val="32"/>
          <w:szCs w:val="32"/>
          <w:highlight w:val="none"/>
        </w:rPr>
      </w:pPr>
    </w:p>
    <w:p w14:paraId="01A3D8AE">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16042"/>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37C631F2">
      <w:pPr>
        <w:spacing w:line="600" w:lineRule="exact"/>
        <w:ind w:firstLine="640" w:firstLineChars="200"/>
        <w:outlineLvl w:val="1"/>
        <w:rPr>
          <w:rFonts w:ascii="仿宋" w:hAnsi="仿宋" w:eastAsia="仿宋"/>
          <w:color w:val="auto"/>
          <w:sz w:val="32"/>
          <w:szCs w:val="32"/>
          <w:highlight w:val="none"/>
        </w:rPr>
      </w:pPr>
      <w:bookmarkStart w:id="8" w:name="_Toc19760"/>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本年支出合计5,111.06万元，其中：基本支出4,844.93万元，占</w:t>
      </w:r>
      <w:r>
        <w:rPr>
          <w:rFonts w:hint="eastAsia" w:ascii="仿宋" w:hAnsi="仿宋" w:eastAsia="仿宋"/>
          <w:color w:val="auto"/>
          <w:sz w:val="32"/>
          <w:szCs w:val="32"/>
          <w:highlight w:val="none"/>
          <w:lang w:val="en-US" w:eastAsia="zh-CN"/>
        </w:rPr>
        <w:t>94.8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；项目支出266.13万元，占</w:t>
      </w:r>
      <w:r>
        <w:rPr>
          <w:rFonts w:hint="eastAsia" w:ascii="仿宋" w:hAnsi="仿宋" w:eastAsia="仿宋"/>
          <w:color w:val="auto"/>
          <w:sz w:val="32"/>
          <w:szCs w:val="32"/>
          <w:highlight w:val="none"/>
          <w:lang w:val="en-US" w:eastAsia="zh-CN"/>
        </w:rPr>
        <w:t>5.2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171EFF1D">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BE9CE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1F609EE2">
      <w:pPr>
        <w:spacing w:line="600" w:lineRule="exact"/>
        <w:ind w:firstLine="640" w:firstLineChars="200"/>
        <w:rPr>
          <w:rFonts w:ascii="仿宋_GB2312" w:eastAsia="仿宋_GB2312"/>
          <w:color w:val="auto"/>
          <w:sz w:val="32"/>
          <w:szCs w:val="32"/>
          <w:highlight w:val="none"/>
        </w:rPr>
      </w:pPr>
    </w:p>
    <w:p w14:paraId="0BD45A2F">
      <w:pPr>
        <w:spacing w:line="600" w:lineRule="exact"/>
        <w:ind w:firstLine="640" w:firstLineChars="200"/>
        <w:outlineLvl w:val="1"/>
        <w:rPr>
          <w:rStyle w:val="15"/>
          <w:rFonts w:ascii="黑体" w:hAnsi="黑体" w:eastAsia="黑体"/>
          <w:b w:val="0"/>
          <w:color w:val="auto"/>
          <w:highlight w:val="none"/>
        </w:rPr>
      </w:pPr>
      <w:bookmarkStart w:id="9" w:name="_Toc17388"/>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0B0574D6">
      <w:pPr>
        <w:spacing w:line="600" w:lineRule="exact"/>
        <w:ind w:firstLine="64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均为5,111.06</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相比，财政拨款收、支总计各增加1,479.7万元，增长40.</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。主要变动原因是若尔盖分局小修保养</w:t>
      </w:r>
      <w:r>
        <w:rPr>
          <w:rFonts w:hint="eastAsia" w:ascii="仿宋" w:hAnsi="仿宋" w:eastAsia="仿宋"/>
          <w:color w:val="auto"/>
          <w:sz w:val="32"/>
          <w:szCs w:val="32"/>
          <w:highlight w:val="none"/>
          <w:lang w:val="en-US" w:eastAsia="zh-CN"/>
        </w:rPr>
        <w:t>等项目经费增加。</w:t>
      </w:r>
    </w:p>
    <w:p w14:paraId="3383FEF9">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E51312">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21258838">
      <w:pPr>
        <w:spacing w:line="600" w:lineRule="exact"/>
        <w:ind w:firstLine="640"/>
        <w:rPr>
          <w:rFonts w:ascii="仿宋" w:hAnsi="仿宋" w:eastAsia="仿宋"/>
          <w:b/>
          <w:color w:val="auto"/>
          <w:sz w:val="32"/>
          <w:szCs w:val="32"/>
          <w:highlight w:val="none"/>
        </w:rPr>
      </w:pPr>
    </w:p>
    <w:p w14:paraId="7CB83B3D">
      <w:pPr>
        <w:spacing w:line="600" w:lineRule="exact"/>
        <w:ind w:firstLine="640" w:firstLineChars="200"/>
        <w:outlineLvl w:val="1"/>
        <w:rPr>
          <w:rStyle w:val="15"/>
          <w:rFonts w:ascii="黑体" w:hAnsi="黑体" w:eastAsia="黑体"/>
          <w:b w:val="0"/>
          <w:color w:val="auto"/>
          <w:highlight w:val="none"/>
        </w:rPr>
      </w:pPr>
      <w:bookmarkStart w:id="10" w:name="_Toc17154"/>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1E1918BA">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4653492">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一般公共预算财政拨款支出5,111.06万元，占本年支出合计的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增加1,479.7万元，增长40.</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。主要变动原因是若尔盖分局小修保养</w:t>
      </w:r>
      <w:r>
        <w:rPr>
          <w:rFonts w:hint="eastAsia" w:ascii="仿宋" w:hAnsi="仿宋" w:eastAsia="仿宋"/>
          <w:color w:val="auto"/>
          <w:sz w:val="32"/>
          <w:szCs w:val="32"/>
          <w:highlight w:val="none"/>
          <w:lang w:val="en-US" w:eastAsia="zh-CN"/>
        </w:rPr>
        <w:t>等项目经费增加。</w:t>
      </w:r>
    </w:p>
    <w:p w14:paraId="262C8198">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DC5A611">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13F1B754">
      <w:pPr>
        <w:spacing w:line="600" w:lineRule="exact"/>
        <w:ind w:firstLine="640" w:firstLineChars="200"/>
        <w:rPr>
          <w:rFonts w:ascii="仿宋" w:hAnsi="仿宋" w:eastAsia="仿宋"/>
          <w:color w:val="auto"/>
          <w:sz w:val="32"/>
          <w:szCs w:val="32"/>
          <w:highlight w:val="none"/>
        </w:rPr>
      </w:pPr>
    </w:p>
    <w:p w14:paraId="3156E508">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2B266327">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一般公共预算财政拨款支出5,111.06万元，主要用于以下方面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社会保障和就业支出469.68</w:t>
      </w:r>
      <w:r>
        <w:rPr>
          <w:rFonts w:hint="eastAsia" w:ascii="仿宋" w:hAnsi="仿宋" w:eastAsia="仿宋"/>
          <w:color w:val="auto"/>
          <w:sz w:val="32"/>
          <w:szCs w:val="32"/>
          <w:highlight w:val="none"/>
        </w:rPr>
        <w:t>万元，占9.</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卫生健康支出225.52</w:t>
      </w:r>
      <w:r>
        <w:rPr>
          <w:rFonts w:hint="eastAsia" w:ascii="仿宋" w:hAnsi="仿宋" w:eastAsia="仿宋"/>
          <w:color w:val="auto"/>
          <w:sz w:val="32"/>
          <w:szCs w:val="32"/>
          <w:highlight w:val="none"/>
        </w:rPr>
        <w:t>万元，占4.4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交通运输支出4,126.17</w:t>
      </w:r>
      <w:r>
        <w:rPr>
          <w:rFonts w:hint="eastAsia" w:ascii="仿宋" w:hAnsi="仿宋" w:eastAsia="仿宋"/>
          <w:color w:val="auto"/>
          <w:sz w:val="32"/>
          <w:szCs w:val="32"/>
          <w:highlight w:val="none"/>
        </w:rPr>
        <w:t>万元，占80.7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住房保障支出289.68</w:t>
      </w:r>
      <w:r>
        <w:rPr>
          <w:rFonts w:hint="eastAsia" w:ascii="仿宋" w:hAnsi="仿宋" w:eastAsia="仿宋"/>
          <w:color w:val="auto"/>
          <w:sz w:val="32"/>
          <w:szCs w:val="32"/>
          <w:highlight w:val="none"/>
        </w:rPr>
        <w:t>万元，占5.</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39F58C57">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B07980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1928A922">
      <w:pPr>
        <w:spacing w:line="600" w:lineRule="exact"/>
        <w:ind w:firstLine="640" w:firstLineChars="200"/>
        <w:rPr>
          <w:rFonts w:ascii="仿宋" w:hAnsi="仿宋" w:eastAsia="仿宋"/>
          <w:color w:val="auto"/>
          <w:sz w:val="32"/>
          <w:szCs w:val="32"/>
          <w:highlight w:val="none"/>
        </w:rPr>
      </w:pPr>
    </w:p>
    <w:p w14:paraId="57E8EEFD">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1C5DE61E">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般公共预算支出决算数为5,111.06</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支出决算为313.12万元，完成预算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支出决算为156.56万元，完成预算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支出决算为136.45万元，完成预算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支出决算为89.07万元，完成预算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支出决算为4,055.47万元，完成预算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bCs/>
          <w:color w:val="auto"/>
          <w:sz w:val="32"/>
          <w:szCs w:val="32"/>
          <w:highlight w:val="none"/>
        </w:rPr>
        <w:t>交通运输支出（类）公路水路运输（款）其他公路水路运输支出（项）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支出决算为70.7万元，完成预算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sz w:val="32"/>
          <w:szCs w:val="32"/>
          <w:highlight w:val="none"/>
          <w:lang w:val="en-US" w:eastAsia="zh-CN"/>
        </w:rPr>
        <w:t>7.</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支出决算为267.68万元，完成预算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193F5B5C">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kern w:val="2"/>
          <w:sz w:val="32"/>
          <w:szCs w:val="32"/>
          <w:highlight w:val="none"/>
          <w:lang w:val="en-US" w:eastAsia="zh-CN" w:bidi="ar-SA"/>
        </w:rPr>
        <w:t>8.</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（类）住房改革支出（款）购房补贴（项）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0E22B2F0">
      <w:pPr>
        <w:spacing w:line="600" w:lineRule="exact"/>
        <w:ind w:firstLine="640"/>
        <w:rPr>
          <w:rFonts w:ascii="仿宋" w:hAnsi="仿宋" w:eastAsia="仿宋"/>
          <w:b/>
          <w:color w:val="auto"/>
          <w:sz w:val="32"/>
          <w:szCs w:val="32"/>
          <w:highlight w:val="none"/>
        </w:rPr>
      </w:pPr>
    </w:p>
    <w:p w14:paraId="629C13CE">
      <w:pPr>
        <w:tabs>
          <w:tab w:val="right" w:pos="8306"/>
        </w:tabs>
        <w:spacing w:line="600" w:lineRule="exact"/>
        <w:ind w:firstLine="640"/>
        <w:outlineLvl w:val="1"/>
        <w:rPr>
          <w:rStyle w:val="15"/>
          <w:color w:val="auto"/>
          <w:highlight w:val="none"/>
        </w:rPr>
      </w:pPr>
      <w:bookmarkStart w:id="11" w:name="_Toc32082"/>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1"/>
      <w:r>
        <w:rPr>
          <w:rStyle w:val="15"/>
          <w:rFonts w:ascii="黑体" w:hAnsi="黑体" w:eastAsia="黑体"/>
          <w:b w:val="0"/>
          <w:color w:val="auto"/>
          <w:highlight w:val="none"/>
        </w:rPr>
        <w:tab/>
      </w:r>
    </w:p>
    <w:p w14:paraId="1EFE658F">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一般公共预算财政拨款基本支出4,844.93万元，其中：</w:t>
      </w:r>
    </w:p>
    <w:p w14:paraId="1BDC3B9C">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人员经费4,627.75万元，主要包括：基本工资、津贴补贴、奖金、绩效工资、机关事业单位基本养老保险缴费、职业年金缴费、职工基本医疗保险缴费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抚恤金、生活补助、奖励金等。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公用经费217.18万元，主要包括：办公费、咨询费、水费、电费、邮电费、差旅费、维修（护）费、培训费、公务接待费、专用材料费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劳务费、福利费、公务用车运行维护费、其他交通费、其他商品和服务支出、办公设备购置、专用设备购置、信息网络及软件购置更新、其他资本性支出等。</w:t>
      </w:r>
    </w:p>
    <w:p w14:paraId="0E341CCB">
      <w:pPr>
        <w:spacing w:line="600" w:lineRule="exact"/>
        <w:ind w:firstLine="640"/>
        <w:rPr>
          <w:rFonts w:ascii="仿宋" w:hAnsi="仿宋" w:eastAsia="仿宋"/>
          <w:b/>
          <w:color w:val="auto"/>
          <w:sz w:val="32"/>
          <w:szCs w:val="32"/>
          <w:highlight w:val="none"/>
        </w:rPr>
      </w:pPr>
    </w:p>
    <w:p w14:paraId="3F471CCB">
      <w:pPr>
        <w:spacing w:line="600" w:lineRule="exact"/>
        <w:ind w:firstLine="640"/>
        <w:outlineLvl w:val="1"/>
        <w:rPr>
          <w:rStyle w:val="15"/>
          <w:rFonts w:ascii="黑体" w:hAnsi="黑体" w:eastAsia="黑体"/>
          <w:b w:val="0"/>
          <w:color w:val="auto"/>
          <w:highlight w:val="none"/>
        </w:rPr>
      </w:pPr>
      <w:bookmarkStart w:id="12" w:name="_Toc17242"/>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2"/>
    </w:p>
    <w:p w14:paraId="4501B488">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216AF6C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“三公”经费财政拨款支出决算为19.15万元，完成预算</w:t>
      </w:r>
      <w:r>
        <w:rPr>
          <w:rFonts w:hint="eastAsia" w:ascii="仿宋" w:hAnsi="仿宋" w:eastAsia="仿宋"/>
          <w:color w:val="auto"/>
          <w:sz w:val="32"/>
          <w:szCs w:val="32"/>
          <w:highlight w:val="none"/>
          <w:lang w:val="en-US" w:eastAsia="zh-CN"/>
        </w:rPr>
        <w:t>87.1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较上年度增加6.48</w:t>
      </w:r>
      <w:r>
        <w:rPr>
          <w:rFonts w:hint="eastAsia" w:ascii="仿宋" w:hAnsi="仿宋" w:eastAsia="仿宋"/>
          <w:color w:val="auto"/>
          <w:sz w:val="32"/>
          <w:szCs w:val="32"/>
          <w:highlight w:val="none"/>
          <w:lang w:val="en-US" w:eastAsia="zh-CN"/>
        </w:rPr>
        <w:t>万元，增长51.1%。</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lang w:val="en-US" w:eastAsia="zh-CN"/>
        </w:rPr>
        <w:t>为</w:t>
      </w:r>
      <w:r>
        <w:rPr>
          <w:rFonts w:hint="eastAsia" w:ascii="仿宋" w:hAnsi="仿宋" w:eastAsia="仿宋"/>
          <w:color w:val="auto"/>
          <w:sz w:val="32"/>
          <w:szCs w:val="32"/>
          <w:highlight w:val="none"/>
        </w:rPr>
        <w:t>公务用车增加1辆，</w:t>
      </w:r>
      <w:r>
        <w:rPr>
          <w:rFonts w:hint="eastAsia" w:ascii="仿宋" w:hAnsi="仿宋" w:eastAsia="仿宋"/>
          <w:color w:val="auto"/>
          <w:sz w:val="32"/>
          <w:szCs w:val="32"/>
          <w:highlight w:val="none"/>
          <w:lang w:val="en-US" w:eastAsia="zh-CN"/>
        </w:rPr>
        <w:t>相应增加公务用车</w:t>
      </w:r>
      <w:r>
        <w:rPr>
          <w:rFonts w:hint="eastAsia" w:ascii="仿宋" w:hAnsi="仿宋" w:eastAsia="仿宋"/>
          <w:color w:val="auto"/>
          <w:sz w:val="32"/>
          <w:szCs w:val="32"/>
          <w:highlight w:val="none"/>
        </w:rPr>
        <w:t>保险</w:t>
      </w:r>
      <w:r>
        <w:rPr>
          <w:rFonts w:hint="eastAsia" w:ascii="仿宋" w:hAnsi="仿宋" w:eastAsia="仿宋"/>
          <w:color w:val="auto"/>
          <w:sz w:val="32"/>
          <w:szCs w:val="32"/>
          <w:highlight w:val="none"/>
          <w:lang w:val="en-US" w:eastAsia="zh-CN"/>
        </w:rPr>
        <w:t>和</w:t>
      </w:r>
      <w:r>
        <w:rPr>
          <w:rFonts w:hint="eastAsia" w:ascii="仿宋" w:hAnsi="仿宋" w:eastAsia="仿宋"/>
          <w:color w:val="auto"/>
          <w:sz w:val="32"/>
          <w:szCs w:val="32"/>
          <w:highlight w:val="none"/>
        </w:rPr>
        <w:t>维修维护等，</w:t>
      </w:r>
      <w:r>
        <w:rPr>
          <w:rFonts w:hint="eastAsia" w:ascii="仿宋" w:hAnsi="仿宋" w:eastAsia="仿宋"/>
          <w:color w:val="auto"/>
          <w:sz w:val="32"/>
          <w:szCs w:val="32"/>
          <w:highlight w:val="none"/>
          <w:lang w:val="en-US" w:eastAsia="zh-CN"/>
        </w:rPr>
        <w:t>同时</w:t>
      </w:r>
      <w:r>
        <w:rPr>
          <w:rFonts w:hint="eastAsia" w:ascii="仿宋" w:hAnsi="仿宋" w:eastAsia="仿宋"/>
          <w:color w:val="auto"/>
          <w:sz w:val="32"/>
          <w:szCs w:val="32"/>
          <w:highlight w:val="none"/>
        </w:rPr>
        <w:t>道路保障任务越来越重，公务用车使用频率增加，油料费也</w:t>
      </w:r>
      <w:r>
        <w:rPr>
          <w:rFonts w:hint="eastAsia" w:ascii="仿宋" w:hAnsi="仿宋" w:eastAsia="仿宋"/>
          <w:color w:val="auto"/>
          <w:sz w:val="32"/>
          <w:szCs w:val="32"/>
          <w:highlight w:val="none"/>
          <w:lang w:val="en-US" w:eastAsia="zh-CN"/>
        </w:rPr>
        <w:t>随之</w:t>
      </w:r>
      <w:r>
        <w:rPr>
          <w:rFonts w:hint="eastAsia" w:ascii="仿宋" w:hAnsi="仿宋" w:eastAsia="仿宋"/>
          <w:color w:val="auto"/>
          <w:sz w:val="32"/>
          <w:szCs w:val="32"/>
          <w:highlight w:val="none"/>
        </w:rPr>
        <w:t>增加。</w:t>
      </w:r>
    </w:p>
    <w:p w14:paraId="22C883D9">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29C367A9">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；公务用车购置及运行维护费支出决算19万元，占</w:t>
      </w:r>
      <w:r>
        <w:rPr>
          <w:rFonts w:hint="eastAsia" w:ascii="仿宋" w:hAnsi="仿宋" w:eastAsia="仿宋"/>
          <w:color w:val="auto"/>
          <w:sz w:val="32"/>
          <w:szCs w:val="32"/>
          <w:highlight w:val="none"/>
          <w:lang w:val="en-US" w:eastAsia="zh-CN"/>
        </w:rPr>
        <w:t>99.2</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；公务接待费支出决算0.15万元，占</w:t>
      </w:r>
      <w:r>
        <w:rPr>
          <w:rFonts w:hint="eastAsia" w:ascii="仿宋" w:hAnsi="仿宋" w:eastAsia="仿宋"/>
          <w:color w:val="auto"/>
          <w:sz w:val="32"/>
          <w:szCs w:val="32"/>
          <w:highlight w:val="none"/>
          <w:lang w:val="en-US" w:eastAsia="zh-CN"/>
        </w:rPr>
        <w:t>0.8</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02CB8255">
      <w:pPr>
        <w:pStyle w:val="2"/>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35ACD0">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6E295F7E">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6BD9A72D">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 w:hAnsi="仿宋" w:eastAsia="仿宋"/>
          <w:color w:val="auto"/>
          <w:sz w:val="32"/>
          <w:szCs w:val="32"/>
          <w:highlight w:val="none"/>
        </w:rPr>
        <w:t>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增加6.91万元，增长57.1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项目增加，公务用车增加</w:t>
      </w:r>
      <w:r>
        <w:rPr>
          <w:rFonts w:hint="eastAsia" w:ascii="仿宋_GB2312" w:eastAsia="仿宋_GB2312"/>
          <w:color w:val="auto"/>
          <w:sz w:val="32"/>
          <w:szCs w:val="32"/>
          <w:highlight w:val="none"/>
        </w:rPr>
        <w:t>。</w:t>
      </w:r>
    </w:p>
    <w:p w14:paraId="7FA7B9B1">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ab/>
      </w: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其他车型4</w:t>
      </w:r>
      <w:r>
        <w:rPr>
          <w:rFonts w:hint="eastAsia" w:ascii="仿宋_GB2312" w:eastAsia="仿宋_GB2312"/>
          <w:color w:val="auto"/>
          <w:sz w:val="32"/>
          <w:szCs w:val="32"/>
          <w:highlight w:val="none"/>
        </w:rPr>
        <w:t>辆。</w:t>
      </w:r>
    </w:p>
    <w:p w14:paraId="56277BF0">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公务用车运行维护费支出19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公路养护等所需的公务用车燃料费、维修费、过路过桥费、保险费等支出</w:t>
      </w:r>
      <w:r>
        <w:rPr>
          <w:rFonts w:hint="eastAsia" w:ascii="仿宋_GB2312" w:eastAsia="仿宋_GB2312"/>
          <w:color w:val="auto"/>
          <w:sz w:val="32"/>
          <w:szCs w:val="32"/>
          <w:highlight w:val="none"/>
        </w:rPr>
        <w:t>。</w:t>
      </w:r>
    </w:p>
    <w:p w14:paraId="5ABA7272">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公务接待费支出0.15</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5</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减少0.43万元，下降74.1</w:t>
      </w:r>
      <w:bookmarkStart w:id="33" w:name="_GoBack"/>
      <w:bookmarkEnd w:id="33"/>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依据厉行节约原则，缩减公务接待费</w:t>
      </w:r>
      <w:r>
        <w:rPr>
          <w:rFonts w:hint="eastAsia" w:ascii="仿宋_GB2312" w:eastAsia="仿宋_GB2312"/>
          <w:color w:val="auto"/>
          <w:sz w:val="32"/>
          <w:szCs w:val="32"/>
          <w:highlight w:val="none"/>
        </w:rPr>
        <w:t>。其中：</w:t>
      </w:r>
    </w:p>
    <w:p w14:paraId="31BC01DF">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0.15</w:t>
      </w:r>
      <w:r>
        <w:rPr>
          <w:rFonts w:hint="eastAsia" w:ascii="仿宋_GB2312" w:eastAsia="仿宋_GB2312"/>
          <w:color w:val="auto"/>
          <w:sz w:val="32"/>
          <w:szCs w:val="32"/>
          <w:highlight w:val="none"/>
        </w:rPr>
        <w:t>万元，主要用于接待第一季度考核工作组</w:t>
      </w:r>
      <w:r>
        <w:rPr>
          <w:rFonts w:hint="eastAsia" w:ascii="仿宋_GB2312" w:eastAsia="仿宋_GB2312"/>
          <w:color w:val="auto"/>
          <w:sz w:val="32"/>
          <w:szCs w:val="32"/>
          <w:highlight w:val="none"/>
          <w:lang w:eastAsia="zh-CN"/>
        </w:rPr>
        <w:t>、接待第二季度考核工作组</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rPr>
        <w:t>活动开支的用餐费等。国内公务接待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0.15</w:t>
      </w:r>
      <w:r>
        <w:rPr>
          <w:rFonts w:hint="eastAsia" w:ascii="仿宋_GB2312" w:eastAsia="仿宋_GB2312"/>
          <w:color w:val="auto"/>
          <w:sz w:val="32"/>
          <w:szCs w:val="32"/>
          <w:highlight w:val="none"/>
        </w:rPr>
        <w:t>万元，具体内容包括：接待第一季度考核工作组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接待支出740元；接待第二季度考核工作组，接待支出760元</w:t>
      </w:r>
      <w:r>
        <w:rPr>
          <w:rFonts w:hint="eastAsia" w:ascii="仿宋_GB2312" w:eastAsia="仿宋_GB2312"/>
          <w:color w:val="auto"/>
          <w:sz w:val="32"/>
          <w:szCs w:val="32"/>
          <w:highlight w:val="none"/>
        </w:rPr>
        <w:t>。</w:t>
      </w:r>
    </w:p>
    <w:p w14:paraId="42609049">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38AC0B14">
      <w:pPr>
        <w:spacing w:line="600" w:lineRule="exact"/>
        <w:ind w:firstLine="640"/>
        <w:outlineLvl w:val="9"/>
        <w:rPr>
          <w:rFonts w:ascii="黑体" w:eastAsia="黑体"/>
          <w:color w:val="auto"/>
          <w:sz w:val="32"/>
          <w:szCs w:val="32"/>
          <w:highlight w:val="none"/>
        </w:rPr>
      </w:pPr>
    </w:p>
    <w:p w14:paraId="588A45B9">
      <w:pPr>
        <w:spacing w:line="600" w:lineRule="exact"/>
        <w:ind w:firstLine="640"/>
        <w:outlineLvl w:val="1"/>
        <w:rPr>
          <w:rStyle w:val="15"/>
          <w:rFonts w:ascii="黑体" w:hAnsi="黑体" w:eastAsia="黑体"/>
          <w:color w:val="auto"/>
          <w:highlight w:val="none"/>
        </w:rPr>
      </w:pPr>
      <w:bookmarkStart w:id="13" w:name="_Toc32590"/>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3"/>
    </w:p>
    <w:p w14:paraId="0E58CC4F">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306A6C18">
      <w:pPr>
        <w:spacing w:line="600" w:lineRule="exact"/>
        <w:ind w:firstLine="640"/>
        <w:rPr>
          <w:rFonts w:ascii="仿宋_GB2312" w:eastAsia="仿宋_GB2312"/>
          <w:color w:val="auto"/>
          <w:sz w:val="32"/>
          <w:szCs w:val="32"/>
          <w:highlight w:val="none"/>
        </w:rPr>
      </w:pPr>
    </w:p>
    <w:p w14:paraId="153C430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4" w:name="_Toc6780"/>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4"/>
    </w:p>
    <w:p w14:paraId="4F50A835">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871A9A2">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6B6C06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5" w:name="_Toc12355"/>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5"/>
    </w:p>
    <w:p w14:paraId="40BB6A48">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5EDB5CD5">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4666C09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41A8ED62">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政府采购支出总额172.9</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万元，其中：政府采购货物支出95.09万元、政府采购工程支出77.9万元、政府采购服务支出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万元。主要用于若尔盖公路分局2022省级交通专项国省道交通易发路段整治工程</w:t>
      </w:r>
      <w:r>
        <w:rPr>
          <w:rFonts w:hint="eastAsia" w:ascii="仿宋_GB2312" w:eastAsia="仿宋_GB2312"/>
          <w:color w:val="auto"/>
          <w:sz w:val="32"/>
          <w:szCs w:val="32"/>
          <w:highlight w:val="none"/>
          <w:lang w:val="en-US" w:eastAsia="zh-CN"/>
        </w:rPr>
        <w:t>和姜冬养护管理站风能光伏互补供电工程项目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28CAF837">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0CEDA591">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50E5BD80">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0FD08C89">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2023年本单位完成整体绩效自评，并撰写自评报告，自评得分90.83。不涉及项目绩效自评，故无项目绩效自评表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306B977C">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54D41DF7">
      <w:pPr>
        <w:numPr>
          <w:ilvl w:val="0"/>
          <w:numId w:val="0"/>
        </w:numPr>
        <w:spacing w:line="600" w:lineRule="exact"/>
        <w:jc w:val="center"/>
        <w:outlineLvl w:val="0"/>
        <w:rPr>
          <w:rStyle w:val="14"/>
          <w:rFonts w:ascii="黑体" w:hAnsi="黑体" w:eastAsia="黑体"/>
          <w:b w:val="0"/>
          <w:color w:val="auto"/>
          <w:highlight w:val="none"/>
        </w:rPr>
      </w:pPr>
      <w:bookmarkStart w:id="16" w:name="_Toc31659"/>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6"/>
    </w:p>
    <w:p w14:paraId="2BEDC561">
      <w:pPr>
        <w:spacing w:line="600" w:lineRule="exact"/>
        <w:jc w:val="left"/>
        <w:rPr>
          <w:rFonts w:ascii="宋体"/>
          <w:b/>
          <w:color w:val="auto"/>
          <w:sz w:val="44"/>
          <w:szCs w:val="44"/>
          <w:highlight w:val="none"/>
        </w:rPr>
      </w:pPr>
    </w:p>
    <w:p w14:paraId="0944914E">
      <w:pPr>
        <w:pStyle w:val="17"/>
        <w:spacing w:line="560" w:lineRule="exact"/>
        <w:ind w:firstLine="640" w:firstLineChars="200"/>
        <w:outlineLvl w:val="1"/>
        <w:rPr>
          <w:rFonts w:ascii="仿宋_GB2312" w:eastAsia="仿宋_GB2312"/>
          <w:color w:val="auto"/>
          <w:sz w:val="32"/>
          <w:szCs w:val="32"/>
          <w:highlight w:val="none"/>
        </w:rPr>
      </w:pPr>
      <w:bookmarkStart w:id="17" w:name="_Toc2743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7"/>
    </w:p>
    <w:p w14:paraId="144FB8ED">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764802E0">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2457CD02">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r>
        <w:rPr>
          <w:rFonts w:ascii="仿宋_GB2312" w:eastAsia="仿宋_GB2312"/>
          <w:color w:val="auto"/>
          <w:sz w:val="32"/>
          <w:szCs w:val="32"/>
          <w:highlight w:val="none"/>
        </w:rPr>
        <w:t xml:space="preserve"> </w:t>
      </w:r>
    </w:p>
    <w:p w14:paraId="311F32FB">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234509B6">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788B1EF">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6EAE4923">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反映除上述项目以外其他用于公路水路运输方面的支出。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反映行政事业单位按人力资源和社会保障部、财政部规定的基本工资和津贴补贴以及规定比例为职工缴纳的住房公积金。</w:t>
      </w:r>
    </w:p>
    <w:p w14:paraId="4B5F234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309E268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575EABCD">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6D33E22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3ED0F41D">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8F08DE2">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5646B95">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18" w:name="_Toc32687"/>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18"/>
    </w:p>
    <w:p w14:paraId="0EF91387">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21B28F49">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r>
        <w:rPr>
          <w:rFonts w:hint="eastAsia" w:cs="Times New Roman"/>
          <w:sz w:val="32"/>
          <w:szCs w:val="32"/>
          <w:highlight w:val="none"/>
          <w:lang w:val="en-US" w:eastAsia="zh-CN"/>
        </w:rPr>
        <w:t>2023年阿坝藏族羌族自治州公路管理局若尔盖公路管理分局无单位</w:t>
      </w:r>
      <w:r>
        <w:rPr>
          <w:rFonts w:hint="eastAsia" w:hAnsi="Times New Roman" w:cs="Times New Roman"/>
          <w:sz w:val="32"/>
          <w:szCs w:val="32"/>
          <w:highlight w:val="none"/>
          <w:lang w:val="en-US" w:eastAsia="zh-CN"/>
        </w:rPr>
        <w:t>预算项目支出绩效自评表。</w:t>
      </w:r>
    </w:p>
    <w:p w14:paraId="03289BE5">
      <w:pPr>
        <w:pStyle w:val="2"/>
        <w:rPr>
          <w:rFonts w:hint="eastAsia" w:ascii="仿宋_GB2312" w:hAnsi="Calibri" w:eastAsia="仿宋_GB2312" w:cs="仿宋"/>
          <w:color w:val="auto"/>
          <w:kern w:val="0"/>
          <w:sz w:val="32"/>
          <w:szCs w:val="32"/>
          <w:highlight w:val="none"/>
          <w:lang w:val="en-US" w:eastAsia="zh-CN" w:bidi="ar-SA"/>
        </w:rPr>
      </w:pPr>
    </w:p>
    <w:p w14:paraId="291BB7E6">
      <w:pPr>
        <w:pStyle w:val="2"/>
        <w:rPr>
          <w:rFonts w:hint="eastAsia" w:ascii="仿宋_GB2312" w:hAnsi="Calibri" w:eastAsia="仿宋_GB2312" w:cs="仿宋"/>
          <w:color w:val="auto"/>
          <w:kern w:val="0"/>
          <w:sz w:val="32"/>
          <w:szCs w:val="32"/>
          <w:highlight w:val="none"/>
          <w:lang w:val="en-US" w:eastAsia="zh-CN" w:bidi="ar-SA"/>
        </w:rPr>
      </w:pPr>
    </w:p>
    <w:p w14:paraId="78C9C1AC">
      <w:pPr>
        <w:pStyle w:val="2"/>
        <w:rPr>
          <w:rFonts w:hint="eastAsia" w:ascii="仿宋_GB2312" w:hAnsi="Calibri" w:eastAsia="仿宋_GB2312" w:cs="仿宋"/>
          <w:color w:val="auto"/>
          <w:kern w:val="0"/>
          <w:sz w:val="32"/>
          <w:szCs w:val="32"/>
          <w:highlight w:val="none"/>
          <w:lang w:val="en-US" w:eastAsia="zh-CN" w:bidi="ar-SA"/>
        </w:rPr>
      </w:pPr>
    </w:p>
    <w:p w14:paraId="67CA0F4B">
      <w:pPr>
        <w:pStyle w:val="2"/>
        <w:rPr>
          <w:rFonts w:hint="eastAsia" w:ascii="仿宋_GB2312" w:hAnsi="Calibri" w:eastAsia="仿宋_GB2312" w:cs="仿宋"/>
          <w:color w:val="auto"/>
          <w:kern w:val="0"/>
          <w:sz w:val="32"/>
          <w:szCs w:val="32"/>
          <w:highlight w:val="none"/>
          <w:lang w:val="en-US" w:eastAsia="zh-CN" w:bidi="ar-SA"/>
        </w:rPr>
      </w:pPr>
    </w:p>
    <w:p w14:paraId="3E2C2D7C">
      <w:pPr>
        <w:pStyle w:val="2"/>
        <w:rPr>
          <w:rFonts w:hint="eastAsia" w:ascii="仿宋_GB2312" w:hAnsi="Calibri" w:eastAsia="仿宋_GB2312" w:cs="仿宋"/>
          <w:color w:val="auto"/>
          <w:kern w:val="0"/>
          <w:sz w:val="32"/>
          <w:szCs w:val="32"/>
          <w:highlight w:val="none"/>
          <w:lang w:val="en-US" w:eastAsia="zh-CN" w:bidi="ar-SA"/>
        </w:rPr>
      </w:pPr>
    </w:p>
    <w:p w14:paraId="6A7AD5CD">
      <w:pPr>
        <w:pStyle w:val="2"/>
        <w:rPr>
          <w:rFonts w:hint="eastAsia" w:ascii="仿宋_GB2312" w:hAnsi="Calibri" w:eastAsia="仿宋_GB2312" w:cs="仿宋"/>
          <w:color w:val="auto"/>
          <w:kern w:val="0"/>
          <w:sz w:val="32"/>
          <w:szCs w:val="32"/>
          <w:highlight w:val="none"/>
          <w:lang w:val="en-US" w:eastAsia="zh-CN" w:bidi="ar-SA"/>
        </w:rPr>
      </w:pPr>
    </w:p>
    <w:p w14:paraId="2C501B7E">
      <w:pPr>
        <w:pStyle w:val="2"/>
        <w:rPr>
          <w:rFonts w:hint="eastAsia" w:ascii="仿宋_GB2312" w:hAnsi="Calibri" w:eastAsia="仿宋_GB2312" w:cs="仿宋"/>
          <w:color w:val="auto"/>
          <w:kern w:val="0"/>
          <w:sz w:val="32"/>
          <w:szCs w:val="32"/>
          <w:highlight w:val="none"/>
          <w:lang w:val="en-US" w:eastAsia="zh-CN" w:bidi="ar-SA"/>
        </w:rPr>
      </w:pPr>
    </w:p>
    <w:p w14:paraId="22C09097">
      <w:pPr>
        <w:pStyle w:val="2"/>
        <w:rPr>
          <w:rFonts w:hint="eastAsia" w:ascii="仿宋_GB2312" w:hAnsi="Calibri" w:eastAsia="仿宋_GB2312" w:cs="仿宋"/>
          <w:color w:val="auto"/>
          <w:kern w:val="0"/>
          <w:sz w:val="32"/>
          <w:szCs w:val="32"/>
          <w:highlight w:val="none"/>
          <w:lang w:val="en-US" w:eastAsia="zh-CN" w:bidi="ar-SA"/>
        </w:rPr>
      </w:pPr>
    </w:p>
    <w:p w14:paraId="1F95A586">
      <w:pPr>
        <w:pStyle w:val="2"/>
        <w:rPr>
          <w:rFonts w:hint="eastAsia" w:ascii="仿宋_GB2312" w:hAnsi="Calibri" w:eastAsia="仿宋_GB2312" w:cs="仿宋"/>
          <w:color w:val="auto"/>
          <w:kern w:val="0"/>
          <w:sz w:val="32"/>
          <w:szCs w:val="32"/>
          <w:highlight w:val="none"/>
          <w:lang w:val="en-US" w:eastAsia="zh-CN" w:bidi="ar-SA"/>
        </w:rPr>
      </w:pPr>
    </w:p>
    <w:p w14:paraId="3E5A795F">
      <w:pPr>
        <w:pStyle w:val="2"/>
        <w:rPr>
          <w:rFonts w:hint="eastAsia" w:ascii="仿宋_GB2312" w:hAnsi="Calibri" w:eastAsia="仿宋_GB2312" w:cs="仿宋"/>
          <w:color w:val="auto"/>
          <w:kern w:val="0"/>
          <w:sz w:val="32"/>
          <w:szCs w:val="32"/>
          <w:highlight w:val="none"/>
          <w:lang w:val="en-US" w:eastAsia="zh-CN" w:bidi="ar-SA"/>
        </w:rPr>
      </w:pPr>
    </w:p>
    <w:p w14:paraId="7DC94544">
      <w:pPr>
        <w:pStyle w:val="2"/>
        <w:rPr>
          <w:rFonts w:hint="eastAsia" w:ascii="仿宋_GB2312" w:hAnsi="Calibri" w:eastAsia="仿宋_GB2312" w:cs="仿宋"/>
          <w:color w:val="auto"/>
          <w:kern w:val="0"/>
          <w:sz w:val="32"/>
          <w:szCs w:val="32"/>
          <w:highlight w:val="none"/>
          <w:lang w:val="en-US" w:eastAsia="zh-CN" w:bidi="ar-SA"/>
        </w:rPr>
      </w:pPr>
    </w:p>
    <w:p w14:paraId="475086E2">
      <w:pPr>
        <w:pStyle w:val="2"/>
        <w:rPr>
          <w:rFonts w:hint="eastAsia" w:ascii="仿宋_GB2312" w:hAnsi="Calibri" w:eastAsia="仿宋_GB2312" w:cs="仿宋"/>
          <w:color w:val="auto"/>
          <w:kern w:val="0"/>
          <w:sz w:val="32"/>
          <w:szCs w:val="32"/>
          <w:highlight w:val="none"/>
          <w:lang w:val="en-US" w:eastAsia="zh-CN" w:bidi="ar-SA"/>
        </w:rPr>
      </w:pPr>
    </w:p>
    <w:p w14:paraId="53C4EF45">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70BDAA9">
      <w:pPr>
        <w:spacing w:line="600" w:lineRule="exact"/>
        <w:jc w:val="center"/>
        <w:outlineLvl w:val="0"/>
        <w:rPr>
          <w:rFonts w:hint="eastAsia" w:ascii="仿宋" w:hAnsi="仿宋" w:eastAsia="仿宋"/>
          <w:b w:val="0"/>
          <w:color w:val="auto"/>
          <w:highlight w:val="none"/>
        </w:rPr>
      </w:pPr>
      <w:bookmarkStart w:id="19" w:name="_Toc20610"/>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19"/>
    </w:p>
    <w:p w14:paraId="740F236C">
      <w:pPr>
        <w:pStyle w:val="4"/>
        <w:rPr>
          <w:rFonts w:ascii="仿宋" w:hAnsi="仿宋" w:eastAsia="仿宋"/>
          <w:color w:val="auto"/>
          <w:highlight w:val="none"/>
        </w:rPr>
      </w:pPr>
      <w:bookmarkStart w:id="20" w:name="_Toc19625"/>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0"/>
    </w:p>
    <w:p w14:paraId="1CEAF04B">
      <w:pPr>
        <w:pStyle w:val="4"/>
        <w:rPr>
          <w:rFonts w:ascii="仿宋" w:hAnsi="仿宋" w:eastAsia="仿宋"/>
          <w:color w:val="auto"/>
          <w:highlight w:val="none"/>
        </w:rPr>
      </w:pPr>
      <w:bookmarkStart w:id="21" w:name="_Toc32579"/>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1"/>
    </w:p>
    <w:p w14:paraId="2D48E71F">
      <w:pPr>
        <w:pStyle w:val="4"/>
        <w:rPr>
          <w:rFonts w:ascii="仿宋" w:hAnsi="仿宋" w:eastAsia="仿宋"/>
          <w:color w:val="auto"/>
          <w:highlight w:val="none"/>
        </w:rPr>
      </w:pPr>
      <w:bookmarkStart w:id="22" w:name="_Toc22902"/>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2"/>
    </w:p>
    <w:p w14:paraId="31660658">
      <w:pPr>
        <w:pStyle w:val="4"/>
        <w:rPr>
          <w:rFonts w:ascii="仿宋" w:hAnsi="仿宋" w:eastAsia="仿宋"/>
          <w:b w:val="0"/>
          <w:color w:val="auto"/>
          <w:highlight w:val="none"/>
        </w:rPr>
      </w:pPr>
      <w:bookmarkStart w:id="23" w:name="_Toc32588"/>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3"/>
    </w:p>
    <w:p w14:paraId="7DD99D2A">
      <w:pPr>
        <w:pStyle w:val="4"/>
        <w:rPr>
          <w:rStyle w:val="15"/>
          <w:rFonts w:ascii="仿宋" w:hAnsi="仿宋" w:eastAsia="仿宋"/>
          <w:b w:val="0"/>
          <w:bCs w:val="0"/>
          <w:color w:val="auto"/>
          <w:highlight w:val="none"/>
        </w:rPr>
      </w:pPr>
      <w:bookmarkStart w:id="24" w:name="_Toc4394"/>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4"/>
    </w:p>
    <w:p w14:paraId="569EA03E">
      <w:pPr>
        <w:pStyle w:val="4"/>
        <w:rPr>
          <w:rFonts w:ascii="仿宋" w:hAnsi="仿宋" w:eastAsia="仿宋"/>
          <w:color w:val="auto"/>
          <w:highlight w:val="none"/>
        </w:rPr>
      </w:pPr>
      <w:bookmarkStart w:id="25" w:name="_Toc12131"/>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5"/>
    </w:p>
    <w:p w14:paraId="6AEFC7E7">
      <w:pPr>
        <w:pStyle w:val="4"/>
        <w:rPr>
          <w:rFonts w:ascii="仿宋" w:hAnsi="仿宋" w:eastAsia="仿宋"/>
          <w:color w:val="auto"/>
          <w:highlight w:val="none"/>
        </w:rPr>
      </w:pPr>
      <w:bookmarkStart w:id="26" w:name="_Toc32622"/>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6"/>
    </w:p>
    <w:p w14:paraId="0273583E">
      <w:pPr>
        <w:pStyle w:val="4"/>
        <w:rPr>
          <w:rFonts w:ascii="仿宋" w:hAnsi="仿宋" w:eastAsia="仿宋"/>
          <w:color w:val="auto"/>
          <w:highlight w:val="none"/>
        </w:rPr>
      </w:pPr>
      <w:bookmarkStart w:id="27" w:name="_Toc23711"/>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7"/>
    </w:p>
    <w:p w14:paraId="3AA04E8A">
      <w:pPr>
        <w:pStyle w:val="4"/>
        <w:rPr>
          <w:rFonts w:ascii="仿宋" w:hAnsi="仿宋" w:eastAsia="仿宋"/>
          <w:color w:val="auto"/>
          <w:highlight w:val="none"/>
        </w:rPr>
      </w:pPr>
      <w:bookmarkStart w:id="28" w:name="_Toc13508"/>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28"/>
    </w:p>
    <w:p w14:paraId="08D0F763">
      <w:pPr>
        <w:pStyle w:val="4"/>
        <w:rPr>
          <w:rFonts w:ascii="仿宋" w:hAnsi="仿宋" w:eastAsia="仿宋"/>
          <w:color w:val="auto"/>
          <w:highlight w:val="none"/>
        </w:rPr>
      </w:pPr>
      <w:bookmarkStart w:id="29" w:name="_Toc5655"/>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29"/>
    </w:p>
    <w:p w14:paraId="4CECD3FF">
      <w:pPr>
        <w:pStyle w:val="4"/>
        <w:rPr>
          <w:rFonts w:ascii="仿宋" w:hAnsi="仿宋" w:eastAsia="仿宋"/>
          <w:color w:val="auto"/>
          <w:highlight w:val="none"/>
        </w:rPr>
      </w:pPr>
      <w:bookmarkStart w:id="30" w:name="_Toc18949"/>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0"/>
    </w:p>
    <w:p w14:paraId="4660E17B">
      <w:pPr>
        <w:pStyle w:val="4"/>
        <w:rPr>
          <w:rFonts w:ascii="仿宋" w:hAnsi="仿宋" w:eastAsia="仿宋"/>
          <w:color w:val="auto"/>
          <w:highlight w:val="none"/>
        </w:rPr>
      </w:pPr>
      <w:bookmarkStart w:id="31" w:name="_Toc9980"/>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1"/>
    </w:p>
    <w:p w14:paraId="7A928410">
      <w:pPr>
        <w:pStyle w:val="4"/>
        <w:rPr>
          <w:rFonts w:hint="eastAsia" w:eastAsia="仿宋"/>
          <w:color w:val="auto"/>
          <w:highlight w:val="none"/>
          <w:lang w:eastAsia="zh-CN"/>
        </w:rPr>
      </w:pPr>
      <w:bookmarkStart w:id="32" w:name="_Toc25734"/>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2"/>
    </w:p>
    <w:p w14:paraId="63246C99">
      <w:pPr>
        <w:rPr>
          <w:rFonts w:hint="eastAsia"/>
          <w:lang w:eastAsia="zh-CN"/>
        </w:rPr>
      </w:pPr>
    </w:p>
    <w:p w14:paraId="097ED82F"/>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528FA">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33A1FD7A">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C9C0F4C">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33A1FD7A">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C9C0F4C">
                    <w:pPr>
                      <w:pStyle w:val="9"/>
                    </w:pPr>
                  </w:p>
                </w:txbxContent>
              </v:textbox>
            </v:shape>
          </w:pict>
        </mc:Fallback>
      </mc:AlternateContent>
    </w:r>
  </w:p>
  <w:p w14:paraId="5B073EC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F154E">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9A7C8">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2439A7C8">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C757680"/>
    <w:rsid w:val="10042CED"/>
    <w:rsid w:val="17681DB3"/>
    <w:rsid w:val="2BB138D1"/>
    <w:rsid w:val="3E630A5B"/>
    <w:rsid w:val="4A574BD0"/>
    <w:rsid w:val="5A4F179B"/>
    <w:rsid w:val="5A836E09"/>
    <w:rsid w:val="5BDB5C7C"/>
    <w:rsid w:val="61DA0784"/>
    <w:rsid w:val="65876E75"/>
    <w:rsid w:val="6D936168"/>
    <w:rsid w:val="74BF5CE3"/>
    <w:rsid w:val="78397B5B"/>
    <w:rsid w:val="7AD01609"/>
    <w:rsid w:val="7D006E99"/>
    <w:rsid w:val="7F0710F4"/>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uiPriority w:val="0"/>
    <w:pPr>
      <w:ind w:leftChars="0"/>
    </w:pPr>
    <w:rPr>
      <w:rFonts w:ascii="Times New Roman" w:hAnsi="Times New Roman" w:eastAsia="宋体" w:cs="Times New Roman"/>
      <w:sz w:val="20"/>
      <w:szCs w:val="20"/>
    </w:rPr>
  </w:style>
  <w:style w:type="paragraph" w:customStyle="1" w:styleId="1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5111.059331</c:v>
                </c:pt>
                <c:pt idx="1">
                  <c:v>5111.059331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3631.354782</c:v>
                </c:pt>
                <c:pt idx="1">
                  <c:v>3631.354782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100</a:t>
                    </a:r>
                    <a:r>
                      <a:rPr lang="en-US" altLang="zh-CN"/>
                      <a:t>%</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94.</a:t>
                    </a:r>
                    <a:r>
                      <a:rPr lang="en-US" altLang="zh-CN"/>
                      <a:t>8</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5.2%</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0.9479</c:v>
                </c:pt>
                <c:pt idx="1">
                  <c:v>0.0521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5111.059331</c:v>
                </c:pt>
                <c:pt idx="1">
                  <c:v>5111.059331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3631.354782</c:v>
                </c:pt>
                <c:pt idx="1">
                  <c:v>3631.354782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_ * #,##0.00_ ;_ * \-#,##0.00_ ;_ * "-"??_ ;_ @_ </c:formatCode>
                <c:ptCount val="1"/>
                <c:pt idx="0">
                  <c:v>5111.059331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_ * #,##0.00_ ;_ * \-#,##0.00_ ;_ * "-"??_ ;_ @_ </c:formatCode>
                <c:ptCount val="1"/>
                <c:pt idx="0">
                  <c:v>3631.354782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2</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4.4%</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80.7%</a:t>
                    </a:r>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7</a:t>
                    </a:r>
                    <a:r>
                      <a:t>%</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0.0919</c:v>
                </c:pt>
                <c:pt idx="1">
                  <c:v>0.0441</c:v>
                </c:pt>
                <c:pt idx="2">
                  <c:v>0.8073</c:v>
                </c:pt>
                <c:pt idx="3">
                  <c:v>0.0567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554481758878956"/>
                  <c:y val="-0.023586910327241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99.2%</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554481758878956"/>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8</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formatCode="0.00%">
                  <c:v>0.9922</c:v>
                </c:pt>
                <c:pt idx="2" c:formatCode="0.00%">
                  <c:v>0.0078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5113</Words>
  <Characters>5610</Characters>
  <Lines>0</Lines>
  <Paragraphs>0</Paragraphs>
  <TotalTime>8</TotalTime>
  <ScaleCrop>false</ScaleCrop>
  <LinksUpToDate>false</LinksUpToDate>
  <CharactersWithSpaces>5781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0246CBBB0F8C44E98FC153FA3160C126_13</vt:lpwstr>
  </property>
</Properties>
</file>