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7B8C5">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2E7391C7">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2023年度阿坝藏族羌族自治州公路管理局红原公路管理分局单位决算</w:t>
      </w:r>
    </w:p>
    <w:p w14:paraId="54035A10">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6FFC7D25">
      <w:pPr>
        <w:widowControl/>
        <w:jc w:val="center"/>
        <w:rPr>
          <w:rFonts w:ascii="黑体" w:hAnsi="黑体" w:eastAsia="黑体" w:cstheme="minorBidi"/>
          <w:color w:val="auto"/>
          <w:sz w:val="28"/>
          <w:szCs w:val="28"/>
          <w:highlight w:val="none"/>
        </w:rPr>
      </w:pPr>
    </w:p>
    <w:p w14:paraId="4108863F">
      <w:pPr>
        <w:pStyle w:val="7"/>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66659"/>
        <w15:color w:val="DBDBDB"/>
        <w:docPartObj>
          <w:docPartGallery w:val="Table of Contents"/>
          <w:docPartUnique/>
        </w:docPartObj>
      </w:sdtPr>
      <w:sdtEndPr>
        <w:rPr>
          <w:rFonts w:hint="eastAsia" w:ascii="Times New Roman" w:hAnsi="Times New Roman" w:eastAsia="宋体" w:cs="Times New Roman"/>
          <w:b/>
          <w:color w:val="auto"/>
          <w:kern w:val="2"/>
          <w:sz w:val="21"/>
          <w:szCs w:val="24"/>
          <w:highlight w:val="none"/>
          <w:lang w:val="en-US" w:eastAsia="zh-CN" w:bidi="ar-SA"/>
        </w:rPr>
      </w:sdtEndPr>
      <w:sdtContent>
        <w:p w14:paraId="26276CF4">
          <w:pPr>
            <w:spacing w:before="0" w:beforeLines="0" w:after="0" w:afterLines="0" w:line="240" w:lineRule="auto"/>
            <w:ind w:left="0" w:leftChars="0" w:right="0" w:rightChars="0" w:firstLine="0" w:firstLineChars="0"/>
            <w:jc w:val="center"/>
          </w:pPr>
        </w:p>
        <w:p w14:paraId="722F996F">
          <w:pPr>
            <w:pStyle w:val="18"/>
            <w:tabs>
              <w:tab w:val="right" w:leader="dot" w:pos="8306"/>
            </w:tabs>
            <w:rPr>
              <w:rFonts w:hint="eastAsia" w:ascii="仿宋" w:hAnsi="仿宋" w:eastAsia="仿宋" w:cs="仿宋"/>
              <w:b/>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TOC \o "1-2" \h \u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_Toc3852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_Toc3852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E7CB813">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_Toc30749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_Toc30749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71A6DB0">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_Toc13419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_Toc13419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BBDB252">
          <w:pPr>
            <w:pStyle w:val="18"/>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_Toc19763 </w:instrText>
          </w:r>
          <w:r>
            <w:rPr>
              <w:rFonts w:hint="eastAsia" w:ascii="仿宋" w:hAnsi="仿宋" w:eastAsia="仿宋" w:cs="仿宋"/>
              <w:b/>
              <w:sz w:val="28"/>
              <w:szCs w:val="28"/>
              <w:highlight w:val="none"/>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_Toc19763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- 3 -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27A39C43">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_Toc15669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_Toc15669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FAA220F">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_Toc5072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_Toc5072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E468A0C">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_Toc4678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_Toc4678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16F2F7A">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_Toc3834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_Toc3834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D1A161F">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06EDF65">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_Toc1037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_Toc1037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DBB68C6">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_Toc6238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_Toc6238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BC6A046">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_Toc13372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_Toc13372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6D2B660">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_Toc4324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_Toc4324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08C7ED5">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_Toc31250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_Toc31250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60ABD0">
          <w:pPr>
            <w:pStyle w:val="18"/>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_Toc20805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_Toc20805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- 13 -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96AA7AA">
          <w:pPr>
            <w:pStyle w:val="18"/>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_Toc14861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_Toc14861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- 16 -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6D1A6A42">
          <w:pPr>
            <w:pStyle w:val="18"/>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_Toc25054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_Toc25054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- 20 -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66A5B64B">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_Toc28994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_Toc28994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E32F878">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_Toc29627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_Toc29627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E6B772F">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_Toc20563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_Toc20563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1122D25">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_Toc27830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_Toc27830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A050B5D">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_Toc9853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_Toc9853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93CDD70">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_Toc7173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_Toc7173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CF33AC4">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_Toc9151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_Toc9151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2144D88">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_Toc8397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_Toc8397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FDF3861">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_Toc17761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_Toc17761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190890B">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_Toc15132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_Toc15132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A66F5DF">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_Toc19319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_Toc19319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65AC557">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_Toc12783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_Toc12783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729F7B3">
          <w:pPr>
            <w:pStyle w:val="19"/>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_Toc13150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_Toc13150 \h </w:instrText>
          </w:r>
          <w:r>
            <w:rPr>
              <w:rFonts w:hint="eastAsia" w:ascii="仿宋" w:hAnsi="仿宋" w:eastAsia="仿宋" w:cs="仿宋"/>
              <w:sz w:val="28"/>
              <w:szCs w:val="28"/>
            </w:rPr>
            <w:fldChar w:fldCharType="separate"/>
          </w:r>
          <w:r>
            <w:rPr>
              <w:rFonts w:hint="eastAsia" w:ascii="仿宋" w:hAnsi="仿宋" w:eastAsia="仿宋" w:cs="仿宋"/>
              <w:sz w:val="28"/>
              <w:szCs w:val="28"/>
            </w:rPr>
            <w:t>- 20 -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244D683">
          <w:pPr>
            <w:pStyle w:val="10"/>
            <w:adjustRightInd w:val="0"/>
            <w:snapToGrid w:val="0"/>
            <w:spacing w:line="240" w:lineRule="auto"/>
            <w:ind w:left="0" w:leftChars="0" w:firstLine="0" w:firstLineChars="0"/>
            <w:jc w:val="left"/>
            <w:rPr>
              <w:rFonts w:hint="eastAsia" w:ascii="Times New Roman" w:hAnsi="Times New Roman" w:eastAsia="宋体" w:cs="Times New Roman"/>
              <w:b/>
              <w:color w:val="auto"/>
              <w:kern w:val="2"/>
              <w:sz w:val="21"/>
              <w:szCs w:val="24"/>
              <w:highlight w:val="none"/>
              <w:lang w:val="en-US" w:eastAsia="zh-CN" w:bidi="ar-SA"/>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color w:val="auto"/>
              <w:sz w:val="28"/>
              <w:szCs w:val="28"/>
              <w:highlight w:val="none"/>
            </w:rPr>
            <w:fldChar w:fldCharType="end"/>
          </w:r>
        </w:p>
      </w:sdtContent>
    </w:sdt>
    <w:p w14:paraId="1F1B8213">
      <w:pPr>
        <w:pStyle w:val="3"/>
        <w:jc w:val="center"/>
        <w:rPr>
          <w:rStyle w:val="14"/>
          <w:rFonts w:ascii="黑体" w:hAnsi="黑体" w:eastAsia="黑体"/>
          <w:b/>
          <w:bCs w:val="0"/>
          <w:color w:val="auto"/>
          <w:highlight w:val="none"/>
        </w:rPr>
      </w:pPr>
      <w:bookmarkStart w:id="0" w:name="_Toc3852"/>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4"/>
          <w:rFonts w:hint="eastAsia" w:ascii="黑体" w:hAnsi="黑体" w:eastAsia="黑体"/>
          <w:b w:val="0"/>
          <w:bCs w:val="0"/>
          <w:color w:val="auto"/>
          <w:highlight w:val="none"/>
        </w:rPr>
        <w:t>概况</w:t>
      </w:r>
      <w:bookmarkEnd w:id="0"/>
    </w:p>
    <w:p w14:paraId="49032E98">
      <w:pPr>
        <w:widowControl/>
        <w:jc w:val="left"/>
        <w:rPr>
          <w:rFonts w:ascii="黑体" w:eastAsia="黑体"/>
          <w:color w:val="auto"/>
          <w:sz w:val="32"/>
          <w:szCs w:val="32"/>
          <w:highlight w:val="none"/>
        </w:rPr>
      </w:pPr>
    </w:p>
    <w:p w14:paraId="0C1A788F">
      <w:pPr>
        <w:pStyle w:val="4"/>
        <w:pageBreakBefore w:val="0"/>
        <w:widowControl w:val="0"/>
        <w:numPr>
          <w:ilvl w:val="0"/>
          <w:numId w:val="1"/>
        </w:numPr>
        <w:kinsoku/>
        <w:wordWrap/>
        <w:overflowPunct/>
        <w:topLinePunct w:val="0"/>
        <w:autoSpaceDE/>
        <w:autoSpaceDN/>
        <w:bidi w:val="0"/>
        <w:adjustRightInd/>
        <w:snapToGrid/>
        <w:spacing w:line="600" w:lineRule="exact"/>
        <w:textAlignment w:val="auto"/>
        <w:rPr>
          <w:rStyle w:val="15"/>
          <w:rFonts w:hint="eastAsia" w:ascii="黑体" w:hAnsi="黑体" w:eastAsia="黑体"/>
          <w:b w:val="0"/>
          <w:bCs w:val="0"/>
          <w:color w:val="auto"/>
          <w:highlight w:val="none"/>
          <w:lang w:eastAsia="zh-CN"/>
        </w:rPr>
      </w:pPr>
      <w:bookmarkStart w:id="1" w:name="_Toc30749"/>
      <w:r>
        <w:rPr>
          <w:rStyle w:val="15"/>
          <w:rFonts w:hint="eastAsia" w:ascii="黑体" w:hAnsi="黑体" w:eastAsia="黑体"/>
          <w:b w:val="0"/>
          <w:bCs w:val="0"/>
          <w:color w:val="auto"/>
          <w:highlight w:val="none"/>
          <w:lang w:eastAsia="zh-CN"/>
        </w:rPr>
        <w:t>主要职责</w:t>
      </w:r>
      <w:bookmarkEnd w:id="1"/>
    </w:p>
    <w:p w14:paraId="768C311A">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日常养护工作：分局以路面养护为重点，突出全面养护目标，结合现代化养护体系建设思路，加大机械使用效率，科学合理利用好现有机械，部署各项公路养护工作，着力提升路况质量、改善路容路貌，精准施策整治安全行车隐患，全力营造“畅、安、舒、美”公路通行环境。</w:t>
      </w:r>
    </w:p>
    <w:p w14:paraId="11A9888B">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信息化工作：为扎实推进公路养护信息化建设，工程股技术人员组织养护站和相关股室人员进行信息化系统集中培训及下站培训学习，使各养护站职工能够熟练掌握阿坝州公路养护巡查系统、灾毁采集系统、蜀路通、四川省公路养护分析平台等系统操作，提高巡查系统使用率。实现了养护管理信息化，有效提升了工作效率。</w:t>
      </w:r>
    </w:p>
    <w:p w14:paraId="52611B7C">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绿化美化工作：因地制宜实施路肩培土、种花植草、打造文化挡墙等。极大地提升了路容路貌，进一步改善了公路路域环境水平。</w:t>
      </w:r>
    </w:p>
    <w:p w14:paraId="26723C6D">
      <w:pPr>
        <w:pStyle w:val="4"/>
        <w:numPr>
          <w:ilvl w:val="0"/>
          <w:numId w:val="0"/>
        </w:numPr>
        <w:rPr>
          <w:rFonts w:hint="eastAsia" w:ascii="黑体" w:hAnsi="黑体" w:eastAsia="黑体"/>
          <w:b w:val="0"/>
          <w:color w:val="auto"/>
          <w:highlight w:val="none"/>
          <w:lang w:val="en-US" w:eastAsia="zh-CN"/>
        </w:rPr>
      </w:pPr>
      <w:bookmarkStart w:id="2" w:name="_Toc13419"/>
      <w:r>
        <w:rPr>
          <w:rFonts w:hint="eastAsia" w:ascii="黑体" w:hAnsi="黑体" w:eastAsia="黑体"/>
          <w:b w:val="0"/>
          <w:color w:val="auto"/>
          <w:highlight w:val="none"/>
          <w:lang w:val="en-US" w:eastAsia="zh-CN"/>
        </w:rPr>
        <w:t>二、机构设置</w:t>
      </w:r>
      <w:bookmarkEnd w:id="2"/>
    </w:p>
    <w:p w14:paraId="4C937A32">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分局下设两室五股（党支部工会办公室、行政办公室、人事股、安全股、工程股、财务股、机料股），1个红原公路养护和应急保通中心、2个养护管理站（瓦切养护管理站、麦洼养护管理站）</w:t>
      </w:r>
      <w:r>
        <w:rPr>
          <w:rFonts w:hint="eastAsia" w:ascii="仿宋" w:hAnsi="仿宋" w:eastAsia="仿宋"/>
          <w:color w:val="auto"/>
          <w:sz w:val="32"/>
          <w:szCs w:val="32"/>
          <w:highlight w:val="none"/>
          <w:lang w:eastAsia="zh-CN"/>
        </w:rPr>
        <w:t>。</w:t>
      </w:r>
    </w:p>
    <w:p w14:paraId="7B6ECD50">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0D1DB870">
      <w:pPr>
        <w:pStyle w:val="3"/>
        <w:ind w:right="440"/>
        <w:jc w:val="center"/>
        <w:rPr>
          <w:rStyle w:val="14"/>
          <w:rFonts w:ascii="黑体" w:hAnsi="黑体" w:eastAsia="黑体"/>
          <w:b w:val="0"/>
          <w:bCs/>
          <w:color w:val="auto"/>
          <w:highlight w:val="none"/>
        </w:rPr>
      </w:pPr>
      <w:bookmarkStart w:id="3" w:name="_Toc19763"/>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4"/>
          <w:rFonts w:hint="eastAsia" w:ascii="黑体" w:hAnsi="黑体" w:eastAsia="黑体"/>
          <w:b w:val="0"/>
          <w:bCs/>
          <w:color w:val="auto"/>
          <w:highlight w:val="none"/>
          <w:lang w:eastAsia="zh-CN"/>
        </w:rPr>
        <w:t>单位</w:t>
      </w:r>
      <w:r>
        <w:rPr>
          <w:rStyle w:val="14"/>
          <w:rFonts w:hint="eastAsia" w:ascii="黑体" w:hAnsi="黑体" w:eastAsia="黑体"/>
          <w:b w:val="0"/>
          <w:bCs/>
          <w:color w:val="auto"/>
          <w:highlight w:val="none"/>
        </w:rPr>
        <w:t>决算情况说明</w:t>
      </w:r>
      <w:bookmarkEnd w:id="3"/>
    </w:p>
    <w:p w14:paraId="499F2635">
      <w:pPr>
        <w:rPr>
          <w:color w:val="auto"/>
          <w:highlight w:val="none"/>
        </w:rPr>
      </w:pPr>
    </w:p>
    <w:p w14:paraId="6EED62B8">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4" w:name="_Toc1566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入支出决算总体情况说明</w:t>
      </w:r>
      <w:bookmarkEnd w:id="4"/>
    </w:p>
    <w:p w14:paraId="0D3AA31B">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均为3,267.97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相比，收、支总计各增加850.88万元，增长35.2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。主要变动原因是国省干线公路小修保养经费</w:t>
      </w:r>
      <w:r>
        <w:rPr>
          <w:rFonts w:hint="eastAsia" w:ascii="仿宋" w:hAnsi="仿宋" w:eastAsia="仿宋"/>
          <w:color w:val="auto"/>
          <w:sz w:val="32"/>
          <w:szCs w:val="32"/>
          <w:highlight w:val="none"/>
          <w:lang w:val="en-US" w:eastAsia="zh-CN"/>
        </w:rPr>
        <w:t>等</w:t>
      </w:r>
      <w:r>
        <w:rPr>
          <w:rFonts w:hint="eastAsia" w:ascii="仿宋" w:hAnsi="仿宋" w:eastAsia="仿宋"/>
          <w:color w:val="auto"/>
          <w:sz w:val="32"/>
          <w:szCs w:val="32"/>
          <w:highlight w:val="none"/>
        </w:rPr>
        <w:t>项目经费</w:t>
      </w:r>
      <w:r>
        <w:rPr>
          <w:rFonts w:hint="eastAsia" w:ascii="仿宋" w:hAnsi="仿宋" w:eastAsia="仿宋"/>
          <w:color w:val="auto"/>
          <w:sz w:val="32"/>
          <w:szCs w:val="32"/>
          <w:highlight w:val="none"/>
          <w:lang w:val="en-US" w:eastAsia="zh-CN"/>
        </w:rPr>
        <w:t>增加，社保调标人员经费</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eastAsia="zh-CN"/>
        </w:rPr>
        <w:t>。</w:t>
      </w:r>
    </w:p>
    <w:p w14:paraId="675D5141">
      <w:pPr>
        <w:pStyle w:val="2"/>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344D8D7">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7F3E6299">
      <w:pPr>
        <w:spacing w:line="600" w:lineRule="exact"/>
        <w:ind w:firstLine="640" w:firstLineChars="200"/>
        <w:jc w:val="left"/>
        <w:rPr>
          <w:rFonts w:ascii="仿宋_GB2312" w:eastAsia="仿宋_GB2312"/>
          <w:color w:val="auto"/>
          <w:sz w:val="32"/>
          <w:szCs w:val="32"/>
          <w:highlight w:val="none"/>
        </w:rPr>
      </w:pPr>
    </w:p>
    <w:p w14:paraId="4000911C">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5" w:name="_Toc5072"/>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入决算情况说明</w:t>
      </w:r>
      <w:bookmarkEnd w:id="5"/>
    </w:p>
    <w:p w14:paraId="20E69649">
      <w:pPr>
        <w:spacing w:line="600" w:lineRule="exact"/>
        <w:ind w:firstLine="640" w:firstLineChars="200"/>
        <w:outlineLvl w:val="1"/>
        <w:rPr>
          <w:rFonts w:ascii="仿宋" w:hAnsi="仿宋" w:eastAsia="仿宋"/>
          <w:color w:val="auto"/>
          <w:sz w:val="32"/>
          <w:szCs w:val="32"/>
          <w:highlight w:val="none"/>
        </w:rPr>
      </w:pPr>
      <w:bookmarkStart w:id="6" w:name="_Toc23304"/>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eastAsia="zh-CN"/>
        </w:rPr>
        <w:t>3,267.97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eastAsia="zh-CN"/>
        </w:rPr>
        <w:t>3,267.97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49031463">
      <w:pPr>
        <w:spacing w:line="240" w:lineRule="auto"/>
        <w:ind w:firstLine="0" w:firstLineChars="0"/>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0210847">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1281E4EB">
      <w:pPr>
        <w:spacing w:line="600" w:lineRule="exact"/>
        <w:ind w:firstLine="640" w:firstLineChars="200"/>
        <w:rPr>
          <w:rFonts w:ascii="仿宋_GB2312" w:eastAsia="仿宋_GB2312"/>
          <w:color w:val="auto"/>
          <w:sz w:val="32"/>
          <w:szCs w:val="32"/>
          <w:highlight w:val="none"/>
        </w:rPr>
      </w:pPr>
    </w:p>
    <w:p w14:paraId="245D9E70">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7" w:name="_Toc4678"/>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5"/>
          <w:rFonts w:hint="eastAsia" w:ascii="黑体" w:hAnsi="黑体" w:eastAsia="黑体"/>
          <w:b w:val="0"/>
          <w:color w:val="auto"/>
          <w:highlight w:val="none"/>
        </w:rPr>
        <w:t>出决算情况说明</w:t>
      </w:r>
      <w:bookmarkEnd w:id="7"/>
    </w:p>
    <w:p w14:paraId="2F445C5B">
      <w:pPr>
        <w:spacing w:line="600" w:lineRule="exact"/>
        <w:ind w:firstLine="640" w:firstLineChars="200"/>
        <w:outlineLvl w:val="1"/>
        <w:rPr>
          <w:rFonts w:ascii="仿宋" w:hAnsi="仿宋" w:eastAsia="仿宋"/>
          <w:color w:val="auto"/>
          <w:sz w:val="32"/>
          <w:szCs w:val="32"/>
          <w:highlight w:val="none"/>
        </w:rPr>
      </w:pPr>
      <w:bookmarkStart w:id="8" w:name="_Toc3230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eastAsia="zh-CN"/>
        </w:rPr>
        <w:t>3,267.9</w:t>
      </w:r>
      <w:r>
        <w:rPr>
          <w:rFonts w:hint="eastAsia" w:ascii="仿宋" w:hAnsi="仿宋" w:eastAsia="仿宋"/>
          <w:color w:val="auto"/>
          <w:sz w:val="32"/>
          <w:szCs w:val="32"/>
          <w:highlight w:val="none"/>
          <w:lang w:val="en-US" w:eastAsia="zh-CN"/>
        </w:rPr>
        <w:t>7</w:t>
      </w:r>
      <w:r>
        <w:rPr>
          <w:rFonts w:hint="eastAsia" w:ascii="仿宋" w:hAnsi="仿宋" w:eastAsia="仿宋"/>
          <w:color w:val="auto"/>
          <w:sz w:val="32"/>
          <w:szCs w:val="32"/>
          <w:highlight w:val="none"/>
        </w:rPr>
        <w:t>万元，其中：基本支出3,117.91万元，占</w:t>
      </w:r>
      <w:r>
        <w:rPr>
          <w:rFonts w:hint="eastAsia" w:ascii="仿宋" w:hAnsi="仿宋" w:eastAsia="仿宋"/>
          <w:color w:val="auto"/>
          <w:sz w:val="32"/>
          <w:szCs w:val="32"/>
          <w:highlight w:val="none"/>
          <w:lang w:val="en-US" w:eastAsia="zh-CN"/>
        </w:rPr>
        <w:t>95.4</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；项目支出150.06万元，占</w:t>
      </w:r>
      <w:r>
        <w:rPr>
          <w:rFonts w:hint="eastAsia" w:ascii="仿宋" w:hAnsi="仿宋" w:eastAsia="仿宋"/>
          <w:color w:val="auto"/>
          <w:sz w:val="32"/>
          <w:szCs w:val="32"/>
          <w:highlight w:val="none"/>
          <w:lang w:val="en-US" w:eastAsia="zh-CN"/>
        </w:rPr>
        <w:t>4.6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53CCE48D">
      <w:pPr>
        <w:spacing w:line="240" w:lineRule="auto"/>
        <w:ind w:firstLine="0"/>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0C63BF">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740F4399">
      <w:pPr>
        <w:spacing w:line="600" w:lineRule="exact"/>
        <w:ind w:firstLine="640" w:firstLineChars="200"/>
        <w:rPr>
          <w:rFonts w:ascii="仿宋_GB2312" w:eastAsia="仿宋_GB2312"/>
          <w:color w:val="auto"/>
          <w:sz w:val="32"/>
          <w:szCs w:val="32"/>
          <w:highlight w:val="none"/>
        </w:rPr>
      </w:pPr>
    </w:p>
    <w:p w14:paraId="22642E98">
      <w:pPr>
        <w:spacing w:line="600" w:lineRule="exact"/>
        <w:ind w:firstLine="640" w:firstLineChars="200"/>
        <w:outlineLvl w:val="1"/>
        <w:rPr>
          <w:rStyle w:val="15"/>
          <w:rFonts w:ascii="黑体" w:hAnsi="黑体" w:eastAsia="黑体"/>
          <w:b w:val="0"/>
          <w:color w:val="auto"/>
          <w:highlight w:val="none"/>
        </w:rPr>
      </w:pPr>
      <w:bookmarkStart w:id="9" w:name="_Toc3834"/>
      <w:r>
        <w:rPr>
          <w:rFonts w:hint="eastAsia" w:ascii="黑体" w:hAnsi="黑体" w:eastAsia="黑体"/>
          <w:color w:val="auto"/>
          <w:sz w:val="32"/>
          <w:szCs w:val="32"/>
          <w:highlight w:val="none"/>
        </w:rPr>
        <w:t>四、财</w:t>
      </w:r>
      <w:r>
        <w:rPr>
          <w:rStyle w:val="15"/>
          <w:rFonts w:hint="eastAsia" w:ascii="黑体" w:hAnsi="黑体" w:eastAsia="黑体"/>
          <w:b w:val="0"/>
          <w:color w:val="auto"/>
          <w:highlight w:val="none"/>
        </w:rPr>
        <w:t>政拨款收入支出决算总体情况说明</w:t>
      </w:r>
      <w:bookmarkEnd w:id="9"/>
    </w:p>
    <w:p w14:paraId="40ECA7C2">
      <w:pPr>
        <w:spacing w:line="600" w:lineRule="exact"/>
        <w:ind w:firstLine="64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均为3,267.97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相比，财政拨款收、支总计各增加850.88万元，增长35.2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。主要变动原因是国省干线公路小修保养经费</w:t>
      </w:r>
      <w:r>
        <w:rPr>
          <w:rFonts w:hint="eastAsia" w:ascii="仿宋" w:hAnsi="仿宋" w:eastAsia="仿宋"/>
          <w:color w:val="auto"/>
          <w:sz w:val="32"/>
          <w:szCs w:val="32"/>
          <w:highlight w:val="none"/>
          <w:lang w:val="en-US" w:eastAsia="zh-CN"/>
        </w:rPr>
        <w:t>等</w:t>
      </w:r>
      <w:r>
        <w:rPr>
          <w:rFonts w:hint="eastAsia" w:ascii="仿宋" w:hAnsi="仿宋" w:eastAsia="仿宋"/>
          <w:color w:val="auto"/>
          <w:sz w:val="32"/>
          <w:szCs w:val="32"/>
          <w:highlight w:val="none"/>
        </w:rPr>
        <w:t>项目经费</w:t>
      </w:r>
      <w:r>
        <w:rPr>
          <w:rFonts w:hint="eastAsia" w:ascii="仿宋" w:hAnsi="仿宋" w:eastAsia="仿宋"/>
          <w:color w:val="auto"/>
          <w:sz w:val="32"/>
          <w:szCs w:val="32"/>
          <w:highlight w:val="none"/>
          <w:lang w:val="en-US" w:eastAsia="zh-CN"/>
        </w:rPr>
        <w:t>增加，社保调标人员经费</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eastAsia="zh-CN"/>
        </w:rPr>
        <w:t>。</w:t>
      </w:r>
    </w:p>
    <w:p w14:paraId="542BA8BF">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8BB2674">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79790131">
      <w:pPr>
        <w:spacing w:line="600" w:lineRule="exact"/>
        <w:ind w:firstLine="640"/>
        <w:rPr>
          <w:rFonts w:ascii="仿宋" w:hAnsi="仿宋" w:eastAsia="仿宋"/>
          <w:b/>
          <w:color w:val="auto"/>
          <w:sz w:val="32"/>
          <w:szCs w:val="32"/>
          <w:highlight w:val="none"/>
        </w:rPr>
      </w:pPr>
    </w:p>
    <w:p w14:paraId="0CEF02C3">
      <w:pPr>
        <w:spacing w:line="600" w:lineRule="exact"/>
        <w:ind w:firstLine="640" w:firstLineChars="200"/>
        <w:outlineLvl w:val="1"/>
        <w:rPr>
          <w:rStyle w:val="15"/>
          <w:rFonts w:ascii="黑体" w:hAnsi="黑体" w:eastAsia="黑体"/>
          <w:b w:val="0"/>
          <w:color w:val="auto"/>
          <w:highlight w:val="none"/>
        </w:rPr>
      </w:pPr>
      <w:bookmarkStart w:id="10" w:name="_Toc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般公共预算财政拨款支出决算情况说明</w:t>
      </w:r>
      <w:bookmarkEnd w:id="10"/>
    </w:p>
    <w:p w14:paraId="6A7C2EA9">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2BE6B389">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eastAsia="zh-CN"/>
        </w:rPr>
        <w:t>3,267.97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增加850.88万元，增长</w:t>
      </w:r>
      <w:r>
        <w:rPr>
          <w:rFonts w:hint="eastAsia" w:ascii="仿宋" w:hAnsi="仿宋" w:eastAsia="仿宋"/>
          <w:color w:val="auto"/>
          <w:sz w:val="32"/>
          <w:szCs w:val="32"/>
          <w:highlight w:val="none"/>
          <w:lang w:val="en-US" w:eastAsia="zh-CN"/>
        </w:rPr>
        <w:t>35.2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。主要变动原因是国省干线公路小修保养经费</w:t>
      </w:r>
      <w:r>
        <w:rPr>
          <w:rFonts w:hint="eastAsia" w:ascii="仿宋" w:hAnsi="仿宋" w:eastAsia="仿宋"/>
          <w:color w:val="auto"/>
          <w:sz w:val="32"/>
          <w:szCs w:val="32"/>
          <w:highlight w:val="none"/>
          <w:lang w:val="en-US" w:eastAsia="zh-CN"/>
        </w:rPr>
        <w:t>等</w:t>
      </w:r>
      <w:r>
        <w:rPr>
          <w:rFonts w:hint="eastAsia" w:ascii="仿宋" w:hAnsi="仿宋" w:eastAsia="仿宋"/>
          <w:color w:val="auto"/>
          <w:sz w:val="32"/>
          <w:szCs w:val="32"/>
          <w:highlight w:val="none"/>
        </w:rPr>
        <w:t>项目经费</w:t>
      </w:r>
      <w:r>
        <w:rPr>
          <w:rFonts w:hint="eastAsia" w:ascii="仿宋" w:hAnsi="仿宋" w:eastAsia="仿宋"/>
          <w:color w:val="auto"/>
          <w:sz w:val="32"/>
          <w:szCs w:val="32"/>
          <w:highlight w:val="none"/>
          <w:lang w:val="en-US" w:eastAsia="zh-CN"/>
        </w:rPr>
        <w:t>增加，社保调标人员经费</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eastAsia="zh-CN"/>
        </w:rPr>
        <w:t>。</w:t>
      </w:r>
    </w:p>
    <w:p w14:paraId="62CFA2AA">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CF5E402">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2CA6EF1B">
      <w:pPr>
        <w:spacing w:line="600" w:lineRule="exact"/>
        <w:ind w:firstLine="640" w:firstLineChars="200"/>
        <w:rPr>
          <w:rFonts w:ascii="仿宋" w:hAnsi="仿宋" w:eastAsia="仿宋"/>
          <w:color w:val="auto"/>
          <w:sz w:val="32"/>
          <w:szCs w:val="32"/>
          <w:highlight w:val="none"/>
        </w:rPr>
      </w:pPr>
    </w:p>
    <w:p w14:paraId="558DD717">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1B5C97DC">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eastAsia="zh-CN"/>
        </w:rPr>
        <w:t>3,267.97</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社会保障和就业支出</w:t>
      </w:r>
      <w:r>
        <w:rPr>
          <w:rFonts w:hint="eastAsia" w:ascii="仿宋" w:hAnsi="仿宋" w:eastAsia="仿宋"/>
          <w:b/>
          <w:bCs/>
          <w:color w:val="auto"/>
          <w:sz w:val="32"/>
          <w:szCs w:val="32"/>
          <w:highlight w:val="none"/>
        </w:rPr>
        <w:t>341.42</w:t>
      </w:r>
      <w:r>
        <w:rPr>
          <w:rFonts w:hint="eastAsia" w:ascii="仿宋" w:hAnsi="仿宋" w:eastAsia="仿宋"/>
          <w:color w:val="auto"/>
          <w:sz w:val="32"/>
          <w:szCs w:val="32"/>
          <w:highlight w:val="none"/>
        </w:rPr>
        <w:t>万元，占10.</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卫生健康支出157.00</w:t>
      </w:r>
      <w:r>
        <w:rPr>
          <w:rFonts w:hint="eastAsia" w:ascii="仿宋" w:hAnsi="仿宋" w:eastAsia="仿宋"/>
          <w:color w:val="auto"/>
          <w:sz w:val="32"/>
          <w:szCs w:val="32"/>
          <w:highlight w:val="none"/>
        </w:rPr>
        <w:t>万元，占4.8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交通运输支出2,577.57</w:t>
      </w:r>
      <w:r>
        <w:rPr>
          <w:rFonts w:hint="eastAsia" w:ascii="仿宋" w:hAnsi="仿宋" w:eastAsia="仿宋"/>
          <w:color w:val="auto"/>
          <w:sz w:val="32"/>
          <w:szCs w:val="32"/>
          <w:highlight w:val="none"/>
        </w:rPr>
        <w:t>万元，占78.</w:t>
      </w:r>
      <w:r>
        <w:rPr>
          <w:rFonts w:hint="eastAsia" w:ascii="仿宋" w:hAnsi="仿宋" w:eastAsia="仿宋"/>
          <w:color w:val="auto"/>
          <w:sz w:val="32"/>
          <w:szCs w:val="32"/>
          <w:highlight w:val="none"/>
          <w:lang w:val="en-US" w:eastAsia="zh-CN"/>
        </w:rPr>
        <w:t>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住房保障支出191.98</w:t>
      </w:r>
      <w:r>
        <w:rPr>
          <w:rFonts w:hint="eastAsia" w:ascii="仿宋" w:hAnsi="仿宋" w:eastAsia="仿宋"/>
          <w:color w:val="auto"/>
          <w:sz w:val="32"/>
          <w:szCs w:val="32"/>
          <w:highlight w:val="none"/>
        </w:rPr>
        <w:t>万元，占5.</w:t>
      </w:r>
      <w:r>
        <w:rPr>
          <w:rFonts w:hint="eastAsia" w:ascii="仿宋" w:hAnsi="仿宋" w:eastAsia="仿宋"/>
          <w:color w:val="auto"/>
          <w:sz w:val="32"/>
          <w:szCs w:val="32"/>
          <w:highlight w:val="none"/>
          <w:lang w:val="en-US" w:eastAsia="zh-CN"/>
        </w:rPr>
        <w:t>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081CB88E">
      <w:pPr>
        <w:spacing w:line="240" w:lineRule="auto"/>
        <w:ind w:firstLine="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8F7E66B">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346316B7">
      <w:pPr>
        <w:spacing w:line="600" w:lineRule="exact"/>
        <w:ind w:firstLine="640" w:firstLineChars="200"/>
        <w:rPr>
          <w:rFonts w:ascii="仿宋" w:hAnsi="仿宋" w:eastAsia="仿宋"/>
          <w:color w:val="auto"/>
          <w:sz w:val="32"/>
          <w:szCs w:val="32"/>
          <w:highlight w:val="none"/>
        </w:rPr>
      </w:pPr>
    </w:p>
    <w:p w14:paraId="00072739">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12FBFB4F">
      <w:pPr>
        <w:spacing w:line="600" w:lineRule="exact"/>
        <w:ind w:firstLine="643" w:firstLineChars="200"/>
        <w:outlineLvl w:val="1"/>
        <w:rPr>
          <w:rFonts w:ascii="仿宋" w:hAnsi="仿宋" w:eastAsia="仿宋"/>
          <w:color w:val="auto"/>
          <w:sz w:val="32"/>
          <w:szCs w:val="32"/>
          <w:highlight w:val="none"/>
        </w:rPr>
      </w:pPr>
      <w:bookmarkStart w:id="11" w:name="_Toc392"/>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般公共预算支出决算数为3,267.97</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100</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bookmarkEnd w:id="11"/>
    </w:p>
    <w:p w14:paraId="70DAE47E">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社会保障和就业支出（类）行政事业单位养老支出（款）机关事业单位基本养老保险缴费支出（项）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支出决算为227.61万元，完成预算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2.</w:t>
      </w:r>
      <w:r>
        <w:rPr>
          <w:rStyle w:val="13"/>
          <w:rFonts w:hint="eastAsia" w:ascii="仿宋" w:hAnsi="仿宋" w:eastAsia="仿宋"/>
          <w:bCs/>
          <w:color w:val="auto"/>
          <w:sz w:val="32"/>
          <w:szCs w:val="32"/>
          <w:highlight w:val="none"/>
        </w:rPr>
        <w:t>社会保障和就业支出（类）行政事业单位养老支出（款）机关事业单位职业年金缴费支出（项）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支出决算为113.82万元，完成预算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3.</w:t>
      </w:r>
      <w:r>
        <w:rPr>
          <w:rStyle w:val="13"/>
          <w:rFonts w:hint="eastAsia" w:ascii="仿宋" w:hAnsi="仿宋" w:eastAsia="仿宋"/>
          <w:bCs/>
          <w:color w:val="auto"/>
          <w:sz w:val="32"/>
          <w:szCs w:val="32"/>
          <w:highlight w:val="none"/>
        </w:rPr>
        <w:t>卫生健康支出（类）行政事业单位医疗（款）事业单位医疗（项）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支出决算为107万元，完成预算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4.</w:t>
      </w:r>
      <w:r>
        <w:rPr>
          <w:rStyle w:val="13"/>
          <w:rFonts w:hint="eastAsia" w:ascii="仿宋" w:hAnsi="仿宋" w:eastAsia="仿宋"/>
          <w:bCs/>
          <w:color w:val="auto"/>
          <w:sz w:val="32"/>
          <w:szCs w:val="32"/>
          <w:highlight w:val="none"/>
        </w:rPr>
        <w:t>卫生健康支出（类）行政事业单位医疗（款）其他行政事业单位医疗支出（项）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支出决算为50万元，完成预算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C98AD0C">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5.</w:t>
      </w:r>
      <w:r>
        <w:rPr>
          <w:rStyle w:val="13"/>
          <w:rFonts w:hint="eastAsia" w:ascii="仿宋" w:hAnsi="仿宋" w:eastAsia="仿宋"/>
          <w:bCs/>
          <w:color w:val="auto"/>
          <w:sz w:val="32"/>
          <w:szCs w:val="32"/>
          <w:highlight w:val="none"/>
        </w:rPr>
        <w:t>交通运输支出（类）公路水路运输（款）公路养护（项）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支出决算为2,577.57万元，完成预算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90878A">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6.</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（类）住房改革支出（款）住房公积金（项）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支出决算为178.98万元，完成预算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4C922803">
      <w:pPr>
        <w:spacing w:line="600" w:lineRule="exact"/>
        <w:ind w:firstLine="643" w:firstLineChars="200"/>
        <w:rPr>
          <w:rFonts w:hint="eastAsia" w:ascii="仿宋" w:hAnsi="仿宋" w:eastAsia="仿宋"/>
          <w:color w:val="auto"/>
          <w:sz w:val="32"/>
          <w:szCs w:val="32"/>
          <w:highlight w:val="none"/>
          <w:lang w:eastAsia="zh-CN"/>
        </w:rPr>
      </w:pPr>
      <w:r>
        <w:rPr>
          <w:rStyle w:val="13"/>
          <w:rFonts w:hint="eastAsia" w:ascii="仿宋" w:hAnsi="仿宋" w:eastAsia="仿宋" w:cs="Times New Roman"/>
          <w:bCs/>
          <w:color w:val="auto"/>
          <w:sz w:val="32"/>
          <w:szCs w:val="32"/>
          <w:highlight w:val="none"/>
          <w:lang w:val="en-US" w:eastAsia="zh-CN"/>
        </w:rPr>
        <w:t>7.</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（类）住房改革支出（款）购房补贴（项）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支出决算为13万元，完成预算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328033A0">
      <w:pPr>
        <w:spacing w:line="600" w:lineRule="exact"/>
        <w:ind w:firstLine="643" w:firstLineChars="200"/>
        <w:rPr>
          <w:rFonts w:ascii="仿宋" w:hAnsi="仿宋" w:eastAsia="仿宋"/>
          <w:b/>
          <w:color w:val="auto"/>
          <w:sz w:val="32"/>
          <w:szCs w:val="32"/>
          <w:highlight w:val="none"/>
        </w:rPr>
      </w:pPr>
    </w:p>
    <w:p w14:paraId="0F918382">
      <w:pPr>
        <w:spacing w:line="600" w:lineRule="exact"/>
        <w:ind w:firstLine="640"/>
        <w:rPr>
          <w:rFonts w:ascii="仿宋" w:hAnsi="仿宋" w:eastAsia="仿宋"/>
          <w:b/>
          <w:color w:val="auto"/>
          <w:sz w:val="32"/>
          <w:szCs w:val="32"/>
          <w:highlight w:val="none"/>
        </w:rPr>
      </w:pPr>
    </w:p>
    <w:p w14:paraId="6384C746">
      <w:pPr>
        <w:tabs>
          <w:tab w:val="right" w:pos="8306"/>
        </w:tabs>
        <w:spacing w:line="600" w:lineRule="exact"/>
        <w:ind w:firstLine="640"/>
        <w:outlineLvl w:val="1"/>
        <w:rPr>
          <w:rStyle w:val="15"/>
          <w:color w:val="auto"/>
          <w:highlight w:val="none"/>
        </w:rPr>
      </w:pPr>
      <w:bookmarkStart w:id="12" w:name="_Toc1037"/>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般公共预算财政拨款基本支出决算情况说明</w:t>
      </w:r>
      <w:bookmarkEnd w:id="12"/>
      <w:r>
        <w:rPr>
          <w:rStyle w:val="15"/>
          <w:rFonts w:ascii="黑体" w:hAnsi="黑体" w:eastAsia="黑体"/>
          <w:b w:val="0"/>
          <w:color w:val="auto"/>
          <w:highlight w:val="none"/>
        </w:rPr>
        <w:tab/>
      </w:r>
    </w:p>
    <w:p w14:paraId="741278C8">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一般公共预算财政拨款基本支出3,117.91万元，其中：</w:t>
      </w:r>
    </w:p>
    <w:p w14:paraId="1F6EBBE1">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人员经费2,926.09万元，主要包括：基本工资、津贴补贴、奖金、绩效工资、机关事业单位基本养老保险缴费、职业年金缴费、职工基本医疗保险缴费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其他社会保障缴费、住房公积金、其他工资福利支出、抚恤金、生活补助、奖励金等。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公用经费191.83万元，主要包括：办公费、咨询费、水费、电费、邮电费、差旅费、维修（护）费、培训费、公务接待费、专用材料费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劳务费、委托业务费、福利费、公务用车运行维护费、其他商品和服务支出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专用设备购置、基础设施建设等。</w:t>
      </w:r>
    </w:p>
    <w:p w14:paraId="26F2B89A">
      <w:pPr>
        <w:spacing w:line="600" w:lineRule="exact"/>
        <w:ind w:firstLine="640"/>
        <w:rPr>
          <w:rFonts w:ascii="仿宋" w:hAnsi="仿宋" w:eastAsia="仿宋"/>
          <w:b/>
          <w:color w:val="auto"/>
          <w:sz w:val="32"/>
          <w:szCs w:val="32"/>
          <w:highlight w:val="none"/>
        </w:rPr>
      </w:pPr>
    </w:p>
    <w:p w14:paraId="16E4376B">
      <w:pPr>
        <w:spacing w:line="600" w:lineRule="exact"/>
        <w:ind w:firstLine="640"/>
        <w:outlineLvl w:val="1"/>
        <w:rPr>
          <w:rStyle w:val="15"/>
          <w:rFonts w:ascii="黑体" w:hAnsi="黑体" w:eastAsia="黑体"/>
          <w:b w:val="0"/>
          <w:color w:val="auto"/>
          <w:highlight w:val="none"/>
        </w:rPr>
      </w:pPr>
      <w:bookmarkStart w:id="13" w:name="_Toc6238"/>
      <w:r>
        <w:rPr>
          <w:rFonts w:hint="eastAsia" w:ascii="黑体" w:eastAsia="黑体"/>
          <w:color w:val="auto"/>
          <w:sz w:val="32"/>
          <w:szCs w:val="32"/>
          <w:highlight w:val="none"/>
        </w:rPr>
        <w:t>七、</w:t>
      </w:r>
      <w:r>
        <w:rPr>
          <w:rStyle w:val="15"/>
          <w:rFonts w:hint="eastAsia" w:ascii="黑体" w:hAnsi="黑体" w:eastAsia="黑体"/>
          <w:b w:val="0"/>
          <w:color w:val="auto"/>
          <w:highlight w:val="none"/>
        </w:rPr>
        <w:t>财政拨款</w:t>
      </w:r>
      <w:r>
        <w:rPr>
          <w:rStyle w:val="15"/>
          <w:rFonts w:hint="eastAsia" w:ascii="黑体" w:hAnsi="黑体" w:eastAsia="黑体"/>
          <w:color w:val="auto"/>
          <w:highlight w:val="none"/>
        </w:rPr>
        <w:t>“</w:t>
      </w:r>
      <w:r>
        <w:rPr>
          <w:rStyle w:val="15"/>
          <w:rFonts w:hint="eastAsia" w:ascii="黑体" w:hAnsi="黑体" w:eastAsia="黑体"/>
          <w:b w:val="0"/>
          <w:color w:val="auto"/>
          <w:highlight w:val="none"/>
        </w:rPr>
        <w:t>三公”经费支出决算情况说明</w:t>
      </w:r>
      <w:bookmarkEnd w:id="13"/>
    </w:p>
    <w:p w14:paraId="2B266B36">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1421DD4D">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“三公”经费财政拨款支出决算为19.37万元，完成预算</w:t>
      </w:r>
      <w:r>
        <w:rPr>
          <w:rFonts w:hint="eastAsia" w:ascii="仿宋" w:hAnsi="仿宋" w:eastAsia="仿宋"/>
          <w:color w:val="auto"/>
          <w:sz w:val="32"/>
          <w:szCs w:val="32"/>
          <w:highlight w:val="none"/>
          <w:lang w:val="en-US" w:eastAsia="zh-CN"/>
        </w:rPr>
        <w:t>88.1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较上年度增加0.99</w:t>
      </w:r>
      <w:r>
        <w:rPr>
          <w:rFonts w:hint="eastAsia" w:ascii="仿宋" w:hAnsi="仿宋" w:eastAsia="仿宋"/>
          <w:color w:val="auto"/>
          <w:sz w:val="32"/>
          <w:szCs w:val="32"/>
          <w:highlight w:val="none"/>
          <w:lang w:val="en-US" w:eastAsia="zh-CN"/>
        </w:rPr>
        <w:t>万元，增长5.4%。</w:t>
      </w:r>
      <w:r>
        <w:rPr>
          <w:rFonts w:hint="eastAsia" w:ascii="仿宋" w:hAnsi="仿宋" w:eastAsia="仿宋"/>
          <w:color w:val="auto"/>
          <w:sz w:val="32"/>
          <w:szCs w:val="32"/>
          <w:highlight w:val="none"/>
        </w:rPr>
        <w:t>决算数小于预算数的主要原因是本年度养护任务同比上年度有所增长，车辆出勤增加，导致运行费用有所增长。</w:t>
      </w:r>
    </w:p>
    <w:p w14:paraId="4D4F00BA">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504AEDC3">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；公务用车购置及运行维护费支出决算18.97万元，占</w:t>
      </w:r>
      <w:r>
        <w:rPr>
          <w:rFonts w:hint="eastAsia" w:ascii="仿宋" w:hAnsi="仿宋" w:eastAsia="仿宋"/>
          <w:color w:val="auto"/>
          <w:sz w:val="32"/>
          <w:szCs w:val="32"/>
          <w:highlight w:val="none"/>
          <w:lang w:val="en-US" w:eastAsia="zh-CN"/>
        </w:rPr>
        <w:t>97.9</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；公务接待费支出决算0.4万元，占</w:t>
      </w:r>
      <w:r>
        <w:rPr>
          <w:rFonts w:hint="eastAsia" w:ascii="仿宋" w:hAnsi="仿宋" w:eastAsia="仿宋"/>
          <w:color w:val="auto"/>
          <w:sz w:val="32"/>
          <w:szCs w:val="32"/>
          <w:highlight w:val="none"/>
          <w:lang w:val="en-US" w:eastAsia="zh-CN"/>
        </w:rPr>
        <w:t>2.1</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42564B6A">
      <w:pPr>
        <w:pStyle w:val="2"/>
        <w:rPr>
          <w:rFonts w:hint="eastAsia" w:eastAsia="仿宋"/>
          <w:lang w:eastAsia="zh-CN"/>
        </w:rPr>
      </w:pPr>
      <w:r>
        <w:rPr>
          <w:rFonts w:hint="eastAsia" w:eastAsia="仿宋"/>
          <w:lang w:eastAsia="zh-CN"/>
        </w:rPr>
        <w:drawing>
          <wp:inline distT="0" distB="0" distL="114300" distR="114300">
            <wp:extent cx="5256530" cy="2988310"/>
            <wp:effectExtent l="5080" t="4445" r="889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19A7FC">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5DF4CFB1">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3358C955">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公务用车购置及运行维护费支出18.97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99.9</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增加</w:t>
      </w:r>
      <w:r>
        <w:rPr>
          <w:rStyle w:val="13"/>
          <w:rFonts w:hint="eastAsia" w:ascii="仿宋" w:hAnsi="仿宋" w:eastAsia="仿宋" w:cs="Times New Roman"/>
          <w:b w:val="0"/>
          <w:bCs/>
          <w:color w:val="auto"/>
          <w:sz w:val="32"/>
          <w:szCs w:val="32"/>
          <w:highlight w:val="none"/>
          <w:lang w:val="en-US" w:eastAsia="zh-CN"/>
        </w:rPr>
        <w:t>1.12</w:t>
      </w:r>
      <w:r>
        <w:rPr>
          <w:rFonts w:hint="eastAsia" w:ascii="仿宋_GB2312" w:eastAsia="仿宋_GB2312"/>
          <w:color w:val="auto"/>
          <w:sz w:val="32"/>
          <w:szCs w:val="32"/>
          <w:highlight w:val="none"/>
        </w:rPr>
        <w:t>万元，增长6.</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。主要原因是本年度养护任务同比上年度有所增长，车辆出勤增加，导致运行费用有所增长。</w:t>
      </w:r>
    </w:p>
    <w:p w14:paraId="72792DB8">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辆、其他车型</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p>
    <w:p w14:paraId="0CAAB91E">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公务用车运行维护费支出18.97</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公路养护等</w:t>
      </w:r>
      <w:r>
        <w:rPr>
          <w:rFonts w:hint="eastAsia" w:ascii="仿宋_GB2312" w:eastAsia="仿宋_GB2312"/>
          <w:color w:val="auto"/>
          <w:sz w:val="32"/>
          <w:szCs w:val="32"/>
          <w:highlight w:val="none"/>
        </w:rPr>
        <w:t>工作所需的公务用车燃料费、维修费、过路过桥费、保险费等支出。</w:t>
      </w:r>
    </w:p>
    <w:p w14:paraId="1B2F1CF8">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0.4</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13.3</w:t>
      </w:r>
      <w:bookmarkStart w:id="35" w:name="_GoBack"/>
      <w:bookmarkEnd w:id="35"/>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减少0.13万元，下降24.5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。主要原因是本年度公务接待同比上年度有所减少。其中：</w:t>
      </w:r>
    </w:p>
    <w:p w14:paraId="2BE16AF0">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0.4</w:t>
      </w:r>
      <w:r>
        <w:rPr>
          <w:rFonts w:hint="eastAsia" w:ascii="仿宋_GB2312" w:eastAsia="仿宋_GB2312"/>
          <w:color w:val="auto"/>
          <w:sz w:val="32"/>
          <w:szCs w:val="32"/>
          <w:highlight w:val="none"/>
        </w:rPr>
        <w:t>万元，主要用于</w:t>
      </w:r>
      <w:r>
        <w:rPr>
          <w:rFonts w:hint="eastAsia" w:ascii="仿宋" w:hAnsi="仿宋" w:eastAsia="仿宋"/>
          <w:sz w:val="32"/>
          <w:szCs w:val="32"/>
          <w:highlight w:val="none"/>
        </w:rPr>
        <w:t>分局间相互交流学习及州公路局开展全州国省干线公路季度考核工作期间发生的用餐费</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35</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0.4</w:t>
      </w:r>
      <w:r>
        <w:rPr>
          <w:rFonts w:hint="eastAsia" w:ascii="仿宋_GB2312" w:eastAsia="仿宋_GB2312"/>
          <w:color w:val="auto"/>
          <w:sz w:val="32"/>
          <w:szCs w:val="32"/>
          <w:highlight w:val="none"/>
        </w:rPr>
        <w:t>万元，具体内容包括：1.接待州公路管理局一行人到分局开展全州国省干线公路第一季度考核工作，共计发生接待费1100元；2</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接待州公路管理局一行人到分局开展全州国省干线公路第二季度考核工作，共计发生接待费1100元；3.接待刷经寺一行人到分局交流学习，共计发生接待费600元；4.接待刷经寺一行人到分局交流学习，共计发生接待费400元；5.接待刷经寺一行人到分局交流学习，共计发生接待费400元；6.接待刷经寺一行人到分局交流学习，共计发生接待费400元。</w:t>
      </w:r>
    </w:p>
    <w:p w14:paraId="4A0BAAF9">
      <w:pPr>
        <w:spacing w:line="600" w:lineRule="exact"/>
        <w:ind w:firstLine="643"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14:paraId="08C06C30">
      <w:pPr>
        <w:spacing w:line="600" w:lineRule="exact"/>
        <w:ind w:firstLine="640"/>
        <w:outlineLvl w:val="9"/>
        <w:rPr>
          <w:rFonts w:ascii="黑体" w:eastAsia="黑体"/>
          <w:color w:val="auto"/>
          <w:sz w:val="32"/>
          <w:szCs w:val="32"/>
          <w:highlight w:val="none"/>
        </w:rPr>
      </w:pPr>
    </w:p>
    <w:p w14:paraId="2E9035A7">
      <w:pPr>
        <w:spacing w:line="600" w:lineRule="exact"/>
        <w:ind w:firstLine="640"/>
        <w:outlineLvl w:val="1"/>
        <w:rPr>
          <w:rStyle w:val="15"/>
          <w:rFonts w:ascii="黑体" w:hAnsi="黑体" w:eastAsia="黑体"/>
          <w:color w:val="auto"/>
          <w:highlight w:val="none"/>
        </w:rPr>
      </w:pPr>
      <w:bookmarkStart w:id="14" w:name="_Toc13372"/>
      <w:r>
        <w:rPr>
          <w:rFonts w:hint="eastAsia" w:ascii="黑体" w:eastAsia="黑体"/>
          <w:color w:val="auto"/>
          <w:sz w:val="32"/>
          <w:szCs w:val="32"/>
          <w:highlight w:val="none"/>
        </w:rPr>
        <w:t>八、</w:t>
      </w:r>
      <w:r>
        <w:rPr>
          <w:rStyle w:val="15"/>
          <w:rFonts w:hint="eastAsia" w:ascii="黑体" w:hAnsi="黑体" w:eastAsia="黑体"/>
          <w:b w:val="0"/>
          <w:color w:val="auto"/>
          <w:highlight w:val="none"/>
        </w:rPr>
        <w:t>政府性基金预算支出决算情况说明</w:t>
      </w:r>
      <w:bookmarkEnd w:id="14"/>
    </w:p>
    <w:p w14:paraId="1E89B150">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599F3652">
      <w:pPr>
        <w:spacing w:line="600" w:lineRule="exact"/>
        <w:ind w:firstLine="640"/>
        <w:rPr>
          <w:rFonts w:ascii="仿宋_GB2312" w:eastAsia="仿宋_GB2312"/>
          <w:color w:val="auto"/>
          <w:sz w:val="32"/>
          <w:szCs w:val="32"/>
          <w:highlight w:val="none"/>
        </w:rPr>
      </w:pPr>
    </w:p>
    <w:p w14:paraId="0D12DF9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ascii="黑体" w:hAnsi="黑体" w:eastAsia="黑体"/>
          <w:b w:val="0"/>
          <w:color w:val="auto"/>
          <w:highlight w:val="none"/>
        </w:rPr>
      </w:pPr>
      <w:bookmarkStart w:id="15" w:name="_Toc4324"/>
      <w:r>
        <w:rPr>
          <w:rStyle w:val="15"/>
          <w:rFonts w:hint="eastAsia" w:ascii="黑体" w:hAnsi="黑体" w:eastAsia="黑体"/>
          <w:b w:val="0"/>
          <w:color w:val="auto"/>
          <w:highlight w:val="none"/>
          <w:lang w:eastAsia="zh-CN"/>
        </w:rPr>
        <w:t>九、</w:t>
      </w:r>
      <w:r>
        <w:rPr>
          <w:rStyle w:val="15"/>
          <w:rFonts w:hint="eastAsia" w:ascii="黑体" w:hAnsi="黑体" w:eastAsia="黑体"/>
          <w:b w:val="0"/>
          <w:color w:val="auto"/>
          <w:highlight w:val="none"/>
        </w:rPr>
        <w:t>国有资本经营预算支出决算情况说明</w:t>
      </w:r>
      <w:bookmarkEnd w:id="15"/>
    </w:p>
    <w:p w14:paraId="0BDCBED3">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62E67C02">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4BE57CE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hint="eastAsia" w:ascii="黑体" w:hAnsi="黑体" w:eastAsia="黑体"/>
          <w:b w:val="0"/>
          <w:color w:val="auto"/>
          <w:highlight w:val="none"/>
        </w:rPr>
      </w:pPr>
      <w:bookmarkStart w:id="16" w:name="_Toc31250"/>
      <w:r>
        <w:rPr>
          <w:rStyle w:val="15"/>
          <w:rFonts w:hint="eastAsia" w:ascii="黑体" w:hAnsi="黑体" w:eastAsia="黑体"/>
          <w:b w:val="0"/>
          <w:color w:val="auto"/>
          <w:highlight w:val="none"/>
          <w:lang w:eastAsia="zh-CN"/>
        </w:rPr>
        <w:t>十、</w:t>
      </w:r>
      <w:r>
        <w:rPr>
          <w:rStyle w:val="15"/>
          <w:rFonts w:hint="eastAsia" w:ascii="黑体" w:hAnsi="黑体" w:eastAsia="黑体"/>
          <w:b w:val="0"/>
          <w:color w:val="auto"/>
          <w:highlight w:val="none"/>
        </w:rPr>
        <w:t>其他重要事项的情况说明</w:t>
      </w:r>
      <w:bookmarkEnd w:id="16"/>
    </w:p>
    <w:p w14:paraId="0CCDD500">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05A85C63">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0FA6DFDD">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1F38D884">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公务用车购置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0BF9CB92">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45E6DC15">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0847F0FC">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6A760FAE">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eastAsia="仿宋_GB2312" w:cs="Times New Roman"/>
          <w:color w:val="auto"/>
          <w:sz w:val="32"/>
          <w:szCs w:val="32"/>
          <w:highlight w:val="none"/>
          <w:lang w:val="en-US" w:eastAsia="zh-CN"/>
        </w:rPr>
        <w:t>国省干线公路小修保养经费</w:t>
      </w:r>
      <w:r>
        <w:rPr>
          <w:rFonts w:hint="eastAsia" w:ascii="仿宋_GB2312" w:hAnsi="Times New Roman" w:eastAsia="仿宋_GB2312" w:cs="Times New Roman"/>
          <w:color w:val="auto"/>
          <w:sz w:val="32"/>
          <w:szCs w:val="32"/>
          <w:highlight w:val="none"/>
          <w:lang w:eastAsia="zh-CN"/>
        </w:rPr>
        <w:t>项目</w:t>
      </w:r>
      <w:r>
        <w:rPr>
          <w:rFonts w:hint="eastAsia" w:ascii="仿宋_GB2312" w:eastAsia="仿宋_GB2312" w:cs="Times New Roman"/>
          <w:color w:val="auto"/>
          <w:sz w:val="32"/>
          <w:szCs w:val="32"/>
          <w:highlight w:val="none"/>
          <w:lang w:eastAsia="zh-CN"/>
        </w:rPr>
        <w:t>、2022年交调站维护费</w:t>
      </w:r>
      <w:r>
        <w:rPr>
          <w:rFonts w:hint="eastAsia" w:ascii="仿宋_GB2312" w:eastAsia="仿宋_GB2312" w:cs="Times New Roman"/>
          <w:color w:val="auto"/>
          <w:sz w:val="32"/>
          <w:szCs w:val="32"/>
          <w:highlight w:val="none"/>
          <w:lang w:val="en-US" w:eastAsia="zh-CN"/>
        </w:rPr>
        <w:t>项目、红原分局养护机械运行维护费项目、红原公路管理分局购买公务用车项目</w:t>
      </w:r>
      <w:r>
        <w:rPr>
          <w:rFonts w:hint="eastAsia" w:ascii="仿宋_GB2312" w:hAnsi="Times New Roman" w:eastAsia="仿宋_GB2312" w:cs="Times New Roman"/>
          <w:color w:val="auto"/>
          <w:sz w:val="32"/>
          <w:szCs w:val="32"/>
          <w:highlight w:val="none"/>
          <w:lang w:eastAsia="zh-CN"/>
        </w:rPr>
        <w:t>等</w:t>
      </w:r>
      <w:r>
        <w:rPr>
          <w:rFonts w:hint="eastAsia" w:ascii="仿宋_GB2312"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val="en-US" w:eastAsia="zh-CN"/>
        </w:rPr>
        <w:t>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val="en-US" w:eastAsia="zh-CN"/>
        </w:rPr>
        <w:t>个项目开展绩效自评，绩效自评表详见第四部分附件。</w:t>
      </w:r>
    </w:p>
    <w:p w14:paraId="08DCDE90">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3280F831">
      <w:pPr>
        <w:numPr>
          <w:ilvl w:val="0"/>
          <w:numId w:val="0"/>
        </w:numPr>
        <w:spacing w:line="600" w:lineRule="exact"/>
        <w:jc w:val="center"/>
        <w:outlineLvl w:val="0"/>
        <w:rPr>
          <w:rStyle w:val="14"/>
          <w:rFonts w:ascii="黑体" w:hAnsi="黑体" w:eastAsia="黑体"/>
          <w:b w:val="0"/>
          <w:color w:val="auto"/>
          <w:highlight w:val="none"/>
        </w:rPr>
      </w:pPr>
      <w:bookmarkStart w:id="17" w:name="_Toc2080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4"/>
          <w:rFonts w:hint="eastAsia" w:ascii="黑体" w:hAnsi="黑体" w:eastAsia="黑体"/>
          <w:b w:val="0"/>
          <w:color w:val="auto"/>
          <w:highlight w:val="none"/>
        </w:rPr>
        <w:t>词解释</w:t>
      </w:r>
      <w:bookmarkEnd w:id="17"/>
    </w:p>
    <w:p w14:paraId="27369069">
      <w:pPr>
        <w:spacing w:line="600" w:lineRule="exact"/>
        <w:jc w:val="left"/>
        <w:rPr>
          <w:rFonts w:ascii="宋体"/>
          <w:b/>
          <w:color w:val="auto"/>
          <w:sz w:val="44"/>
          <w:szCs w:val="44"/>
          <w:highlight w:val="none"/>
        </w:rPr>
      </w:pPr>
    </w:p>
    <w:p w14:paraId="1ADD22EE">
      <w:pPr>
        <w:pStyle w:val="17"/>
        <w:spacing w:line="560" w:lineRule="exact"/>
        <w:ind w:firstLine="640" w:firstLineChars="200"/>
        <w:outlineLvl w:val="1"/>
        <w:rPr>
          <w:rFonts w:ascii="仿宋_GB2312" w:eastAsia="仿宋_GB2312"/>
          <w:color w:val="auto"/>
          <w:sz w:val="32"/>
          <w:szCs w:val="32"/>
          <w:highlight w:val="none"/>
        </w:rPr>
      </w:pPr>
      <w:bookmarkStart w:id="18" w:name="_Toc8932"/>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8"/>
    </w:p>
    <w:p w14:paraId="54BA8869">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45D93197">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1F5155CA">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r>
        <w:rPr>
          <w:rFonts w:ascii="仿宋_GB2312" w:eastAsia="仿宋_GB2312"/>
          <w:color w:val="auto"/>
          <w:sz w:val="32"/>
          <w:szCs w:val="32"/>
          <w:highlight w:val="none"/>
        </w:rPr>
        <w:t xml:space="preserve"> </w:t>
      </w:r>
    </w:p>
    <w:p w14:paraId="43EAEA71">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680E07A6">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50FB7CAE">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63D8A3B6">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 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指反映机关事业单位实施养老保险制度由单位实际缴纳的职业 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 加医疗保险的事业单位的公费医疗经费，按国家规定享受离休 人员待遇的医疗经费。</w:t>
      </w:r>
    </w:p>
    <w:p w14:paraId="54C5DC8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 支 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20B94BC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 基本工资和津贴补贴以及规定比例为职工缴纳的住房公积金。</w:t>
      </w:r>
    </w:p>
    <w:p w14:paraId="352DBFA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026D54A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224D4CE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2AADE5E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53D29FD2">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2FE1FCA">
      <w:pPr>
        <w:pStyle w:val="17"/>
        <w:spacing w:line="560" w:lineRule="exact"/>
        <w:ind w:firstLine="640" w:firstLineChars="200"/>
        <w:rPr>
          <w:rFonts w:ascii="仿宋_GB2312" w:eastAsia="仿宋_GB2312" w:cs="黑体"/>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D0278CB">
      <w:pPr>
        <w:spacing w:line="600" w:lineRule="exact"/>
        <w:jc w:val="center"/>
        <w:outlineLvl w:val="0"/>
        <w:rPr>
          <w:rStyle w:val="14"/>
          <w:rFonts w:ascii="黑体" w:hAnsi="黑体" w:eastAsia="黑体"/>
          <w:b w:val="0"/>
          <w:color w:val="auto"/>
          <w:highlight w:val="none"/>
        </w:rPr>
      </w:pPr>
      <w:r>
        <w:rPr>
          <w:rFonts w:ascii="宋体"/>
          <w:b/>
          <w:color w:val="auto"/>
          <w:sz w:val="44"/>
          <w:szCs w:val="44"/>
          <w:highlight w:val="none"/>
        </w:rPr>
        <w:br w:type="page"/>
      </w:r>
      <w:bookmarkStart w:id="19" w:name="_Toc14861"/>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四部分 附件</w:t>
      </w:r>
      <w:bookmarkEnd w:id="19"/>
    </w:p>
    <w:p w14:paraId="1CCF2A8A">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3FF8D9CA">
      <w:pPr>
        <w:spacing w:line="600" w:lineRule="exact"/>
        <w:jc w:val="center"/>
        <w:outlineLvl w:val="1"/>
        <w:rPr>
          <w:rFonts w:hint="eastAsia" w:ascii="仿宋_GB2312" w:hAnsi="Calibri" w:eastAsia="仿宋_GB2312" w:cs="仿宋"/>
          <w:color w:val="auto"/>
          <w:kern w:val="0"/>
          <w:sz w:val="32"/>
          <w:szCs w:val="32"/>
          <w:highlight w:val="none"/>
          <w:lang w:val="en-US" w:eastAsia="zh-CN" w:bidi="ar-SA"/>
        </w:rPr>
      </w:pPr>
      <w:bookmarkStart w:id="20" w:name="_Toc23408"/>
      <w:r>
        <w:rPr>
          <w:rFonts w:hint="eastAsia" w:cs="Times New Roman"/>
          <w:sz w:val="32"/>
          <w:szCs w:val="32"/>
          <w:highlight w:val="none"/>
          <w:lang w:val="en-US" w:eastAsia="zh-CN"/>
        </w:rPr>
        <w:t>单位</w:t>
      </w:r>
      <w:r>
        <w:rPr>
          <w:rFonts w:hint="eastAsia" w:hAnsi="Times New Roman" w:cs="Times New Roman"/>
          <w:sz w:val="32"/>
          <w:szCs w:val="32"/>
          <w:highlight w:val="none"/>
          <w:lang w:val="en-US" w:eastAsia="zh-CN"/>
        </w:rPr>
        <w:t>预算项目支出绩效自评表（202</w:t>
      </w:r>
      <w:r>
        <w:rPr>
          <w:rFonts w:hint="eastAsia" w:cs="Times New Roman"/>
          <w:sz w:val="32"/>
          <w:szCs w:val="32"/>
          <w:highlight w:val="none"/>
          <w:lang w:val="en-US" w:eastAsia="zh-CN"/>
        </w:rPr>
        <w:t>3</w:t>
      </w:r>
      <w:r>
        <w:rPr>
          <w:rFonts w:hint="eastAsia" w:hAnsi="Times New Roman" w:cs="Times New Roman"/>
          <w:sz w:val="32"/>
          <w:szCs w:val="32"/>
          <w:highlight w:val="none"/>
          <w:lang w:val="en-US" w:eastAsia="zh-CN"/>
        </w:rPr>
        <w:t>年度）</w:t>
      </w:r>
      <w:bookmarkEnd w:id="20"/>
    </w:p>
    <w:p w14:paraId="23E7BE28">
      <w:pPr>
        <w:pStyle w:val="2"/>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5" o:spt="75" type="#_x0000_t75" style="height:399.55pt;width:415.2pt;" o:ole="t" filled="f" o:preferrelative="t" stroked="f" coordsize="21600,21600">
            <v:path/>
            <v:fill on="f" focussize="0,0"/>
            <v:stroke on="f"/>
            <v:imagedata r:id="rId14" o:title=""/>
            <o:lock v:ext="edit" aspectratio="f"/>
            <w10:wrap type="none"/>
            <w10:anchorlock/>
          </v:shape>
          <o:OLEObject Type="Embed" ProgID="Excel.Sheet.12" ShapeID="_x0000_i1025" DrawAspect="Content" ObjectID="_1468075725" r:id="rId13">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6" o:spt="75" type="#_x0000_t75" style="height:568.2pt;width:415.2pt;" o:ole="t" filled="f" o:preferrelative="t" stroked="f" coordsize="21600,21600">
            <v:path/>
            <v:fill on="f" focussize="0,0"/>
            <v:stroke on="f"/>
            <v:imagedata r:id="rId16" o:title=""/>
            <o:lock v:ext="edit" aspectratio="f"/>
            <w10:wrap type="none"/>
            <w10:anchorlock/>
          </v:shape>
          <o:OLEObject Type="Embed" ProgID="Excel.Sheet.12" ShapeID="_x0000_i1026" DrawAspect="Content" ObjectID="_1468075726" r:id="rId15">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7" o:spt="75" type="#_x0000_t75" style="height:452.75pt;width:415.2pt;" o:ole="t" filled="f" o:preferrelative="t" stroked="f" coordsize="21600,21600">
            <v:path/>
            <v:fill on="f" focussize="0,0"/>
            <v:stroke on="f"/>
            <v:imagedata r:id="rId18" o:title=""/>
            <o:lock v:ext="edit" aspectratio="f"/>
            <w10:wrap type="none"/>
            <w10:anchorlock/>
          </v:shape>
          <o:OLEObject Type="Embed" ProgID="Excel.Sheet.12" ShapeID="_x0000_i1027" DrawAspect="Content" ObjectID="_1468075727" r:id="rId1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8" o:spt="75" type="#_x0000_t75" style="height:479.75pt;width:415.2pt;" o:ole="t" filled="f" o:preferrelative="t" stroked="f" coordsize="21600,21600">
            <v:path/>
            <v:fill on="f" focussize="0,0"/>
            <v:stroke on="f"/>
            <v:imagedata r:id="rId20" o:title=""/>
            <o:lock v:ext="edit" aspectratio="f"/>
            <w10:wrap type="none"/>
            <w10:anchorlock/>
          </v:shape>
          <o:OLEObject Type="Embed" ProgID="Excel.Sheet.12" ShapeID="_x0000_i1028" DrawAspect="Content" ObjectID="_1468075728" r:id="rId19">
            <o:LockedField>false</o:LockedField>
          </o:OLEObject>
        </w:object>
      </w:r>
    </w:p>
    <w:p w14:paraId="7FECA0A1">
      <w:pPr>
        <w:pStyle w:val="2"/>
        <w:rPr>
          <w:rFonts w:hint="eastAsia" w:ascii="仿宋_GB2312" w:hAnsi="Calibri" w:eastAsia="仿宋_GB2312" w:cs="仿宋"/>
          <w:color w:val="auto"/>
          <w:kern w:val="0"/>
          <w:sz w:val="32"/>
          <w:szCs w:val="32"/>
          <w:highlight w:val="none"/>
          <w:lang w:val="en-US" w:eastAsia="zh-CN" w:bidi="ar-SA"/>
        </w:rPr>
      </w:pPr>
    </w:p>
    <w:p w14:paraId="7AF2C9B4">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4A7931D6">
      <w:pPr>
        <w:spacing w:line="600" w:lineRule="exact"/>
        <w:jc w:val="center"/>
        <w:outlineLvl w:val="0"/>
        <w:rPr>
          <w:rFonts w:hint="eastAsia" w:ascii="仿宋" w:hAnsi="仿宋" w:eastAsia="仿宋"/>
          <w:b w:val="0"/>
          <w:color w:val="auto"/>
          <w:highlight w:val="none"/>
        </w:rPr>
      </w:pPr>
      <w:bookmarkStart w:id="21" w:name="_Toc25054"/>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五部分 附表</w:t>
      </w:r>
      <w:bookmarkEnd w:id="21"/>
    </w:p>
    <w:p w14:paraId="1932FD7E">
      <w:pPr>
        <w:pStyle w:val="4"/>
        <w:rPr>
          <w:rFonts w:ascii="仿宋" w:hAnsi="仿宋" w:eastAsia="仿宋"/>
          <w:color w:val="auto"/>
          <w:highlight w:val="none"/>
        </w:rPr>
      </w:pPr>
      <w:bookmarkStart w:id="22" w:name="_Toc28994"/>
      <w:r>
        <w:rPr>
          <w:rFonts w:hint="eastAsia" w:ascii="仿宋" w:hAnsi="仿宋" w:eastAsia="仿宋"/>
          <w:b w:val="0"/>
          <w:color w:val="auto"/>
          <w:highlight w:val="none"/>
        </w:rPr>
        <w:t>一、收</w:t>
      </w:r>
      <w:r>
        <w:rPr>
          <w:rStyle w:val="15"/>
          <w:rFonts w:hint="eastAsia" w:ascii="仿宋" w:hAnsi="仿宋" w:eastAsia="仿宋"/>
          <w:b w:val="0"/>
          <w:bCs w:val="0"/>
          <w:color w:val="auto"/>
          <w:highlight w:val="none"/>
        </w:rPr>
        <w:t>入支出决算总表</w:t>
      </w:r>
      <w:bookmarkEnd w:id="22"/>
    </w:p>
    <w:p w14:paraId="05CE5610">
      <w:pPr>
        <w:pStyle w:val="4"/>
        <w:rPr>
          <w:rFonts w:ascii="仿宋" w:hAnsi="仿宋" w:eastAsia="仿宋"/>
          <w:color w:val="auto"/>
          <w:highlight w:val="none"/>
        </w:rPr>
      </w:pPr>
      <w:bookmarkStart w:id="23" w:name="_Toc29627"/>
      <w:r>
        <w:rPr>
          <w:rFonts w:hint="eastAsia" w:ascii="仿宋" w:hAnsi="仿宋" w:eastAsia="仿宋"/>
          <w:b w:val="0"/>
          <w:color w:val="auto"/>
          <w:highlight w:val="none"/>
        </w:rPr>
        <w:t>二、收</w:t>
      </w:r>
      <w:r>
        <w:rPr>
          <w:rStyle w:val="15"/>
          <w:rFonts w:hint="eastAsia" w:ascii="仿宋" w:hAnsi="仿宋" w:eastAsia="仿宋"/>
          <w:b w:val="0"/>
          <w:bCs w:val="0"/>
          <w:color w:val="auto"/>
          <w:highlight w:val="none"/>
        </w:rPr>
        <w:t>入决算表</w:t>
      </w:r>
      <w:bookmarkEnd w:id="23"/>
    </w:p>
    <w:p w14:paraId="79A1C58A">
      <w:pPr>
        <w:pStyle w:val="4"/>
        <w:rPr>
          <w:rFonts w:ascii="仿宋" w:hAnsi="仿宋" w:eastAsia="仿宋"/>
          <w:color w:val="auto"/>
          <w:highlight w:val="none"/>
        </w:rPr>
      </w:pPr>
      <w:bookmarkStart w:id="24" w:name="_Toc20563"/>
      <w:r>
        <w:rPr>
          <w:rStyle w:val="1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5"/>
          <w:rFonts w:hint="eastAsia" w:ascii="仿宋" w:hAnsi="仿宋" w:eastAsia="仿宋"/>
          <w:b w:val="0"/>
          <w:bCs w:val="0"/>
          <w:color w:val="auto"/>
          <w:highlight w:val="none"/>
        </w:rPr>
        <w:t>出决算表</w:t>
      </w:r>
      <w:bookmarkEnd w:id="24"/>
    </w:p>
    <w:p w14:paraId="42F7EE77">
      <w:pPr>
        <w:pStyle w:val="4"/>
        <w:rPr>
          <w:rFonts w:ascii="仿宋" w:hAnsi="仿宋" w:eastAsia="仿宋"/>
          <w:b w:val="0"/>
          <w:color w:val="auto"/>
          <w:highlight w:val="none"/>
        </w:rPr>
      </w:pPr>
      <w:bookmarkStart w:id="25" w:name="_Toc27830"/>
      <w:r>
        <w:rPr>
          <w:rStyle w:val="1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政拨款收入支出决算总表</w:t>
      </w:r>
      <w:bookmarkEnd w:id="25"/>
    </w:p>
    <w:p w14:paraId="03178800">
      <w:pPr>
        <w:pStyle w:val="4"/>
        <w:rPr>
          <w:rStyle w:val="15"/>
          <w:rFonts w:ascii="仿宋" w:hAnsi="仿宋" w:eastAsia="仿宋"/>
          <w:b w:val="0"/>
          <w:bCs w:val="0"/>
          <w:color w:val="auto"/>
          <w:highlight w:val="none"/>
        </w:rPr>
      </w:pPr>
      <w:bookmarkStart w:id="26" w:name="_Toc9853"/>
      <w:r>
        <w:rPr>
          <w:rStyle w:val="1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政拨款支出决算明细表</w:t>
      </w:r>
      <w:bookmarkEnd w:id="26"/>
    </w:p>
    <w:p w14:paraId="7066793E">
      <w:pPr>
        <w:pStyle w:val="4"/>
        <w:rPr>
          <w:rFonts w:ascii="仿宋" w:hAnsi="仿宋" w:eastAsia="仿宋"/>
          <w:color w:val="auto"/>
          <w:highlight w:val="none"/>
        </w:rPr>
      </w:pPr>
      <w:bookmarkStart w:id="27" w:name="_Toc7173"/>
      <w:r>
        <w:rPr>
          <w:rStyle w:val="1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般公共预算财政拨款支出决算表</w:t>
      </w:r>
      <w:bookmarkEnd w:id="27"/>
    </w:p>
    <w:p w14:paraId="4163C389">
      <w:pPr>
        <w:pStyle w:val="4"/>
        <w:rPr>
          <w:rFonts w:ascii="仿宋" w:hAnsi="仿宋" w:eastAsia="仿宋"/>
          <w:color w:val="auto"/>
          <w:highlight w:val="none"/>
        </w:rPr>
      </w:pPr>
      <w:bookmarkStart w:id="28" w:name="_Toc9151"/>
      <w:r>
        <w:rPr>
          <w:rStyle w:val="1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般公共预算财政拨款支出决算明细表</w:t>
      </w:r>
      <w:bookmarkEnd w:id="28"/>
    </w:p>
    <w:p w14:paraId="7657301C">
      <w:pPr>
        <w:pStyle w:val="4"/>
        <w:rPr>
          <w:rFonts w:ascii="仿宋" w:hAnsi="仿宋" w:eastAsia="仿宋"/>
          <w:color w:val="auto"/>
          <w:highlight w:val="none"/>
        </w:rPr>
      </w:pPr>
      <w:bookmarkStart w:id="29" w:name="_Toc8397"/>
      <w:r>
        <w:rPr>
          <w:rStyle w:val="1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般公共预算财政拨款基本支出决算表</w:t>
      </w:r>
      <w:bookmarkEnd w:id="29"/>
    </w:p>
    <w:p w14:paraId="7C1E7DC8">
      <w:pPr>
        <w:pStyle w:val="4"/>
        <w:rPr>
          <w:rFonts w:ascii="仿宋" w:hAnsi="仿宋" w:eastAsia="仿宋"/>
          <w:color w:val="auto"/>
          <w:highlight w:val="none"/>
        </w:rPr>
      </w:pPr>
      <w:bookmarkStart w:id="30" w:name="_Toc17761"/>
      <w:r>
        <w:rPr>
          <w:rStyle w:val="1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般公共预算财政拨款项目支出决算表</w:t>
      </w:r>
      <w:bookmarkEnd w:id="30"/>
    </w:p>
    <w:p w14:paraId="5954D157">
      <w:pPr>
        <w:pStyle w:val="4"/>
        <w:rPr>
          <w:rFonts w:ascii="仿宋" w:hAnsi="仿宋" w:eastAsia="仿宋"/>
          <w:color w:val="auto"/>
          <w:highlight w:val="none"/>
        </w:rPr>
      </w:pPr>
      <w:bookmarkStart w:id="31" w:name="_Toc15132"/>
      <w:r>
        <w:rPr>
          <w:rStyle w:val="15"/>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5"/>
          <w:rFonts w:hint="eastAsia" w:ascii="仿宋" w:hAnsi="仿宋" w:eastAsia="仿宋"/>
          <w:b w:val="0"/>
          <w:bCs w:val="0"/>
          <w:color w:val="auto"/>
          <w:highlight w:val="none"/>
        </w:rPr>
        <w:t>府性基金预算财政拨款收入支出决算表</w:t>
      </w:r>
      <w:bookmarkEnd w:id="31"/>
    </w:p>
    <w:p w14:paraId="43BE4A8A">
      <w:pPr>
        <w:pStyle w:val="4"/>
        <w:rPr>
          <w:rFonts w:ascii="仿宋" w:hAnsi="仿宋" w:eastAsia="仿宋"/>
          <w:color w:val="auto"/>
          <w:highlight w:val="none"/>
        </w:rPr>
      </w:pPr>
      <w:bookmarkStart w:id="32" w:name="_Toc19319"/>
      <w:r>
        <w:rPr>
          <w:rStyle w:val="15"/>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5"/>
          <w:rFonts w:hint="eastAsia" w:ascii="仿宋" w:hAnsi="仿宋" w:eastAsia="仿宋"/>
          <w:b w:val="0"/>
          <w:bCs w:val="0"/>
          <w:color w:val="auto"/>
          <w:highlight w:val="none"/>
        </w:rPr>
        <w:t>有资本经营预算</w:t>
      </w:r>
      <w:r>
        <w:rPr>
          <w:rStyle w:val="15"/>
          <w:rFonts w:hint="eastAsia" w:ascii="仿宋" w:hAnsi="仿宋" w:eastAsia="仿宋"/>
          <w:b w:val="0"/>
          <w:bCs w:val="0"/>
          <w:color w:val="auto"/>
          <w:highlight w:val="none"/>
          <w:lang w:eastAsia="zh-CN"/>
        </w:rPr>
        <w:t>财政拨款收入</w:t>
      </w:r>
      <w:r>
        <w:rPr>
          <w:rStyle w:val="15"/>
          <w:rFonts w:hint="eastAsia" w:ascii="仿宋" w:hAnsi="仿宋" w:eastAsia="仿宋"/>
          <w:b w:val="0"/>
          <w:bCs w:val="0"/>
          <w:color w:val="auto"/>
          <w:highlight w:val="none"/>
        </w:rPr>
        <w:t>支出决算表</w:t>
      </w:r>
      <w:bookmarkEnd w:id="32"/>
    </w:p>
    <w:p w14:paraId="1F6F58D8">
      <w:pPr>
        <w:pStyle w:val="4"/>
        <w:rPr>
          <w:rFonts w:ascii="仿宋" w:hAnsi="仿宋" w:eastAsia="仿宋"/>
          <w:color w:val="auto"/>
          <w:highlight w:val="none"/>
        </w:rPr>
      </w:pPr>
      <w:bookmarkStart w:id="33" w:name="_Toc12783"/>
      <w:r>
        <w:rPr>
          <w:rStyle w:val="15"/>
          <w:rFonts w:hint="eastAsia" w:ascii="仿宋" w:hAnsi="仿宋" w:eastAsia="仿宋"/>
          <w:b w:val="0"/>
          <w:bCs w:val="0"/>
          <w:color w:val="auto"/>
          <w:highlight w:val="none"/>
        </w:rPr>
        <w:t>十二、</w:t>
      </w:r>
      <w:r>
        <w:rPr>
          <w:rStyle w:val="15"/>
          <w:rFonts w:hint="eastAsia" w:ascii="仿宋" w:hAnsi="仿宋" w:eastAsia="仿宋"/>
          <w:b w:val="0"/>
          <w:bCs w:val="0"/>
          <w:color w:val="auto"/>
          <w:highlight w:val="none"/>
          <w:lang w:eastAsia="zh-CN"/>
        </w:rPr>
        <w:t>国有资本经营预算财政拨款支出决算表</w:t>
      </w:r>
      <w:bookmarkEnd w:id="33"/>
    </w:p>
    <w:p w14:paraId="7501363E">
      <w:pPr>
        <w:pStyle w:val="4"/>
        <w:rPr>
          <w:rFonts w:hint="eastAsia" w:eastAsia="仿宋"/>
          <w:color w:val="auto"/>
          <w:highlight w:val="none"/>
          <w:lang w:eastAsia="zh-CN"/>
        </w:rPr>
      </w:pPr>
      <w:bookmarkStart w:id="34" w:name="_Toc13150"/>
      <w:r>
        <w:rPr>
          <w:rStyle w:val="15"/>
          <w:rFonts w:hint="eastAsia" w:ascii="仿宋" w:hAnsi="仿宋" w:eastAsia="仿宋"/>
          <w:b w:val="0"/>
          <w:bCs w:val="0"/>
          <w:color w:val="auto"/>
          <w:highlight w:val="none"/>
        </w:rPr>
        <w:t>十三、</w:t>
      </w:r>
      <w:r>
        <w:rPr>
          <w:rStyle w:val="15"/>
          <w:rFonts w:hint="eastAsia" w:ascii="仿宋" w:hAnsi="仿宋" w:eastAsia="仿宋"/>
          <w:b w:val="0"/>
          <w:bCs w:val="0"/>
          <w:color w:val="auto"/>
          <w:highlight w:val="none"/>
          <w:lang w:eastAsia="zh-CN"/>
        </w:rPr>
        <w:t>财政拨款“三公”经费支出决算表</w:t>
      </w:r>
      <w:bookmarkEnd w:id="34"/>
    </w:p>
    <w:p w14:paraId="4F910669">
      <w:pPr>
        <w:rPr>
          <w:rFonts w:hint="eastAsia"/>
          <w:lang w:eastAsia="zh-CN"/>
        </w:rPr>
      </w:pPr>
    </w:p>
    <w:p w14:paraId="569EC7F1"/>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55C0F">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42D4E62B">
                              <w:pPr>
                                <w:pStyle w:val="6"/>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2270A580">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42D4E62B">
                        <w:pPr>
                          <w:pStyle w:val="6"/>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2270A580">
                    <w:pPr>
                      <w:pStyle w:val="8"/>
                    </w:pPr>
                  </w:p>
                </w:txbxContent>
              </v:textbox>
            </v:shape>
          </w:pict>
        </mc:Fallback>
      </mc:AlternateContent>
    </w:r>
  </w:p>
  <w:p w14:paraId="0A85B70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4B6">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873A52">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D873A52">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D9637F"/>
    <w:rsid w:val="04155920"/>
    <w:rsid w:val="0F8C0A60"/>
    <w:rsid w:val="1BB074A7"/>
    <w:rsid w:val="27AE55C0"/>
    <w:rsid w:val="27F531EF"/>
    <w:rsid w:val="2DB26D7A"/>
    <w:rsid w:val="2FC736C3"/>
    <w:rsid w:val="436A2000"/>
    <w:rsid w:val="4BBF1D3E"/>
    <w:rsid w:val="4E0232A8"/>
    <w:rsid w:val="50807C96"/>
    <w:rsid w:val="53D81880"/>
    <w:rsid w:val="554A0D36"/>
    <w:rsid w:val="57782C90"/>
    <w:rsid w:val="6C8828B2"/>
    <w:rsid w:val="74A837A2"/>
    <w:rsid w:val="7EE51929"/>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qFormat/>
    <w:uiPriority w:val="0"/>
    <w:pPr>
      <w:spacing w:after="120"/>
      <w:ind w:leftChars="200"/>
    </w:pPr>
    <w:rPr>
      <w:rFonts w:ascii="仿宋_GB2312"/>
      <w:szCs w:val="32"/>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8">
    <w:name w:val="footnote text"/>
    <w:basedOn w:val="1"/>
    <w:next w:val="9"/>
    <w:semiHidden/>
    <w:qFormat/>
    <w:uiPriority w:val="0"/>
    <w:pPr>
      <w:snapToGrid w:val="0"/>
      <w:jc w:val="left"/>
    </w:pPr>
    <w:rPr>
      <w:sz w:val="18"/>
      <w:szCs w:val="18"/>
    </w:rPr>
  </w:style>
  <w:style w:type="paragraph" w:styleId="9">
    <w:name w:val="Body Text First Indent 2"/>
    <w:basedOn w:val="5"/>
    <w:unhideWhenUsed/>
    <w:qFormat/>
    <w:uiPriority w:val="99"/>
    <w:pPr>
      <w:ind w:firstLine="420" w:firstLineChars="200"/>
    </w:pPr>
  </w:style>
  <w:style w:type="paragraph" w:styleId="10">
    <w:name w:val="toc 2"/>
    <w:basedOn w:val="1"/>
    <w:next w:val="1"/>
    <w:unhideWhenUsed/>
    <w:qFormat/>
    <w:uiPriority w:val="39"/>
    <w:pPr>
      <w:tabs>
        <w:tab w:val="right" w:leader="dot" w:pos="8296"/>
      </w:tabs>
      <w:ind w:left="420" w:leftChars="200"/>
    </w:pPr>
  </w:style>
  <w:style w:type="character" w:styleId="13">
    <w:name w:val="Strong"/>
    <w:basedOn w:val="12"/>
    <w:qFormat/>
    <w:uiPriority w:val="99"/>
    <w:rPr>
      <w:b/>
    </w:rPr>
  </w:style>
  <w:style w:type="character" w:customStyle="1" w:styleId="14">
    <w:name w:val="标题 1 Char"/>
    <w:basedOn w:val="12"/>
    <w:link w:val="3"/>
    <w:qFormat/>
    <w:uiPriority w:val="9"/>
    <w:rPr>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e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_ * #,##0.00_ ;_ * \-#,##0.00_ ;_ * "-"??_ ;_ @_ </c:formatCode>
                <c:ptCount val="2"/>
                <c:pt idx="0">
                  <c:v>3267.972948</c:v>
                </c:pt>
                <c:pt idx="1">
                  <c:v>3267.972948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2417.095454</c:v>
                </c:pt>
                <c:pt idx="1">
                  <c:v>2417.095454</c:v>
                </c:pt>
              </c:numCache>
            </c:numRef>
          </c:val>
        </c:ser>
        <c:dLbls>
          <c:showLegendKey val="0"/>
          <c:showVal val="1"/>
          <c:showCatName val="0"/>
          <c:showSerName val="0"/>
          <c:showPercent val="0"/>
          <c:showBubbleSize val="0"/>
        </c:dLbls>
        <c:gapWidth val="246"/>
        <c:overlap val="-28"/>
        <c:axId val="635797690"/>
        <c:axId val="739148166"/>
      </c:barChart>
      <c:catAx>
        <c:axId val="6357976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9148166"/>
        <c:crosses val="autoZero"/>
        <c:auto val="1"/>
        <c:lblAlgn val="ctr"/>
        <c:lblOffset val="100"/>
        <c:noMultiLvlLbl val="0"/>
      </c:catAx>
      <c:valAx>
        <c:axId val="739148166"/>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579769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3,267.97</a:t>
                    </a:r>
                    <a:r>
                      <a:rPr lang="en-US" altLang="zh-CN"/>
                      <a:t>,</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3267.97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3117.91,</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95</a:t>
                    </a:r>
                    <a:r>
                      <a:rPr lang="en-US" altLang="zh-CN"/>
                      <a:t>.4</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150.06,</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4.6</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3117.91</c:v>
                </c:pt>
                <c:pt idx="1" c:formatCode="General">
                  <c:v>150.06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_ * #,##0.00_ ;_ * \-#,##0.00_ ;_ * "-"??_ ;_ @_ </c:formatCode>
                <c:ptCount val="2"/>
                <c:pt idx="0">
                  <c:v>3267.972948</c:v>
                </c:pt>
                <c:pt idx="1">
                  <c:v>3267.972948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_ * #,##0.00_ ;_ * \-#,##0.00_ ;_ * "-"??_ ;_ @_ </c:formatCode>
                <c:ptCount val="2"/>
                <c:pt idx="0">
                  <c:v>2417.095454</c:v>
                </c:pt>
                <c:pt idx="1">
                  <c:v>2417.095454</c:v>
                </c:pt>
              </c:numCache>
            </c:numRef>
          </c:val>
        </c:ser>
        <c:dLbls>
          <c:showLegendKey val="0"/>
          <c:showVal val="1"/>
          <c:showCatName val="0"/>
          <c:showSerName val="0"/>
          <c:showPercent val="0"/>
          <c:showBubbleSize val="0"/>
        </c:dLbls>
        <c:gapWidth val="246"/>
        <c:overlap val="-28"/>
        <c:axId val="635797690"/>
        <c:axId val="739148166"/>
      </c:barChart>
      <c:catAx>
        <c:axId val="6357976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9148166"/>
        <c:crosses val="autoZero"/>
        <c:auto val="1"/>
        <c:lblAlgn val="ctr"/>
        <c:lblOffset val="100"/>
        <c:noMultiLvlLbl val="0"/>
      </c:catAx>
      <c:valAx>
        <c:axId val="739148166"/>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579769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一般公共预算财政拨款支出</c:v>
                </c:pt>
              </c:strCache>
            </c:strRef>
          </c:cat>
          <c:val>
            <c:numRef>
              <c:f>Sheet1!$B$2:$B$3</c:f>
              <c:numCache>
                <c:formatCode>_ * #,##0.00_ ;_ * \-#,##0.00_ ;_ * "-"??_ ;_ @_ </c:formatCode>
                <c:ptCount val="2"/>
                <c:pt idx="0">
                  <c:v>3267.972948</c:v>
                </c:pt>
                <c:pt idx="1">
                  <c:v>3267.972948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一般公共预算财政拨款支出</c:v>
                </c:pt>
              </c:strCache>
            </c:strRef>
          </c:cat>
          <c:val>
            <c:numRef>
              <c:f>Sheet1!$C$2:$C$3</c:f>
              <c:numCache>
                <c:formatCode>_ * #,##0.00_ ;_ * \-#,##0.00_ ;_ * "-"??_ ;_ @_ </c:formatCode>
                <c:ptCount val="2"/>
                <c:pt idx="0">
                  <c:v>2417.095454</c:v>
                </c:pt>
                <c:pt idx="1">
                  <c:v>2417.095454</c:v>
                </c:pt>
              </c:numCache>
            </c:numRef>
          </c:val>
        </c:ser>
        <c:dLbls>
          <c:showLegendKey val="0"/>
          <c:showVal val="1"/>
          <c:showCatName val="0"/>
          <c:showSerName val="0"/>
          <c:showPercent val="0"/>
          <c:showBubbleSize val="0"/>
        </c:dLbls>
        <c:gapWidth val="246"/>
        <c:overlap val="-28"/>
        <c:axId val="635797690"/>
        <c:axId val="739148166"/>
      </c:barChart>
      <c:catAx>
        <c:axId val="6357976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9148166"/>
        <c:crosses val="autoZero"/>
        <c:auto val="1"/>
        <c:lblAlgn val="ctr"/>
        <c:lblOffset val="100"/>
        <c:noMultiLvlLbl val="0"/>
      </c:catAx>
      <c:valAx>
        <c:axId val="739148166"/>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579769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0181203189176129"/>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341.42,,</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10</a:t>
                    </a:r>
                    <a:r>
                      <a:rPr lang="en-US" altLang="zh-CN"/>
                      <a:t>.5</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157,</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4.8</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2577.57,</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7</a:t>
                    </a:r>
                    <a:r>
                      <a:rPr lang="en-US" altLang="zh-CN"/>
                      <a:t>8.9</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191.98,</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5.9</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341.42</c:v>
                </c:pt>
                <c:pt idx="1">
                  <c:v>157</c:v>
                </c:pt>
                <c:pt idx="2" c:formatCode="#,##0.00">
                  <c:v>2577.57</c:v>
                </c:pt>
                <c:pt idx="3">
                  <c:v>191.98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471128291857937"/>
                  <c:y val="0.0295367615809605"/>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0%</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0181203189176129"/>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18.97,</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7.9</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268180719980672"/>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0.40,</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2.1</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18.97</c:v>
                </c:pt>
                <c:pt idx="2">
                  <c:v>0.4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5321</Words>
  <Characters>5791</Characters>
  <Lines>0</Lines>
  <Paragraphs>0</Paragraphs>
  <TotalTime>21</TotalTime>
  <ScaleCrop>false</ScaleCrop>
  <LinksUpToDate>false</LinksUpToDate>
  <CharactersWithSpaces>5980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2024-09-18T01:54:15Z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BF83E5C15DDC4EE88FAC38DE65BC9D17_13</vt:lpwstr>
  </property>
</Properties>
</file>