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2F7AD">
      <w:pPr>
        <w:pStyle w:val="4"/>
        <w:jc w:val="center"/>
        <w:rPr>
          <w:rFonts w:hint="eastAsia" w:ascii="方正小标宋简体" w:hAnsi="宋体" w:eastAsia="方正小标宋简体" w:cs="Times New Roman"/>
          <w:color w:val="auto"/>
          <w:kern w:val="2"/>
          <w:sz w:val="44"/>
          <w:szCs w:val="44"/>
          <w:highlight w:val="none"/>
          <w:lang w:val="en-US" w:eastAsia="zh-CN" w:bidi="ar-SA"/>
        </w:rPr>
      </w:pPr>
    </w:p>
    <w:p w14:paraId="197213D6">
      <w:pPr>
        <w:pStyle w:val="4"/>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2023年度阿坝藏族羌族自治州公路管理局壤塘公路管理分局单位决算</w:t>
      </w:r>
    </w:p>
    <w:p w14:paraId="14DB2B09"/>
    <w:p w14:paraId="33F1B5B6">
      <w:pPr>
        <w:widowControl/>
        <w:jc w:val="center"/>
        <w:rPr>
          <w:rFonts w:ascii="方正小标宋简体" w:hAnsi="宋体" w:eastAsia="方正小标宋简体"/>
          <w:color w:val="auto"/>
          <w:sz w:val="36"/>
          <w:szCs w:val="36"/>
          <w:highlight w:val="none"/>
        </w:rPr>
      </w:pPr>
      <w:r>
        <w:rPr>
          <w:rFonts w:ascii="方正小标宋简体" w:hAnsi="宋体" w:eastAsia="方正小标宋简体"/>
          <w:color w:val="auto"/>
          <w:sz w:val="36"/>
          <w:szCs w:val="36"/>
          <w:highlight w:val="none"/>
        </w:rPr>
        <w:br w:type="page"/>
      </w:r>
    </w:p>
    <w:sdt>
      <w:sdtPr>
        <w:rPr>
          <w:rFonts w:hint="eastAsia" w:ascii="黑体" w:hAnsi="黑体" w:eastAsia="黑体"/>
          <w:color w:val="auto"/>
          <w:sz w:val="48"/>
          <w:szCs w:val="48"/>
          <w:highlight w:val="none"/>
          <w:lang w:val="en-US" w:eastAsia="zh-CN"/>
        </w:rPr>
        <w:id w:val="147481195"/>
        <w15:color w:val="DBDBDB"/>
        <w:docPartObj>
          <w:docPartGallery w:val="Table of Contents"/>
          <w:docPartUnique/>
        </w:docPartObj>
      </w:sdtPr>
      <w:sdtEndPr>
        <w:rPr>
          <w:rFonts w:hint="eastAsia" w:ascii="黑体" w:hAnsi="黑体" w:eastAsia="黑体"/>
          <w:b/>
          <w:color w:val="auto"/>
          <w:sz w:val="48"/>
          <w:szCs w:val="48"/>
          <w:highlight w:val="none"/>
          <w:lang w:val="en-US" w:eastAsia="zh-CN"/>
        </w:rPr>
      </w:sdtEndPr>
      <w:sdtContent>
        <w:p w14:paraId="5B60F6FF">
          <w:pPr>
            <w:widowControl/>
            <w:jc w:val="center"/>
            <w:rPr>
              <w:rFonts w:hint="eastAsia" w:ascii="黑体" w:hAnsi="黑体" w:eastAsia="黑体"/>
              <w:color w:val="auto"/>
              <w:sz w:val="48"/>
              <w:szCs w:val="48"/>
              <w:highlight w:val="none"/>
            </w:rPr>
          </w:pPr>
          <w:r>
            <w:rPr>
              <w:rFonts w:hint="eastAsia" w:ascii="黑体" w:hAnsi="黑体" w:eastAsia="黑体"/>
              <w:color w:val="auto"/>
              <w:sz w:val="48"/>
              <w:szCs w:val="48"/>
              <w:highlight w:val="none"/>
            </w:rPr>
            <w:t>目录</w:t>
          </w:r>
        </w:p>
        <w:p w14:paraId="52C88F2A">
          <w:pPr>
            <w:pStyle w:val="8"/>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14:paraId="09E16F4C">
          <w:pPr>
            <w:widowControl/>
            <w:jc w:val="center"/>
            <w:rPr>
              <w:b/>
            </w:rPr>
          </w:pPr>
          <w:r>
            <w:fldChar w:fldCharType="begin"/>
          </w:r>
          <w:r>
            <w:instrText xml:space="preserve">TOC \o "1-2" \h \u </w:instrText>
          </w:r>
          <w:r>
            <w:fldChar w:fldCharType="separate"/>
          </w:r>
        </w:p>
        <w:p w14:paraId="4FC62A9B">
          <w:pPr>
            <w:pStyle w:val="19"/>
            <w:tabs>
              <w:tab w:val="right" w:leader="dot" w:pos="8306"/>
            </w:tabs>
            <w:rPr>
              <w:rFonts w:hint="eastAsia" w:ascii="仿宋" w:hAnsi="仿宋" w:eastAsia="仿宋" w:cs="仿宋"/>
              <w:b/>
              <w:sz w:val="28"/>
              <w:szCs w:val="28"/>
            </w:rPr>
          </w:pP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HYPERLINK \l _Toc10053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第一部分单位概况</w:t>
          </w:r>
          <w:r>
            <w:rPr>
              <w:rFonts w:hint="eastAsia" w:ascii="仿宋" w:hAnsi="仿宋" w:eastAsia="仿宋" w:cs="仿宋"/>
              <w:color w:val="auto"/>
              <w:kern w:val="2"/>
              <w:sz w:val="28"/>
              <w:szCs w:val="28"/>
              <w:highlight w:val="none"/>
              <w:lang w:val="en-US" w:eastAsia="zh-CN" w:bidi="ar-SA"/>
            </w:rPr>
            <w:tab/>
          </w:r>
          <w:r>
            <w:rPr>
              <w:rFonts w:hint="eastAsia" w:ascii="仿宋" w:hAnsi="仿宋" w:eastAsia="仿宋" w:cs="仿宋"/>
              <w:color w:val="auto"/>
              <w:kern w:val="2"/>
              <w:sz w:val="28"/>
              <w:szCs w:val="28"/>
              <w:highlight w:val="none"/>
              <w:lang w:val="en-US" w:eastAsia="zh-CN" w:bidi="ar-SA"/>
            </w:rPr>
            <w:fldChar w:fldCharType="begin"/>
          </w:r>
          <w:r>
            <w:rPr>
              <w:rFonts w:hint="eastAsia" w:ascii="仿宋" w:hAnsi="仿宋" w:eastAsia="仿宋" w:cs="仿宋"/>
              <w:color w:val="auto"/>
              <w:kern w:val="2"/>
              <w:sz w:val="28"/>
              <w:szCs w:val="28"/>
              <w:highlight w:val="none"/>
              <w:lang w:val="en-US" w:eastAsia="zh-CN" w:bidi="ar-SA"/>
            </w:rPr>
            <w:instrText xml:space="preserve"> PAGEREF _Toc10053 \h </w:instrText>
          </w:r>
          <w:r>
            <w:rPr>
              <w:rFonts w:hint="eastAsia" w:ascii="仿宋" w:hAnsi="仿宋" w:eastAsia="仿宋" w:cs="仿宋"/>
              <w:color w:val="auto"/>
              <w:kern w:val="2"/>
              <w:sz w:val="28"/>
              <w:szCs w:val="28"/>
              <w:highlight w:val="none"/>
              <w:lang w:val="en-US" w:eastAsia="zh-CN" w:bidi="ar-SA"/>
            </w:rPr>
            <w:fldChar w:fldCharType="separate"/>
          </w:r>
          <w:r>
            <w:rPr>
              <w:rFonts w:hint="eastAsia" w:ascii="仿宋" w:hAnsi="仿宋" w:eastAsia="仿宋" w:cs="仿宋"/>
              <w:color w:val="auto"/>
              <w:kern w:val="2"/>
              <w:sz w:val="28"/>
              <w:szCs w:val="28"/>
              <w:highlight w:val="none"/>
              <w:lang w:val="en-US" w:eastAsia="zh-CN" w:bidi="ar-SA"/>
            </w:rPr>
            <w:t>- 4 -</w:t>
          </w:r>
          <w:r>
            <w:rPr>
              <w:rFonts w:hint="eastAsia" w:ascii="仿宋" w:hAnsi="仿宋" w:eastAsia="仿宋" w:cs="仿宋"/>
              <w:color w:val="auto"/>
              <w:kern w:val="2"/>
              <w:sz w:val="28"/>
              <w:szCs w:val="28"/>
              <w:highlight w:val="none"/>
              <w:lang w:val="en-US" w:eastAsia="zh-CN" w:bidi="ar-SA"/>
            </w:rPr>
            <w:fldChar w:fldCharType="end"/>
          </w:r>
          <w:r>
            <w:rPr>
              <w:rFonts w:hint="eastAsia" w:ascii="仿宋" w:hAnsi="仿宋" w:eastAsia="仿宋" w:cs="仿宋"/>
              <w:color w:val="auto"/>
              <w:kern w:val="2"/>
              <w:sz w:val="28"/>
              <w:szCs w:val="28"/>
              <w:highlight w:val="none"/>
              <w:lang w:val="en-US" w:eastAsia="zh-CN" w:bidi="ar-SA"/>
            </w:rPr>
            <w:fldChar w:fldCharType="end"/>
          </w:r>
        </w:p>
        <w:p w14:paraId="7A3694BB">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_Toc29048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一、主要职责</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_Toc29048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0C40E0B">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_Toc20761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val="en-US" w:eastAsia="zh-CN"/>
            </w:rPr>
            <w:t>二、机构设置</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_Toc20761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- 4 -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99F5F2F">
          <w:pPr>
            <w:pStyle w:val="8"/>
            <w:adjustRightInd w:val="0"/>
            <w:snapToGrid w:val="0"/>
            <w:spacing w:before="0" w:line="440" w:lineRule="exact"/>
            <w:jc w:val="left"/>
            <w:outlineLvl w:val="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_Toc12410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第二部分</w:t>
          </w:r>
          <w:r>
            <w:rPr>
              <w:rFonts w:hint="eastAsia" w:ascii="仿宋" w:hAnsi="仿宋" w:eastAsia="仿宋" w:cs="仿宋"/>
              <w:color w:val="auto"/>
              <w:sz w:val="28"/>
              <w:szCs w:val="28"/>
              <w:highlight w:val="none"/>
              <w:lang w:val="en-US" w:eastAsia="zh-CN"/>
            </w:rPr>
            <w:t>2023年度</w:t>
          </w:r>
          <w:r>
            <w:rPr>
              <w:rFonts w:hint="eastAsia" w:ascii="仿宋" w:hAnsi="仿宋" w:eastAsia="仿宋" w:cs="仿宋"/>
              <w:color w:val="auto"/>
              <w:sz w:val="28"/>
              <w:szCs w:val="28"/>
              <w:highlight w:val="none"/>
              <w:lang w:eastAsia="zh-CN"/>
            </w:rPr>
            <w:t>单位</w:t>
          </w:r>
          <w:r>
            <w:rPr>
              <w:rFonts w:hint="eastAsia" w:ascii="仿宋" w:hAnsi="仿宋" w:eastAsia="仿宋" w:cs="仿宋"/>
              <w:color w:val="auto"/>
              <w:sz w:val="28"/>
              <w:szCs w:val="28"/>
              <w:highlight w:val="none"/>
            </w:rPr>
            <w:t>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_Toc12410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- 5 -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699928D">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_Toc11452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一、</w:t>
          </w:r>
          <w:r>
            <w:rPr>
              <w:rFonts w:hint="eastAsia" w:ascii="仿宋" w:hAnsi="仿宋" w:eastAsia="仿宋" w:cs="仿宋"/>
              <w:color w:val="auto"/>
              <w:sz w:val="28"/>
              <w:szCs w:val="28"/>
              <w:highlight w:val="none"/>
            </w:rPr>
            <w:t>收入支出决算总体情况说明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_Toc11452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- 5 -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CA9BB87">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_Toc26935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二、</w:t>
          </w:r>
          <w:r>
            <w:rPr>
              <w:rFonts w:hint="eastAsia" w:ascii="仿宋" w:hAnsi="仿宋" w:eastAsia="仿宋" w:cs="仿宋"/>
              <w:color w:val="auto"/>
              <w:sz w:val="28"/>
              <w:szCs w:val="28"/>
              <w:highlight w:val="none"/>
            </w:rPr>
            <w:t>收入决算情况说明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_Toc26935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- 5 -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B4053F0">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_Toc345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三、</w:t>
          </w:r>
          <w:r>
            <w:rPr>
              <w:rFonts w:hint="eastAsia" w:ascii="仿宋" w:hAnsi="仿宋" w:eastAsia="仿宋" w:cs="仿宋"/>
              <w:color w:val="auto"/>
              <w:sz w:val="28"/>
              <w:szCs w:val="28"/>
              <w:highlight w:val="none"/>
            </w:rPr>
            <w:t>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_Toc345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- 6 -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41D147E">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_Toc7808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四、财政拨款收入支出决算总体情况说明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_Toc7808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- 7 -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7387501">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_Toc31881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五、一般公共预算财政拨款支出决算情况说明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_Toc31881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- 7 -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6B960047">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_Toc22700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六、一般公共预算财政拨款基本支出决算情况说明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_Toc22700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- 10 -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B5871C1">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_Toc19110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七、财政拨款“三公”经费支出决算情况说明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_Toc19110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- 11 -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77655E98">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_Toc20776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八、政府性基金预算支出决算情况说明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_Toc20776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- 13 -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759B3C4">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_Toc4669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九、</w:t>
          </w:r>
          <w:r>
            <w:rPr>
              <w:rFonts w:hint="eastAsia" w:ascii="仿宋" w:hAnsi="仿宋" w:eastAsia="仿宋" w:cs="仿宋"/>
              <w:color w:val="auto"/>
              <w:sz w:val="28"/>
              <w:szCs w:val="28"/>
              <w:highlight w:val="none"/>
            </w:rPr>
            <w:t>国有资本经营预算支出决算情况说明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_Toc4669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- 13 -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6BDF429B">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_Toc21342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十、</w:t>
          </w:r>
          <w:r>
            <w:rPr>
              <w:rFonts w:hint="eastAsia" w:ascii="仿宋" w:hAnsi="仿宋" w:eastAsia="仿宋" w:cs="仿宋"/>
              <w:color w:val="auto"/>
              <w:sz w:val="28"/>
              <w:szCs w:val="28"/>
              <w:highlight w:val="none"/>
            </w:rPr>
            <w:t>其他重要事项的情况说明</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_Toc21342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- 13 -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A709AA5">
          <w:pPr>
            <w:pStyle w:val="8"/>
            <w:adjustRightInd w:val="0"/>
            <w:snapToGrid w:val="0"/>
            <w:spacing w:before="0" w:line="440" w:lineRule="exact"/>
            <w:jc w:val="left"/>
            <w:outlineLvl w:val="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_Toc15437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lang w:eastAsia="zh-CN"/>
            </w:rPr>
            <w:t>第三部分</w:t>
          </w:r>
          <w:r>
            <w:rPr>
              <w:rFonts w:hint="eastAsia" w:ascii="仿宋" w:hAnsi="仿宋" w:eastAsia="仿宋" w:cs="仿宋"/>
              <w:color w:val="auto"/>
              <w:sz w:val="28"/>
              <w:szCs w:val="28"/>
              <w:highlight w:val="none"/>
            </w:rPr>
            <w:t>名词解释</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_Toc15437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- 15 -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271929F6">
          <w:pPr>
            <w:pStyle w:val="8"/>
            <w:adjustRightInd w:val="0"/>
            <w:snapToGrid w:val="0"/>
            <w:spacing w:before="0" w:line="440" w:lineRule="exact"/>
            <w:jc w:val="left"/>
            <w:outlineLvl w:val="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_Toc32097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第四部分附件</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_Toc32097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- 18 -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90C4A2F">
          <w:pPr>
            <w:pStyle w:val="8"/>
            <w:adjustRightInd w:val="0"/>
            <w:snapToGrid w:val="0"/>
            <w:spacing w:before="0" w:line="440" w:lineRule="exact"/>
            <w:jc w:val="left"/>
            <w:outlineLvl w:val="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_Toc1066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第五部分附表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_Toc1066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84A015C">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_Toc1074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一、收入支出决算总表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_Toc1074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62440988">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_Toc22239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二、收入决算表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_Toc22239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C478A76">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_Toc30390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三、支出决算表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_Toc30390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6B1BAA8F">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_Toc24330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四、财政拨款收入支出决算总表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_Toc24330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1A8BB99">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_Toc24628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五、财政拨款支出决算明细表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_Toc24628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62AB398">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_Toc14644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六、一般公共预算财政拨款支出决算表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_Toc14644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147DB50">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_Toc14314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七、一般公共预算财政拨款支出决算明细表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_Toc14314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5450BBB7">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_Toc278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八、一般公共预算财政拨款基本支出决算表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_Toc278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376CBD5">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_Toc28248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九、一般公共预算财政拨款项目支出决算表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_Toc28248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A77D1C0">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_Toc16948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十、政府性基金预算财政拨款收入支出决算表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_Toc16948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5C0F0A7">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_Toc20971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十一、国有资本经营预算</w:t>
          </w:r>
          <w:r>
            <w:rPr>
              <w:rFonts w:hint="eastAsia" w:ascii="仿宋" w:hAnsi="仿宋" w:eastAsia="仿宋" w:cs="仿宋"/>
              <w:color w:val="auto"/>
              <w:sz w:val="28"/>
              <w:szCs w:val="28"/>
              <w:highlight w:val="none"/>
              <w:lang w:eastAsia="zh-CN"/>
            </w:rPr>
            <w:t>财政拨款收入</w:t>
          </w:r>
          <w:r>
            <w:rPr>
              <w:rFonts w:hint="eastAsia" w:ascii="仿宋" w:hAnsi="仿宋" w:eastAsia="仿宋" w:cs="仿宋"/>
              <w:color w:val="auto"/>
              <w:sz w:val="28"/>
              <w:szCs w:val="28"/>
              <w:highlight w:val="none"/>
            </w:rPr>
            <w:t>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_Toc20971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441D54CD">
          <w:pPr>
            <w:pStyle w:val="10"/>
            <w:adjustRightInd w:val="0"/>
            <w:snapToGrid w:val="0"/>
            <w:spacing w:line="440" w:lineRule="exact"/>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_Toc9813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十二、</w:t>
          </w:r>
          <w:r>
            <w:rPr>
              <w:rFonts w:hint="eastAsia" w:ascii="仿宋" w:hAnsi="仿宋" w:eastAsia="仿宋" w:cs="仿宋"/>
              <w:color w:val="auto"/>
              <w:sz w:val="28"/>
              <w:szCs w:val="28"/>
              <w:highlight w:val="none"/>
              <w:lang w:eastAsia="zh-CN"/>
            </w:rPr>
            <w:t>国有资本经营预算财政拨款支出决算表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_Toc9813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3F521D15">
          <w:pPr>
            <w:pStyle w:val="10"/>
            <w:adjustRightInd w:val="0"/>
            <w:snapToGrid w:val="0"/>
            <w:spacing w:line="440" w:lineRule="exact"/>
            <w:jc w:val="left"/>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\l _Toc28183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十三、</w:t>
          </w:r>
          <w:r>
            <w:rPr>
              <w:rFonts w:hint="eastAsia" w:ascii="仿宋" w:hAnsi="仿宋" w:eastAsia="仿宋" w:cs="仿宋"/>
              <w:color w:val="auto"/>
              <w:sz w:val="28"/>
              <w:szCs w:val="28"/>
              <w:highlight w:val="none"/>
              <w:lang w:eastAsia="zh-CN"/>
            </w:rPr>
            <w:t>财政拨款“三公”经费支出决算表</w:t>
          </w: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PAGEREF _Toc28183 \h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- 19 -</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fldChar w:fldCharType="end"/>
          </w:r>
        </w:p>
        <w:p w14:paraId="0B3A014E">
          <w:pPr>
            <w:rPr>
              <w:b/>
            </w:rPr>
          </w:pPr>
          <w:r>
            <w:rPr>
              <w:b/>
            </w:rPr>
            <w:fldChar w:fldCharType="end"/>
          </w:r>
        </w:p>
      </w:sdtContent>
    </w:sdt>
    <w:p w14:paraId="64FCB36A">
      <w:pPr>
        <w:rPr>
          <w:b/>
        </w:rPr>
      </w:pPr>
    </w:p>
    <w:p w14:paraId="798A1AFA">
      <w:pPr>
        <w:rPr>
          <w:rFonts w:hint="eastAsia" w:ascii="黑体" w:hAnsi="黑体" w:eastAsia="黑体"/>
          <w:b w:val="0"/>
          <w:color w:val="auto"/>
          <w:highlight w:val="none"/>
        </w:rPr>
      </w:pPr>
      <w:bookmarkStart w:id="0" w:name="_Toc10053"/>
      <w:r>
        <w:rPr>
          <w:rFonts w:hint="eastAsia" w:ascii="黑体" w:hAnsi="黑体" w:eastAsia="黑体"/>
          <w:b w:val="0"/>
          <w:color w:val="auto"/>
          <w:highlight w:val="none"/>
        </w:rPr>
        <w:br w:type="page"/>
      </w:r>
    </w:p>
    <w:p w14:paraId="2D993B9C">
      <w:pPr>
        <w:pStyle w:val="2"/>
        <w:jc w:val="center"/>
        <w:rPr>
          <w:rFonts w:ascii="黑体" w:eastAsia="黑体"/>
          <w:color w:val="auto"/>
          <w:sz w:val="32"/>
          <w:szCs w:val="32"/>
          <w:highlight w:val="none"/>
        </w:rPr>
      </w:pPr>
      <w:r>
        <w:rPr>
          <w:rFonts w:hint="eastAsia" w:ascii="黑体" w:hAnsi="黑体" w:eastAsia="黑体"/>
          <w:b w:val="0"/>
          <w:color w:val="auto"/>
          <w:highlight w:val="none"/>
        </w:rPr>
        <w:t>第一部分</w:t>
      </w:r>
      <w:r>
        <w:rPr>
          <w:rFonts w:hint="eastAsia" w:ascii="黑体" w:hAnsi="黑体" w:eastAsia="黑体"/>
          <w:b w:val="0"/>
          <w:color w:val="auto"/>
          <w:highlight w:val="none"/>
          <w:lang w:eastAsia="zh-CN"/>
        </w:rPr>
        <w:t>单位</w:t>
      </w:r>
      <w:r>
        <w:rPr>
          <w:rStyle w:val="14"/>
          <w:rFonts w:hint="eastAsia" w:ascii="黑体" w:hAnsi="黑体" w:eastAsia="黑体"/>
          <w:b w:val="0"/>
          <w:bCs w:val="0"/>
          <w:color w:val="auto"/>
          <w:highlight w:val="none"/>
        </w:rPr>
        <w:t>概况</w:t>
      </w:r>
      <w:bookmarkEnd w:id="0"/>
    </w:p>
    <w:p w14:paraId="70F3E8D1">
      <w:pPr>
        <w:pStyle w:val="3"/>
        <w:numPr>
          <w:ilvl w:val="0"/>
          <w:numId w:val="1"/>
        </w:numPr>
        <w:rPr>
          <w:rStyle w:val="15"/>
          <w:rFonts w:hint="eastAsia" w:ascii="黑体" w:hAnsi="黑体" w:eastAsia="黑体"/>
          <w:b w:val="0"/>
          <w:bCs w:val="0"/>
          <w:color w:val="auto"/>
          <w:highlight w:val="none"/>
          <w:lang w:eastAsia="zh-CN"/>
        </w:rPr>
      </w:pPr>
      <w:bookmarkStart w:id="1" w:name="_Toc29048"/>
      <w:r>
        <w:rPr>
          <w:rStyle w:val="15"/>
          <w:rFonts w:hint="eastAsia" w:ascii="黑体" w:hAnsi="黑体" w:eastAsia="黑体"/>
          <w:b w:val="0"/>
          <w:bCs w:val="0"/>
          <w:color w:val="auto"/>
          <w:highlight w:val="none"/>
          <w:lang w:eastAsia="zh-CN"/>
        </w:rPr>
        <w:t>主要职责</w:t>
      </w:r>
      <w:bookmarkEnd w:id="1"/>
    </w:p>
    <w:p w14:paraId="28189D69">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阿坝藏族羌族自治州公路管理局壤塘公路管理分局属于服务型事业单位,主要负责国道G317线壤塘县境内公路的维护和保养工作。</w:t>
      </w:r>
    </w:p>
    <w:p w14:paraId="28858DCC">
      <w:pPr>
        <w:pStyle w:val="3"/>
        <w:numPr>
          <w:ilvl w:val="0"/>
          <w:numId w:val="0"/>
        </w:numPr>
        <w:rPr>
          <w:rFonts w:hint="eastAsia" w:ascii="黑体" w:hAnsi="黑体" w:eastAsia="黑体"/>
          <w:b w:val="0"/>
          <w:color w:val="auto"/>
          <w:highlight w:val="none"/>
          <w:lang w:val="en-US" w:eastAsia="zh-CN"/>
        </w:rPr>
      </w:pPr>
      <w:bookmarkStart w:id="2" w:name="_Toc20761"/>
      <w:r>
        <w:rPr>
          <w:rFonts w:hint="eastAsia" w:ascii="黑体" w:hAnsi="黑体" w:eastAsia="黑体"/>
          <w:b w:val="0"/>
          <w:color w:val="auto"/>
          <w:highlight w:val="none"/>
          <w:lang w:val="en-US" w:eastAsia="zh-CN"/>
        </w:rPr>
        <w:t>二、机构设置</w:t>
      </w:r>
      <w:bookmarkEnd w:id="2"/>
    </w:p>
    <w:p w14:paraId="04E09323">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机关内设二室五股，即：党支部办公室、行政办公室、财务股、人事股、工程股、机料股、安全股，管辖1个养护中心，即：壤塘公路养护和应急保通中心。</w:t>
      </w:r>
    </w:p>
    <w:p w14:paraId="308A4EDC">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207B81CA">
      <w:pPr>
        <w:pStyle w:val="2"/>
        <w:ind w:right="440"/>
        <w:jc w:val="center"/>
        <w:rPr>
          <w:rStyle w:val="14"/>
          <w:rFonts w:ascii="黑体" w:hAnsi="黑体" w:eastAsia="黑体"/>
          <w:b w:val="0"/>
          <w:bCs/>
          <w:color w:val="auto"/>
          <w:highlight w:val="none"/>
        </w:rPr>
      </w:pPr>
      <w:bookmarkStart w:id="3" w:name="_Toc12410"/>
      <w:r>
        <w:rPr>
          <w:rFonts w:hint="eastAsia" w:ascii="黑体" w:hAnsi="黑体" w:eastAsia="黑体"/>
          <w:b w:val="0"/>
          <w:bCs/>
          <w:color w:val="auto"/>
          <w:highlight w:val="none"/>
        </w:rPr>
        <w:t>第二部分</w:t>
      </w:r>
      <w:r>
        <w:rPr>
          <w:rFonts w:hint="eastAsia" w:ascii="黑体" w:hAnsi="黑体" w:eastAsia="黑体"/>
          <w:b w:val="0"/>
          <w:bCs/>
          <w:color w:val="auto"/>
          <w:highlight w:val="none"/>
          <w:lang w:val="en-US" w:eastAsia="zh-CN"/>
        </w:rPr>
        <w:t>2023年度</w:t>
      </w:r>
      <w:r>
        <w:rPr>
          <w:rStyle w:val="14"/>
          <w:rFonts w:hint="eastAsia" w:ascii="黑体" w:hAnsi="黑体" w:eastAsia="黑体"/>
          <w:b w:val="0"/>
          <w:bCs/>
          <w:color w:val="auto"/>
          <w:highlight w:val="none"/>
          <w:lang w:eastAsia="zh-CN"/>
        </w:rPr>
        <w:t>单位</w:t>
      </w:r>
      <w:r>
        <w:rPr>
          <w:rStyle w:val="14"/>
          <w:rFonts w:hint="eastAsia" w:ascii="黑体" w:hAnsi="黑体" w:eastAsia="黑体"/>
          <w:b w:val="0"/>
          <w:bCs/>
          <w:color w:val="auto"/>
          <w:highlight w:val="none"/>
        </w:rPr>
        <w:t>决算情况说明</w:t>
      </w:r>
      <w:bookmarkEnd w:id="3"/>
    </w:p>
    <w:p w14:paraId="4123EA06">
      <w:pPr>
        <w:rPr>
          <w:color w:val="auto"/>
          <w:highlight w:val="none"/>
        </w:rPr>
      </w:pPr>
    </w:p>
    <w:p w14:paraId="5AF12334">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4" w:name="_Toc11452"/>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入支出决算总体情况说明</w:t>
      </w:r>
      <w:bookmarkEnd w:id="4"/>
    </w:p>
    <w:p w14:paraId="1AD66F8C">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3413.12</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w:t>
      </w:r>
      <w:r>
        <w:rPr>
          <w:rFonts w:hint="eastAsia" w:ascii="仿宋" w:hAnsi="仿宋" w:eastAsia="仿宋"/>
          <w:color w:val="auto"/>
          <w:sz w:val="32"/>
          <w:szCs w:val="32"/>
          <w:highlight w:val="none"/>
          <w:lang w:val="en-US" w:eastAsia="zh-CN"/>
        </w:rPr>
        <w:t>1522.53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80.5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2023年度</w:t>
      </w:r>
      <w:r>
        <w:rPr>
          <w:rFonts w:hint="eastAsia" w:ascii="仿宋" w:hAnsi="仿宋" w:eastAsia="仿宋"/>
          <w:color w:val="auto"/>
          <w:sz w:val="32"/>
          <w:szCs w:val="32"/>
          <w:highlight w:val="none"/>
        </w:rPr>
        <w:t>新增危桥危隧及公路灾害防治工程项目及新增商品服务支出党组织活动经费和增加死亡人员抚恤金及退休人员购房补贴及五险一金调整</w:t>
      </w:r>
      <w:r>
        <w:rPr>
          <w:rFonts w:hint="eastAsia" w:ascii="仿宋" w:hAnsi="仿宋" w:eastAsia="仿宋"/>
          <w:color w:val="auto"/>
          <w:sz w:val="32"/>
          <w:szCs w:val="32"/>
          <w:highlight w:val="none"/>
          <w:lang w:eastAsia="zh-CN"/>
        </w:rPr>
        <w:t>。</w:t>
      </w:r>
    </w:p>
    <w:p w14:paraId="068CD5AB">
      <w:pPr>
        <w:spacing w:line="600" w:lineRule="exact"/>
        <w:ind w:firstLine="420" w:firstLineChars="200"/>
        <w:jc w:val="center"/>
        <w:rPr>
          <w:rFonts w:ascii="仿宋" w:hAnsi="仿宋" w:eastAsia="仿宋"/>
          <w:color w:val="auto"/>
          <w:sz w:val="32"/>
          <w:szCs w:val="32"/>
          <w:highlight w:val="none"/>
        </w:rPr>
      </w:pPr>
      <w:r>
        <w:rPr>
          <w:rFonts w:hint="eastAsia"/>
          <w:lang w:eastAsia="zh-CN"/>
        </w:rPr>
        <w:drawing>
          <wp:anchor distT="0" distB="0" distL="114300" distR="114300" simplePos="0" relativeHeight="251661312" behindDoc="1" locked="0" layoutInCell="1" allowOverlap="1">
            <wp:simplePos x="0" y="0"/>
            <wp:positionH relativeFrom="column">
              <wp:posOffset>81280</wp:posOffset>
            </wp:positionH>
            <wp:positionV relativeFrom="paragraph">
              <wp:posOffset>57785</wp:posOffset>
            </wp:positionV>
            <wp:extent cx="5256530" cy="2988310"/>
            <wp:effectExtent l="5080" t="4445" r="11430" b="9525"/>
            <wp:wrapTight wrapText="bothSides">
              <wp:wrapPolygon>
                <wp:start x="-21" y="-32"/>
                <wp:lineTo x="-21" y="21559"/>
                <wp:lineTo x="21584" y="21559"/>
                <wp:lineTo x="21584" y="-32"/>
                <wp:lineTo x="-21" y="-32"/>
              </wp:wrapPolygon>
            </wp:wrapTight>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6AEB0D07">
      <w:pPr>
        <w:spacing w:line="600" w:lineRule="exact"/>
        <w:ind w:firstLine="640" w:firstLineChars="200"/>
        <w:jc w:val="left"/>
        <w:rPr>
          <w:rFonts w:ascii="仿宋_GB2312" w:eastAsia="仿宋_GB2312"/>
          <w:color w:val="auto"/>
          <w:sz w:val="32"/>
          <w:szCs w:val="32"/>
          <w:highlight w:val="none"/>
        </w:rPr>
      </w:pPr>
    </w:p>
    <w:p w14:paraId="7908C11B">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5" w:name="_Toc26935"/>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入决算情况说明</w:t>
      </w:r>
      <w:bookmarkEnd w:id="5"/>
    </w:p>
    <w:p w14:paraId="7032AB66">
      <w:pPr>
        <w:spacing w:line="600" w:lineRule="exact"/>
        <w:ind w:firstLine="640" w:firstLineChars="200"/>
        <w:outlineLvl w:val="1"/>
        <w:rPr>
          <w:rFonts w:ascii="仿宋" w:hAnsi="仿宋" w:eastAsia="仿宋"/>
          <w:color w:val="auto"/>
          <w:sz w:val="32"/>
          <w:szCs w:val="32"/>
          <w:highlight w:val="none"/>
        </w:rPr>
      </w:pPr>
      <w:bookmarkStart w:id="6" w:name="_Toc24246"/>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w:t>
      </w:r>
      <w:r>
        <w:rPr>
          <w:rFonts w:hint="eastAsia" w:ascii="仿宋" w:hAnsi="仿宋" w:eastAsia="仿宋"/>
          <w:color w:val="auto"/>
          <w:sz w:val="32"/>
          <w:szCs w:val="32"/>
          <w:highlight w:val="none"/>
          <w:lang w:val="en-US" w:eastAsia="zh-CN"/>
        </w:rPr>
        <w:t>3413.12</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3413.12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6"/>
    </w:p>
    <w:p w14:paraId="2624E9D2">
      <w:pPr>
        <w:spacing w:line="600" w:lineRule="exact"/>
        <w:ind w:firstLine="640" w:firstLineChars="200"/>
        <w:jc w:val="center"/>
        <w:rPr>
          <w:rFonts w:hint="eastAsia" w:ascii="仿宋" w:hAnsi="仿宋" w:eastAsia="仿宋"/>
          <w:color w:val="auto"/>
          <w:sz w:val="32"/>
          <w:szCs w:val="32"/>
          <w:highlight w:val="none"/>
        </w:rPr>
      </w:pPr>
    </w:p>
    <w:p w14:paraId="4FEAAE79">
      <w:pPr>
        <w:spacing w:line="240" w:lineRule="auto"/>
        <w:ind w:firstLine="0" w:firstLineChars="0"/>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06E8BE3">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2F7E3339">
      <w:pPr>
        <w:spacing w:line="600" w:lineRule="exact"/>
        <w:ind w:firstLine="640" w:firstLineChars="200"/>
        <w:rPr>
          <w:rFonts w:ascii="仿宋_GB2312" w:eastAsia="仿宋_GB2312"/>
          <w:color w:val="auto"/>
          <w:sz w:val="32"/>
          <w:szCs w:val="32"/>
          <w:highlight w:val="none"/>
        </w:rPr>
      </w:pPr>
    </w:p>
    <w:p w14:paraId="206881ED">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7" w:name="_Toc34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5"/>
          <w:rFonts w:hint="eastAsia" w:ascii="黑体" w:hAnsi="黑体" w:eastAsia="黑体"/>
          <w:b w:val="0"/>
          <w:color w:val="auto"/>
          <w:highlight w:val="none"/>
        </w:rPr>
        <w:t>出决算情况说明</w:t>
      </w:r>
      <w:bookmarkEnd w:id="7"/>
    </w:p>
    <w:p w14:paraId="18E60ABB">
      <w:pPr>
        <w:spacing w:line="600" w:lineRule="exact"/>
        <w:ind w:firstLine="640" w:firstLineChars="200"/>
        <w:outlineLvl w:val="1"/>
        <w:rPr>
          <w:rFonts w:ascii="仿宋" w:hAnsi="仿宋" w:eastAsia="仿宋"/>
          <w:color w:val="auto"/>
          <w:sz w:val="32"/>
          <w:szCs w:val="32"/>
          <w:highlight w:val="none"/>
        </w:rPr>
      </w:pPr>
      <w:bookmarkStart w:id="8" w:name="_Toc17474"/>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3413.12</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2577.9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75.5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835.22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p>
    <w:p w14:paraId="6CF5AF4D">
      <w:pPr>
        <w:spacing w:line="240" w:lineRule="auto"/>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11430"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ED4713F">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w:t>
      </w:r>
    </w:p>
    <w:p w14:paraId="7956F869">
      <w:pPr>
        <w:spacing w:line="600" w:lineRule="exact"/>
        <w:ind w:firstLine="640" w:firstLineChars="200"/>
        <w:outlineLvl w:val="1"/>
        <w:rPr>
          <w:rStyle w:val="15"/>
          <w:rFonts w:ascii="黑体" w:hAnsi="黑体" w:eastAsia="黑体"/>
          <w:b w:val="0"/>
          <w:color w:val="auto"/>
          <w:highlight w:val="none"/>
        </w:rPr>
      </w:pPr>
      <w:bookmarkStart w:id="9" w:name="_Toc7808"/>
      <w:r>
        <w:rPr>
          <w:rFonts w:hint="eastAsia" w:ascii="黑体" w:hAnsi="黑体" w:eastAsia="黑体"/>
          <w:color w:val="auto"/>
          <w:sz w:val="32"/>
          <w:szCs w:val="32"/>
          <w:highlight w:val="none"/>
        </w:rPr>
        <w:t>四、财</w:t>
      </w:r>
      <w:r>
        <w:rPr>
          <w:rStyle w:val="15"/>
          <w:rFonts w:hint="eastAsia" w:ascii="黑体" w:hAnsi="黑体" w:eastAsia="黑体"/>
          <w:b w:val="0"/>
          <w:color w:val="auto"/>
          <w:highlight w:val="none"/>
        </w:rPr>
        <w:t>政拨款收入支出决算总体情况说明</w:t>
      </w:r>
      <w:bookmarkEnd w:id="9"/>
    </w:p>
    <w:p w14:paraId="5BF32AAB">
      <w:pPr>
        <w:spacing w:line="600" w:lineRule="exact"/>
        <w:ind w:firstLine="64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3413.12</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w:t>
      </w:r>
      <w:r>
        <w:rPr>
          <w:rFonts w:hint="eastAsia" w:ascii="仿宋" w:hAnsi="仿宋" w:eastAsia="仿宋"/>
          <w:color w:val="auto"/>
          <w:sz w:val="32"/>
          <w:szCs w:val="32"/>
          <w:highlight w:val="none"/>
          <w:lang w:val="en-US" w:eastAsia="zh-CN"/>
        </w:rPr>
        <w:t>1522.53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80.5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2023年度</w:t>
      </w:r>
      <w:r>
        <w:rPr>
          <w:rFonts w:hint="eastAsia" w:ascii="仿宋" w:hAnsi="仿宋" w:eastAsia="仿宋"/>
          <w:color w:val="auto"/>
          <w:sz w:val="32"/>
          <w:szCs w:val="32"/>
          <w:highlight w:val="none"/>
        </w:rPr>
        <w:t>新增危桥危隧及公路灾害防治工程项目及新增商品服务支出党组织活动经费和增加死亡人员抚恤金及退休人员购房补贴及五险一金调整</w:t>
      </w:r>
      <w:r>
        <w:rPr>
          <w:rFonts w:hint="eastAsia" w:ascii="仿宋" w:hAnsi="仿宋" w:eastAsia="仿宋"/>
          <w:color w:val="auto"/>
          <w:sz w:val="32"/>
          <w:szCs w:val="32"/>
          <w:highlight w:val="none"/>
          <w:lang w:eastAsia="zh-CN"/>
        </w:rPr>
        <w:t>。</w:t>
      </w:r>
    </w:p>
    <w:p w14:paraId="7DFC277C">
      <w:pPr>
        <w:spacing w:line="600" w:lineRule="exact"/>
        <w:rPr>
          <w:rFonts w:ascii="仿宋" w:hAnsi="仿宋" w:eastAsia="仿宋"/>
          <w:color w:val="auto"/>
          <w:sz w:val="32"/>
          <w:szCs w:val="32"/>
          <w:highlight w:val="none"/>
        </w:rPr>
      </w:pPr>
      <w:r>
        <w:rPr>
          <w:rFonts w:hint="eastAsia"/>
          <w:lang w:eastAsia="zh-CN"/>
        </w:rPr>
        <w:drawing>
          <wp:anchor distT="0" distB="0" distL="114300" distR="114300" simplePos="0" relativeHeight="251662336" behindDoc="1" locked="0" layoutInCell="1" allowOverlap="1">
            <wp:simplePos x="0" y="0"/>
            <wp:positionH relativeFrom="column">
              <wp:posOffset>66040</wp:posOffset>
            </wp:positionH>
            <wp:positionV relativeFrom="paragraph">
              <wp:posOffset>156845</wp:posOffset>
            </wp:positionV>
            <wp:extent cx="5256530" cy="2988310"/>
            <wp:effectExtent l="5080" t="4445" r="11430" b="9525"/>
            <wp:wrapTight wrapText="bothSides">
              <wp:wrapPolygon>
                <wp:start x="-21" y="-32"/>
                <wp:lineTo x="-21" y="21559"/>
                <wp:lineTo x="21584" y="21559"/>
                <wp:lineTo x="21584" y="-32"/>
                <wp:lineTo x="-21" y="-32"/>
              </wp:wrapPolygon>
            </wp:wrapTight>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222B48F1">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45ADC5E3">
      <w:pPr>
        <w:spacing w:line="600" w:lineRule="exact"/>
        <w:ind w:firstLine="640"/>
        <w:rPr>
          <w:rFonts w:ascii="仿宋" w:hAnsi="仿宋" w:eastAsia="仿宋"/>
          <w:b/>
          <w:color w:val="auto"/>
          <w:sz w:val="32"/>
          <w:szCs w:val="32"/>
          <w:highlight w:val="none"/>
        </w:rPr>
      </w:pPr>
    </w:p>
    <w:p w14:paraId="45E43910">
      <w:pPr>
        <w:spacing w:line="600" w:lineRule="exact"/>
        <w:ind w:firstLine="640" w:firstLineChars="200"/>
        <w:outlineLvl w:val="1"/>
        <w:rPr>
          <w:rStyle w:val="15"/>
          <w:rFonts w:ascii="黑体" w:hAnsi="黑体" w:eastAsia="黑体"/>
          <w:b w:val="0"/>
          <w:color w:val="auto"/>
          <w:highlight w:val="none"/>
        </w:rPr>
      </w:pPr>
      <w:bookmarkStart w:id="10" w:name="_Toc3188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般公共预算财政拨款支出决算情况说明</w:t>
      </w:r>
      <w:bookmarkEnd w:id="10"/>
    </w:p>
    <w:p w14:paraId="0DC83F86">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09EDD9AD">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3413.12</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1522.53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80.5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2023年度</w:t>
      </w:r>
      <w:bookmarkStart w:id="35" w:name="_GoBack"/>
      <w:bookmarkEnd w:id="35"/>
      <w:r>
        <w:rPr>
          <w:rFonts w:hint="eastAsia" w:ascii="仿宋" w:hAnsi="仿宋" w:eastAsia="仿宋"/>
          <w:color w:val="auto"/>
          <w:sz w:val="32"/>
          <w:szCs w:val="32"/>
          <w:highlight w:val="none"/>
        </w:rPr>
        <w:t>新增危桥危隧及公路灾害防治工程项目及新增商品服务支出党组织活动经费和增加死亡人员抚恤金及退休人员购房补贴及五险一金调整</w:t>
      </w:r>
      <w:r>
        <w:rPr>
          <w:rFonts w:hint="eastAsia" w:ascii="仿宋" w:hAnsi="仿宋" w:eastAsia="仿宋"/>
          <w:color w:val="auto"/>
          <w:sz w:val="32"/>
          <w:szCs w:val="32"/>
          <w:highlight w:val="none"/>
          <w:lang w:eastAsia="zh-CN"/>
        </w:rPr>
        <w:t>。</w:t>
      </w:r>
    </w:p>
    <w:p w14:paraId="151CBC8F">
      <w:pPr>
        <w:spacing w:line="240" w:lineRule="auto"/>
        <w:ind w:firstLine="0" w:firstLineChars="0"/>
        <w:rPr>
          <w:rFonts w:hint="eastAsia" w:ascii="仿宋" w:hAnsi="仿宋" w:eastAsia="仿宋"/>
          <w:b/>
          <w:color w:val="auto"/>
          <w:sz w:val="32"/>
          <w:szCs w:val="32"/>
          <w:highlight w:val="none"/>
        </w:rPr>
      </w:pPr>
      <w:r>
        <w:rPr>
          <w:rFonts w:hint="eastAsia"/>
          <w:lang w:eastAsia="zh-CN"/>
        </w:rPr>
        <w:drawing>
          <wp:inline distT="0" distB="0" distL="114300" distR="114300">
            <wp:extent cx="5256530" cy="2988310"/>
            <wp:effectExtent l="5080" t="4445" r="11430"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C0C3E1B">
      <w:pPr>
        <w:spacing w:line="600" w:lineRule="exact"/>
        <w:ind w:firstLine="640" w:firstLineChars="200"/>
        <w:jc w:val="both"/>
        <w:rPr>
          <w:rFonts w:hint="eastAsia" w:ascii="仿宋" w:hAnsi="仿宋" w:eastAsia="仿宋"/>
          <w:b/>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001E76CC">
      <w:pPr>
        <w:spacing w:line="600" w:lineRule="exact"/>
        <w:ind w:firstLine="643" w:firstLineChars="200"/>
        <w:outlineLvl w:val="2"/>
        <w:rPr>
          <w:rFonts w:hint="eastAsia" w:ascii="仿宋" w:hAnsi="仿宋" w:eastAsia="仿宋"/>
          <w:color w:val="auto"/>
          <w:sz w:val="32"/>
          <w:szCs w:val="32"/>
          <w:highlight w:val="none"/>
          <w:lang w:eastAsia="zh-CN"/>
        </w:rPr>
      </w:pPr>
      <w:r>
        <w:rPr>
          <w:rFonts w:hint="eastAsia" w:ascii="仿宋" w:hAnsi="仿宋" w:eastAsia="仿宋"/>
          <w:b/>
          <w:color w:val="auto"/>
          <w:sz w:val="32"/>
          <w:szCs w:val="32"/>
          <w:highlight w:val="none"/>
        </w:rPr>
        <w:t>（二）一般公共预算财政拨款支出决算结构情况</w:t>
      </w:r>
    </w:p>
    <w:p w14:paraId="18403027">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3413.12</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270.41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128.02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w:t>
      </w:r>
      <w:r>
        <w:rPr>
          <w:rFonts w:hint="eastAsia" w:ascii="仿宋" w:hAnsi="仿宋" w:eastAsia="仿宋"/>
          <w:color w:val="auto"/>
          <w:sz w:val="32"/>
          <w:szCs w:val="32"/>
          <w:highlight w:val="none"/>
          <w:lang w:val="en-US" w:eastAsia="zh-CN"/>
        </w:rPr>
        <w:t>2869.07万元，占84.1</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145.63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48C155A9">
      <w:pPr>
        <w:spacing w:line="240" w:lineRule="auto"/>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646EEA7">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7798B160">
      <w:pPr>
        <w:spacing w:line="600" w:lineRule="exact"/>
        <w:ind w:firstLine="640" w:firstLineChars="200"/>
        <w:rPr>
          <w:rFonts w:ascii="仿宋" w:hAnsi="仿宋" w:eastAsia="仿宋"/>
          <w:color w:val="auto"/>
          <w:sz w:val="32"/>
          <w:szCs w:val="32"/>
          <w:highlight w:val="none"/>
        </w:rPr>
      </w:pPr>
    </w:p>
    <w:p w14:paraId="6CEBF8FB">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778C6776">
      <w:pPr>
        <w:spacing w:line="600" w:lineRule="exact"/>
        <w:ind w:firstLine="643" w:firstLineChars="200"/>
        <w:outlineLvl w:val="1"/>
        <w:rPr>
          <w:rFonts w:ascii="仿宋" w:hAnsi="仿宋" w:eastAsia="仿宋"/>
          <w:color w:val="auto"/>
          <w:sz w:val="32"/>
          <w:szCs w:val="32"/>
          <w:highlight w:val="none"/>
        </w:rPr>
      </w:pPr>
      <w:bookmarkStart w:id="11" w:name="_Toc23317"/>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3413.12万元</w:t>
      </w:r>
      <w:r>
        <w:rPr>
          <w:rFonts w:hint="eastAsia" w:ascii="仿宋" w:hAnsi="仿宋" w:eastAsia="仿宋"/>
          <w:color w:val="auto"/>
          <w:sz w:val="32"/>
          <w:szCs w:val="32"/>
          <w:highlight w:val="none"/>
        </w:rPr>
        <w:t>，</w:t>
      </w:r>
      <w:r>
        <w:rPr>
          <w:rStyle w:val="13"/>
          <w:rFonts w:hint="eastAsia" w:ascii="仿宋" w:hAnsi="仿宋" w:eastAsia="仿宋"/>
          <w:bCs/>
          <w:color w:val="auto"/>
          <w:sz w:val="32"/>
          <w:szCs w:val="32"/>
          <w:highlight w:val="none"/>
        </w:rPr>
        <w:t>完成预算</w:t>
      </w:r>
      <w:r>
        <w:rPr>
          <w:rStyle w:val="13"/>
          <w:rFonts w:hint="eastAsia" w:ascii="仿宋" w:hAnsi="仿宋" w:eastAsia="仿宋"/>
          <w:bCs/>
          <w:color w:val="auto"/>
          <w:sz w:val="32"/>
          <w:szCs w:val="32"/>
          <w:highlight w:val="none"/>
          <w:lang w:val="en-US" w:eastAsia="zh-CN"/>
        </w:rPr>
        <w:t>100</w:t>
      </w:r>
      <w:r>
        <w:rPr>
          <w:rStyle w:val="13"/>
          <w:rFonts w:ascii="仿宋" w:hAnsi="仿宋" w:eastAsia="仿宋"/>
          <w:bCs/>
          <w:color w:val="auto"/>
          <w:sz w:val="32"/>
          <w:szCs w:val="32"/>
          <w:highlight w:val="none"/>
        </w:rPr>
        <w:t>%</w:t>
      </w:r>
      <w:r>
        <w:rPr>
          <w:rStyle w:val="13"/>
          <w:rFonts w:hint="eastAsia" w:ascii="仿宋" w:hAnsi="仿宋" w:eastAsia="仿宋"/>
          <w:bCs/>
          <w:color w:val="auto"/>
          <w:sz w:val="32"/>
          <w:szCs w:val="32"/>
          <w:highlight w:val="none"/>
        </w:rPr>
        <w:t>。其中：</w:t>
      </w:r>
      <w:bookmarkEnd w:id="11"/>
    </w:p>
    <w:p w14:paraId="262DD118">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1.</w:t>
      </w:r>
      <w:r>
        <w:rPr>
          <w:rStyle w:val="13"/>
          <w:rFonts w:hint="eastAsia" w:ascii="仿宋" w:hAnsi="仿宋" w:eastAsia="仿宋"/>
          <w:bCs/>
          <w:color w:val="auto"/>
          <w:sz w:val="32"/>
          <w:szCs w:val="32"/>
          <w:highlight w:val="none"/>
        </w:rPr>
        <w:t>社会保障和就业支出（类）行政事业单位养老支出（款）机关事业单位基本养老保险缴费支出（项）</w:t>
      </w:r>
      <w:r>
        <w:rPr>
          <w:rStyle w:val="13"/>
          <w:rFonts w:ascii="仿宋" w:hAnsi="仿宋" w:eastAsia="仿宋"/>
          <w:bCs/>
          <w:color w:val="auto"/>
          <w:sz w:val="32"/>
          <w:szCs w:val="32"/>
          <w:highlight w:val="none"/>
        </w:rPr>
        <w:t>:</w:t>
      </w:r>
      <w:r>
        <w:rPr>
          <w:rStyle w:val="13"/>
          <w:rFonts w:hint="eastAsia" w:ascii="仿宋" w:hAnsi="仿宋" w:eastAsia="仿宋"/>
          <w:b w:val="0"/>
          <w:bCs/>
          <w:color w:val="auto"/>
          <w:sz w:val="32"/>
          <w:szCs w:val="32"/>
          <w:highlight w:val="none"/>
        </w:rPr>
        <w:t>支出决算为</w:t>
      </w:r>
      <w:r>
        <w:rPr>
          <w:rStyle w:val="13"/>
          <w:rFonts w:hint="eastAsia" w:ascii="仿宋" w:hAnsi="仿宋" w:eastAsia="仿宋"/>
          <w:b w:val="0"/>
          <w:bCs/>
          <w:color w:val="auto"/>
          <w:sz w:val="32"/>
          <w:szCs w:val="32"/>
          <w:highlight w:val="none"/>
          <w:lang w:val="en-US" w:eastAsia="zh-CN"/>
        </w:rPr>
        <w:t>180.28</w:t>
      </w:r>
      <w:r>
        <w:rPr>
          <w:rStyle w:val="13"/>
          <w:rFonts w:hint="eastAsia" w:ascii="仿宋" w:hAnsi="仿宋" w:eastAsia="仿宋"/>
          <w:b w:val="0"/>
          <w:bCs/>
          <w:color w:val="auto"/>
          <w:sz w:val="32"/>
          <w:szCs w:val="32"/>
          <w:highlight w:val="none"/>
        </w:rPr>
        <w:t>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，决算数等于预算数。</w:t>
      </w:r>
    </w:p>
    <w:p w14:paraId="7056B546">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2.</w:t>
      </w:r>
      <w:r>
        <w:rPr>
          <w:rStyle w:val="13"/>
          <w:rFonts w:hint="eastAsia" w:ascii="仿宋" w:hAnsi="仿宋" w:eastAsia="仿宋"/>
          <w:bCs/>
          <w:color w:val="auto"/>
          <w:sz w:val="32"/>
          <w:szCs w:val="32"/>
          <w:highlight w:val="none"/>
        </w:rPr>
        <w:t>社会保障和就业支出（类）行政事业单位养老支出（款）机关事业单位职业年金缴费支出（项）</w:t>
      </w:r>
      <w:r>
        <w:rPr>
          <w:rStyle w:val="13"/>
          <w:rFonts w:ascii="仿宋" w:hAnsi="仿宋" w:eastAsia="仿宋"/>
          <w:bCs/>
          <w:color w:val="auto"/>
          <w:sz w:val="32"/>
          <w:szCs w:val="32"/>
          <w:highlight w:val="none"/>
        </w:rPr>
        <w:t>:</w:t>
      </w:r>
      <w:r>
        <w:rPr>
          <w:rStyle w:val="13"/>
          <w:rFonts w:hint="eastAsia" w:ascii="仿宋" w:hAnsi="仿宋" w:eastAsia="仿宋"/>
          <w:b w:val="0"/>
          <w:bCs/>
          <w:color w:val="auto"/>
          <w:sz w:val="32"/>
          <w:szCs w:val="32"/>
          <w:highlight w:val="none"/>
        </w:rPr>
        <w:t>支出决算为</w:t>
      </w:r>
      <w:r>
        <w:rPr>
          <w:rStyle w:val="13"/>
          <w:rFonts w:hint="eastAsia" w:ascii="仿宋" w:hAnsi="仿宋" w:eastAsia="仿宋"/>
          <w:b w:val="0"/>
          <w:bCs/>
          <w:color w:val="auto"/>
          <w:sz w:val="32"/>
          <w:szCs w:val="32"/>
          <w:highlight w:val="none"/>
          <w:lang w:val="en-US" w:eastAsia="zh-CN"/>
        </w:rPr>
        <w:t>90.14</w:t>
      </w:r>
      <w:r>
        <w:rPr>
          <w:rStyle w:val="13"/>
          <w:rFonts w:hint="eastAsia" w:ascii="仿宋" w:hAnsi="仿宋" w:eastAsia="仿宋"/>
          <w:b w:val="0"/>
          <w:bCs/>
          <w:color w:val="auto"/>
          <w:sz w:val="32"/>
          <w:szCs w:val="32"/>
          <w:highlight w:val="none"/>
        </w:rPr>
        <w:t>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，决算数等于预算数。</w:t>
      </w:r>
    </w:p>
    <w:p w14:paraId="5A1A29C2">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3.</w:t>
      </w:r>
      <w:r>
        <w:rPr>
          <w:rStyle w:val="13"/>
          <w:rFonts w:hint="eastAsia" w:ascii="仿宋" w:hAnsi="仿宋" w:eastAsia="仿宋"/>
          <w:bCs/>
          <w:color w:val="auto"/>
          <w:sz w:val="32"/>
          <w:szCs w:val="32"/>
          <w:highlight w:val="none"/>
        </w:rPr>
        <w:t>卫生健康支出（类）行政事业单位医疗（款）事业单位医疗（项）</w:t>
      </w:r>
      <w:r>
        <w:rPr>
          <w:rStyle w:val="13"/>
          <w:rFonts w:ascii="仿宋" w:hAnsi="仿宋" w:eastAsia="仿宋"/>
          <w:bCs/>
          <w:color w:val="auto"/>
          <w:sz w:val="32"/>
          <w:szCs w:val="32"/>
          <w:highlight w:val="none"/>
        </w:rPr>
        <w:t>:</w:t>
      </w:r>
      <w:r>
        <w:rPr>
          <w:rStyle w:val="13"/>
          <w:rFonts w:hint="eastAsia" w:ascii="仿宋" w:hAnsi="仿宋" w:eastAsia="仿宋"/>
          <w:b w:val="0"/>
          <w:bCs/>
          <w:color w:val="auto"/>
          <w:sz w:val="32"/>
          <w:szCs w:val="32"/>
          <w:highlight w:val="none"/>
        </w:rPr>
        <w:t>支出决算为</w:t>
      </w:r>
      <w:r>
        <w:rPr>
          <w:rStyle w:val="13"/>
          <w:rFonts w:hint="eastAsia" w:ascii="仿宋" w:hAnsi="仿宋" w:eastAsia="仿宋"/>
          <w:b w:val="0"/>
          <w:bCs/>
          <w:color w:val="auto"/>
          <w:sz w:val="32"/>
          <w:szCs w:val="32"/>
          <w:highlight w:val="none"/>
          <w:lang w:val="en-US" w:eastAsia="zh-CN"/>
        </w:rPr>
        <w:t>78.69</w:t>
      </w:r>
      <w:r>
        <w:rPr>
          <w:rStyle w:val="13"/>
          <w:rFonts w:hint="eastAsia" w:ascii="仿宋" w:hAnsi="仿宋" w:eastAsia="仿宋"/>
          <w:b w:val="0"/>
          <w:bCs/>
          <w:color w:val="auto"/>
          <w:sz w:val="32"/>
          <w:szCs w:val="32"/>
          <w:highlight w:val="none"/>
        </w:rPr>
        <w:t>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，决算数等于预算数。</w:t>
      </w:r>
    </w:p>
    <w:p w14:paraId="14D08140">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4.</w:t>
      </w:r>
      <w:r>
        <w:rPr>
          <w:rStyle w:val="13"/>
          <w:rFonts w:hint="eastAsia" w:ascii="仿宋" w:hAnsi="仿宋" w:eastAsia="仿宋"/>
          <w:bCs/>
          <w:color w:val="auto"/>
          <w:sz w:val="32"/>
          <w:szCs w:val="32"/>
          <w:highlight w:val="none"/>
        </w:rPr>
        <w:t>卫生健康支出（类）行政事业单位医疗（款）其他行政事业单位医疗支出（项）</w:t>
      </w:r>
      <w:r>
        <w:rPr>
          <w:rStyle w:val="13"/>
          <w:rFonts w:ascii="仿宋" w:hAnsi="仿宋" w:eastAsia="仿宋"/>
          <w:bCs/>
          <w:color w:val="auto"/>
          <w:sz w:val="32"/>
          <w:szCs w:val="32"/>
          <w:highlight w:val="none"/>
        </w:rPr>
        <w:t>:</w:t>
      </w:r>
      <w:r>
        <w:rPr>
          <w:rStyle w:val="13"/>
          <w:rFonts w:hint="eastAsia" w:ascii="仿宋" w:hAnsi="仿宋" w:eastAsia="仿宋"/>
          <w:b w:val="0"/>
          <w:bCs/>
          <w:color w:val="auto"/>
          <w:sz w:val="32"/>
          <w:szCs w:val="32"/>
          <w:highlight w:val="none"/>
        </w:rPr>
        <w:t>支出决算为</w:t>
      </w:r>
      <w:r>
        <w:rPr>
          <w:rStyle w:val="13"/>
          <w:rFonts w:hint="eastAsia" w:ascii="仿宋" w:hAnsi="仿宋" w:eastAsia="仿宋"/>
          <w:b w:val="0"/>
          <w:bCs/>
          <w:color w:val="auto"/>
          <w:sz w:val="32"/>
          <w:szCs w:val="32"/>
          <w:highlight w:val="none"/>
          <w:lang w:val="en-US" w:eastAsia="zh-CN"/>
        </w:rPr>
        <w:t>49.33</w:t>
      </w:r>
      <w:r>
        <w:rPr>
          <w:rStyle w:val="13"/>
          <w:rFonts w:hint="eastAsia" w:ascii="仿宋" w:hAnsi="仿宋" w:eastAsia="仿宋"/>
          <w:b w:val="0"/>
          <w:bCs/>
          <w:color w:val="auto"/>
          <w:sz w:val="32"/>
          <w:szCs w:val="32"/>
          <w:highlight w:val="none"/>
        </w:rPr>
        <w:t>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，决算数等于预算数。</w:t>
      </w:r>
    </w:p>
    <w:p w14:paraId="4319725B">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5.</w:t>
      </w:r>
      <w:r>
        <w:rPr>
          <w:rStyle w:val="13"/>
          <w:rFonts w:hint="eastAsia" w:ascii="仿宋" w:hAnsi="仿宋" w:eastAsia="仿宋"/>
          <w:bCs/>
          <w:color w:val="auto"/>
          <w:sz w:val="32"/>
          <w:szCs w:val="32"/>
          <w:highlight w:val="none"/>
        </w:rPr>
        <w:t>交通运输支出（类）公路水路运输（款）公路养护（项）</w:t>
      </w:r>
      <w:r>
        <w:rPr>
          <w:rStyle w:val="13"/>
          <w:rFonts w:ascii="仿宋" w:hAnsi="仿宋" w:eastAsia="仿宋"/>
          <w:bCs/>
          <w:color w:val="auto"/>
          <w:sz w:val="32"/>
          <w:szCs w:val="32"/>
          <w:highlight w:val="none"/>
        </w:rPr>
        <w:t>:</w:t>
      </w:r>
      <w:r>
        <w:rPr>
          <w:rStyle w:val="13"/>
          <w:rFonts w:hint="eastAsia" w:ascii="仿宋" w:hAnsi="仿宋" w:eastAsia="仿宋"/>
          <w:b w:val="0"/>
          <w:bCs/>
          <w:color w:val="auto"/>
          <w:sz w:val="32"/>
          <w:szCs w:val="32"/>
          <w:highlight w:val="none"/>
        </w:rPr>
        <w:t>支出决算为</w:t>
      </w:r>
      <w:r>
        <w:rPr>
          <w:rStyle w:val="13"/>
          <w:rFonts w:hint="eastAsia" w:ascii="仿宋" w:hAnsi="仿宋" w:eastAsia="仿宋"/>
          <w:b w:val="0"/>
          <w:bCs/>
          <w:color w:val="auto"/>
          <w:sz w:val="32"/>
          <w:szCs w:val="32"/>
          <w:highlight w:val="none"/>
          <w:lang w:val="en-US" w:eastAsia="zh-CN"/>
        </w:rPr>
        <w:t>2165.46</w:t>
      </w:r>
      <w:r>
        <w:rPr>
          <w:rStyle w:val="13"/>
          <w:rFonts w:hint="eastAsia" w:ascii="仿宋" w:hAnsi="仿宋" w:eastAsia="仿宋"/>
          <w:b w:val="0"/>
          <w:bCs/>
          <w:color w:val="auto"/>
          <w:sz w:val="32"/>
          <w:szCs w:val="32"/>
          <w:highlight w:val="none"/>
        </w:rPr>
        <w:t>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，决算数等于预算数。</w:t>
      </w:r>
    </w:p>
    <w:p w14:paraId="0F905925">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6.</w:t>
      </w:r>
      <w:r>
        <w:rPr>
          <w:rStyle w:val="13"/>
          <w:rFonts w:hint="eastAsia" w:ascii="仿宋" w:hAnsi="仿宋" w:eastAsia="仿宋"/>
          <w:bCs/>
          <w:color w:val="auto"/>
          <w:sz w:val="32"/>
          <w:szCs w:val="32"/>
          <w:highlight w:val="none"/>
        </w:rPr>
        <w:t>交通运输支出（类）</w:t>
      </w:r>
      <w:r>
        <w:rPr>
          <w:rFonts w:hint="eastAsia" w:ascii="仿宋" w:hAnsi="仿宋" w:eastAsia="仿宋"/>
          <w:b/>
          <w:bCs/>
          <w:color w:val="auto"/>
          <w:sz w:val="32"/>
          <w:szCs w:val="32"/>
          <w:highlight w:val="none"/>
        </w:rPr>
        <w:t>车辆购置税支出</w:t>
      </w:r>
      <w:r>
        <w:rPr>
          <w:rStyle w:val="13"/>
          <w:rFonts w:hint="eastAsia" w:ascii="仿宋" w:hAnsi="仿宋" w:eastAsia="仿宋"/>
          <w:bCs/>
          <w:color w:val="auto"/>
          <w:sz w:val="32"/>
          <w:szCs w:val="32"/>
          <w:highlight w:val="none"/>
        </w:rPr>
        <w:t>（款）车辆购置税用于公路等基础设施建设支出（项）</w:t>
      </w:r>
      <w:r>
        <w:rPr>
          <w:rStyle w:val="13"/>
          <w:rFonts w:ascii="仿宋" w:hAnsi="仿宋" w:eastAsia="仿宋"/>
          <w:bCs/>
          <w:color w:val="auto"/>
          <w:sz w:val="32"/>
          <w:szCs w:val="32"/>
          <w:highlight w:val="none"/>
        </w:rPr>
        <w:t>:</w:t>
      </w:r>
      <w:r>
        <w:rPr>
          <w:rStyle w:val="13"/>
          <w:rFonts w:hint="eastAsia" w:ascii="仿宋" w:hAnsi="仿宋" w:eastAsia="仿宋"/>
          <w:b w:val="0"/>
          <w:bCs/>
          <w:color w:val="auto"/>
          <w:sz w:val="32"/>
          <w:szCs w:val="32"/>
          <w:highlight w:val="none"/>
        </w:rPr>
        <w:t>支出决算为</w:t>
      </w:r>
      <w:r>
        <w:rPr>
          <w:rStyle w:val="13"/>
          <w:rFonts w:hint="eastAsia" w:ascii="仿宋" w:hAnsi="仿宋" w:eastAsia="仿宋"/>
          <w:b w:val="0"/>
          <w:bCs/>
          <w:color w:val="auto"/>
          <w:sz w:val="32"/>
          <w:szCs w:val="32"/>
          <w:highlight w:val="none"/>
          <w:lang w:val="en-US" w:eastAsia="zh-CN"/>
        </w:rPr>
        <w:t>703.61</w:t>
      </w:r>
      <w:r>
        <w:rPr>
          <w:rStyle w:val="13"/>
          <w:rFonts w:hint="eastAsia" w:ascii="仿宋" w:hAnsi="仿宋" w:eastAsia="仿宋"/>
          <w:b w:val="0"/>
          <w:bCs/>
          <w:color w:val="auto"/>
          <w:sz w:val="32"/>
          <w:szCs w:val="32"/>
          <w:highlight w:val="none"/>
        </w:rPr>
        <w:t>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，决算数等于预算数。</w:t>
      </w:r>
    </w:p>
    <w:p w14:paraId="3D1EEBA9">
      <w:pPr>
        <w:spacing w:line="600" w:lineRule="exact"/>
        <w:ind w:firstLine="643" w:firstLineChars="200"/>
        <w:rPr>
          <w:rFonts w:hint="eastAsia" w:ascii="仿宋" w:hAnsi="仿宋" w:eastAsia="仿宋"/>
          <w:b/>
          <w:color w:val="auto"/>
          <w:sz w:val="32"/>
          <w:szCs w:val="32"/>
          <w:highlight w:val="none"/>
          <w:lang w:eastAsia="zh-CN"/>
        </w:rPr>
      </w:pPr>
      <w:r>
        <w:rPr>
          <w:rStyle w:val="13"/>
          <w:rFonts w:hint="eastAsia" w:ascii="仿宋" w:hAnsi="仿宋" w:eastAsia="仿宋"/>
          <w:bCs/>
          <w:color w:val="auto"/>
          <w:sz w:val="32"/>
          <w:szCs w:val="32"/>
          <w:highlight w:val="none"/>
          <w:lang w:val="en-US" w:eastAsia="zh-CN"/>
        </w:rPr>
        <w:t>7.</w:t>
      </w:r>
      <w:r>
        <w:rPr>
          <w:rStyle w:val="13"/>
          <w:rFonts w:hint="eastAsia" w:ascii="仿宋" w:hAnsi="仿宋" w:eastAsia="仿宋"/>
          <w:bCs/>
          <w:color w:val="auto"/>
          <w:sz w:val="32"/>
          <w:szCs w:val="32"/>
          <w:highlight w:val="none"/>
        </w:rPr>
        <w:t>住房保障支出（类）</w:t>
      </w:r>
      <w:r>
        <w:rPr>
          <w:rFonts w:hint="eastAsia" w:ascii="仿宋" w:hAnsi="仿宋" w:eastAsia="仿宋"/>
          <w:b/>
          <w:bCs/>
          <w:color w:val="auto"/>
          <w:sz w:val="32"/>
          <w:szCs w:val="32"/>
          <w:highlight w:val="none"/>
        </w:rPr>
        <w:t>住房改革支出</w:t>
      </w:r>
      <w:r>
        <w:rPr>
          <w:rStyle w:val="13"/>
          <w:rFonts w:hint="eastAsia" w:ascii="仿宋" w:hAnsi="仿宋" w:eastAsia="仿宋"/>
          <w:bCs/>
          <w:color w:val="auto"/>
          <w:sz w:val="32"/>
          <w:szCs w:val="32"/>
          <w:highlight w:val="none"/>
        </w:rPr>
        <w:t>（款）住房公积金（项）</w:t>
      </w:r>
      <w:r>
        <w:rPr>
          <w:rStyle w:val="13"/>
          <w:rFonts w:ascii="仿宋" w:hAnsi="仿宋" w:eastAsia="仿宋"/>
          <w:bCs/>
          <w:color w:val="auto"/>
          <w:sz w:val="32"/>
          <w:szCs w:val="32"/>
          <w:highlight w:val="none"/>
        </w:rPr>
        <w:t>:</w:t>
      </w:r>
      <w:r>
        <w:rPr>
          <w:rStyle w:val="13"/>
          <w:rFonts w:hint="eastAsia" w:ascii="仿宋" w:hAnsi="仿宋" w:eastAsia="仿宋"/>
          <w:b w:val="0"/>
          <w:bCs/>
          <w:color w:val="auto"/>
          <w:sz w:val="32"/>
          <w:szCs w:val="32"/>
          <w:highlight w:val="none"/>
        </w:rPr>
        <w:t>支出决算为</w:t>
      </w:r>
      <w:r>
        <w:rPr>
          <w:rStyle w:val="13"/>
          <w:rFonts w:hint="eastAsia" w:ascii="仿宋" w:hAnsi="仿宋" w:eastAsia="仿宋"/>
          <w:b w:val="0"/>
          <w:bCs/>
          <w:color w:val="auto"/>
          <w:sz w:val="32"/>
          <w:szCs w:val="32"/>
          <w:highlight w:val="none"/>
          <w:lang w:val="en-US" w:eastAsia="zh-CN"/>
        </w:rPr>
        <w:t>140.63</w:t>
      </w:r>
      <w:r>
        <w:rPr>
          <w:rStyle w:val="13"/>
          <w:rFonts w:hint="eastAsia" w:ascii="仿宋" w:hAnsi="仿宋" w:eastAsia="仿宋"/>
          <w:b w:val="0"/>
          <w:bCs/>
          <w:color w:val="auto"/>
          <w:sz w:val="32"/>
          <w:szCs w:val="32"/>
          <w:highlight w:val="none"/>
        </w:rPr>
        <w:t>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，决算数等于预算数</w:t>
      </w:r>
      <w:r>
        <w:rPr>
          <w:rStyle w:val="13"/>
          <w:rFonts w:hint="eastAsia" w:ascii="仿宋" w:hAnsi="仿宋" w:eastAsia="仿宋"/>
          <w:b w:val="0"/>
          <w:bCs/>
          <w:color w:val="auto"/>
          <w:sz w:val="32"/>
          <w:szCs w:val="32"/>
          <w:highlight w:val="none"/>
          <w:lang w:eastAsia="zh-CN"/>
        </w:rPr>
        <w:t>。</w:t>
      </w:r>
    </w:p>
    <w:p w14:paraId="596DF169">
      <w:pPr>
        <w:spacing w:line="600" w:lineRule="exact"/>
        <w:ind w:firstLine="643" w:firstLineChars="200"/>
        <w:rPr>
          <w:rFonts w:hint="eastAsia" w:ascii="仿宋" w:hAnsi="仿宋" w:eastAsia="仿宋"/>
          <w:b/>
          <w:color w:val="auto"/>
          <w:sz w:val="32"/>
          <w:szCs w:val="32"/>
          <w:highlight w:val="none"/>
          <w:lang w:eastAsia="zh-CN"/>
        </w:rPr>
      </w:pPr>
      <w:r>
        <w:rPr>
          <w:rStyle w:val="13"/>
          <w:rFonts w:hint="eastAsia" w:ascii="仿宋" w:hAnsi="仿宋" w:eastAsia="仿宋"/>
          <w:bCs/>
          <w:color w:val="auto"/>
          <w:sz w:val="32"/>
          <w:szCs w:val="32"/>
          <w:highlight w:val="none"/>
          <w:lang w:val="en-US" w:eastAsia="zh-CN"/>
        </w:rPr>
        <w:t>8.</w:t>
      </w:r>
      <w:r>
        <w:rPr>
          <w:rStyle w:val="13"/>
          <w:rFonts w:hint="eastAsia" w:ascii="仿宋" w:hAnsi="仿宋" w:eastAsia="仿宋"/>
          <w:bCs/>
          <w:color w:val="auto"/>
          <w:sz w:val="32"/>
          <w:szCs w:val="32"/>
          <w:highlight w:val="none"/>
        </w:rPr>
        <w:t>住房保障支出（类）</w:t>
      </w:r>
      <w:r>
        <w:rPr>
          <w:rFonts w:hint="eastAsia" w:ascii="仿宋" w:hAnsi="仿宋" w:eastAsia="仿宋"/>
          <w:b/>
          <w:bCs/>
          <w:color w:val="auto"/>
          <w:sz w:val="32"/>
          <w:szCs w:val="32"/>
          <w:highlight w:val="none"/>
        </w:rPr>
        <w:t>住房改革支出</w:t>
      </w:r>
      <w:r>
        <w:rPr>
          <w:rStyle w:val="13"/>
          <w:rFonts w:hint="eastAsia" w:ascii="仿宋" w:hAnsi="仿宋" w:eastAsia="仿宋"/>
          <w:bCs/>
          <w:color w:val="auto"/>
          <w:sz w:val="32"/>
          <w:szCs w:val="32"/>
          <w:highlight w:val="none"/>
        </w:rPr>
        <w:t>（款）购房补贴（项）</w:t>
      </w:r>
      <w:r>
        <w:rPr>
          <w:rStyle w:val="13"/>
          <w:rFonts w:ascii="仿宋" w:hAnsi="仿宋" w:eastAsia="仿宋"/>
          <w:bCs/>
          <w:color w:val="auto"/>
          <w:sz w:val="32"/>
          <w:szCs w:val="32"/>
          <w:highlight w:val="none"/>
        </w:rPr>
        <w:t>:</w:t>
      </w:r>
      <w:r>
        <w:rPr>
          <w:rStyle w:val="13"/>
          <w:rFonts w:hint="eastAsia" w:ascii="仿宋" w:hAnsi="仿宋" w:eastAsia="仿宋"/>
          <w:b w:val="0"/>
          <w:bCs/>
          <w:color w:val="auto"/>
          <w:sz w:val="32"/>
          <w:szCs w:val="32"/>
          <w:highlight w:val="none"/>
        </w:rPr>
        <w:t>支出决算为</w:t>
      </w:r>
      <w:r>
        <w:rPr>
          <w:rStyle w:val="13"/>
          <w:rFonts w:hint="eastAsia" w:ascii="仿宋" w:hAnsi="仿宋" w:eastAsia="仿宋"/>
          <w:b w:val="0"/>
          <w:bCs/>
          <w:color w:val="auto"/>
          <w:sz w:val="32"/>
          <w:szCs w:val="32"/>
          <w:highlight w:val="none"/>
          <w:lang w:val="en-US" w:eastAsia="zh-CN"/>
        </w:rPr>
        <w:t>5</w:t>
      </w:r>
      <w:r>
        <w:rPr>
          <w:rStyle w:val="13"/>
          <w:rFonts w:hint="eastAsia" w:ascii="仿宋" w:hAnsi="仿宋" w:eastAsia="仿宋"/>
          <w:b w:val="0"/>
          <w:bCs/>
          <w:color w:val="auto"/>
          <w:sz w:val="32"/>
          <w:szCs w:val="32"/>
          <w:highlight w:val="none"/>
        </w:rPr>
        <w:t>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，决算数等于预算数</w:t>
      </w:r>
      <w:r>
        <w:rPr>
          <w:rStyle w:val="13"/>
          <w:rFonts w:hint="eastAsia" w:ascii="仿宋" w:hAnsi="仿宋" w:eastAsia="仿宋"/>
          <w:b w:val="0"/>
          <w:bCs/>
          <w:color w:val="auto"/>
          <w:sz w:val="32"/>
          <w:szCs w:val="32"/>
          <w:highlight w:val="none"/>
          <w:lang w:eastAsia="zh-CN"/>
        </w:rPr>
        <w:t>。</w:t>
      </w:r>
    </w:p>
    <w:p w14:paraId="363EC328">
      <w:pPr>
        <w:tabs>
          <w:tab w:val="right" w:pos="8306"/>
        </w:tabs>
        <w:spacing w:line="600" w:lineRule="exact"/>
        <w:ind w:firstLine="640"/>
        <w:outlineLvl w:val="1"/>
        <w:rPr>
          <w:rStyle w:val="15"/>
          <w:color w:val="auto"/>
          <w:highlight w:val="none"/>
        </w:rPr>
      </w:pPr>
      <w:bookmarkStart w:id="12" w:name="_Toc22700"/>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般公共预算财政拨款基本支出决算情况说明</w:t>
      </w:r>
      <w:bookmarkEnd w:id="12"/>
      <w:r>
        <w:rPr>
          <w:rStyle w:val="15"/>
          <w:rFonts w:ascii="黑体" w:hAnsi="黑体" w:eastAsia="黑体"/>
          <w:b w:val="0"/>
          <w:color w:val="auto"/>
          <w:highlight w:val="none"/>
        </w:rPr>
        <w:tab/>
      </w:r>
    </w:p>
    <w:p w14:paraId="1E1474D2">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w:t>
      </w:r>
      <w:r>
        <w:rPr>
          <w:rFonts w:hint="eastAsia" w:ascii="仿宋" w:hAnsi="仿宋" w:eastAsia="仿宋"/>
          <w:color w:val="auto"/>
          <w:sz w:val="32"/>
          <w:szCs w:val="32"/>
          <w:highlight w:val="none"/>
          <w:lang w:val="en-US" w:eastAsia="zh-CN"/>
        </w:rPr>
        <w:t>2577.9</w:t>
      </w:r>
      <w:r>
        <w:rPr>
          <w:rFonts w:hint="eastAsia" w:ascii="仿宋" w:hAnsi="仿宋" w:eastAsia="仿宋"/>
          <w:color w:val="auto"/>
          <w:sz w:val="32"/>
          <w:szCs w:val="32"/>
          <w:highlight w:val="none"/>
        </w:rPr>
        <w:t>万元，其中：</w:t>
      </w:r>
    </w:p>
    <w:p w14:paraId="5CCAF15B">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2398.65</w:t>
      </w:r>
      <w:r>
        <w:rPr>
          <w:rFonts w:hint="eastAsia" w:ascii="仿宋" w:hAnsi="仿宋" w:eastAsia="仿宋"/>
          <w:color w:val="auto"/>
          <w:sz w:val="32"/>
          <w:szCs w:val="32"/>
          <w:highlight w:val="none"/>
        </w:rPr>
        <w:t>万元，主要包括：基本工资</w:t>
      </w:r>
      <w:r>
        <w:rPr>
          <w:rFonts w:hint="eastAsia" w:ascii="仿宋" w:hAnsi="仿宋" w:eastAsia="仿宋"/>
          <w:color w:val="auto"/>
          <w:sz w:val="32"/>
          <w:szCs w:val="32"/>
          <w:highlight w:val="none"/>
          <w:lang w:eastAsia="zh-CN"/>
        </w:rPr>
        <w:t>、津贴补贴、奖金、绩效工资、机关事业单位基本养老保险缴费、职业年金缴费、职工基本医疗保险缴费、其他社会保障缴费、住房公积金、抚恤金、生活补助、奖励金</w:t>
      </w:r>
      <w:r>
        <w:rPr>
          <w:rFonts w:hint="eastAsia" w:ascii="仿宋" w:hAnsi="仿宋" w:eastAsia="仿宋"/>
          <w:color w:val="auto"/>
          <w:sz w:val="32"/>
          <w:szCs w:val="32"/>
          <w:highlight w:val="none"/>
        </w:rPr>
        <w:t>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179.26</w:t>
      </w:r>
      <w:r>
        <w:rPr>
          <w:rFonts w:hint="eastAsia" w:ascii="仿宋" w:hAnsi="仿宋" w:eastAsia="仿宋"/>
          <w:color w:val="auto"/>
          <w:sz w:val="32"/>
          <w:szCs w:val="32"/>
          <w:highlight w:val="none"/>
        </w:rPr>
        <w:t>万元，主要包括：办公费、咨询费</w:t>
      </w:r>
      <w:r>
        <w:rPr>
          <w:rFonts w:hint="eastAsia" w:ascii="仿宋" w:hAnsi="仿宋" w:eastAsia="仿宋"/>
          <w:color w:val="auto"/>
          <w:sz w:val="32"/>
          <w:szCs w:val="32"/>
          <w:highlight w:val="none"/>
          <w:lang w:eastAsia="zh-CN"/>
        </w:rPr>
        <w:t>、水费、电费、邮电费、差旅费、维修（护）费、培训费、公务接待费、专用材料费、劳务费、委托业务费、工会经费、福利费、公务用车运行维护费、其他商品和服务支出、办公设备购置、专用设备购置</w:t>
      </w:r>
      <w:r>
        <w:rPr>
          <w:rFonts w:hint="eastAsia" w:ascii="仿宋" w:hAnsi="仿宋" w:eastAsia="仿宋"/>
          <w:color w:val="auto"/>
          <w:sz w:val="32"/>
          <w:szCs w:val="32"/>
          <w:highlight w:val="none"/>
        </w:rPr>
        <w:t>等。</w:t>
      </w:r>
    </w:p>
    <w:p w14:paraId="5A01FABD">
      <w:pPr>
        <w:spacing w:line="600" w:lineRule="exact"/>
        <w:ind w:firstLine="640"/>
        <w:outlineLvl w:val="1"/>
        <w:rPr>
          <w:rStyle w:val="15"/>
          <w:rFonts w:ascii="黑体" w:hAnsi="黑体" w:eastAsia="黑体"/>
          <w:b w:val="0"/>
          <w:color w:val="auto"/>
          <w:highlight w:val="none"/>
        </w:rPr>
      </w:pPr>
      <w:bookmarkStart w:id="13" w:name="_Toc19110"/>
      <w:r>
        <w:rPr>
          <w:rFonts w:hint="eastAsia" w:ascii="黑体" w:eastAsia="黑体"/>
          <w:color w:val="auto"/>
          <w:sz w:val="32"/>
          <w:szCs w:val="32"/>
          <w:highlight w:val="none"/>
        </w:rPr>
        <w:t>七、</w:t>
      </w:r>
      <w:r>
        <w:rPr>
          <w:rStyle w:val="15"/>
          <w:rFonts w:hint="eastAsia" w:ascii="黑体" w:hAnsi="黑体" w:eastAsia="黑体"/>
          <w:b w:val="0"/>
          <w:color w:val="auto"/>
          <w:highlight w:val="none"/>
        </w:rPr>
        <w:t>财政拨款</w:t>
      </w:r>
      <w:r>
        <w:rPr>
          <w:rStyle w:val="15"/>
          <w:rFonts w:hint="eastAsia" w:ascii="黑体" w:hAnsi="黑体" w:eastAsia="黑体"/>
          <w:color w:val="auto"/>
          <w:highlight w:val="none"/>
        </w:rPr>
        <w:t>“</w:t>
      </w:r>
      <w:r>
        <w:rPr>
          <w:rStyle w:val="15"/>
          <w:rFonts w:hint="eastAsia" w:ascii="黑体" w:hAnsi="黑体" w:eastAsia="黑体"/>
          <w:b w:val="0"/>
          <w:color w:val="auto"/>
          <w:highlight w:val="none"/>
        </w:rPr>
        <w:t>三公”经费支出决算情况说明</w:t>
      </w:r>
      <w:bookmarkEnd w:id="13"/>
    </w:p>
    <w:p w14:paraId="6409A049">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43C9BA8D">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w:t>
      </w:r>
      <w:r>
        <w:rPr>
          <w:rFonts w:hint="eastAsia" w:ascii="仿宋" w:hAnsi="仿宋" w:eastAsia="仿宋"/>
          <w:color w:val="auto"/>
          <w:sz w:val="32"/>
          <w:szCs w:val="32"/>
          <w:highlight w:val="none"/>
          <w:lang w:val="en-US" w:eastAsia="zh-CN"/>
        </w:rPr>
        <w:t>19.1</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减少0.59万元，下降3%。</w:t>
      </w:r>
      <w:r>
        <w:rPr>
          <w:rFonts w:hint="eastAsia" w:ascii="仿宋" w:hAnsi="仿宋" w:eastAsia="仿宋"/>
          <w:color w:val="auto"/>
          <w:sz w:val="32"/>
          <w:szCs w:val="32"/>
          <w:highlight w:val="none"/>
        </w:rPr>
        <w:t>决算数与预算数持平。</w:t>
      </w:r>
    </w:p>
    <w:p w14:paraId="24A7377A">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3F8028DF">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18.99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99.4</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0.11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0.6</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4B576880">
      <w:pPr>
        <w:spacing w:line="240" w:lineRule="auto"/>
        <w:ind w:firstLine="0"/>
        <w:rPr>
          <w:rFonts w:hint="eastAsia" w:ascii="仿宋" w:hAnsi="仿宋" w:eastAsia="仿宋"/>
          <w:color w:val="auto"/>
          <w:sz w:val="32"/>
          <w:szCs w:val="32"/>
          <w:highlight w:val="none"/>
        </w:rPr>
      </w:pPr>
      <w:r>
        <w:rPr>
          <w:rFonts w:hint="eastAsia" w:eastAsia="仿宋"/>
          <w:lang w:eastAsia="zh-CN"/>
        </w:rPr>
        <w:drawing>
          <wp:inline distT="0" distB="0" distL="114300" distR="114300">
            <wp:extent cx="5256530" cy="2988310"/>
            <wp:effectExtent l="5080" t="4445" r="11430" b="952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EDDC1B9">
      <w:pPr>
        <w:spacing w:line="600" w:lineRule="exact"/>
        <w:ind w:firstLine="64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23B1DDB9">
      <w:pPr>
        <w:spacing w:line="600" w:lineRule="exact"/>
        <w:ind w:firstLine="640"/>
        <w:rPr>
          <w:rFonts w:hint="default" w:ascii="仿宋_GB2312" w:eastAsia="仿宋_GB2312"/>
          <w:color w:val="auto"/>
          <w:sz w:val="32"/>
          <w:szCs w:val="32"/>
          <w:highlight w:val="none"/>
          <w:lang w:val="en-US" w:eastAsia="zh-CN"/>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w:t>
      </w:r>
      <w:r>
        <w:rPr>
          <w:rFonts w:hint="eastAsia" w:ascii="仿宋_GB2312" w:eastAsia="仿宋_GB2312"/>
          <w:color w:val="auto"/>
          <w:sz w:val="32"/>
          <w:szCs w:val="32"/>
          <w:highlight w:val="none"/>
          <w:lang w:val="en-US" w:eastAsia="zh-CN"/>
        </w:rPr>
        <w:t>与2022年相比无变化。</w:t>
      </w:r>
    </w:p>
    <w:p w14:paraId="09C3F2AA">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18.99</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0.46</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2.4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厉行节约</w:t>
      </w:r>
      <w:r>
        <w:rPr>
          <w:rFonts w:hint="eastAsia" w:ascii="仿宋_GB2312" w:eastAsia="仿宋_GB2312"/>
          <w:color w:val="auto"/>
          <w:sz w:val="32"/>
          <w:szCs w:val="32"/>
          <w:highlight w:val="none"/>
        </w:rPr>
        <w:t>。</w:t>
      </w:r>
    </w:p>
    <w:p w14:paraId="31CFFB22">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其他车型9</w:t>
      </w:r>
      <w:r>
        <w:rPr>
          <w:rFonts w:hint="eastAsia" w:ascii="仿宋_GB2312" w:eastAsia="仿宋_GB2312"/>
          <w:color w:val="auto"/>
          <w:sz w:val="32"/>
          <w:szCs w:val="32"/>
          <w:highlight w:val="none"/>
        </w:rPr>
        <w:t>辆。</w:t>
      </w:r>
    </w:p>
    <w:p w14:paraId="3CA1A3B2">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18.99</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30191E09">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0.11</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0.14</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55.3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。主要原因是2023年第三季度和第四季度养护考核工作在2024年1月份开展，少了接待费。其中：</w:t>
      </w:r>
    </w:p>
    <w:p w14:paraId="4947AF42">
      <w:pPr>
        <w:widowControl w:val="0"/>
        <w:numPr>
          <w:ilvl w:val="0"/>
          <w:numId w:val="0"/>
        </w:numPr>
        <w:tabs>
          <w:tab w:val="left" w:pos="312"/>
        </w:tabs>
        <w:ind w:firstLine="643" w:firstLineChars="200"/>
        <w:jc w:val="both"/>
        <w:rPr>
          <w:rFonts w:hint="default" w:ascii="仿宋_GB2312" w:eastAsia="仿宋_GB2312"/>
          <w:color w:val="auto"/>
          <w:sz w:val="32"/>
          <w:szCs w:val="32"/>
          <w:highlight w:val="none"/>
          <w:lang w:val="en-US" w:eastAsia="zh-CN"/>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0.11</w:t>
      </w:r>
      <w:r>
        <w:rPr>
          <w:rFonts w:hint="eastAsia" w:ascii="仿宋_GB2312" w:eastAsia="仿宋_GB2312"/>
          <w:color w:val="auto"/>
          <w:sz w:val="32"/>
          <w:szCs w:val="32"/>
          <w:highlight w:val="none"/>
        </w:rPr>
        <w:t>万元，主要用于执行公务、开展业务活动开支的交通费、住宿费、用餐费等。国内公务接待</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0.11</w:t>
      </w:r>
      <w:r>
        <w:rPr>
          <w:rFonts w:hint="eastAsia" w:ascii="仿宋_GB2312" w:eastAsia="仿宋_GB2312"/>
          <w:color w:val="auto"/>
          <w:sz w:val="32"/>
          <w:szCs w:val="32"/>
          <w:highlight w:val="none"/>
        </w:rPr>
        <w:t>万元，具体内容包括：</w:t>
      </w:r>
      <w:r>
        <w:rPr>
          <w:rFonts w:hint="default" w:ascii="仿宋_GB2312" w:eastAsia="仿宋_GB2312"/>
          <w:color w:val="auto"/>
          <w:sz w:val="32"/>
          <w:szCs w:val="32"/>
          <w:highlight w:val="none"/>
          <w:lang w:val="en-US" w:eastAsia="zh-CN"/>
        </w:rPr>
        <w:t>州公路局第一季度考核工作，人数11人，金额550元</w:t>
      </w:r>
      <w:r>
        <w:rPr>
          <w:rFonts w:hint="eastAsia" w:ascii="仿宋_GB2312" w:eastAsia="仿宋_GB2312"/>
          <w:color w:val="auto"/>
          <w:sz w:val="32"/>
          <w:szCs w:val="32"/>
          <w:highlight w:val="none"/>
          <w:lang w:val="en-US" w:eastAsia="zh-CN"/>
        </w:rPr>
        <w:t>等</w:t>
      </w:r>
      <w:r>
        <w:rPr>
          <w:rFonts w:hint="default" w:ascii="仿宋_GB2312" w:eastAsia="仿宋_GB2312"/>
          <w:color w:val="auto"/>
          <w:sz w:val="32"/>
          <w:szCs w:val="32"/>
          <w:highlight w:val="none"/>
          <w:lang w:val="en-US" w:eastAsia="zh-CN"/>
        </w:rPr>
        <w:t>。</w:t>
      </w:r>
    </w:p>
    <w:p w14:paraId="3C48037A">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6BDEDAC4">
      <w:pPr>
        <w:spacing w:line="600" w:lineRule="exact"/>
        <w:ind w:firstLine="640"/>
        <w:outlineLvl w:val="9"/>
        <w:rPr>
          <w:rFonts w:ascii="黑体" w:eastAsia="黑体"/>
          <w:color w:val="auto"/>
          <w:sz w:val="32"/>
          <w:szCs w:val="32"/>
          <w:highlight w:val="none"/>
        </w:rPr>
      </w:pPr>
    </w:p>
    <w:p w14:paraId="74DA9021">
      <w:pPr>
        <w:spacing w:line="600" w:lineRule="exact"/>
        <w:ind w:firstLine="640"/>
        <w:outlineLvl w:val="1"/>
        <w:rPr>
          <w:rStyle w:val="15"/>
          <w:rFonts w:ascii="黑体" w:hAnsi="黑体" w:eastAsia="黑体"/>
          <w:color w:val="auto"/>
          <w:highlight w:val="none"/>
        </w:rPr>
      </w:pPr>
      <w:bookmarkStart w:id="14" w:name="_Toc20776"/>
      <w:r>
        <w:rPr>
          <w:rFonts w:hint="eastAsia" w:ascii="黑体" w:eastAsia="黑体"/>
          <w:color w:val="auto"/>
          <w:sz w:val="32"/>
          <w:szCs w:val="32"/>
          <w:highlight w:val="none"/>
        </w:rPr>
        <w:t>八、</w:t>
      </w:r>
      <w:r>
        <w:rPr>
          <w:rStyle w:val="15"/>
          <w:rFonts w:hint="eastAsia" w:ascii="黑体" w:hAnsi="黑体" w:eastAsia="黑体"/>
          <w:b w:val="0"/>
          <w:color w:val="auto"/>
          <w:highlight w:val="none"/>
        </w:rPr>
        <w:t>政府性基金预算支出决算情况说明</w:t>
      </w:r>
      <w:bookmarkEnd w:id="14"/>
    </w:p>
    <w:p w14:paraId="58EE4207">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0505F41D">
      <w:pPr>
        <w:spacing w:line="600" w:lineRule="exact"/>
        <w:ind w:firstLine="640"/>
        <w:rPr>
          <w:rFonts w:ascii="仿宋_GB2312" w:eastAsia="仿宋_GB2312"/>
          <w:color w:val="auto"/>
          <w:sz w:val="32"/>
          <w:szCs w:val="32"/>
          <w:highlight w:val="none"/>
        </w:rPr>
      </w:pPr>
    </w:p>
    <w:p w14:paraId="59D92B9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ascii="黑体" w:hAnsi="黑体" w:eastAsia="黑体"/>
          <w:b w:val="0"/>
          <w:color w:val="auto"/>
          <w:highlight w:val="none"/>
        </w:rPr>
      </w:pPr>
      <w:bookmarkStart w:id="15" w:name="_Toc4669"/>
      <w:r>
        <w:rPr>
          <w:rStyle w:val="15"/>
          <w:rFonts w:hint="eastAsia" w:ascii="黑体" w:hAnsi="黑体" w:eastAsia="黑体"/>
          <w:b w:val="0"/>
          <w:color w:val="auto"/>
          <w:highlight w:val="none"/>
          <w:lang w:eastAsia="zh-CN"/>
        </w:rPr>
        <w:t>九、</w:t>
      </w:r>
      <w:r>
        <w:rPr>
          <w:rStyle w:val="15"/>
          <w:rFonts w:hint="eastAsia" w:ascii="黑体" w:hAnsi="黑体" w:eastAsia="黑体"/>
          <w:b w:val="0"/>
          <w:color w:val="auto"/>
          <w:highlight w:val="none"/>
        </w:rPr>
        <w:t>国有资本经营预算支出决算情况说明</w:t>
      </w:r>
      <w:bookmarkEnd w:id="15"/>
    </w:p>
    <w:p w14:paraId="412347C8">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1C4B6323">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10BFA7A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hint="eastAsia" w:ascii="黑体" w:hAnsi="黑体" w:eastAsia="黑体"/>
          <w:b w:val="0"/>
          <w:color w:val="auto"/>
          <w:highlight w:val="none"/>
        </w:rPr>
      </w:pPr>
      <w:bookmarkStart w:id="16" w:name="_Toc21342"/>
      <w:r>
        <w:rPr>
          <w:rStyle w:val="15"/>
          <w:rFonts w:hint="eastAsia" w:ascii="黑体" w:hAnsi="黑体" w:eastAsia="黑体"/>
          <w:b w:val="0"/>
          <w:color w:val="auto"/>
          <w:highlight w:val="none"/>
          <w:lang w:eastAsia="zh-CN"/>
        </w:rPr>
        <w:t>十、</w:t>
      </w:r>
      <w:r>
        <w:rPr>
          <w:rStyle w:val="15"/>
          <w:rFonts w:hint="eastAsia" w:ascii="黑体" w:hAnsi="黑体" w:eastAsia="黑体"/>
          <w:b w:val="0"/>
          <w:color w:val="auto"/>
          <w:highlight w:val="none"/>
        </w:rPr>
        <w:t>其他重要事项的情况说明</w:t>
      </w:r>
      <w:bookmarkEnd w:id="16"/>
    </w:p>
    <w:p w14:paraId="43C5ACAC">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4F9F753B">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，阿坝藏族羌族自治州公路管理局壤塘公路管理分局机关运行经费支出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p>
    <w:p w14:paraId="6C578C03">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01E0B7B5">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，阿坝藏族羌族自治州公路管理局壤塘公路管理分局政府采购支出总额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42588032">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30C7605D">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日，阿坝藏族羌族自治州公路管理局壤塘公路管理分局共有车辆</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辆、其他用</w:t>
      </w:r>
      <w:r>
        <w:rPr>
          <w:rFonts w:hint="eastAsia" w:ascii="仿宋_GB2312" w:eastAsia="仿宋_GB2312"/>
          <w:color w:val="auto"/>
          <w:sz w:val="32"/>
          <w:szCs w:val="32"/>
          <w:highlight w:val="none"/>
          <w:lang w:val="en-US" w:eastAsia="zh-CN"/>
        </w:rPr>
        <w:t>车3</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1FCA241E">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1EFE2BA6">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w:t>
      </w:r>
      <w:r>
        <w:rPr>
          <w:rFonts w:hint="eastAsia" w:ascii="仿宋_GB2312" w:eastAsia="仿宋_GB2312" w:cs="Times New Roman"/>
          <w:color w:val="auto"/>
          <w:sz w:val="32"/>
          <w:szCs w:val="32"/>
          <w:highlight w:val="none"/>
          <w:lang w:val="en-US" w:eastAsia="zh-CN"/>
        </w:rPr>
        <w:t>未开展项目绩效评估</w:t>
      </w:r>
      <w:r>
        <w:rPr>
          <w:rFonts w:hint="eastAsia" w:ascii="仿宋_GB2312" w:hAnsi="Times New Roman" w:eastAsia="仿宋_GB2312" w:cs="Times New Roman"/>
          <w:color w:val="auto"/>
          <w:sz w:val="32"/>
          <w:szCs w:val="32"/>
          <w:highlight w:val="none"/>
          <w:lang w:val="en-US" w:eastAsia="zh-CN"/>
        </w:rPr>
        <w:t>。</w:t>
      </w:r>
    </w:p>
    <w:p w14:paraId="437902AF">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55DD4FAB">
      <w:pPr>
        <w:numPr>
          <w:ilvl w:val="0"/>
          <w:numId w:val="0"/>
        </w:numPr>
        <w:spacing w:line="600" w:lineRule="exact"/>
        <w:jc w:val="center"/>
        <w:outlineLvl w:val="0"/>
        <w:rPr>
          <w:rStyle w:val="14"/>
          <w:rFonts w:ascii="黑体" w:hAnsi="黑体" w:eastAsia="黑体"/>
          <w:b w:val="0"/>
          <w:color w:val="auto"/>
          <w:highlight w:val="none"/>
        </w:rPr>
      </w:pPr>
      <w:bookmarkStart w:id="17" w:name="_Toc15437"/>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rPr>
        <w:t>名</w:t>
      </w:r>
      <w:r>
        <w:rPr>
          <w:rStyle w:val="14"/>
          <w:rFonts w:hint="eastAsia" w:ascii="黑体" w:hAnsi="黑体" w:eastAsia="黑体"/>
          <w:b w:val="0"/>
          <w:color w:val="auto"/>
          <w:highlight w:val="none"/>
        </w:rPr>
        <w:t>词解释</w:t>
      </w:r>
      <w:bookmarkEnd w:id="17"/>
    </w:p>
    <w:p w14:paraId="434FC951">
      <w:pPr>
        <w:spacing w:line="600" w:lineRule="exact"/>
        <w:jc w:val="left"/>
        <w:rPr>
          <w:rFonts w:ascii="宋体"/>
          <w:b/>
          <w:color w:val="auto"/>
          <w:sz w:val="44"/>
          <w:szCs w:val="44"/>
          <w:highlight w:val="none"/>
        </w:rPr>
      </w:pPr>
    </w:p>
    <w:p w14:paraId="6EF5BB56">
      <w:pPr>
        <w:pStyle w:val="17"/>
        <w:spacing w:line="560" w:lineRule="exact"/>
        <w:ind w:firstLine="640" w:firstLineChars="200"/>
        <w:outlineLvl w:val="1"/>
        <w:rPr>
          <w:rFonts w:ascii="仿宋_GB2312" w:eastAsia="仿宋_GB2312"/>
          <w:color w:val="auto"/>
          <w:sz w:val="32"/>
          <w:szCs w:val="32"/>
          <w:highlight w:val="none"/>
        </w:rPr>
      </w:pPr>
      <w:bookmarkStart w:id="18" w:name="_Toc4156"/>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18"/>
    </w:p>
    <w:p w14:paraId="5CC113AE">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04A1E4AB">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5E014064">
      <w:pPr>
        <w:pStyle w:val="17"/>
        <w:spacing w:line="560" w:lineRule="exact"/>
        <w:ind w:firstLine="640" w:firstLineChars="200"/>
        <w:outlineLvl w:val="1"/>
        <w:rPr>
          <w:rFonts w:ascii="仿宋_GB2312" w:eastAsia="仿宋_GB2312"/>
          <w:color w:val="auto"/>
          <w:sz w:val="32"/>
          <w:szCs w:val="32"/>
          <w:highlight w:val="none"/>
        </w:rPr>
      </w:pPr>
      <w:bookmarkStart w:id="19" w:name="_Toc27946"/>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19"/>
    </w:p>
    <w:p w14:paraId="3B3CC598">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p>
    <w:p w14:paraId="2A18F655">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p>
    <w:p w14:paraId="7FE6D2EF">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75FD1FAE">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224DA01">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40296A8E">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反映机关事业单位实施养老保险制度由单位实际缴纳的职业年金支出。</w:t>
      </w:r>
    </w:p>
    <w:p w14:paraId="3CD4E2B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744C9992">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5F61FE0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264C516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.交通运输支出（类）车辆购置税支出（款）车辆购置税用于公路等基础设施建设支出（项）: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反映车辆购置税收入安排用于公路等基础设施建设的支出。</w:t>
      </w:r>
    </w:p>
    <w:p w14:paraId="74082C3F">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反映行政事业单位用财政拨款资金和其他资金等安排的住房改革支出。</w:t>
      </w:r>
    </w:p>
    <w:p w14:paraId="722DFCDA">
      <w:pPr>
        <w:ind w:firstLine="640" w:firstLineChars="200"/>
        <w:rPr>
          <w:rFonts w:hint="eastAsia" w:ascii="仿宋" w:hAnsi="仿宋" w:eastAsia="仿宋"/>
          <w:b/>
          <w:color w:val="auto"/>
          <w:sz w:val="32"/>
          <w:szCs w:val="32"/>
          <w:highlight w:val="none"/>
          <w:lang w:eastAsia="zh-CN"/>
        </w:rPr>
      </w:pP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反映按房改政策规定，行政事业单位向符合条件职工(含离退休人员)、军队(含武警)向转役复员离退休人员发放的用于购买住房的补贴。</w:t>
      </w:r>
    </w:p>
    <w:p w14:paraId="3CE7DF4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7.</w:t>
      </w:r>
      <w:r>
        <w:rPr>
          <w:rFonts w:hint="eastAsia" w:ascii="仿宋_GB2312" w:eastAsia="仿宋_GB2312"/>
          <w:color w:val="auto"/>
          <w:sz w:val="32"/>
          <w:szCs w:val="32"/>
          <w:highlight w:val="none"/>
        </w:rPr>
        <w:t>基本支出：指为保障机构正常运转、完成日常工作任务而发生的人员支出和公用支出。</w:t>
      </w:r>
    </w:p>
    <w:p w14:paraId="028594AC">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8.</w:t>
      </w:r>
      <w:r>
        <w:rPr>
          <w:rFonts w:hint="eastAsia" w:ascii="仿宋_GB2312" w:eastAsia="仿宋_GB2312"/>
          <w:color w:val="auto"/>
          <w:sz w:val="32"/>
          <w:szCs w:val="32"/>
          <w:highlight w:val="none"/>
        </w:rPr>
        <w:t>项目支出：指在基本支出之外为完成特定行政任务和事业发展目标所发生的支出。</w:t>
      </w:r>
    </w:p>
    <w:p w14:paraId="7CE34DE8">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9.</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67285C0F">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73AA8A6">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1.</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FCED43">
      <w:pPr>
        <w:spacing w:line="600" w:lineRule="exact"/>
        <w:jc w:val="center"/>
        <w:outlineLvl w:val="0"/>
        <w:rPr>
          <w:rStyle w:val="14"/>
          <w:rFonts w:ascii="黑体" w:hAnsi="黑体" w:eastAsia="黑体"/>
          <w:b w:val="0"/>
          <w:color w:val="auto"/>
          <w:highlight w:val="none"/>
        </w:rPr>
      </w:pPr>
      <w:r>
        <w:rPr>
          <w:rFonts w:ascii="宋体"/>
          <w:b/>
          <w:color w:val="auto"/>
          <w:sz w:val="44"/>
          <w:szCs w:val="44"/>
          <w:highlight w:val="none"/>
        </w:rPr>
        <w:br w:type="page"/>
      </w:r>
      <w:bookmarkStart w:id="20" w:name="_Toc32097"/>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四部分附件</w:t>
      </w:r>
      <w:bookmarkEnd w:id="20"/>
    </w:p>
    <w:p w14:paraId="6A1A8D6C">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4D4A2706">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w:t>
      </w:r>
      <w:r>
        <w:rPr>
          <w:rFonts w:hint="eastAsia" w:ascii="仿宋_GB2312" w:eastAsia="仿宋_GB2312" w:cs="Times New Roman"/>
          <w:color w:val="auto"/>
          <w:sz w:val="32"/>
          <w:szCs w:val="32"/>
          <w:highlight w:val="none"/>
          <w:lang w:val="en-US" w:eastAsia="zh-CN"/>
        </w:rPr>
        <w:t>未开展项目绩效评估</w:t>
      </w:r>
      <w:r>
        <w:rPr>
          <w:rFonts w:hint="eastAsia" w:ascii="仿宋_GB2312" w:hAnsi="Times New Roman" w:eastAsia="仿宋_GB2312" w:cs="Times New Roman"/>
          <w:color w:val="auto"/>
          <w:sz w:val="32"/>
          <w:szCs w:val="32"/>
          <w:highlight w:val="none"/>
          <w:lang w:val="en-US" w:eastAsia="zh-CN"/>
        </w:rPr>
        <w:t>。</w:t>
      </w:r>
    </w:p>
    <w:p w14:paraId="099CEB4D">
      <w:pPr>
        <w:pStyle w:val="6"/>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sz w:val="32"/>
          <w:szCs w:val="32"/>
          <w:highlight w:val="none"/>
          <w:lang w:val="en-US" w:eastAsia="zh-CN"/>
        </w:rPr>
      </w:pPr>
    </w:p>
    <w:p w14:paraId="7B10619B">
      <w:pPr>
        <w:pStyle w:val="4"/>
        <w:rPr>
          <w:rFonts w:hint="eastAsia" w:ascii="仿宋_GB2312" w:hAnsi="Calibri" w:eastAsia="仿宋_GB2312" w:cs="仿宋"/>
          <w:color w:val="auto"/>
          <w:kern w:val="0"/>
          <w:sz w:val="32"/>
          <w:szCs w:val="32"/>
          <w:highlight w:val="none"/>
          <w:lang w:val="en-US" w:eastAsia="zh-CN" w:bidi="ar-SA"/>
        </w:rPr>
      </w:pPr>
    </w:p>
    <w:p w14:paraId="4951261E">
      <w:pPr>
        <w:pStyle w:val="4"/>
        <w:rPr>
          <w:rFonts w:hint="eastAsia" w:ascii="仿宋_GB2312" w:hAnsi="Calibri" w:eastAsia="仿宋_GB2312" w:cs="仿宋"/>
          <w:color w:val="auto"/>
          <w:kern w:val="0"/>
          <w:sz w:val="32"/>
          <w:szCs w:val="32"/>
          <w:highlight w:val="none"/>
          <w:lang w:val="en-US" w:eastAsia="zh-CN" w:bidi="ar-SA"/>
        </w:rPr>
      </w:pPr>
    </w:p>
    <w:p w14:paraId="4B38D1CE">
      <w:pPr>
        <w:pStyle w:val="4"/>
        <w:rPr>
          <w:rFonts w:hint="eastAsia" w:ascii="仿宋_GB2312" w:hAnsi="Calibri" w:eastAsia="仿宋_GB2312" w:cs="仿宋"/>
          <w:color w:val="auto"/>
          <w:kern w:val="0"/>
          <w:sz w:val="32"/>
          <w:szCs w:val="32"/>
          <w:highlight w:val="none"/>
          <w:lang w:val="en-US" w:eastAsia="zh-CN" w:bidi="ar-SA"/>
        </w:rPr>
      </w:pPr>
    </w:p>
    <w:p w14:paraId="454ADF56">
      <w:pPr>
        <w:pStyle w:val="4"/>
        <w:rPr>
          <w:rFonts w:hint="eastAsia" w:ascii="仿宋_GB2312" w:hAnsi="Calibri" w:eastAsia="仿宋_GB2312" w:cs="仿宋"/>
          <w:color w:val="auto"/>
          <w:kern w:val="0"/>
          <w:sz w:val="32"/>
          <w:szCs w:val="32"/>
          <w:highlight w:val="none"/>
          <w:lang w:val="en-US" w:eastAsia="zh-CN" w:bidi="ar-SA"/>
        </w:rPr>
      </w:pPr>
    </w:p>
    <w:p w14:paraId="2D776026">
      <w:pPr>
        <w:pStyle w:val="4"/>
        <w:rPr>
          <w:rFonts w:hint="eastAsia" w:ascii="仿宋_GB2312" w:hAnsi="Calibri" w:eastAsia="仿宋_GB2312" w:cs="仿宋"/>
          <w:color w:val="auto"/>
          <w:kern w:val="0"/>
          <w:sz w:val="32"/>
          <w:szCs w:val="32"/>
          <w:highlight w:val="none"/>
          <w:lang w:val="en-US" w:eastAsia="zh-CN" w:bidi="ar-SA"/>
        </w:rPr>
      </w:pPr>
    </w:p>
    <w:p w14:paraId="7EC70743">
      <w:pPr>
        <w:pStyle w:val="4"/>
        <w:rPr>
          <w:rFonts w:hint="eastAsia" w:ascii="仿宋_GB2312" w:hAnsi="Calibri" w:eastAsia="仿宋_GB2312" w:cs="仿宋"/>
          <w:color w:val="auto"/>
          <w:kern w:val="0"/>
          <w:sz w:val="32"/>
          <w:szCs w:val="32"/>
          <w:highlight w:val="none"/>
          <w:lang w:val="en-US" w:eastAsia="zh-CN" w:bidi="ar-SA"/>
        </w:rPr>
      </w:pPr>
    </w:p>
    <w:p w14:paraId="7ED22B1E">
      <w:pPr>
        <w:pStyle w:val="4"/>
        <w:rPr>
          <w:rFonts w:hint="eastAsia" w:ascii="仿宋_GB2312" w:hAnsi="Calibri" w:eastAsia="仿宋_GB2312" w:cs="仿宋"/>
          <w:color w:val="auto"/>
          <w:kern w:val="0"/>
          <w:sz w:val="32"/>
          <w:szCs w:val="32"/>
          <w:highlight w:val="none"/>
          <w:lang w:val="en-US" w:eastAsia="zh-CN" w:bidi="ar-SA"/>
        </w:rPr>
      </w:pPr>
    </w:p>
    <w:p w14:paraId="137B3902">
      <w:pPr>
        <w:pStyle w:val="4"/>
        <w:rPr>
          <w:rFonts w:hint="eastAsia" w:ascii="仿宋_GB2312" w:hAnsi="Calibri" w:eastAsia="仿宋_GB2312" w:cs="仿宋"/>
          <w:color w:val="auto"/>
          <w:kern w:val="0"/>
          <w:sz w:val="32"/>
          <w:szCs w:val="32"/>
          <w:highlight w:val="none"/>
          <w:lang w:val="en-US" w:eastAsia="zh-CN" w:bidi="ar-SA"/>
        </w:rPr>
      </w:pPr>
    </w:p>
    <w:p w14:paraId="2EF9B634">
      <w:pPr>
        <w:pStyle w:val="4"/>
        <w:rPr>
          <w:rFonts w:hint="eastAsia" w:ascii="仿宋_GB2312" w:hAnsi="Calibri" w:eastAsia="仿宋_GB2312" w:cs="仿宋"/>
          <w:color w:val="auto"/>
          <w:kern w:val="0"/>
          <w:sz w:val="32"/>
          <w:szCs w:val="32"/>
          <w:highlight w:val="none"/>
          <w:lang w:val="en-US" w:eastAsia="zh-CN" w:bidi="ar-SA"/>
        </w:rPr>
      </w:pPr>
    </w:p>
    <w:p w14:paraId="18D65C83">
      <w:pPr>
        <w:pStyle w:val="4"/>
        <w:rPr>
          <w:rFonts w:hint="eastAsia" w:ascii="仿宋_GB2312" w:hAnsi="Calibri" w:eastAsia="仿宋_GB2312" w:cs="仿宋"/>
          <w:color w:val="auto"/>
          <w:kern w:val="0"/>
          <w:sz w:val="32"/>
          <w:szCs w:val="32"/>
          <w:highlight w:val="none"/>
          <w:lang w:val="en-US" w:eastAsia="zh-CN" w:bidi="ar-SA"/>
        </w:rPr>
      </w:pPr>
    </w:p>
    <w:p w14:paraId="5B47204E">
      <w:pPr>
        <w:pStyle w:val="4"/>
        <w:rPr>
          <w:rFonts w:hint="eastAsia" w:ascii="仿宋_GB2312" w:hAnsi="Calibri" w:eastAsia="仿宋_GB2312" w:cs="仿宋"/>
          <w:color w:val="auto"/>
          <w:kern w:val="0"/>
          <w:sz w:val="32"/>
          <w:szCs w:val="32"/>
          <w:highlight w:val="none"/>
          <w:lang w:val="en-US" w:eastAsia="zh-CN" w:bidi="ar-SA"/>
        </w:rPr>
      </w:pPr>
    </w:p>
    <w:p w14:paraId="64E2D955">
      <w:pPr>
        <w:pStyle w:val="4"/>
        <w:rPr>
          <w:rFonts w:hint="eastAsia" w:ascii="仿宋_GB2312" w:hAnsi="Calibri" w:eastAsia="仿宋_GB2312" w:cs="仿宋"/>
          <w:color w:val="auto"/>
          <w:kern w:val="0"/>
          <w:sz w:val="32"/>
          <w:szCs w:val="32"/>
          <w:highlight w:val="none"/>
          <w:lang w:val="en-US" w:eastAsia="zh-CN" w:bidi="ar-SA"/>
        </w:rPr>
      </w:pPr>
    </w:p>
    <w:p w14:paraId="1DB5A049">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7608BD75">
      <w:pPr>
        <w:spacing w:line="600" w:lineRule="exact"/>
        <w:jc w:val="center"/>
        <w:outlineLvl w:val="0"/>
        <w:rPr>
          <w:rFonts w:hint="eastAsia" w:ascii="仿宋" w:hAnsi="仿宋" w:eastAsia="仿宋"/>
          <w:b w:val="0"/>
          <w:color w:val="auto"/>
          <w:highlight w:val="none"/>
        </w:rPr>
      </w:pPr>
      <w:bookmarkStart w:id="21" w:name="_Toc1066"/>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五部分附表</w:t>
      </w:r>
      <w:bookmarkEnd w:id="21"/>
    </w:p>
    <w:p w14:paraId="3ED434FB">
      <w:pPr>
        <w:pStyle w:val="3"/>
        <w:rPr>
          <w:rFonts w:ascii="仿宋" w:hAnsi="仿宋" w:eastAsia="仿宋"/>
          <w:color w:val="auto"/>
          <w:highlight w:val="none"/>
        </w:rPr>
      </w:pPr>
      <w:bookmarkStart w:id="22" w:name="_Toc1074"/>
      <w:r>
        <w:rPr>
          <w:rFonts w:hint="eastAsia" w:ascii="仿宋" w:hAnsi="仿宋" w:eastAsia="仿宋"/>
          <w:b w:val="0"/>
          <w:color w:val="auto"/>
          <w:highlight w:val="none"/>
        </w:rPr>
        <w:t>一、收</w:t>
      </w:r>
      <w:r>
        <w:rPr>
          <w:rStyle w:val="15"/>
          <w:rFonts w:hint="eastAsia" w:ascii="仿宋" w:hAnsi="仿宋" w:eastAsia="仿宋"/>
          <w:b w:val="0"/>
          <w:bCs w:val="0"/>
          <w:color w:val="auto"/>
          <w:highlight w:val="none"/>
        </w:rPr>
        <w:t>入支出决算总表</w:t>
      </w:r>
      <w:bookmarkEnd w:id="22"/>
    </w:p>
    <w:p w14:paraId="45E91F4C">
      <w:pPr>
        <w:pStyle w:val="3"/>
        <w:rPr>
          <w:rFonts w:ascii="仿宋" w:hAnsi="仿宋" w:eastAsia="仿宋"/>
          <w:color w:val="auto"/>
          <w:highlight w:val="none"/>
        </w:rPr>
      </w:pPr>
      <w:bookmarkStart w:id="23" w:name="_Toc22239"/>
      <w:r>
        <w:rPr>
          <w:rFonts w:hint="eastAsia" w:ascii="仿宋" w:hAnsi="仿宋" w:eastAsia="仿宋"/>
          <w:b w:val="0"/>
          <w:color w:val="auto"/>
          <w:highlight w:val="none"/>
        </w:rPr>
        <w:t>二、收</w:t>
      </w:r>
      <w:r>
        <w:rPr>
          <w:rStyle w:val="15"/>
          <w:rFonts w:hint="eastAsia" w:ascii="仿宋" w:hAnsi="仿宋" w:eastAsia="仿宋"/>
          <w:b w:val="0"/>
          <w:bCs w:val="0"/>
          <w:color w:val="auto"/>
          <w:highlight w:val="none"/>
        </w:rPr>
        <w:t>入决算表</w:t>
      </w:r>
      <w:bookmarkEnd w:id="23"/>
    </w:p>
    <w:p w14:paraId="39576D53">
      <w:pPr>
        <w:pStyle w:val="3"/>
        <w:rPr>
          <w:rFonts w:ascii="仿宋" w:hAnsi="仿宋" w:eastAsia="仿宋"/>
          <w:color w:val="auto"/>
          <w:highlight w:val="none"/>
        </w:rPr>
      </w:pPr>
      <w:bookmarkStart w:id="24" w:name="_Toc30390"/>
      <w:r>
        <w:rPr>
          <w:rStyle w:val="15"/>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5"/>
          <w:rFonts w:hint="eastAsia" w:ascii="仿宋" w:hAnsi="仿宋" w:eastAsia="仿宋"/>
          <w:b w:val="0"/>
          <w:bCs w:val="0"/>
          <w:color w:val="auto"/>
          <w:highlight w:val="none"/>
        </w:rPr>
        <w:t>出决算表</w:t>
      </w:r>
      <w:bookmarkEnd w:id="24"/>
    </w:p>
    <w:p w14:paraId="4AA7AAC4">
      <w:pPr>
        <w:pStyle w:val="3"/>
        <w:rPr>
          <w:rFonts w:ascii="仿宋" w:hAnsi="仿宋" w:eastAsia="仿宋"/>
          <w:b w:val="0"/>
          <w:color w:val="auto"/>
          <w:highlight w:val="none"/>
        </w:rPr>
      </w:pPr>
      <w:bookmarkStart w:id="25" w:name="_Toc24330"/>
      <w:r>
        <w:rPr>
          <w:rStyle w:val="15"/>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政拨款收入支出决算总表</w:t>
      </w:r>
      <w:bookmarkEnd w:id="25"/>
    </w:p>
    <w:p w14:paraId="11C41EC2">
      <w:pPr>
        <w:pStyle w:val="3"/>
        <w:rPr>
          <w:rStyle w:val="15"/>
          <w:rFonts w:ascii="仿宋" w:hAnsi="仿宋" w:eastAsia="仿宋"/>
          <w:b w:val="0"/>
          <w:bCs w:val="0"/>
          <w:color w:val="auto"/>
          <w:highlight w:val="none"/>
        </w:rPr>
      </w:pPr>
      <w:bookmarkStart w:id="26" w:name="_Toc24628"/>
      <w:r>
        <w:rPr>
          <w:rStyle w:val="15"/>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政拨款支出决算明细表</w:t>
      </w:r>
      <w:bookmarkEnd w:id="26"/>
    </w:p>
    <w:p w14:paraId="4229459D">
      <w:pPr>
        <w:pStyle w:val="3"/>
        <w:rPr>
          <w:rFonts w:ascii="仿宋" w:hAnsi="仿宋" w:eastAsia="仿宋"/>
          <w:color w:val="auto"/>
          <w:highlight w:val="none"/>
        </w:rPr>
      </w:pPr>
      <w:bookmarkStart w:id="27" w:name="_Toc14644"/>
      <w:r>
        <w:rPr>
          <w:rStyle w:val="15"/>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般公共预算财政拨款支出决算表</w:t>
      </w:r>
      <w:bookmarkEnd w:id="27"/>
    </w:p>
    <w:p w14:paraId="7AD32BBC">
      <w:pPr>
        <w:pStyle w:val="3"/>
        <w:rPr>
          <w:rFonts w:ascii="仿宋" w:hAnsi="仿宋" w:eastAsia="仿宋"/>
          <w:color w:val="auto"/>
          <w:highlight w:val="none"/>
        </w:rPr>
      </w:pPr>
      <w:bookmarkStart w:id="28" w:name="_Toc14314"/>
      <w:r>
        <w:rPr>
          <w:rStyle w:val="15"/>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般公共预算财政拨款支出决算明细表</w:t>
      </w:r>
      <w:bookmarkEnd w:id="28"/>
    </w:p>
    <w:p w14:paraId="0B2448CD">
      <w:pPr>
        <w:pStyle w:val="3"/>
        <w:rPr>
          <w:rFonts w:ascii="仿宋" w:hAnsi="仿宋" w:eastAsia="仿宋"/>
          <w:color w:val="auto"/>
          <w:highlight w:val="none"/>
        </w:rPr>
      </w:pPr>
      <w:bookmarkStart w:id="29" w:name="_Toc278"/>
      <w:r>
        <w:rPr>
          <w:rStyle w:val="15"/>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般公共预算财政拨款基本支出决算表</w:t>
      </w:r>
      <w:bookmarkEnd w:id="29"/>
    </w:p>
    <w:p w14:paraId="2EE74F89">
      <w:pPr>
        <w:pStyle w:val="3"/>
        <w:rPr>
          <w:rFonts w:ascii="仿宋" w:hAnsi="仿宋" w:eastAsia="仿宋"/>
          <w:color w:val="auto"/>
          <w:highlight w:val="none"/>
        </w:rPr>
      </w:pPr>
      <w:bookmarkStart w:id="30" w:name="_Toc28248"/>
      <w:r>
        <w:rPr>
          <w:rStyle w:val="15"/>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般公共预算财政拨款项目支出决算表</w:t>
      </w:r>
      <w:bookmarkEnd w:id="30"/>
    </w:p>
    <w:p w14:paraId="3C7AD2B9">
      <w:pPr>
        <w:pStyle w:val="3"/>
        <w:rPr>
          <w:rFonts w:ascii="仿宋" w:hAnsi="仿宋" w:eastAsia="仿宋"/>
          <w:color w:val="auto"/>
          <w:highlight w:val="none"/>
        </w:rPr>
      </w:pPr>
      <w:bookmarkStart w:id="31" w:name="_Toc16948"/>
      <w:r>
        <w:rPr>
          <w:rStyle w:val="15"/>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5"/>
          <w:rFonts w:hint="eastAsia" w:ascii="仿宋" w:hAnsi="仿宋" w:eastAsia="仿宋"/>
          <w:b w:val="0"/>
          <w:bCs w:val="0"/>
          <w:color w:val="auto"/>
          <w:highlight w:val="none"/>
        </w:rPr>
        <w:t>府性基金预算财政拨款收入支出决算表</w:t>
      </w:r>
      <w:bookmarkEnd w:id="31"/>
    </w:p>
    <w:p w14:paraId="138A0D19">
      <w:pPr>
        <w:pStyle w:val="3"/>
        <w:rPr>
          <w:rFonts w:ascii="仿宋" w:hAnsi="仿宋" w:eastAsia="仿宋"/>
          <w:color w:val="auto"/>
          <w:highlight w:val="none"/>
        </w:rPr>
      </w:pPr>
      <w:bookmarkStart w:id="32" w:name="_Toc20971"/>
      <w:r>
        <w:rPr>
          <w:rStyle w:val="15"/>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5"/>
          <w:rFonts w:hint="eastAsia" w:ascii="仿宋" w:hAnsi="仿宋" w:eastAsia="仿宋"/>
          <w:b w:val="0"/>
          <w:bCs w:val="0"/>
          <w:color w:val="auto"/>
          <w:highlight w:val="none"/>
        </w:rPr>
        <w:t>有资本经营预算</w:t>
      </w:r>
      <w:r>
        <w:rPr>
          <w:rStyle w:val="15"/>
          <w:rFonts w:hint="eastAsia" w:ascii="仿宋" w:hAnsi="仿宋" w:eastAsia="仿宋"/>
          <w:b w:val="0"/>
          <w:bCs w:val="0"/>
          <w:color w:val="auto"/>
          <w:highlight w:val="none"/>
          <w:lang w:eastAsia="zh-CN"/>
        </w:rPr>
        <w:t>财政拨款收入</w:t>
      </w:r>
      <w:r>
        <w:rPr>
          <w:rStyle w:val="15"/>
          <w:rFonts w:hint="eastAsia" w:ascii="仿宋" w:hAnsi="仿宋" w:eastAsia="仿宋"/>
          <w:b w:val="0"/>
          <w:bCs w:val="0"/>
          <w:color w:val="auto"/>
          <w:highlight w:val="none"/>
        </w:rPr>
        <w:t>支出决算表</w:t>
      </w:r>
      <w:bookmarkEnd w:id="32"/>
    </w:p>
    <w:p w14:paraId="7A5FB3FC">
      <w:pPr>
        <w:pStyle w:val="3"/>
        <w:rPr>
          <w:rFonts w:ascii="仿宋" w:hAnsi="仿宋" w:eastAsia="仿宋"/>
          <w:color w:val="auto"/>
          <w:highlight w:val="none"/>
        </w:rPr>
      </w:pPr>
      <w:bookmarkStart w:id="33" w:name="_Toc9813"/>
      <w:r>
        <w:rPr>
          <w:rStyle w:val="15"/>
          <w:rFonts w:hint="eastAsia" w:ascii="仿宋" w:hAnsi="仿宋" w:eastAsia="仿宋"/>
          <w:b w:val="0"/>
          <w:bCs w:val="0"/>
          <w:color w:val="auto"/>
          <w:highlight w:val="none"/>
        </w:rPr>
        <w:t>十二、</w:t>
      </w:r>
      <w:r>
        <w:rPr>
          <w:rStyle w:val="15"/>
          <w:rFonts w:hint="eastAsia" w:ascii="仿宋" w:hAnsi="仿宋" w:eastAsia="仿宋"/>
          <w:b w:val="0"/>
          <w:bCs w:val="0"/>
          <w:color w:val="auto"/>
          <w:highlight w:val="none"/>
          <w:lang w:eastAsia="zh-CN"/>
        </w:rPr>
        <w:t>国有资本经营预算财政拨款支出决算表</w:t>
      </w:r>
      <w:bookmarkEnd w:id="33"/>
    </w:p>
    <w:p w14:paraId="1F74B00F">
      <w:pPr>
        <w:pStyle w:val="3"/>
        <w:rPr>
          <w:rFonts w:hint="eastAsia" w:eastAsia="仿宋"/>
          <w:color w:val="auto"/>
          <w:highlight w:val="none"/>
          <w:lang w:eastAsia="zh-CN"/>
        </w:rPr>
      </w:pPr>
      <w:bookmarkStart w:id="34" w:name="_Toc28183"/>
      <w:r>
        <w:rPr>
          <w:rStyle w:val="15"/>
          <w:rFonts w:hint="eastAsia" w:ascii="仿宋" w:hAnsi="仿宋" w:eastAsia="仿宋"/>
          <w:b w:val="0"/>
          <w:bCs w:val="0"/>
          <w:color w:val="auto"/>
          <w:highlight w:val="none"/>
        </w:rPr>
        <w:t>十三、</w:t>
      </w:r>
      <w:r>
        <w:rPr>
          <w:rStyle w:val="15"/>
          <w:rFonts w:hint="eastAsia" w:ascii="仿宋" w:hAnsi="仿宋" w:eastAsia="仿宋"/>
          <w:b w:val="0"/>
          <w:bCs w:val="0"/>
          <w:color w:val="auto"/>
          <w:highlight w:val="none"/>
          <w:lang w:eastAsia="zh-CN"/>
        </w:rPr>
        <w:t>财政拨款“三公”经费支出决算表</w:t>
      </w:r>
      <w:bookmarkEnd w:id="34"/>
    </w:p>
    <w:p w14:paraId="48BF8B43">
      <w:pPr>
        <w:rPr>
          <w:rFonts w:hint="eastAsia"/>
          <w:lang w:eastAsia="zh-CN"/>
        </w:rPr>
      </w:pPr>
    </w:p>
    <w:p w14:paraId="1BBBD0A6"/>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B9CDB">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1935FEFB">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39F09409">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1935FEFB">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39F09409">
                    <w:pPr>
                      <w:pStyle w:val="9"/>
                    </w:pPr>
                  </w:p>
                </w:txbxContent>
              </v:textbox>
            </v:shape>
          </w:pict>
        </mc:Fallback>
      </mc:AlternateContent>
    </w:r>
  </w:p>
  <w:p w14:paraId="1EF765A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F3A7B">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468AB9">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4F468AB9">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kNzljNTA0OTNkNzczZjA0NTNiODM0N2U0N2VjM2YifQ=="/>
  </w:docVars>
  <w:rsids>
    <w:rsidRoot w:val="FFDBB21C"/>
    <w:rsid w:val="002E1F6F"/>
    <w:rsid w:val="00C6664C"/>
    <w:rsid w:val="02090162"/>
    <w:rsid w:val="02D03C4F"/>
    <w:rsid w:val="030A6CC4"/>
    <w:rsid w:val="04E90A2D"/>
    <w:rsid w:val="0680104B"/>
    <w:rsid w:val="084D495D"/>
    <w:rsid w:val="098B21E0"/>
    <w:rsid w:val="09A6526C"/>
    <w:rsid w:val="0CAD06C0"/>
    <w:rsid w:val="0F0C791F"/>
    <w:rsid w:val="11AA718F"/>
    <w:rsid w:val="134616AF"/>
    <w:rsid w:val="14F2335E"/>
    <w:rsid w:val="151D2886"/>
    <w:rsid w:val="162144CF"/>
    <w:rsid w:val="1B650AE3"/>
    <w:rsid w:val="1BA62EAA"/>
    <w:rsid w:val="1CA67B52"/>
    <w:rsid w:val="1EE55015"/>
    <w:rsid w:val="1F277C93"/>
    <w:rsid w:val="217557F8"/>
    <w:rsid w:val="21BA464B"/>
    <w:rsid w:val="22487863"/>
    <w:rsid w:val="258B75EB"/>
    <w:rsid w:val="26431A21"/>
    <w:rsid w:val="26775B6F"/>
    <w:rsid w:val="273D2BB0"/>
    <w:rsid w:val="275520F9"/>
    <w:rsid w:val="28F11C08"/>
    <w:rsid w:val="2AD90BA6"/>
    <w:rsid w:val="2FDE6C5E"/>
    <w:rsid w:val="30311859"/>
    <w:rsid w:val="30862DD2"/>
    <w:rsid w:val="31265F83"/>
    <w:rsid w:val="31A87524"/>
    <w:rsid w:val="32E20814"/>
    <w:rsid w:val="35507CB7"/>
    <w:rsid w:val="375810A4"/>
    <w:rsid w:val="392C0A3B"/>
    <w:rsid w:val="3AF27BF8"/>
    <w:rsid w:val="3CAA23A2"/>
    <w:rsid w:val="3DBB413B"/>
    <w:rsid w:val="3E611186"/>
    <w:rsid w:val="3E9055C8"/>
    <w:rsid w:val="41941FB2"/>
    <w:rsid w:val="41F61BE6"/>
    <w:rsid w:val="45F65EB7"/>
    <w:rsid w:val="48CA7928"/>
    <w:rsid w:val="49836455"/>
    <w:rsid w:val="49D4280C"/>
    <w:rsid w:val="4B02784D"/>
    <w:rsid w:val="4B38501D"/>
    <w:rsid w:val="4B763D8E"/>
    <w:rsid w:val="4CED1EBB"/>
    <w:rsid w:val="4EB4641C"/>
    <w:rsid w:val="50770396"/>
    <w:rsid w:val="53146370"/>
    <w:rsid w:val="531E71EE"/>
    <w:rsid w:val="53542C10"/>
    <w:rsid w:val="55621614"/>
    <w:rsid w:val="55F52488"/>
    <w:rsid w:val="563C00B7"/>
    <w:rsid w:val="57C245EC"/>
    <w:rsid w:val="58346B6C"/>
    <w:rsid w:val="5964276E"/>
    <w:rsid w:val="5DF04B89"/>
    <w:rsid w:val="5E315646"/>
    <w:rsid w:val="5E671A49"/>
    <w:rsid w:val="5F093936"/>
    <w:rsid w:val="5F700DD2"/>
    <w:rsid w:val="5F70167D"/>
    <w:rsid w:val="5FD0613A"/>
    <w:rsid w:val="603F6206"/>
    <w:rsid w:val="629D3C8C"/>
    <w:rsid w:val="63620431"/>
    <w:rsid w:val="64340620"/>
    <w:rsid w:val="64CC2606"/>
    <w:rsid w:val="679A2DEF"/>
    <w:rsid w:val="68A33BCF"/>
    <w:rsid w:val="68D0468F"/>
    <w:rsid w:val="693370F8"/>
    <w:rsid w:val="6D01750D"/>
    <w:rsid w:val="6D513FF0"/>
    <w:rsid w:val="6D761CA9"/>
    <w:rsid w:val="6E3A492B"/>
    <w:rsid w:val="6F1201CC"/>
    <w:rsid w:val="6F96218E"/>
    <w:rsid w:val="6FF2313D"/>
    <w:rsid w:val="700A492A"/>
    <w:rsid w:val="717209D9"/>
    <w:rsid w:val="718C1A9B"/>
    <w:rsid w:val="726C367A"/>
    <w:rsid w:val="731A1328"/>
    <w:rsid w:val="73530396"/>
    <w:rsid w:val="73F957F0"/>
    <w:rsid w:val="74E4574A"/>
    <w:rsid w:val="77C27899"/>
    <w:rsid w:val="7BEE3352"/>
    <w:rsid w:val="7CDB7433"/>
    <w:rsid w:val="7CEA58C8"/>
    <w:rsid w:val="7E3314F0"/>
    <w:rsid w:val="7F0F7867"/>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eastAsia="仿宋_GB2312"/>
      <w:kern w:val="0"/>
      <w:sz w:val="30"/>
    </w:rPr>
  </w:style>
  <w:style w:type="paragraph" w:styleId="5">
    <w:name w:val="Body Text Indent"/>
    <w:basedOn w:val="1"/>
    <w:next w:val="6"/>
    <w:qFormat/>
    <w:uiPriority w:val="0"/>
    <w:pPr>
      <w:spacing w:after="120"/>
      <w:ind w:leftChars="200"/>
    </w:pPr>
    <w:rPr>
      <w:rFonts w:ascii="仿宋_GB2312"/>
      <w:szCs w:val="32"/>
    </w:rPr>
  </w:style>
  <w:style w:type="paragraph" w:styleId="6">
    <w:name w:val="Body Text First Indent 2"/>
    <w:basedOn w:val="5"/>
    <w:unhideWhenUsed/>
    <w:qFormat/>
    <w:uiPriority w:val="99"/>
    <w:pPr>
      <w:ind w:firstLine="420" w:firstLineChars="200"/>
    </w:p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footnote text"/>
    <w:basedOn w:val="1"/>
    <w:next w:val="6"/>
    <w:semiHidden/>
    <w:qFormat/>
    <w:uiPriority w:val="0"/>
    <w:pPr>
      <w:snapToGrid w:val="0"/>
      <w:jc w:val="left"/>
    </w:pPr>
    <w:rPr>
      <w:sz w:val="18"/>
      <w:szCs w:val="18"/>
    </w:rPr>
  </w:style>
  <w:style w:type="paragraph" w:styleId="10">
    <w:name w:val="toc 2"/>
    <w:basedOn w:val="1"/>
    <w:next w:val="1"/>
    <w:unhideWhenUsed/>
    <w:qFormat/>
    <w:uiPriority w:val="39"/>
    <w:pPr>
      <w:tabs>
        <w:tab w:val="right" w:leader="dot" w:pos="8296"/>
      </w:tabs>
      <w:ind w:left="420" w:leftChars="200"/>
    </w:pPr>
  </w:style>
  <w:style w:type="character" w:styleId="13">
    <w:name w:val="Strong"/>
    <w:basedOn w:val="12"/>
    <w:qFormat/>
    <w:uiPriority w:val="99"/>
    <w:rPr>
      <w:b/>
    </w:rPr>
  </w:style>
  <w:style w:type="character" w:customStyle="1" w:styleId="14">
    <w:name w:val="标题 1 Char"/>
    <w:basedOn w:val="12"/>
    <w:link w:val="2"/>
    <w:qFormat/>
    <w:uiPriority w:val="9"/>
    <w:rPr>
      <w:b/>
      <w:bCs/>
      <w:kern w:val="44"/>
      <w:sz w:val="44"/>
      <w:szCs w:val="44"/>
    </w:rPr>
  </w:style>
  <w:style w:type="character" w:customStyle="1" w:styleId="15">
    <w:name w:val="标题 2 Char"/>
    <w:basedOn w:val="12"/>
    <w:link w:val="3"/>
    <w:qFormat/>
    <w:uiPriority w:val="9"/>
    <w:rPr>
      <w:rFonts w:asciiTheme="majorHAnsi" w:hAnsiTheme="majorHAnsi" w:eastAsiaTheme="majorEastAsia" w:cstheme="majorBidi"/>
      <w:b/>
      <w:bCs/>
      <w:sz w:val="32"/>
      <w:szCs w:val="32"/>
    </w:rPr>
  </w:style>
  <w:style w:type="paragraph"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WPSOffice手动目录 1"/>
    <w:qFormat/>
    <w:uiPriority w:val="0"/>
    <w:pPr>
      <w:ind w:leftChars="0"/>
    </w:pPr>
    <w:rPr>
      <w:rFonts w:asciiTheme="minorHAnsi" w:hAnsiTheme="minorHAnsi" w:eastAsiaTheme="minorEastAsia" w:cstheme="minorBidi"/>
      <w:sz w:val="20"/>
      <w:szCs w:val="20"/>
    </w:rPr>
  </w:style>
  <w:style w:type="paragraph" w:customStyle="1" w:styleId="20">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0.00_ </c:formatCode>
                <c:ptCount val="2"/>
                <c:pt idx="0">
                  <c:v>3413.122318</c:v>
                </c:pt>
                <c:pt idx="1">
                  <c:v>3413.122318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0.00_ </c:formatCode>
                <c:ptCount val="2"/>
                <c:pt idx="0">
                  <c:v>1890.59158</c:v>
                </c:pt>
                <c:pt idx="1">
                  <c:v>1890.59158</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3413.12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75.5%</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24.5%</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2577.9</c:v>
                </c:pt>
                <c:pt idx="1" c:formatCode="General">
                  <c:v>835.22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0.00_ </c:formatCode>
                <c:ptCount val="2"/>
                <c:pt idx="0">
                  <c:v>3413.122318</c:v>
                </c:pt>
                <c:pt idx="1">
                  <c:v>3413.122318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0.00_ </c:formatCode>
                <c:ptCount val="2"/>
                <c:pt idx="0">
                  <c:v>1890.59158</c:v>
                </c:pt>
                <c:pt idx="1">
                  <c:v>1890.59158</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0.00_ </c:formatCode>
                <c:ptCount val="1"/>
                <c:pt idx="0">
                  <c:v>3413.12</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1890.59</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7.9%</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0.00144962551340904"/>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3.8%</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84.1%</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4.3%</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270.41</c:v>
                </c:pt>
                <c:pt idx="1" c:formatCode="#,##0.00">
                  <c:v>128.016905</c:v>
                </c:pt>
                <c:pt idx="2" c:formatCode="#,##0.00">
                  <c:v>2869.067373</c:v>
                </c:pt>
                <c:pt idx="3" c:formatCode="#,##0.00">
                  <c:v>145.625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87267455907224"/>
          <c:y val="0.0284742881427964"/>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521865184827253"/>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82676975114762"/>
                  <c:y val="-0.0076498087547811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99.4%</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0942256583715873"/>
                      <c:h val="0.0577985550361241"/>
                    </c:manualLayout>
                  </c15:layout>
                </c:ext>
              </c:extLst>
            </c:dLbl>
            <c:dLbl>
              <c:idx val="2"/>
              <c:layout>
                <c:manualLayout>
                  <c:x val="-0.113070790045905"/>
                  <c:y val="-0.012749681257968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0.6%</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18.99</c:v>
                </c:pt>
                <c:pt idx="2">
                  <c:v>0.11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5008</Words>
  <Characters>5475</Characters>
  <Lines>0</Lines>
  <Paragraphs>0</Paragraphs>
  <TotalTime>0</TotalTime>
  <ScaleCrop>false</ScaleCrop>
  <LinksUpToDate>false</LinksUpToDate>
  <CharactersWithSpaces>5628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小颖</cp:lastModifiedBy>
  <dcterms:modified xsi:type="dcterms:W3CDTF">2024-09-18T03:19:53Z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AFD264D5BAB848539A8D37F356320900_13</vt:lpwstr>
  </property>
</Properties>
</file>