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3BB70">
      <w:pPr>
        <w:rPr>
          <w:rFonts w:hint="eastAsia"/>
          <w:lang w:val="en-US" w:eastAsia="zh-CN"/>
        </w:rPr>
      </w:pPr>
    </w:p>
    <w:p w14:paraId="32569B86">
      <w:pPr>
        <w:pStyle w:val="8"/>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2023年度阿坝藏族羌族自治州公路管理局刷经寺公路管理分局单位决算</w:t>
      </w:r>
    </w:p>
    <w:p w14:paraId="47D2FA96">
      <w:pPr>
        <w:widowControl/>
        <w:spacing w:line="440" w:lineRule="exact"/>
        <w:jc w:val="left"/>
        <w:rPr>
          <w:rFonts w:ascii="仿宋" w:hAnsi="仿宋" w:eastAsia="仿宋"/>
          <w:bCs/>
          <w:color w:val="auto"/>
          <w:kern w:val="44"/>
          <w:sz w:val="24"/>
          <w:highlight w:val="none"/>
        </w:rPr>
      </w:pPr>
      <w:r>
        <w:rPr>
          <w:rFonts w:ascii="方正小标宋简体" w:hAnsi="宋体" w:eastAsia="方正小标宋简体"/>
          <w:color w:val="auto"/>
          <w:sz w:val="36"/>
          <w:szCs w:val="36"/>
          <w:highlight w:val="none"/>
        </w:rPr>
        <w:br w:type="page"/>
      </w:r>
    </w:p>
    <w:p w14:paraId="75123BB9">
      <w:pPr>
        <w:widowControl/>
        <w:jc w:val="center"/>
        <w:rPr>
          <w:rFonts w:ascii="黑体" w:hAnsi="黑体" w:eastAsia="黑体"/>
          <w:color w:val="auto"/>
          <w:sz w:val="48"/>
          <w:szCs w:val="48"/>
          <w:highlight w:val="none"/>
        </w:rPr>
      </w:pPr>
      <w:bookmarkStart w:id="0" w:name="_Toc20147"/>
      <w:r>
        <w:rPr>
          <w:rFonts w:hint="eastAsia" w:ascii="黑体" w:hAnsi="黑体" w:eastAsia="黑体"/>
          <w:color w:val="auto"/>
          <w:sz w:val="48"/>
          <w:szCs w:val="48"/>
          <w:highlight w:val="none"/>
        </w:rPr>
        <w:t>目录</w:t>
      </w:r>
    </w:p>
    <w:p w14:paraId="31052014">
      <w:pPr>
        <w:widowControl/>
        <w:jc w:val="center"/>
        <w:rPr>
          <w:rFonts w:ascii="黑体" w:hAnsi="黑体" w:eastAsia="黑体" w:cstheme="minorBidi"/>
          <w:color w:val="auto"/>
          <w:sz w:val="28"/>
          <w:szCs w:val="28"/>
          <w:highlight w:val="none"/>
        </w:rPr>
      </w:pPr>
    </w:p>
    <w:p w14:paraId="3FA0DBBE">
      <w:pPr>
        <w:pStyle w:val="10"/>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14:paraId="3D405250">
      <w:pPr>
        <w:pStyle w:val="8"/>
        <w:rPr>
          <w:rFonts w:hint="eastAsia" w:ascii="黑体" w:hAnsi="黑体" w:eastAsia="黑体"/>
          <w:b w:val="0"/>
          <w:color w:val="auto"/>
          <w:highlight w:val="none"/>
        </w:rPr>
      </w:pPr>
    </w:p>
    <w:sdt>
      <w:sdtPr>
        <w:rPr>
          <w:rFonts w:hint="eastAsia" w:ascii="仿宋" w:hAnsi="仿宋" w:eastAsia="仿宋" w:cs="仿宋"/>
          <w:kern w:val="2"/>
          <w:sz w:val="28"/>
          <w:szCs w:val="28"/>
          <w:lang w:val="en-US" w:eastAsia="zh-CN" w:bidi="ar-SA"/>
        </w:rPr>
        <w:id w:val="147451820"/>
        <w15:color w:val="DBDBDB"/>
        <w:docPartObj>
          <w:docPartGallery w:val="Table of Contents"/>
          <w:docPartUnique/>
        </w:docPartObj>
      </w:sdtPr>
      <w:sdtEndPr>
        <w:rPr>
          <w:rFonts w:hint="eastAsia" w:ascii="黑体" w:hAnsi="黑体" w:eastAsia="黑体" w:cs="Times New Roman"/>
          <w:b/>
          <w:color w:val="auto"/>
          <w:kern w:val="0"/>
          <w:sz w:val="30"/>
          <w:szCs w:val="24"/>
          <w:highlight w:val="none"/>
          <w:lang w:val="en-US" w:eastAsia="zh-CN" w:bidi="ar-SA"/>
        </w:rPr>
      </w:sdtEndPr>
      <w:sdtContent>
        <w:p w14:paraId="774D414D">
          <w:pPr>
            <w:pStyle w:val="20"/>
            <w:tabs>
              <w:tab w:val="right" w:leader="dot" w:pos="8306"/>
            </w:tabs>
            <w:rPr>
              <w:rFonts w:hint="eastAsia" w:ascii="仿宋" w:hAnsi="仿宋" w:eastAsia="仿宋" w:cs="仿宋"/>
              <w:b/>
              <w:sz w:val="28"/>
              <w:szCs w:val="28"/>
            </w:rPr>
          </w:pPr>
          <w:r>
            <w:rPr>
              <w:rFonts w:hint="eastAsia" w:ascii="仿宋" w:hAnsi="仿宋" w:eastAsia="仿宋" w:cs="仿宋"/>
              <w:b w:val="0"/>
              <w:color w:val="auto"/>
              <w:sz w:val="28"/>
              <w:szCs w:val="28"/>
              <w:highlight w:val="none"/>
            </w:rPr>
            <w:fldChar w:fldCharType="begin"/>
          </w:r>
          <w:r>
            <w:rPr>
              <w:rFonts w:hint="eastAsia" w:ascii="仿宋" w:hAnsi="仿宋" w:eastAsia="仿宋" w:cs="仿宋"/>
              <w:b w:val="0"/>
              <w:color w:val="auto"/>
              <w:sz w:val="28"/>
              <w:szCs w:val="28"/>
              <w:highlight w:val="none"/>
            </w:rPr>
            <w:instrText xml:space="preserve">TOC \o "1-2" \h \u </w:instrText>
          </w:r>
          <w:r>
            <w:rPr>
              <w:rFonts w:hint="eastAsia" w:ascii="仿宋" w:hAnsi="仿宋" w:eastAsia="仿宋" w:cs="仿宋"/>
              <w:b w:val="0"/>
              <w:color w:val="auto"/>
              <w:sz w:val="28"/>
              <w:szCs w:val="28"/>
              <w:highlight w:val="none"/>
            </w:rPr>
            <w:fldChar w:fldCharType="separate"/>
          </w: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_Toc15424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sz w:val="28"/>
              <w:szCs w:val="28"/>
              <w:highlight w:val="none"/>
              <w:lang w:eastAsia="zh-CN"/>
            </w:rPr>
            <w:t>单位</w:t>
          </w:r>
          <w:r>
            <w:rPr>
              <w:rFonts w:hint="eastAsia" w:ascii="仿宋" w:hAnsi="仿宋" w:eastAsia="仿宋" w:cs="仿宋"/>
              <w:b/>
              <w:bCs w:val="0"/>
              <w:sz w:val="28"/>
              <w:szCs w:val="28"/>
              <w:highlight w:val="none"/>
            </w:rPr>
            <w:t>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_Toc15424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57510447">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_Toc25069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lang w:eastAsia="zh-CN"/>
            </w:rPr>
            <w:t xml:space="preserve">一、 </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_Toc25069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CA37711">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_Toc24477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_Toc24477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9A5D6AF">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_Toc23317 </w:instrText>
          </w:r>
          <w:r>
            <w:rPr>
              <w:rFonts w:hint="eastAsia" w:ascii="仿宋" w:hAnsi="仿宋" w:eastAsia="仿宋" w:cs="仿宋"/>
              <w:b/>
              <w:sz w:val="28"/>
              <w:szCs w:val="28"/>
              <w:highlight w:val="none"/>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lang w:eastAsia="zh-CN"/>
            </w:rPr>
            <w:t>单位</w:t>
          </w:r>
          <w:r>
            <w:rPr>
              <w:rFonts w:hint="eastAsia" w:ascii="仿宋" w:hAnsi="仿宋" w:eastAsia="仿宋" w:cs="仿宋"/>
              <w:b/>
              <w:bCs/>
              <w:sz w:val="28"/>
              <w:szCs w:val="28"/>
              <w:highlight w:val="none"/>
            </w:rPr>
            <w:t>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_Toc23317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- 5 -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3F398F04">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_Toc2313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_Toc2313 \h </w:instrText>
          </w:r>
          <w:r>
            <w:rPr>
              <w:rFonts w:hint="eastAsia" w:ascii="仿宋" w:hAnsi="仿宋" w:eastAsia="仿宋" w:cs="仿宋"/>
              <w:sz w:val="28"/>
              <w:szCs w:val="28"/>
            </w:rPr>
            <w:fldChar w:fldCharType="separate"/>
          </w:r>
          <w:r>
            <w:rPr>
              <w:rFonts w:hint="eastAsia" w:ascii="仿宋" w:hAnsi="仿宋" w:eastAsia="仿宋" w:cs="仿宋"/>
              <w:sz w:val="28"/>
              <w:szCs w:val="28"/>
            </w:rPr>
            <w:t>- 5 -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41A017B">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_Toc25673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_Toc25673 \h </w:instrText>
          </w:r>
          <w:r>
            <w:rPr>
              <w:rFonts w:hint="eastAsia" w:ascii="仿宋" w:hAnsi="仿宋" w:eastAsia="仿宋" w:cs="仿宋"/>
              <w:sz w:val="28"/>
              <w:szCs w:val="28"/>
            </w:rPr>
            <w:fldChar w:fldCharType="separate"/>
          </w:r>
          <w:r>
            <w:rPr>
              <w:rFonts w:hint="eastAsia" w:ascii="仿宋" w:hAnsi="仿宋" w:eastAsia="仿宋" w:cs="仿宋"/>
              <w:sz w:val="28"/>
              <w:szCs w:val="28"/>
            </w:rPr>
            <w:t>- 5 -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6EDD5DD">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_Toc18682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_Toc18682 \h </w:instrText>
          </w:r>
          <w:r>
            <w:rPr>
              <w:rFonts w:hint="eastAsia" w:ascii="仿宋" w:hAnsi="仿宋" w:eastAsia="仿宋" w:cs="仿宋"/>
              <w:sz w:val="28"/>
              <w:szCs w:val="28"/>
            </w:rPr>
            <w:fldChar w:fldCharType="separate"/>
          </w:r>
          <w:r>
            <w:rPr>
              <w:rFonts w:hint="eastAsia" w:ascii="仿宋" w:hAnsi="仿宋" w:eastAsia="仿宋" w:cs="仿宋"/>
              <w:sz w:val="28"/>
              <w:szCs w:val="28"/>
            </w:rPr>
            <w:t>- 6 -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887D3EF">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_Toc11326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_Toc11326 \h </w:instrText>
          </w:r>
          <w:r>
            <w:rPr>
              <w:rFonts w:hint="eastAsia" w:ascii="仿宋" w:hAnsi="仿宋" w:eastAsia="仿宋" w:cs="仿宋"/>
              <w:sz w:val="28"/>
              <w:szCs w:val="28"/>
            </w:rPr>
            <w:fldChar w:fldCharType="separate"/>
          </w:r>
          <w:r>
            <w:rPr>
              <w:rFonts w:hint="eastAsia" w:ascii="仿宋" w:hAnsi="仿宋" w:eastAsia="仿宋" w:cs="仿宋"/>
              <w:sz w:val="28"/>
              <w:szCs w:val="28"/>
            </w:rPr>
            <w:t>- 7 -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85258E9">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_Toc4548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_Toc4548 \h </w:instrText>
          </w:r>
          <w:r>
            <w:rPr>
              <w:rFonts w:hint="eastAsia" w:ascii="仿宋" w:hAnsi="仿宋" w:eastAsia="仿宋" w:cs="仿宋"/>
              <w:sz w:val="28"/>
              <w:szCs w:val="28"/>
            </w:rPr>
            <w:fldChar w:fldCharType="separate"/>
          </w:r>
          <w:r>
            <w:rPr>
              <w:rFonts w:hint="eastAsia" w:ascii="仿宋" w:hAnsi="仿宋" w:eastAsia="仿宋" w:cs="仿宋"/>
              <w:sz w:val="28"/>
              <w:szCs w:val="28"/>
            </w:rPr>
            <w:t>- 7 -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9652E1C">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_Toc5599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_Toc5599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DC860CA">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_Toc12125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_Toc12125 \h </w:instrText>
          </w:r>
          <w:r>
            <w:rPr>
              <w:rFonts w:hint="eastAsia" w:ascii="仿宋" w:hAnsi="仿宋" w:eastAsia="仿宋" w:cs="仿宋"/>
              <w:sz w:val="28"/>
              <w:szCs w:val="28"/>
            </w:rPr>
            <w:fldChar w:fldCharType="separate"/>
          </w:r>
          <w:r>
            <w:rPr>
              <w:rFonts w:hint="eastAsia" w:ascii="仿宋" w:hAnsi="仿宋" w:eastAsia="仿宋" w:cs="仿宋"/>
              <w:sz w:val="28"/>
              <w:szCs w:val="28"/>
            </w:rPr>
            <w:t>- 11 -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6E5DDC7">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_Toc6949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_Toc6949 \h </w:instrText>
          </w:r>
          <w:r>
            <w:rPr>
              <w:rFonts w:hint="eastAsia" w:ascii="仿宋" w:hAnsi="仿宋" w:eastAsia="仿宋" w:cs="仿宋"/>
              <w:sz w:val="28"/>
              <w:szCs w:val="28"/>
            </w:rPr>
            <w:fldChar w:fldCharType="separate"/>
          </w:r>
          <w:r>
            <w:rPr>
              <w:rFonts w:hint="eastAsia" w:ascii="仿宋" w:hAnsi="仿宋" w:eastAsia="仿宋" w:cs="仿宋"/>
              <w:sz w:val="28"/>
              <w:szCs w:val="28"/>
            </w:rPr>
            <w:t>- 13 -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C2948D9">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_Toc9400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_Toc9400 \h </w:instrText>
          </w:r>
          <w:r>
            <w:rPr>
              <w:rFonts w:hint="eastAsia" w:ascii="仿宋" w:hAnsi="仿宋" w:eastAsia="仿宋" w:cs="仿宋"/>
              <w:sz w:val="28"/>
              <w:szCs w:val="28"/>
            </w:rPr>
            <w:fldChar w:fldCharType="separate"/>
          </w:r>
          <w:r>
            <w:rPr>
              <w:rFonts w:hint="eastAsia" w:ascii="仿宋" w:hAnsi="仿宋" w:eastAsia="仿宋" w:cs="仿宋"/>
              <w:sz w:val="28"/>
              <w:szCs w:val="28"/>
            </w:rPr>
            <w:t>- 13 -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548BC9C">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_Toc45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_Toc45 \h </w:instrText>
          </w:r>
          <w:r>
            <w:rPr>
              <w:rFonts w:hint="eastAsia" w:ascii="仿宋" w:hAnsi="仿宋" w:eastAsia="仿宋" w:cs="仿宋"/>
              <w:sz w:val="28"/>
              <w:szCs w:val="28"/>
            </w:rPr>
            <w:fldChar w:fldCharType="separate"/>
          </w:r>
          <w:r>
            <w:rPr>
              <w:rFonts w:hint="eastAsia" w:ascii="仿宋" w:hAnsi="仿宋" w:eastAsia="仿宋" w:cs="仿宋"/>
              <w:sz w:val="28"/>
              <w:szCs w:val="28"/>
            </w:rPr>
            <w:t>- 13 -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450CA98">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_Toc10352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lang w:eastAsia="zh-CN"/>
            </w:rPr>
            <w:t>第三部分</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_Toc10352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- 15 -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3290C235">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_Toc1295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_Toc1295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- 18 -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19B6F8BC">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_Toc20054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_Toc20054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- 19 -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168E76A2">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_Toc2331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_Toc2331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375C2BD">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_Toc18608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_Toc18608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F0151C3">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_Toc24373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_Toc24373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E81105E">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_Toc27918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_Toc27918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AF84C73">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_Toc7098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_Toc7098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A5AA1AE">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_Toc25025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_Toc25025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1487F76">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_Toc18811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_Toc18811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754B4425">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_Toc5393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_Toc5393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FCCDA78">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_Toc22895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_Toc22895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4747882">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_Toc18594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_Toc18594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0D188345">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_Toc28944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_Toc28944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FA82644">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_Toc21733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_Toc21733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62B023F">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_Toc5244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_Toc5244 \h </w:instrText>
          </w:r>
          <w:r>
            <w:rPr>
              <w:rFonts w:hint="eastAsia" w:ascii="仿宋" w:hAnsi="仿宋" w:eastAsia="仿宋" w:cs="仿宋"/>
              <w:sz w:val="28"/>
              <w:szCs w:val="28"/>
            </w:rPr>
            <w:fldChar w:fldCharType="separate"/>
          </w:r>
          <w:r>
            <w:rPr>
              <w:rFonts w:hint="eastAsia" w:ascii="仿宋" w:hAnsi="仿宋" w:eastAsia="仿宋" w:cs="仿宋"/>
              <w:sz w:val="28"/>
              <w:szCs w:val="28"/>
            </w:rPr>
            <w:t>- 19 -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7ED922D8">
          <w:pPr>
            <w:pStyle w:val="8"/>
            <w:rPr>
              <w:rFonts w:hint="eastAsia" w:ascii="黑体" w:hAnsi="黑体" w:eastAsia="黑体" w:cs="Times New Roman"/>
              <w:b/>
              <w:color w:val="auto"/>
              <w:kern w:val="0"/>
              <w:sz w:val="30"/>
              <w:szCs w:val="24"/>
              <w:highlight w:val="none"/>
              <w:lang w:val="en-US" w:eastAsia="zh-CN" w:bidi="ar-SA"/>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r>
            <w:rPr>
              <w:rFonts w:hint="eastAsia" w:ascii="仿宋" w:hAnsi="仿宋" w:eastAsia="仿宋" w:cs="仿宋"/>
              <w:b/>
              <w:color w:val="auto"/>
              <w:sz w:val="28"/>
              <w:szCs w:val="28"/>
              <w:highlight w:val="none"/>
            </w:rPr>
            <w:fldChar w:fldCharType="end"/>
          </w:r>
        </w:p>
      </w:sdtContent>
    </w:sdt>
    <w:p w14:paraId="59918931">
      <w:pPr>
        <w:pStyle w:val="5"/>
        <w:jc w:val="center"/>
        <w:rPr>
          <w:rStyle w:val="16"/>
          <w:rFonts w:ascii="黑体" w:hAnsi="黑体" w:eastAsia="黑体"/>
          <w:b/>
          <w:bCs w:val="0"/>
          <w:color w:val="auto"/>
          <w:highlight w:val="none"/>
        </w:rPr>
      </w:pPr>
      <w:bookmarkStart w:id="1" w:name="_Toc15424"/>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6"/>
          <w:rFonts w:hint="eastAsia" w:ascii="黑体" w:hAnsi="黑体" w:eastAsia="黑体"/>
          <w:b w:val="0"/>
          <w:bCs w:val="0"/>
          <w:color w:val="auto"/>
          <w:highlight w:val="none"/>
        </w:rPr>
        <w:t>概况</w:t>
      </w:r>
      <w:bookmarkEnd w:id="0"/>
      <w:bookmarkEnd w:id="1"/>
    </w:p>
    <w:p w14:paraId="4A07DC2C">
      <w:pPr>
        <w:widowControl/>
        <w:jc w:val="left"/>
        <w:rPr>
          <w:rFonts w:ascii="黑体" w:eastAsia="黑体"/>
          <w:color w:val="auto"/>
          <w:sz w:val="32"/>
          <w:szCs w:val="32"/>
          <w:highlight w:val="none"/>
        </w:rPr>
      </w:pPr>
    </w:p>
    <w:p w14:paraId="33DC7F9F">
      <w:pPr>
        <w:pStyle w:val="6"/>
        <w:numPr>
          <w:ilvl w:val="0"/>
          <w:numId w:val="1"/>
        </w:numPr>
        <w:rPr>
          <w:rStyle w:val="17"/>
          <w:rFonts w:hint="eastAsia" w:ascii="黑体" w:hAnsi="黑体" w:eastAsia="黑体"/>
          <w:b w:val="0"/>
          <w:bCs w:val="0"/>
          <w:color w:val="auto"/>
          <w:highlight w:val="none"/>
          <w:lang w:eastAsia="zh-CN"/>
        </w:rPr>
      </w:pPr>
      <w:bookmarkStart w:id="2" w:name="_Toc25069"/>
      <w:bookmarkStart w:id="3" w:name="_Toc3786"/>
      <w:r>
        <w:rPr>
          <w:rStyle w:val="17"/>
          <w:rFonts w:hint="eastAsia" w:ascii="黑体" w:hAnsi="黑体" w:eastAsia="黑体"/>
          <w:b w:val="0"/>
          <w:bCs w:val="0"/>
          <w:color w:val="auto"/>
          <w:highlight w:val="none"/>
          <w:lang w:eastAsia="zh-CN"/>
        </w:rPr>
        <w:t>主要职责</w:t>
      </w:r>
      <w:bookmarkEnd w:id="2"/>
      <w:bookmarkEnd w:id="3"/>
    </w:p>
    <w:p w14:paraId="42DFE3E1">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刷经寺公路管理分局负责辖区内普通国道干线的养护及道路保通保畅工作，道路安全、应急抢险工作以及人员工资福利、退休人员管理工作。</w:t>
      </w:r>
    </w:p>
    <w:p w14:paraId="4C16DED6">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本单位主要承担以下职责和功能：</w:t>
      </w:r>
    </w:p>
    <w:p w14:paraId="53AED4FE">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1．负责道路养护工作的计划、管理、实施、考核工作。</w:t>
      </w:r>
    </w:p>
    <w:p w14:paraId="7B0F0BF6">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2．道路保通保畅管理工作。</w:t>
      </w:r>
    </w:p>
    <w:p w14:paraId="3F394533">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3．道路安全巡查、整改工作。</w:t>
      </w:r>
    </w:p>
    <w:p w14:paraId="207A939C">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4．应急抢险安排及应急物资的管理工作，养护机械的调配、维修、报废、申报工作。</w:t>
      </w:r>
    </w:p>
    <w:p w14:paraId="7EDB55FA">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5．分局经费的管理和使用工作。</w:t>
      </w:r>
    </w:p>
    <w:p w14:paraId="4001CD31">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6．人员工资福利的核算、申报、审批工作，退休人员管理工作，劳动纪律的执行及监督工作。</w:t>
      </w:r>
    </w:p>
    <w:p w14:paraId="32BE43BA">
      <w:pPr>
        <w:pStyle w:val="6"/>
        <w:numPr>
          <w:ilvl w:val="0"/>
          <w:numId w:val="0"/>
        </w:numPr>
        <w:rPr>
          <w:rFonts w:hint="eastAsia" w:ascii="黑体" w:hAnsi="黑体" w:eastAsia="黑体"/>
          <w:b w:val="0"/>
          <w:color w:val="auto"/>
          <w:highlight w:val="none"/>
          <w:lang w:val="en-US" w:eastAsia="zh-CN"/>
        </w:rPr>
      </w:pPr>
      <w:bookmarkStart w:id="4" w:name="_Toc24477"/>
      <w:bookmarkStart w:id="5" w:name="_Toc29259"/>
      <w:r>
        <w:rPr>
          <w:rFonts w:hint="eastAsia" w:ascii="黑体" w:hAnsi="黑体" w:eastAsia="黑体"/>
          <w:b w:val="0"/>
          <w:color w:val="auto"/>
          <w:highlight w:val="none"/>
          <w:lang w:val="en-US" w:eastAsia="zh-CN"/>
        </w:rPr>
        <w:t>二、机构设置</w:t>
      </w:r>
      <w:bookmarkEnd w:id="4"/>
      <w:bookmarkEnd w:id="5"/>
    </w:p>
    <w:p w14:paraId="2D03CDF6">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我单位是阿坝州藏族羌族自治州公路管理局下属的二级预算单位，内设部门有：行政办公室、党支部办公室、工会办公室、工程股、财务股、人事股、机料股、安全股和刷经寺保通中心及其下属的两个养护站（刷经寺养护站及龙日坝养护站）。</w:t>
      </w:r>
    </w:p>
    <w:p w14:paraId="2ED5C3EA">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1．行政办公室：负责行政事务和办公事务。包括相关制度流程的制定和执行推动、日常办公事务管理、办公物品管理、公文文件管理、档案管理、会议管理、财产设备及后勤管理等。通过各种规章制度和人为努力使部门之间形成密切配合的关系，提高工作效率完成目标任务。</w:t>
      </w:r>
    </w:p>
    <w:p w14:paraId="0FF8A796">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党支部办公室：认真学习、贯彻执行党的路线、方针、政策，贯彻落实党支部及上级领导机关的各项决定、指示和决议。按照党支部办公室的职责范围，主持办公室的日常工作。负责组织党支部工作计划、总结、报告和有关材料的起草，审核以党支部名义颁发的文件和材料。负责组织安排党支部会议和党支部主持的其他会议与重要活动。</w:t>
      </w:r>
    </w:p>
    <w:p w14:paraId="0CC9B622">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3．工会办公室：在工会主席领导下，负责工会委员会日常事务的管理，安排、协调、落实工会委员会提出的各项工作任务。 组织安排工会各种会议，做好会议记录，撰写会议纪要，认真抓好会议决议、决定的落实工作。</w:t>
      </w:r>
    </w:p>
    <w:p w14:paraId="44C59163">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4．工程股：指导养护站的日常养护工作，推广先进的养护方法，帮助养护站提高养护质量，辅导养护站各项日常工作。管理小修保养、水毁抢险。进行大、中修工程的技术管理工作。</w:t>
      </w:r>
    </w:p>
    <w:p w14:paraId="3DD1369E">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5．财务股：核算和监督国家预算资金款项的领报。规范本单位会计核算，保证会计信息质量。编制凭证和记账，确保手续完备、内容真实、数字正确、账目清楚、账实相符、按期上报。</w:t>
      </w:r>
    </w:p>
    <w:p w14:paraId="0A1D39B5">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6．人事股：负责全局劳动人事全面工作。建立职工基本情况统计表，负责对工人进行劳动纪律教育和考核。负责办理单位内部的劳动力调配。办理职工工资、福利的申报、审核工作。做好职工的退休、退职的安置工作，因工及非因工死亡人员的抚恤、救济、善后处理工作。</w:t>
      </w:r>
    </w:p>
    <w:p w14:paraId="570BB607">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7．机料股：负责机械、配件及材料选购管理工作。负责刷经寺公路管理分局应急物资储备库房管理工作。负责固定资产录入及信息上报工作。负责应急物资储备库房出库入库工作。负责车辆的日常维护保养及使用。</w:t>
      </w:r>
    </w:p>
    <w:p w14:paraId="0239E39C">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8．安全股：负责组织开展行业安全生产专项整治、隐患排查治理等重点工作，建立隐患排查整改汇总台账。做好日常安全生产巡查工作。加强对辖区内易发生坍方路段、临水临崖路段、冬季易结冰等危险路段的安全生产重点部位管理，特殊情况增加巡路时间，对危及安全的路段和桥涵作为巡路重点做好记录，并及时处理。负责本单位及施工单位的治安、保卫、安全、消防等工作及本单位安全生产宣传教育及培训工作。</w:t>
      </w:r>
    </w:p>
    <w:p w14:paraId="057DB5AF">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9．刷经寺保通中心：做好公路养护各项管理工作，带领养护站全体职工保质保量完成各项生产任务。管理下辖两个养护站，传达本月完成的养护任务，并安排部署养护计划任务。掌握管辖路段的路况，合理组织养护工作，及时处理公路病害。定期对公路养护机械、设备进行检查、保养、冬季防冻措施。</w:t>
      </w:r>
    </w:p>
    <w:p w14:paraId="6B831CB1">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1）刷经寺养护站：负责G248线K837+000-K884+927以及国道G347线K2824+558-K2835+036道路的修补、清扫，涵洞的梳理，桥梁日常养护工作。负责辖区内道路保通保畅的巡查及记录工作。负责辖区内道路附属设施：水沟的清理、行道树的修剪、标志标牌的维护、挡墙的日常养护等工作。负责路域环境的卫生及养护站内的卫生工作。负责辖区内道路应急抢险工作。负责站内人员精神文明建设。</w:t>
      </w:r>
    </w:p>
    <w:p w14:paraId="38E5E02D">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龙日坝养护站：负责G248线K837+000-K796+348道路的修补、清扫，涵洞的梳理，桥梁日常养护工作。负责辖区内道路保通保畅的巡查及记录工作。负责辖区内道路附属设施：水沟的清理、行道树的修剪、标志标牌的维护、挡墙的日常养护等工作。负责路域环境的卫生及养护站内的卫生工作。负责辖区内道路应急抢险工作。负责站内人员精神文明建设。</w:t>
      </w:r>
    </w:p>
    <w:p w14:paraId="4B00DA18">
      <w:pPr>
        <w:widowControl/>
        <w:ind w:firstLine="640" w:firstLineChars="200"/>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2DC0719F">
      <w:pPr>
        <w:pStyle w:val="5"/>
        <w:ind w:right="440"/>
        <w:jc w:val="center"/>
        <w:rPr>
          <w:rStyle w:val="16"/>
          <w:rFonts w:ascii="黑体" w:hAnsi="黑体" w:eastAsia="黑体"/>
          <w:b w:val="0"/>
          <w:bCs/>
          <w:color w:val="auto"/>
          <w:highlight w:val="none"/>
        </w:rPr>
      </w:pPr>
      <w:bookmarkStart w:id="6" w:name="_Toc23317"/>
      <w:bookmarkStart w:id="7" w:name="_Toc17768"/>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6"/>
          <w:rFonts w:hint="eastAsia" w:ascii="黑体" w:hAnsi="黑体" w:eastAsia="黑体"/>
          <w:b w:val="0"/>
          <w:bCs/>
          <w:color w:val="auto"/>
          <w:highlight w:val="none"/>
          <w:lang w:eastAsia="zh-CN"/>
        </w:rPr>
        <w:t>单位</w:t>
      </w:r>
      <w:r>
        <w:rPr>
          <w:rStyle w:val="16"/>
          <w:rFonts w:hint="eastAsia" w:ascii="黑体" w:hAnsi="黑体" w:eastAsia="黑体"/>
          <w:b w:val="0"/>
          <w:bCs/>
          <w:color w:val="auto"/>
          <w:highlight w:val="none"/>
        </w:rPr>
        <w:t>决算情况说明</w:t>
      </w:r>
      <w:bookmarkEnd w:id="6"/>
      <w:bookmarkEnd w:id="7"/>
    </w:p>
    <w:p w14:paraId="5A3D8CEC">
      <w:pPr>
        <w:rPr>
          <w:color w:val="auto"/>
          <w:highlight w:val="none"/>
        </w:rPr>
      </w:pPr>
    </w:p>
    <w:p w14:paraId="6020E242">
      <w:pPr>
        <w:pStyle w:val="18"/>
        <w:numPr>
          <w:ilvl w:val="0"/>
          <w:numId w:val="0"/>
        </w:numPr>
        <w:spacing w:line="600" w:lineRule="exact"/>
        <w:ind w:left="640" w:leftChars="0"/>
        <w:outlineLvl w:val="1"/>
        <w:rPr>
          <w:rStyle w:val="17"/>
          <w:rFonts w:ascii="黑体" w:hAnsi="黑体" w:eastAsia="黑体"/>
          <w:b w:val="0"/>
          <w:color w:val="auto"/>
          <w:highlight w:val="none"/>
        </w:rPr>
      </w:pPr>
      <w:bookmarkStart w:id="8" w:name="_Toc2313"/>
      <w:bookmarkStart w:id="9" w:name="_Toc22627"/>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入支出决算总体情况说明</w:t>
      </w:r>
      <w:bookmarkEnd w:id="8"/>
      <w:bookmarkEnd w:id="9"/>
    </w:p>
    <w:p w14:paraId="42CFBB78">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lang w:val="en-US" w:eastAsia="zh-CN"/>
        </w:rPr>
        <w:t>2828.71</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w:t>
      </w:r>
      <w:r>
        <w:rPr>
          <w:rFonts w:hint="eastAsia" w:ascii="仿宋" w:hAnsi="仿宋" w:eastAsia="仿宋"/>
          <w:color w:val="auto"/>
          <w:sz w:val="32"/>
          <w:szCs w:val="32"/>
          <w:highlight w:val="none"/>
          <w:lang w:val="en-US" w:eastAsia="zh-CN"/>
        </w:rPr>
        <w:t>790.49</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38.8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单位社保调标导致人员经费增加</w:t>
      </w:r>
      <w:r>
        <w:rPr>
          <w:rFonts w:hint="eastAsia" w:ascii="仿宋" w:hAnsi="仿宋" w:eastAsia="仿宋"/>
          <w:color w:val="auto"/>
          <w:sz w:val="32"/>
          <w:szCs w:val="32"/>
          <w:highlight w:val="none"/>
          <w:lang w:eastAsia="zh-CN"/>
        </w:rPr>
        <w:t>。</w:t>
      </w:r>
    </w:p>
    <w:p w14:paraId="39642368">
      <w:pPr>
        <w:pStyle w:val="8"/>
        <w:rPr>
          <w:rFonts w:hint="eastAsia" w:ascii="仿宋" w:hAnsi="仿宋" w:eastAsia="仿宋"/>
          <w:color w:val="auto"/>
          <w:sz w:val="32"/>
          <w:szCs w:val="32"/>
          <w:highlight w:val="none"/>
          <w:lang w:eastAsia="zh-CN"/>
        </w:rPr>
      </w:pPr>
      <w:r>
        <w:rPr>
          <w:rFonts w:hint="eastAsia"/>
          <w:lang w:eastAsia="zh-CN"/>
        </w:rPr>
        <w:drawing>
          <wp:inline distT="0" distB="0" distL="114300" distR="114300">
            <wp:extent cx="5256530" cy="2988310"/>
            <wp:effectExtent l="5080" t="4445" r="1143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B8CD745">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624F8F68">
      <w:pPr>
        <w:pStyle w:val="18"/>
        <w:numPr>
          <w:ilvl w:val="0"/>
          <w:numId w:val="0"/>
        </w:numPr>
        <w:spacing w:line="600" w:lineRule="exact"/>
        <w:ind w:left="640" w:leftChars="0"/>
        <w:outlineLvl w:val="1"/>
        <w:rPr>
          <w:rStyle w:val="17"/>
          <w:rFonts w:ascii="黑体" w:hAnsi="黑体" w:eastAsia="黑体"/>
          <w:b w:val="0"/>
          <w:color w:val="auto"/>
          <w:highlight w:val="none"/>
        </w:rPr>
      </w:pPr>
      <w:bookmarkStart w:id="10" w:name="_Toc25673"/>
      <w:bookmarkStart w:id="11" w:name="_Toc10990"/>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入决算情况说明</w:t>
      </w:r>
      <w:bookmarkEnd w:id="10"/>
      <w:bookmarkEnd w:id="11"/>
    </w:p>
    <w:p w14:paraId="7819421E">
      <w:pPr>
        <w:spacing w:line="600" w:lineRule="exact"/>
        <w:ind w:firstLine="640" w:firstLineChars="200"/>
        <w:outlineLvl w:val="1"/>
        <w:rPr>
          <w:rFonts w:ascii="仿宋" w:hAnsi="仿宋" w:eastAsia="仿宋"/>
          <w:color w:val="auto"/>
          <w:sz w:val="32"/>
          <w:szCs w:val="32"/>
          <w:highlight w:val="none"/>
        </w:rPr>
      </w:pPr>
      <w:bookmarkStart w:id="12" w:name="_Toc4258"/>
      <w:bookmarkStart w:id="13" w:name="_Toc16265"/>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w:t>
      </w:r>
      <w:r>
        <w:rPr>
          <w:rFonts w:hint="eastAsia" w:ascii="仿宋" w:hAnsi="仿宋" w:eastAsia="仿宋"/>
          <w:color w:val="auto"/>
          <w:sz w:val="32"/>
          <w:szCs w:val="32"/>
          <w:highlight w:val="none"/>
          <w:lang w:val="en-US" w:eastAsia="zh-CN"/>
        </w:rPr>
        <w:t>2828.71</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2828.71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12"/>
      <w:bookmarkEnd w:id="13"/>
    </w:p>
    <w:p w14:paraId="0920E8CB">
      <w:pPr>
        <w:spacing w:line="600" w:lineRule="exact"/>
        <w:rPr>
          <w:rFonts w:hint="eastAsia" w:ascii="仿宋" w:hAnsi="仿宋" w:eastAsia="仿宋"/>
          <w:color w:val="auto"/>
          <w:sz w:val="32"/>
          <w:szCs w:val="32"/>
          <w:highlight w:val="none"/>
        </w:rPr>
      </w:pPr>
    </w:p>
    <w:p w14:paraId="4E597107">
      <w:pPr>
        <w:pStyle w:val="8"/>
        <w:rPr>
          <w:rFonts w:hint="eastAsia" w:ascii="仿宋" w:hAnsi="仿宋" w:eastAsia="仿宋"/>
          <w:color w:val="auto"/>
          <w:sz w:val="32"/>
          <w:szCs w:val="32"/>
          <w:highlight w:val="none"/>
        </w:rPr>
      </w:pPr>
    </w:p>
    <w:p w14:paraId="5FC585C9">
      <w:pPr>
        <w:pStyle w:val="8"/>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1430" b="952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BA991AC">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14:paraId="5503129C">
      <w:pPr>
        <w:pStyle w:val="18"/>
        <w:numPr>
          <w:ilvl w:val="0"/>
          <w:numId w:val="0"/>
        </w:numPr>
        <w:spacing w:line="600" w:lineRule="exact"/>
        <w:ind w:left="640" w:leftChars="0"/>
        <w:outlineLvl w:val="1"/>
        <w:rPr>
          <w:rStyle w:val="17"/>
          <w:rFonts w:ascii="黑体" w:hAnsi="黑体" w:eastAsia="黑体"/>
          <w:b w:val="0"/>
          <w:color w:val="auto"/>
          <w:highlight w:val="none"/>
        </w:rPr>
      </w:pPr>
      <w:bookmarkStart w:id="14" w:name="_Toc4339"/>
      <w:bookmarkStart w:id="15" w:name="_Toc18682"/>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7"/>
          <w:rFonts w:hint="eastAsia" w:ascii="黑体" w:hAnsi="黑体" w:eastAsia="黑体"/>
          <w:b w:val="0"/>
          <w:color w:val="auto"/>
          <w:highlight w:val="none"/>
        </w:rPr>
        <w:t>出决算情况说明</w:t>
      </w:r>
      <w:bookmarkEnd w:id="14"/>
      <w:bookmarkEnd w:id="15"/>
    </w:p>
    <w:p w14:paraId="0523C216">
      <w:pPr>
        <w:spacing w:line="600" w:lineRule="exact"/>
        <w:ind w:firstLine="640" w:firstLineChars="200"/>
        <w:outlineLvl w:val="1"/>
        <w:rPr>
          <w:rFonts w:ascii="仿宋" w:hAnsi="仿宋" w:eastAsia="仿宋"/>
          <w:color w:val="auto"/>
          <w:sz w:val="32"/>
          <w:szCs w:val="32"/>
          <w:highlight w:val="none"/>
          <w:shd w:val="pct10" w:color="auto" w:fill="FFFFFF"/>
        </w:rPr>
      </w:pPr>
      <w:bookmarkStart w:id="16" w:name="_Toc16574"/>
      <w:bookmarkStart w:id="17" w:name="_Toc4915"/>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val="en-US" w:eastAsia="zh-CN"/>
        </w:rPr>
        <w:t>2828.71</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2701.36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95.5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127.35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16"/>
      <w:bookmarkEnd w:id="17"/>
    </w:p>
    <w:p w14:paraId="54961825">
      <w:pPr>
        <w:pStyle w:val="8"/>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11430" b="952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E49B4FE">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6AF9C6F3">
      <w:pPr>
        <w:spacing w:line="600" w:lineRule="exact"/>
        <w:ind w:firstLine="640" w:firstLineChars="200"/>
        <w:rPr>
          <w:rFonts w:ascii="仿宋_GB2312" w:eastAsia="仿宋_GB2312"/>
          <w:color w:val="auto"/>
          <w:sz w:val="32"/>
          <w:szCs w:val="32"/>
          <w:highlight w:val="none"/>
        </w:rPr>
      </w:pPr>
    </w:p>
    <w:p w14:paraId="5E622C59">
      <w:pPr>
        <w:spacing w:line="600" w:lineRule="exact"/>
        <w:ind w:firstLine="640" w:firstLineChars="200"/>
        <w:outlineLvl w:val="1"/>
        <w:rPr>
          <w:rStyle w:val="17"/>
          <w:rFonts w:ascii="黑体" w:hAnsi="黑体" w:eastAsia="黑体"/>
          <w:b w:val="0"/>
          <w:color w:val="auto"/>
          <w:highlight w:val="none"/>
        </w:rPr>
      </w:pPr>
      <w:bookmarkStart w:id="18" w:name="_Toc31848"/>
      <w:bookmarkStart w:id="19" w:name="_Toc11326"/>
      <w:r>
        <w:rPr>
          <w:rFonts w:hint="eastAsia" w:ascii="黑体" w:hAnsi="黑体" w:eastAsia="黑体"/>
          <w:color w:val="auto"/>
          <w:sz w:val="32"/>
          <w:szCs w:val="32"/>
          <w:highlight w:val="none"/>
        </w:rPr>
        <w:t>四、财</w:t>
      </w:r>
      <w:r>
        <w:rPr>
          <w:rStyle w:val="17"/>
          <w:rFonts w:hint="eastAsia" w:ascii="黑体" w:hAnsi="黑体" w:eastAsia="黑体"/>
          <w:b w:val="0"/>
          <w:color w:val="auto"/>
          <w:highlight w:val="none"/>
        </w:rPr>
        <w:t>政拨款收入支出决算总体情况说明</w:t>
      </w:r>
      <w:bookmarkEnd w:id="18"/>
      <w:bookmarkEnd w:id="19"/>
    </w:p>
    <w:p w14:paraId="055C2531">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lang w:val="en-US" w:eastAsia="zh-CN"/>
        </w:rPr>
        <w:t>2828.71</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w:t>
      </w:r>
      <w:r>
        <w:rPr>
          <w:rFonts w:hint="eastAsia" w:ascii="仿宋" w:hAnsi="仿宋" w:eastAsia="仿宋"/>
          <w:color w:val="auto"/>
          <w:sz w:val="32"/>
          <w:szCs w:val="32"/>
          <w:highlight w:val="none"/>
          <w:lang w:val="en-US" w:eastAsia="zh-CN"/>
        </w:rPr>
        <w:t>790.49</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38.8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单位社保调标导致人员经费增加。</w:t>
      </w:r>
    </w:p>
    <w:p w14:paraId="0E9C1FC4">
      <w:pPr>
        <w:pStyle w:val="8"/>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11430" b="952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D74129E">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1D3A90DE">
      <w:pPr>
        <w:spacing w:line="600" w:lineRule="exact"/>
        <w:ind w:firstLine="640"/>
        <w:rPr>
          <w:rFonts w:ascii="仿宋" w:hAnsi="仿宋" w:eastAsia="仿宋"/>
          <w:b/>
          <w:color w:val="auto"/>
          <w:sz w:val="32"/>
          <w:szCs w:val="32"/>
          <w:highlight w:val="none"/>
        </w:rPr>
      </w:pPr>
    </w:p>
    <w:p w14:paraId="0D0F2BA6">
      <w:pPr>
        <w:spacing w:line="600" w:lineRule="exact"/>
        <w:ind w:firstLine="640" w:firstLineChars="200"/>
        <w:outlineLvl w:val="1"/>
        <w:rPr>
          <w:rStyle w:val="17"/>
          <w:rFonts w:ascii="黑体" w:hAnsi="黑体" w:eastAsia="黑体"/>
          <w:b w:val="0"/>
          <w:color w:val="auto"/>
          <w:highlight w:val="none"/>
        </w:rPr>
      </w:pPr>
      <w:bookmarkStart w:id="20" w:name="_Toc4548"/>
      <w:bookmarkStart w:id="21" w:name="_Toc1397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般公共预算财政拨款支出决算情况说明</w:t>
      </w:r>
      <w:bookmarkEnd w:id="20"/>
      <w:bookmarkEnd w:id="21"/>
    </w:p>
    <w:p w14:paraId="0F6CF82B">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16569C76">
      <w:pPr>
        <w:spacing w:line="600" w:lineRule="exact"/>
        <w:ind w:firstLine="640" w:firstLineChars="200"/>
        <w:rPr>
          <w:rFonts w:hint="default" w:ascii="仿宋" w:hAnsi="仿宋" w:eastAsia="仿宋"/>
          <w:color w:val="auto"/>
          <w:sz w:val="32"/>
          <w:szCs w:val="32"/>
          <w:highlight w:val="none"/>
          <w:lang w:val="en-US"/>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2828.71</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790.49</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38.8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单位社保调标导致人员经费增加。</w:t>
      </w:r>
    </w:p>
    <w:p w14:paraId="7227932B">
      <w:pPr>
        <w:spacing w:line="600" w:lineRule="exact"/>
        <w:ind w:firstLine="640" w:firstLineChars="200"/>
        <w:rPr>
          <w:rFonts w:ascii="仿宋" w:hAnsi="仿宋" w:eastAsia="仿宋"/>
          <w:color w:val="auto"/>
          <w:sz w:val="32"/>
          <w:szCs w:val="32"/>
          <w:highlight w:val="none"/>
        </w:rPr>
      </w:pPr>
    </w:p>
    <w:p w14:paraId="04F68DBD">
      <w:pPr>
        <w:pStyle w:val="8"/>
        <w:rPr>
          <w:rFonts w:ascii="仿宋" w:hAnsi="仿宋" w:eastAsia="仿宋"/>
          <w:color w:val="auto"/>
          <w:sz w:val="32"/>
          <w:szCs w:val="32"/>
          <w:highlight w:val="none"/>
        </w:rPr>
      </w:pPr>
    </w:p>
    <w:p w14:paraId="276364EF">
      <w:pPr>
        <w:pStyle w:val="8"/>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11430"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7E9C815">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1BD47047">
      <w:pPr>
        <w:spacing w:line="600" w:lineRule="exact"/>
        <w:ind w:firstLine="640" w:firstLineChars="200"/>
        <w:rPr>
          <w:rFonts w:ascii="仿宋" w:hAnsi="仿宋" w:eastAsia="仿宋"/>
          <w:color w:val="auto"/>
          <w:sz w:val="32"/>
          <w:szCs w:val="32"/>
          <w:highlight w:val="none"/>
        </w:rPr>
      </w:pPr>
    </w:p>
    <w:p w14:paraId="0DF1847F">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p>
    <w:p w14:paraId="0408AEF9">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2828.71</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社会保障和就业支出</w:t>
      </w:r>
      <w:r>
        <w:rPr>
          <w:rFonts w:hint="eastAsia" w:ascii="仿宋" w:hAnsi="仿宋" w:eastAsia="仿宋"/>
          <w:color w:val="auto"/>
          <w:sz w:val="32"/>
          <w:szCs w:val="32"/>
          <w:highlight w:val="none"/>
          <w:lang w:val="en-US" w:eastAsia="zh-CN"/>
        </w:rPr>
        <w:t>275.82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卫生健康支出</w:t>
      </w:r>
      <w:r>
        <w:rPr>
          <w:rFonts w:hint="eastAsia" w:ascii="仿宋" w:hAnsi="仿宋" w:eastAsia="仿宋"/>
          <w:color w:val="auto"/>
          <w:sz w:val="32"/>
          <w:szCs w:val="32"/>
          <w:highlight w:val="none"/>
          <w:lang w:val="en-US" w:eastAsia="zh-CN"/>
        </w:rPr>
        <w:t>137.97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w:t>
      </w:r>
      <w:r>
        <w:rPr>
          <w:rFonts w:hint="eastAsia" w:ascii="仿宋" w:hAnsi="仿宋" w:eastAsia="仿宋"/>
          <w:color w:val="auto"/>
          <w:sz w:val="32"/>
          <w:szCs w:val="32"/>
          <w:highlight w:val="none"/>
          <w:lang w:val="en-US" w:eastAsia="zh-CN"/>
        </w:rPr>
        <w:t>2264.64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80.1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b/>
          <w:bCs/>
          <w:color w:val="auto"/>
          <w:sz w:val="32"/>
          <w:szCs w:val="32"/>
          <w:highlight w:val="none"/>
          <w:lang w:val="en-US" w:eastAsia="zh-CN"/>
        </w:rPr>
        <w:t>150.28</w:t>
      </w:r>
      <w:r>
        <w:rPr>
          <w:rFonts w:hint="eastAsia" w:ascii="仿宋" w:hAnsi="仿宋" w:eastAsia="仿宋"/>
          <w:b/>
          <w:bCs/>
          <w:color w:val="auto"/>
          <w:sz w:val="32"/>
          <w:szCs w:val="32"/>
          <w:highlight w:val="none"/>
        </w:rPr>
        <w:t>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5.3</w:t>
      </w:r>
      <w:r>
        <w:rPr>
          <w:rFonts w:hint="eastAsia" w:ascii="仿宋" w:hAnsi="仿宋" w:eastAsia="仿宋"/>
          <w:color w:val="auto"/>
          <w:sz w:val="32"/>
          <w:szCs w:val="32"/>
          <w:highlight w:val="none"/>
        </w:rPr>
        <w:t>%。</w:t>
      </w:r>
    </w:p>
    <w:p w14:paraId="7EA01CCD">
      <w:pPr>
        <w:spacing w:line="600" w:lineRule="exact"/>
        <w:ind w:firstLine="640"/>
        <w:rPr>
          <w:rFonts w:ascii="仿宋" w:hAnsi="仿宋" w:eastAsia="仿宋"/>
          <w:color w:val="auto"/>
          <w:sz w:val="32"/>
          <w:szCs w:val="32"/>
          <w:highlight w:val="none"/>
        </w:rPr>
      </w:pPr>
    </w:p>
    <w:p w14:paraId="7F70B32A">
      <w:pPr>
        <w:pStyle w:val="8"/>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1430"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FA114EA">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0B1A17E4">
      <w:pPr>
        <w:spacing w:line="600" w:lineRule="exact"/>
        <w:ind w:firstLine="640" w:firstLineChars="200"/>
        <w:rPr>
          <w:rFonts w:ascii="仿宋" w:hAnsi="仿宋" w:eastAsia="仿宋"/>
          <w:color w:val="auto"/>
          <w:sz w:val="32"/>
          <w:szCs w:val="32"/>
          <w:highlight w:val="none"/>
        </w:rPr>
      </w:pPr>
    </w:p>
    <w:p w14:paraId="29954B39">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63C8AB0B">
      <w:pPr>
        <w:spacing w:line="600" w:lineRule="exact"/>
        <w:ind w:firstLine="643" w:firstLineChars="200"/>
        <w:outlineLvl w:val="1"/>
        <w:rPr>
          <w:rFonts w:ascii="仿宋" w:hAnsi="仿宋" w:eastAsia="仿宋"/>
          <w:color w:val="auto"/>
          <w:sz w:val="32"/>
          <w:szCs w:val="32"/>
          <w:highlight w:val="none"/>
        </w:rPr>
      </w:pPr>
      <w:bookmarkStart w:id="22" w:name="_Toc18379"/>
      <w:bookmarkStart w:id="23" w:name="_Toc5514"/>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2828.71万元</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100</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22"/>
      <w:bookmarkEnd w:id="23"/>
    </w:p>
    <w:p w14:paraId="532802C3">
      <w:pP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1.</w:t>
      </w:r>
      <w:r>
        <w:rPr>
          <w:rStyle w:val="15"/>
          <w:rFonts w:hint="eastAsia" w:ascii="仿宋" w:hAnsi="仿宋" w:eastAsia="仿宋"/>
          <w:bCs/>
          <w:color w:val="auto"/>
          <w:sz w:val="32"/>
          <w:szCs w:val="32"/>
          <w:highlight w:val="none"/>
        </w:rPr>
        <w:t>社会保障和就业支出（类）行政事业单位养老支出（款）机关事业单位基本养老保险缴费支出（项）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183.77</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3FFCE024">
      <w:pP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2..</w:t>
      </w:r>
      <w:r>
        <w:rPr>
          <w:rStyle w:val="15"/>
          <w:rFonts w:hint="eastAsia" w:ascii="仿宋" w:hAnsi="仿宋" w:eastAsia="仿宋"/>
          <w:bCs/>
          <w:color w:val="auto"/>
          <w:sz w:val="32"/>
          <w:szCs w:val="32"/>
          <w:highlight w:val="none"/>
        </w:rPr>
        <w:t>社会保障和就业支出（类）行政事业单位养老支出（款）机关事业单位职业年金缴费支出（项）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92.06</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25DA0ABB">
      <w:pP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3.</w:t>
      </w:r>
      <w:r>
        <w:rPr>
          <w:rStyle w:val="15"/>
          <w:rFonts w:hint="eastAsia" w:ascii="仿宋" w:hAnsi="仿宋" w:eastAsia="仿宋"/>
          <w:bCs/>
          <w:color w:val="auto"/>
          <w:sz w:val="32"/>
          <w:szCs w:val="32"/>
          <w:highlight w:val="none"/>
        </w:rPr>
        <w:t>卫生健康支出（类）行政事业单位医疗（款）事业单位医疗（项）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89.64</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242D700E">
      <w:pP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4.</w:t>
      </w:r>
      <w:r>
        <w:rPr>
          <w:rStyle w:val="15"/>
          <w:rFonts w:hint="eastAsia" w:ascii="仿宋" w:hAnsi="仿宋" w:eastAsia="仿宋"/>
          <w:bCs/>
          <w:color w:val="auto"/>
          <w:sz w:val="32"/>
          <w:szCs w:val="32"/>
          <w:highlight w:val="none"/>
        </w:rPr>
        <w:t>卫生健康支出（类）行政事业单位医疗（款）其他行政事业单位医疗支出（项）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48.34</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4101975A">
      <w:pPr>
        <w:spacing w:line="600" w:lineRule="exact"/>
        <w:ind w:firstLine="643" w:firstLineChars="200"/>
        <w:rPr>
          <w:rStyle w:val="15"/>
          <w:rFonts w:hint="eastAsia" w:ascii="仿宋" w:hAnsi="仿宋" w:eastAsia="仿宋"/>
          <w:b w:val="0"/>
          <w:bCs/>
          <w:color w:val="auto"/>
          <w:sz w:val="32"/>
          <w:szCs w:val="32"/>
          <w:highlight w:val="none"/>
        </w:rPr>
      </w:pPr>
      <w:r>
        <w:rPr>
          <w:rStyle w:val="15"/>
          <w:rFonts w:ascii="仿宋" w:hAnsi="仿宋" w:eastAsia="仿宋"/>
          <w:bCs/>
          <w:color w:val="auto"/>
          <w:sz w:val="32"/>
          <w:szCs w:val="32"/>
          <w:highlight w:val="none"/>
        </w:rPr>
        <w:t>5.</w:t>
      </w:r>
      <w:r>
        <w:rPr>
          <w:rStyle w:val="15"/>
          <w:rFonts w:hint="eastAsia" w:ascii="仿宋" w:hAnsi="仿宋" w:eastAsia="仿宋"/>
          <w:bCs/>
          <w:color w:val="auto"/>
          <w:sz w:val="32"/>
          <w:szCs w:val="32"/>
          <w:highlight w:val="none"/>
        </w:rPr>
        <w:t>交通运输支出（类）公路水路运输（款）公路养护（项）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2238.64</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7A74AADF">
      <w:pPr>
        <w:spacing w:line="600" w:lineRule="exact"/>
        <w:ind w:firstLine="643" w:firstLineChars="200"/>
        <w:rPr>
          <w:rFonts w:ascii="仿宋" w:hAnsi="仿宋" w:eastAsia="仿宋"/>
          <w:b/>
          <w:color w:val="auto"/>
          <w:sz w:val="32"/>
          <w:szCs w:val="32"/>
          <w:highlight w:val="none"/>
        </w:rPr>
      </w:pPr>
      <w:r>
        <w:rPr>
          <w:rStyle w:val="15"/>
          <w:rFonts w:hint="eastAsia" w:ascii="仿宋" w:hAnsi="仿宋" w:eastAsia="仿宋"/>
          <w:bCs/>
          <w:color w:val="auto"/>
          <w:sz w:val="32"/>
          <w:szCs w:val="32"/>
          <w:highlight w:val="none"/>
          <w:lang w:val="en-US" w:eastAsia="zh-CN"/>
        </w:rPr>
        <w:t>6</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交通运输支出（类）公路水路运输（款）其他公路水路运输支出（项）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26</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17C8DDCD">
      <w:pPr>
        <w:spacing w:line="600" w:lineRule="exact"/>
        <w:ind w:firstLine="643"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7</w:t>
      </w:r>
      <w:r>
        <w:rPr>
          <w:rStyle w:val="15"/>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5"/>
          <w:rFonts w:hint="eastAsia" w:ascii="仿宋" w:hAnsi="仿宋" w:eastAsia="仿宋"/>
          <w:bCs/>
          <w:color w:val="auto"/>
          <w:sz w:val="32"/>
          <w:szCs w:val="32"/>
          <w:highlight w:val="none"/>
        </w:rPr>
        <w:t>（类）住房改革支出（款）住房公积金（项）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147.08</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1A78EA79">
      <w:pPr>
        <w:pStyle w:val="8"/>
        <w:ind w:firstLine="643" w:firstLineChars="200"/>
        <w:rPr>
          <w:rFonts w:ascii="仿宋" w:hAnsi="仿宋" w:eastAsia="仿宋"/>
          <w:b/>
          <w:color w:val="auto"/>
          <w:sz w:val="32"/>
          <w:szCs w:val="32"/>
          <w:highlight w:val="none"/>
        </w:rPr>
      </w:pPr>
      <w:r>
        <w:rPr>
          <w:rStyle w:val="15"/>
          <w:rFonts w:hint="eastAsia" w:ascii="仿宋" w:hAnsi="仿宋" w:eastAsia="仿宋"/>
          <w:bCs/>
          <w:color w:val="auto"/>
          <w:sz w:val="32"/>
          <w:szCs w:val="32"/>
          <w:highlight w:val="none"/>
          <w:lang w:val="en-US" w:eastAsia="zh-CN"/>
        </w:rPr>
        <w:t>8</w:t>
      </w:r>
      <w:r>
        <w:rPr>
          <w:rStyle w:val="15"/>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5"/>
          <w:rFonts w:hint="eastAsia" w:ascii="仿宋" w:hAnsi="仿宋" w:eastAsia="仿宋"/>
          <w:bCs/>
          <w:color w:val="auto"/>
          <w:sz w:val="32"/>
          <w:szCs w:val="32"/>
          <w:highlight w:val="none"/>
        </w:rPr>
        <w:t>（类）住房改革支出（款）购房补贴（项）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3.2</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05D4D481">
      <w:pPr>
        <w:tabs>
          <w:tab w:val="right" w:pos="8306"/>
        </w:tabs>
        <w:spacing w:line="600" w:lineRule="exact"/>
        <w:ind w:firstLine="640"/>
        <w:outlineLvl w:val="1"/>
        <w:rPr>
          <w:rStyle w:val="17"/>
          <w:color w:val="auto"/>
          <w:highlight w:val="none"/>
        </w:rPr>
      </w:pPr>
      <w:bookmarkStart w:id="24" w:name="_Toc5599"/>
      <w:bookmarkStart w:id="25" w:name="_Toc1724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般公共预算财政拨款基本支出决算情况说明</w:t>
      </w:r>
      <w:bookmarkEnd w:id="24"/>
      <w:bookmarkEnd w:id="25"/>
      <w:r>
        <w:rPr>
          <w:rStyle w:val="17"/>
          <w:rFonts w:ascii="黑体" w:hAnsi="黑体" w:eastAsia="黑体"/>
          <w:b w:val="0"/>
          <w:color w:val="auto"/>
          <w:highlight w:val="none"/>
        </w:rPr>
        <w:tab/>
      </w:r>
    </w:p>
    <w:p w14:paraId="70E8BA32">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w:t>
      </w:r>
      <w:r>
        <w:rPr>
          <w:rFonts w:hint="eastAsia" w:ascii="仿宋" w:hAnsi="仿宋" w:eastAsia="仿宋"/>
          <w:color w:val="auto"/>
          <w:sz w:val="32"/>
          <w:szCs w:val="32"/>
          <w:highlight w:val="none"/>
          <w:lang w:val="en-US" w:eastAsia="zh-CN"/>
        </w:rPr>
        <w:t>2701.36</w:t>
      </w:r>
      <w:r>
        <w:rPr>
          <w:rFonts w:hint="eastAsia" w:ascii="仿宋" w:hAnsi="仿宋" w:eastAsia="仿宋"/>
          <w:color w:val="auto"/>
          <w:sz w:val="32"/>
          <w:szCs w:val="32"/>
          <w:highlight w:val="none"/>
        </w:rPr>
        <w:t>万元，其中：</w:t>
      </w:r>
    </w:p>
    <w:p w14:paraId="70EF0A01">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2511.02</w:t>
      </w:r>
      <w:r>
        <w:rPr>
          <w:rFonts w:hint="eastAsia" w:ascii="仿宋" w:hAnsi="仿宋" w:eastAsia="仿宋"/>
          <w:color w:val="auto"/>
          <w:sz w:val="32"/>
          <w:szCs w:val="32"/>
          <w:highlight w:val="none"/>
        </w:rPr>
        <w:t>万元，主要包括：基本工资、津贴补贴、奖金、绩效工资、机关事业单位基本养老保险缴费、职业年金缴费、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其他社会保障缴费、抚恤金、生活补助、奖励金、住房公积金等。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190.34</w:t>
      </w:r>
      <w:r>
        <w:rPr>
          <w:rFonts w:hint="eastAsia" w:ascii="仿宋" w:hAnsi="仿宋" w:eastAsia="仿宋"/>
          <w:color w:val="auto"/>
          <w:sz w:val="32"/>
          <w:szCs w:val="32"/>
          <w:highlight w:val="none"/>
        </w:rPr>
        <w:t>万元，主要包括：办公费、印刷费、咨询费、水费、电费、邮电费、差旅费、维修（护）费、培训费、委托业务费、福利费、公务用车运行维护费、其他商品和服务支出、办公设备购置等。</w:t>
      </w:r>
    </w:p>
    <w:p w14:paraId="131BF871">
      <w:pPr>
        <w:spacing w:line="600" w:lineRule="exact"/>
        <w:ind w:firstLine="640"/>
        <w:outlineLvl w:val="1"/>
        <w:rPr>
          <w:rStyle w:val="17"/>
          <w:rFonts w:ascii="黑体" w:hAnsi="黑体" w:eastAsia="黑体"/>
          <w:b w:val="0"/>
          <w:color w:val="auto"/>
          <w:highlight w:val="none"/>
        </w:rPr>
      </w:pPr>
      <w:bookmarkStart w:id="26" w:name="_Toc16480"/>
      <w:bookmarkStart w:id="27" w:name="_Toc12125"/>
      <w:r>
        <w:rPr>
          <w:rFonts w:hint="eastAsia" w:ascii="黑体" w:eastAsia="黑体"/>
          <w:color w:val="auto"/>
          <w:sz w:val="32"/>
          <w:szCs w:val="32"/>
          <w:highlight w:val="none"/>
        </w:rPr>
        <w:t>七、</w:t>
      </w:r>
      <w:r>
        <w:rPr>
          <w:rStyle w:val="17"/>
          <w:rFonts w:hint="eastAsia" w:ascii="黑体" w:hAnsi="黑体" w:eastAsia="黑体"/>
          <w:b w:val="0"/>
          <w:color w:val="auto"/>
          <w:highlight w:val="none"/>
        </w:rPr>
        <w:t>财政拨款</w:t>
      </w:r>
      <w:r>
        <w:rPr>
          <w:rStyle w:val="17"/>
          <w:rFonts w:hint="eastAsia" w:ascii="黑体" w:hAnsi="黑体" w:eastAsia="黑体"/>
          <w:color w:val="auto"/>
          <w:highlight w:val="none"/>
        </w:rPr>
        <w:t>“</w:t>
      </w:r>
      <w:r>
        <w:rPr>
          <w:rStyle w:val="17"/>
          <w:rFonts w:hint="eastAsia" w:ascii="黑体" w:hAnsi="黑体" w:eastAsia="黑体"/>
          <w:b w:val="0"/>
          <w:color w:val="auto"/>
          <w:highlight w:val="none"/>
        </w:rPr>
        <w:t>三公”经费支出决算情况说明</w:t>
      </w:r>
      <w:bookmarkEnd w:id="26"/>
      <w:bookmarkEnd w:id="27"/>
    </w:p>
    <w:p w14:paraId="2D4D7B1D">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35A732EF">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w:t>
      </w:r>
      <w:r>
        <w:rPr>
          <w:rFonts w:hint="eastAsia" w:ascii="仿宋" w:hAnsi="仿宋" w:eastAsia="仿宋"/>
          <w:color w:val="auto"/>
          <w:sz w:val="32"/>
          <w:szCs w:val="32"/>
          <w:highlight w:val="none"/>
          <w:lang w:val="en-US" w:eastAsia="zh-CN"/>
        </w:rPr>
        <w:t>18.98</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86.29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w:t>
      </w:r>
      <w:r>
        <w:rPr>
          <w:rFonts w:hint="eastAsia" w:ascii="仿宋" w:hAnsi="仿宋" w:eastAsia="仿宋"/>
          <w:color w:val="auto"/>
          <w:sz w:val="32"/>
          <w:szCs w:val="32"/>
          <w:highlight w:val="none"/>
          <w:lang w:val="en-US" w:eastAsia="zh-CN"/>
        </w:rPr>
        <w:t>减少1.31万元，减少6.5%。</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本单位依据厉行节约原则，缩减“三公”经费</w:t>
      </w:r>
      <w:r>
        <w:rPr>
          <w:rFonts w:hint="eastAsia" w:ascii="仿宋" w:hAnsi="仿宋" w:eastAsia="仿宋"/>
          <w:color w:val="auto"/>
          <w:sz w:val="32"/>
          <w:szCs w:val="32"/>
          <w:highlight w:val="none"/>
        </w:rPr>
        <w:t>。</w:t>
      </w:r>
    </w:p>
    <w:p w14:paraId="2B11BA10">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7EDB1425">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2023年度“三公”经费财政拨款支出决算中，因公出国（境）费支出决算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万元，占</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%；公务用车购置及运行维护费支出决算</w:t>
      </w:r>
      <w:r>
        <w:rPr>
          <w:rFonts w:hint="eastAsia" w:ascii="仿宋" w:hAnsi="仿宋" w:eastAsia="仿宋"/>
          <w:color w:val="auto"/>
          <w:sz w:val="32"/>
          <w:szCs w:val="32"/>
          <w:highlight w:val="none"/>
          <w:lang w:val="en-US" w:eastAsia="zh-CN"/>
        </w:rPr>
        <w:t>18.98</w:t>
      </w:r>
      <w:r>
        <w:rPr>
          <w:rFonts w:hint="eastAsia" w:ascii="仿宋" w:hAnsi="仿宋" w:eastAsia="仿宋"/>
          <w:color w:val="auto"/>
          <w:sz w:val="32"/>
          <w:szCs w:val="32"/>
          <w:highlight w:val="none"/>
          <w:lang w:eastAsia="zh-CN"/>
        </w:rPr>
        <w:t>万元，占</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lang w:eastAsia="zh-CN"/>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万元，占</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。具体情况如下：</w:t>
      </w:r>
    </w:p>
    <w:p w14:paraId="6DD8EA21">
      <w:pPr>
        <w:pStyle w:val="8"/>
        <w:rPr>
          <w:rFonts w:hint="eastAsia" w:ascii="仿宋" w:hAnsi="仿宋" w:eastAsia="仿宋"/>
          <w:color w:val="auto"/>
          <w:sz w:val="32"/>
          <w:szCs w:val="32"/>
          <w:highlight w:val="none"/>
        </w:rPr>
      </w:pPr>
    </w:p>
    <w:p w14:paraId="625BEAEE">
      <w:pPr>
        <w:pStyle w:val="8"/>
        <w:rPr>
          <w:rFonts w:hint="eastAsia" w:ascii="仿宋" w:hAnsi="仿宋" w:eastAsia="仿宋"/>
          <w:color w:val="auto"/>
          <w:sz w:val="32"/>
          <w:szCs w:val="32"/>
          <w:highlight w:val="none"/>
        </w:rPr>
      </w:pPr>
      <w:r>
        <w:rPr>
          <w:rFonts w:hint="eastAsia" w:eastAsia="仿宋"/>
          <w:lang w:eastAsia="zh-CN"/>
        </w:rPr>
        <w:drawing>
          <wp:inline distT="0" distB="0" distL="114300" distR="114300">
            <wp:extent cx="5256530" cy="3242945"/>
            <wp:effectExtent l="4445" t="4445" r="12065" b="1397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25A0D69">
      <w:pPr>
        <w:spacing w:line="600" w:lineRule="exact"/>
        <w:ind w:firstLine="64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（图7：“三公”经费财政拨款支出结构）</w:t>
      </w:r>
    </w:p>
    <w:p w14:paraId="45911040">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因公出国（境）支出决算</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rPr>
        <w:t>2022年度</w:t>
      </w:r>
      <w:r>
        <w:rPr>
          <w:rFonts w:hint="eastAsia" w:ascii="仿宋_GB2312" w:eastAsia="仿宋_GB2312"/>
          <w:color w:val="auto"/>
          <w:sz w:val="32"/>
          <w:szCs w:val="32"/>
          <w:highlight w:val="none"/>
          <w:lang w:val="en-US" w:eastAsia="zh-CN"/>
        </w:rPr>
        <w:t>持平</w:t>
      </w:r>
      <w:r>
        <w:rPr>
          <w:rFonts w:hint="eastAsia" w:ascii="仿宋_GB2312" w:eastAsia="仿宋_GB2312"/>
          <w:color w:val="auto"/>
          <w:sz w:val="32"/>
          <w:szCs w:val="32"/>
          <w:highlight w:val="none"/>
        </w:rPr>
        <w:t>。</w:t>
      </w:r>
    </w:p>
    <w:p w14:paraId="35019BD6">
      <w:pPr>
        <w:spacing w:line="600" w:lineRule="exact"/>
        <w:ind w:firstLine="640"/>
        <w:rPr>
          <w:rFonts w:ascii="仿宋_GB2312" w:eastAsia="仿宋_GB2312"/>
          <w:b/>
          <w:color w:val="auto"/>
          <w:sz w:val="32"/>
          <w:szCs w:val="32"/>
          <w:highlight w:val="none"/>
        </w:rPr>
      </w:pPr>
      <w:r>
        <w:rPr>
          <w:rFonts w:hint="eastAsia" w:ascii="仿宋_GB2312" w:eastAsia="仿宋_GB2312"/>
          <w:b/>
          <w:color w:val="auto"/>
          <w:sz w:val="32"/>
          <w:szCs w:val="32"/>
          <w:highlight w:val="none"/>
          <w:lang w:val="en-US" w:eastAsia="zh-CN"/>
        </w:rPr>
        <w:t>2</w:t>
      </w:r>
      <w:r>
        <w:rPr>
          <w:rFonts w:ascii="仿宋_GB2312" w:eastAsia="仿宋_GB2312"/>
          <w:b/>
          <w:color w:val="auto"/>
          <w:sz w:val="32"/>
          <w:szCs w:val="32"/>
          <w:highlight w:val="none"/>
        </w:rPr>
        <w:t>.</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18.98</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99.9</w:t>
      </w:r>
      <w:bookmarkStart w:id="70" w:name="_GoBack"/>
      <w:bookmarkEnd w:id="70"/>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减少1.02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减少5.1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本单位依据厉行节约原则，缩减“三公”经费</w:t>
      </w:r>
      <w:r>
        <w:rPr>
          <w:rFonts w:hint="eastAsia" w:ascii="仿宋_GB2312" w:eastAsia="仿宋_GB2312"/>
          <w:color w:val="auto"/>
          <w:sz w:val="32"/>
          <w:szCs w:val="32"/>
          <w:highlight w:val="none"/>
        </w:rPr>
        <w:t>。</w:t>
      </w:r>
    </w:p>
    <w:p w14:paraId="0646C915">
      <w:pPr>
        <w:spacing w:line="600" w:lineRule="exact"/>
        <w:ind w:firstLine="640" w:firstLineChars="200"/>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辆。</w:t>
      </w:r>
    </w:p>
    <w:p w14:paraId="7A019C86">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18.98</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rPr>
        <w:t>等所需的公务用车燃料费、维修费、过路过桥费、保险费等支出。</w:t>
      </w:r>
    </w:p>
    <w:p w14:paraId="17975F56">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0.29</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本单位依据厉行节约原则，缩减“三公”经费</w:t>
      </w:r>
      <w:r>
        <w:rPr>
          <w:rFonts w:hint="eastAsia" w:ascii="仿宋_GB2312" w:eastAsia="仿宋_GB2312"/>
          <w:color w:val="auto"/>
          <w:sz w:val="32"/>
          <w:szCs w:val="32"/>
          <w:highlight w:val="none"/>
        </w:rPr>
        <w:t>。其中：</w:t>
      </w:r>
    </w:p>
    <w:p w14:paraId="1D2A7425">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万元。国内公务接待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元。</w:t>
      </w:r>
    </w:p>
    <w:p w14:paraId="37450C5D">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7CA29214">
      <w:pPr>
        <w:spacing w:line="600" w:lineRule="exact"/>
        <w:ind w:firstLine="640"/>
        <w:outlineLvl w:val="9"/>
        <w:rPr>
          <w:rFonts w:ascii="黑体" w:eastAsia="黑体"/>
          <w:color w:val="auto"/>
          <w:sz w:val="32"/>
          <w:szCs w:val="32"/>
          <w:highlight w:val="none"/>
        </w:rPr>
      </w:pPr>
    </w:p>
    <w:p w14:paraId="426DA5F7">
      <w:pPr>
        <w:spacing w:line="600" w:lineRule="exact"/>
        <w:ind w:firstLine="640"/>
        <w:outlineLvl w:val="1"/>
        <w:rPr>
          <w:rStyle w:val="17"/>
          <w:rFonts w:ascii="黑体" w:hAnsi="黑体" w:eastAsia="黑体"/>
          <w:color w:val="auto"/>
          <w:highlight w:val="none"/>
        </w:rPr>
      </w:pPr>
      <w:bookmarkStart w:id="28" w:name="_Toc6949"/>
      <w:bookmarkStart w:id="29" w:name="_Toc17044"/>
      <w:r>
        <w:rPr>
          <w:rFonts w:hint="eastAsia" w:ascii="黑体" w:eastAsia="黑体"/>
          <w:color w:val="auto"/>
          <w:sz w:val="32"/>
          <w:szCs w:val="32"/>
          <w:highlight w:val="none"/>
        </w:rPr>
        <w:t>八、</w:t>
      </w:r>
      <w:r>
        <w:rPr>
          <w:rStyle w:val="17"/>
          <w:rFonts w:hint="eastAsia" w:ascii="黑体" w:hAnsi="黑体" w:eastAsia="黑体"/>
          <w:b w:val="0"/>
          <w:color w:val="auto"/>
          <w:highlight w:val="none"/>
        </w:rPr>
        <w:t>政府性基金预算支出决算情况说明</w:t>
      </w:r>
      <w:bookmarkEnd w:id="28"/>
      <w:bookmarkEnd w:id="29"/>
    </w:p>
    <w:p w14:paraId="56CC123D">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29996505">
      <w:pPr>
        <w:spacing w:line="600" w:lineRule="exact"/>
        <w:ind w:firstLine="640"/>
        <w:rPr>
          <w:rFonts w:ascii="仿宋_GB2312" w:eastAsia="仿宋_GB2312"/>
          <w:color w:val="auto"/>
          <w:sz w:val="32"/>
          <w:szCs w:val="32"/>
          <w:highlight w:val="none"/>
        </w:rPr>
      </w:pPr>
    </w:p>
    <w:p w14:paraId="765A6AC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7"/>
          <w:rFonts w:ascii="黑体" w:hAnsi="黑体" w:eastAsia="黑体"/>
          <w:b w:val="0"/>
          <w:color w:val="auto"/>
          <w:highlight w:val="none"/>
        </w:rPr>
      </w:pPr>
      <w:bookmarkStart w:id="30" w:name="_Toc9400"/>
      <w:bookmarkStart w:id="31" w:name="_Toc27184"/>
      <w:r>
        <w:rPr>
          <w:rStyle w:val="17"/>
          <w:rFonts w:hint="eastAsia" w:ascii="黑体" w:hAnsi="黑体" w:eastAsia="黑体"/>
          <w:b w:val="0"/>
          <w:color w:val="auto"/>
          <w:highlight w:val="none"/>
          <w:lang w:eastAsia="zh-CN"/>
        </w:rPr>
        <w:t>九、</w:t>
      </w:r>
      <w:r>
        <w:rPr>
          <w:rStyle w:val="17"/>
          <w:rFonts w:hint="eastAsia" w:ascii="黑体" w:hAnsi="黑体" w:eastAsia="黑体"/>
          <w:b w:val="0"/>
          <w:color w:val="auto"/>
          <w:highlight w:val="none"/>
        </w:rPr>
        <w:t>国有资本经营预算支出决算情况说明</w:t>
      </w:r>
      <w:bookmarkEnd w:id="30"/>
      <w:bookmarkEnd w:id="31"/>
    </w:p>
    <w:p w14:paraId="2850F472">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40803AB8">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37AE4D3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7"/>
          <w:rFonts w:hint="eastAsia" w:ascii="黑体" w:hAnsi="黑体" w:eastAsia="黑体"/>
          <w:b w:val="0"/>
          <w:color w:val="auto"/>
          <w:highlight w:val="none"/>
        </w:rPr>
      </w:pPr>
      <w:bookmarkStart w:id="32" w:name="_Toc45"/>
      <w:bookmarkStart w:id="33" w:name="_Toc23272"/>
      <w:r>
        <w:rPr>
          <w:rStyle w:val="17"/>
          <w:rFonts w:hint="eastAsia" w:ascii="黑体" w:hAnsi="黑体" w:eastAsia="黑体"/>
          <w:b w:val="0"/>
          <w:color w:val="auto"/>
          <w:highlight w:val="none"/>
          <w:lang w:eastAsia="zh-CN"/>
        </w:rPr>
        <w:t>十、</w:t>
      </w:r>
      <w:r>
        <w:rPr>
          <w:rStyle w:val="17"/>
          <w:rFonts w:hint="eastAsia" w:ascii="黑体" w:hAnsi="黑体" w:eastAsia="黑体"/>
          <w:b w:val="0"/>
          <w:color w:val="auto"/>
          <w:highlight w:val="none"/>
        </w:rPr>
        <w:t>其他重要事项的情况说明</w:t>
      </w:r>
      <w:bookmarkEnd w:id="32"/>
      <w:bookmarkEnd w:id="33"/>
    </w:p>
    <w:p w14:paraId="315D3A39">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6A048B07">
      <w:pPr>
        <w:spacing w:line="600" w:lineRule="exact"/>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。与2022年度决算数持平</w:t>
      </w:r>
      <w:r>
        <w:rPr>
          <w:rFonts w:hint="eastAsia" w:ascii="仿宋_GB2312" w:eastAsia="仿宋_GB2312"/>
          <w:color w:val="auto"/>
          <w:sz w:val="32"/>
          <w:szCs w:val="32"/>
          <w:highlight w:val="none"/>
        </w:rPr>
        <w:t>。</w:t>
      </w:r>
    </w:p>
    <w:p w14:paraId="6E3B1732">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3AAD250B">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39.8</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39.8</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公务用车采购</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1B04562E">
      <w:pPr>
        <w:spacing w:line="600" w:lineRule="exact"/>
        <w:ind w:firstLine="643" w:firstLineChars="200"/>
        <w:rPr>
          <w:rFonts w:ascii="仿宋" w:hAnsi="仿宋" w:eastAsia="仿宋"/>
          <w:b/>
          <w:color w:val="auto"/>
          <w:sz w:val="32"/>
          <w:szCs w:val="32"/>
          <w:highlight w:val="none"/>
        </w:rPr>
      </w:pPr>
    </w:p>
    <w:p w14:paraId="37AEC540">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69C2CE0D">
      <w:pPr>
        <w:autoSpaceDE w:val="0"/>
        <w:autoSpaceDN w:val="0"/>
        <w:adjustRightInd w:val="0"/>
        <w:spacing w:line="600" w:lineRule="exact"/>
        <w:ind w:firstLine="640" w:firstLineChars="200"/>
        <w:jc w:val="left"/>
        <w:rPr>
          <w:rFonts w:ascii="仿宋" w:hAnsi="仿宋" w:eastAsia="仿宋"/>
          <w:b/>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69957B99">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2EF3B774">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val="en-US" w:eastAsia="zh-CN"/>
        </w:rPr>
        <w:t>2023年本单位完成整体绩效自评，并撰写自评报告，自评得分98.63。不涉及项目绩效自评，故无项目绩效自评表。</w:t>
      </w:r>
      <w:r>
        <w:rPr>
          <w:rFonts w:hint="eastAsia" w:ascii="仿宋_GB2312" w:hAnsi="Times New Roman" w:eastAsia="仿宋_GB2312" w:cs="Times New Roman"/>
          <w:color w:val="auto"/>
          <w:sz w:val="32"/>
          <w:szCs w:val="32"/>
          <w:highlight w:val="none"/>
          <w:lang w:eastAsia="zh-CN"/>
        </w:rPr>
        <w:br w:type="page"/>
      </w:r>
    </w:p>
    <w:p w14:paraId="4AA989AD">
      <w:pPr>
        <w:numPr>
          <w:ilvl w:val="0"/>
          <w:numId w:val="0"/>
        </w:numPr>
        <w:spacing w:line="600" w:lineRule="exact"/>
        <w:jc w:val="center"/>
        <w:outlineLvl w:val="0"/>
        <w:rPr>
          <w:rStyle w:val="16"/>
          <w:rFonts w:ascii="黑体" w:hAnsi="黑体" w:eastAsia="黑体"/>
          <w:b w:val="0"/>
          <w:color w:val="auto"/>
          <w:highlight w:val="none"/>
        </w:rPr>
      </w:pPr>
      <w:bookmarkStart w:id="34" w:name="_Toc10352"/>
      <w:bookmarkStart w:id="35" w:name="_Toc15245"/>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6"/>
          <w:rFonts w:hint="eastAsia" w:ascii="黑体" w:hAnsi="黑体" w:eastAsia="黑体"/>
          <w:b w:val="0"/>
          <w:color w:val="auto"/>
          <w:highlight w:val="none"/>
        </w:rPr>
        <w:t>词解释</w:t>
      </w:r>
      <w:bookmarkEnd w:id="34"/>
      <w:bookmarkEnd w:id="35"/>
    </w:p>
    <w:p w14:paraId="6EFA0398">
      <w:pPr>
        <w:spacing w:line="600" w:lineRule="exact"/>
        <w:jc w:val="left"/>
        <w:rPr>
          <w:rFonts w:ascii="宋体"/>
          <w:b/>
          <w:color w:val="auto"/>
          <w:sz w:val="44"/>
          <w:szCs w:val="44"/>
          <w:highlight w:val="none"/>
        </w:rPr>
      </w:pPr>
    </w:p>
    <w:p w14:paraId="73A0ECB8">
      <w:pPr>
        <w:pStyle w:val="19"/>
        <w:spacing w:line="560" w:lineRule="exact"/>
        <w:ind w:firstLine="640" w:firstLineChars="200"/>
        <w:outlineLvl w:val="1"/>
        <w:rPr>
          <w:rFonts w:ascii="仿宋_GB2312" w:eastAsia="仿宋_GB2312"/>
          <w:color w:val="auto"/>
          <w:sz w:val="32"/>
          <w:szCs w:val="32"/>
          <w:highlight w:val="none"/>
        </w:rPr>
      </w:pPr>
      <w:bookmarkStart w:id="36" w:name="_Toc22062"/>
      <w:bookmarkStart w:id="37" w:name="_Toc1254"/>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36"/>
      <w:bookmarkEnd w:id="37"/>
    </w:p>
    <w:p w14:paraId="10F9277E">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1B158AC8">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38F2C9E9">
      <w:pPr>
        <w:pStyle w:val="19"/>
        <w:spacing w:line="560" w:lineRule="exact"/>
        <w:ind w:firstLine="640" w:firstLineChars="200"/>
        <w:outlineLvl w:val="1"/>
        <w:rPr>
          <w:rFonts w:ascii="仿宋_GB2312" w:eastAsia="仿宋_GB2312"/>
          <w:color w:val="auto"/>
          <w:sz w:val="32"/>
          <w:szCs w:val="32"/>
          <w:highlight w:val="none"/>
        </w:rPr>
      </w:pPr>
      <w:bookmarkStart w:id="38" w:name="_Toc7151"/>
      <w:bookmarkStart w:id="39" w:name="_Toc5647"/>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38"/>
      <w:bookmarkEnd w:id="39"/>
      <w:r>
        <w:rPr>
          <w:rFonts w:ascii="仿宋_GB2312" w:eastAsia="仿宋_GB2312"/>
          <w:color w:val="auto"/>
          <w:sz w:val="32"/>
          <w:szCs w:val="32"/>
          <w:highlight w:val="none"/>
        </w:rPr>
        <w:t xml:space="preserve"> </w:t>
      </w:r>
    </w:p>
    <w:p w14:paraId="17B66B7F">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14:paraId="6DCCEE4D">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05D36164">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50CEF16B">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65A618A4">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反映机关事业单位实施养老保险制度由单位缴纳的基本养老保险费支出。</w:t>
      </w:r>
    </w:p>
    <w:p w14:paraId="52D59C8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指反映机关事业单位实施养老保险制度由单位实际缴纳的职业年金支出</w:t>
      </w:r>
      <w:r>
        <w:rPr>
          <w:rFonts w:hint="eastAsia" w:ascii="仿宋_GB2312" w:eastAsia="仿宋_GB2312"/>
          <w:color w:val="auto"/>
          <w:sz w:val="32"/>
          <w:szCs w:val="32"/>
          <w:highlight w:val="none"/>
        </w:rPr>
        <w:t>。</w:t>
      </w:r>
    </w:p>
    <w:p w14:paraId="5BA1E51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反映财政部门安排的事业单位基本医疗保险缴费经费，未参加医疗保险的事业单位的公费医疗经费，按国家规定享受离休人员待遇的医疗经费。</w:t>
      </w:r>
    </w:p>
    <w:p w14:paraId="7E73B7ED">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反映除上述项目以外的其他用于行政事业单位医疗方面的支出。</w:t>
      </w:r>
    </w:p>
    <w:p w14:paraId="3BA16063">
      <w:pPr>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.交通运输支出（类）公路水路运输（款）公路养护</w:t>
      </w:r>
      <w:r>
        <w:rPr>
          <w:rFonts w:hint="eastAsia" w:ascii="仿宋_GB2312" w:hAnsi="Times New Roman" w:eastAsia="仿宋_GB2312" w:cs="Times New Roman"/>
          <w:color w:val="auto"/>
          <w:sz w:val="32"/>
          <w:szCs w:val="32"/>
          <w:highlight w:val="none"/>
          <w:lang w:val="en-US" w:eastAsia="zh-CN"/>
        </w:rPr>
        <w:t>（项）：指反映公路养护支出。</w:t>
      </w:r>
    </w:p>
    <w:p w14:paraId="1B268BFF">
      <w:pPr>
        <w:ind w:firstLine="640" w:firstLineChars="200"/>
        <w:rPr>
          <w:rFonts w:hint="default"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14.交通运输支出（类）公路水路运输（款）其他公路水路运输支出（项）: 指反应其他公路水路运输支出。</w:t>
      </w:r>
    </w:p>
    <w:p w14:paraId="7F0B30AE">
      <w:pPr>
        <w:ind w:firstLine="640" w:firstLineChars="200"/>
        <w:rPr>
          <w:rFonts w:hint="eastAsia" w:ascii="仿宋_GB2312" w:eastAsia="仿宋_GB2312"/>
          <w:color w:val="auto"/>
          <w:sz w:val="32"/>
          <w:szCs w:val="32"/>
          <w:highlight w:val="none"/>
        </w:rPr>
      </w:pPr>
      <w:r>
        <w:rPr>
          <w:rFonts w:hint="eastAsia" w:ascii="仿宋_GB2312" w:hAnsi="Times New Roman" w:eastAsia="仿宋_GB2312" w:cs="Times New Roman"/>
          <w:color w:val="auto"/>
          <w:sz w:val="32"/>
          <w:szCs w:val="32"/>
          <w:highlight w:val="none"/>
          <w:lang w:val="en-US" w:eastAsia="zh-CN"/>
        </w:rPr>
        <w:t>15.住房保障支出（类）住房改革支出（款）住房公积金（项）：指反映行政事业单位按人力资源和社会保障部、</w:t>
      </w:r>
      <w:r>
        <w:rPr>
          <w:rFonts w:hint="eastAsia" w:ascii="仿宋_GB2312" w:eastAsia="仿宋_GB2312"/>
          <w:color w:val="auto"/>
          <w:sz w:val="32"/>
          <w:szCs w:val="32"/>
          <w:highlight w:val="none"/>
        </w:rPr>
        <w:t>财政部规定的 基本工资和津贴补贴以及规定比例为职工缴纳的住房公积金。</w:t>
      </w:r>
    </w:p>
    <w:p w14:paraId="1CD3B541">
      <w:pPr>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指反映按房改政策规定，行政事业单位向符合条件职工（含离 退休人员）、军队（含武警）向转役复员离退休人员发放的用于购买住房的补贴。</w:t>
      </w:r>
    </w:p>
    <w:p w14:paraId="5142673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3D3DDE10">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2A0F0F4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4AB10FFD">
      <w:pPr>
        <w:pStyle w:val="1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C751DEF">
      <w:pPr>
        <w:pStyle w:val="1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21</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FFBF134">
      <w:pPr>
        <w:pStyle w:val="19"/>
        <w:spacing w:line="560" w:lineRule="exact"/>
        <w:ind w:firstLine="640" w:firstLineChars="200"/>
        <w:rPr>
          <w:rFonts w:ascii="仿宋_GB2312" w:eastAsia="仿宋_GB2312" w:cs="黑体"/>
          <w:color w:val="auto"/>
          <w:sz w:val="32"/>
          <w:szCs w:val="32"/>
          <w:highlight w:val="none"/>
        </w:rPr>
      </w:pPr>
    </w:p>
    <w:p w14:paraId="202E6C1C">
      <w:pPr>
        <w:spacing w:line="600" w:lineRule="exact"/>
        <w:jc w:val="center"/>
        <w:outlineLvl w:val="0"/>
        <w:rPr>
          <w:rStyle w:val="16"/>
          <w:rFonts w:ascii="黑体" w:hAnsi="黑体" w:eastAsia="黑体"/>
          <w:b w:val="0"/>
          <w:color w:val="auto"/>
          <w:highlight w:val="none"/>
        </w:rPr>
      </w:pPr>
      <w:r>
        <w:rPr>
          <w:rFonts w:ascii="宋体"/>
          <w:b/>
          <w:color w:val="auto"/>
          <w:sz w:val="44"/>
          <w:szCs w:val="44"/>
          <w:highlight w:val="none"/>
        </w:rPr>
        <w:br w:type="page"/>
      </w:r>
      <w:bookmarkStart w:id="40" w:name="_Toc7873"/>
      <w:bookmarkStart w:id="41" w:name="_Toc1295"/>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四部分 附件</w:t>
      </w:r>
      <w:bookmarkEnd w:id="40"/>
      <w:bookmarkEnd w:id="41"/>
    </w:p>
    <w:p w14:paraId="07B8A269">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14:paraId="5CE90D7C">
      <w:pPr>
        <w:pStyle w:val="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Calibri" w:eastAsia="仿宋_GB2312" w:cs="仿宋"/>
          <w:color w:val="auto"/>
          <w:sz w:val="32"/>
          <w:szCs w:val="32"/>
          <w:highlight w:val="none"/>
          <w:lang w:val="zh-CN" w:eastAsia="zh-CN" w:bidi="ar-SA"/>
        </w:rPr>
      </w:pPr>
      <w:r>
        <w:rPr>
          <w:rFonts w:hint="eastAsia" w:cs="Times New Roman"/>
          <w:sz w:val="32"/>
          <w:szCs w:val="32"/>
          <w:highlight w:val="none"/>
          <w:lang w:val="en-US" w:eastAsia="zh-CN"/>
        </w:rPr>
        <w:t>2023年阿坝藏族羌族自治州公路管理局刷经寺公路管理分局无单位</w:t>
      </w:r>
      <w:r>
        <w:rPr>
          <w:rFonts w:hint="eastAsia" w:hAnsi="Times New Roman" w:cs="Times New Roman"/>
          <w:sz w:val="32"/>
          <w:szCs w:val="32"/>
          <w:highlight w:val="none"/>
          <w:lang w:val="en-US" w:eastAsia="zh-CN"/>
        </w:rPr>
        <w:t>预算项目支出绩效自评表</w:t>
      </w:r>
      <w:r>
        <w:rPr>
          <w:rFonts w:hint="eastAsia" w:cs="Times New Roman"/>
          <w:sz w:val="32"/>
          <w:szCs w:val="32"/>
          <w:highlight w:val="none"/>
          <w:lang w:val="en-US" w:eastAsia="zh-CN"/>
        </w:rPr>
        <w:t>。</w:t>
      </w:r>
    </w:p>
    <w:p w14:paraId="7485CEDF">
      <w:pPr>
        <w:pStyle w:val="8"/>
        <w:rPr>
          <w:rFonts w:hint="eastAsia" w:ascii="仿宋_GB2312" w:hAnsi="Calibri" w:eastAsia="仿宋_GB2312" w:cs="仿宋"/>
          <w:color w:val="auto"/>
          <w:kern w:val="0"/>
          <w:sz w:val="32"/>
          <w:szCs w:val="32"/>
          <w:highlight w:val="none"/>
          <w:lang w:val="en-US" w:eastAsia="zh-CN" w:bidi="ar-SA"/>
        </w:rPr>
      </w:pPr>
    </w:p>
    <w:p w14:paraId="7E60AC51">
      <w:pPr>
        <w:pStyle w:val="8"/>
        <w:rPr>
          <w:rFonts w:hint="eastAsia" w:ascii="仿宋_GB2312" w:hAnsi="Calibri" w:eastAsia="仿宋_GB2312" w:cs="仿宋"/>
          <w:color w:val="auto"/>
          <w:kern w:val="0"/>
          <w:sz w:val="32"/>
          <w:szCs w:val="32"/>
          <w:highlight w:val="none"/>
          <w:lang w:val="en-US" w:eastAsia="zh-CN" w:bidi="ar-SA"/>
        </w:rPr>
      </w:pPr>
    </w:p>
    <w:p w14:paraId="6CF2DAAA">
      <w:pPr>
        <w:pStyle w:val="8"/>
        <w:rPr>
          <w:rFonts w:hint="eastAsia" w:ascii="仿宋_GB2312" w:hAnsi="Calibri" w:eastAsia="仿宋_GB2312" w:cs="仿宋"/>
          <w:color w:val="auto"/>
          <w:kern w:val="0"/>
          <w:sz w:val="32"/>
          <w:szCs w:val="32"/>
          <w:highlight w:val="none"/>
          <w:lang w:val="en-US" w:eastAsia="zh-CN" w:bidi="ar-SA"/>
        </w:rPr>
      </w:pPr>
    </w:p>
    <w:p w14:paraId="4A55B9E8">
      <w:pPr>
        <w:pStyle w:val="8"/>
        <w:rPr>
          <w:rFonts w:hint="eastAsia" w:ascii="仿宋_GB2312" w:hAnsi="Calibri" w:eastAsia="仿宋_GB2312" w:cs="仿宋"/>
          <w:color w:val="auto"/>
          <w:kern w:val="0"/>
          <w:sz w:val="32"/>
          <w:szCs w:val="32"/>
          <w:highlight w:val="none"/>
          <w:lang w:val="en-US" w:eastAsia="zh-CN" w:bidi="ar-SA"/>
        </w:rPr>
      </w:pPr>
    </w:p>
    <w:p w14:paraId="69AB9994">
      <w:pPr>
        <w:pStyle w:val="8"/>
        <w:rPr>
          <w:rFonts w:hint="eastAsia" w:ascii="仿宋_GB2312" w:hAnsi="Calibri" w:eastAsia="仿宋_GB2312" w:cs="仿宋"/>
          <w:color w:val="auto"/>
          <w:kern w:val="0"/>
          <w:sz w:val="32"/>
          <w:szCs w:val="32"/>
          <w:highlight w:val="none"/>
          <w:lang w:val="en-US" w:eastAsia="zh-CN" w:bidi="ar-SA"/>
        </w:rPr>
      </w:pPr>
    </w:p>
    <w:p w14:paraId="108FF6BA">
      <w:pPr>
        <w:pStyle w:val="8"/>
        <w:rPr>
          <w:rFonts w:hint="eastAsia" w:ascii="仿宋_GB2312" w:hAnsi="Calibri" w:eastAsia="仿宋_GB2312" w:cs="仿宋"/>
          <w:color w:val="auto"/>
          <w:kern w:val="0"/>
          <w:sz w:val="32"/>
          <w:szCs w:val="32"/>
          <w:highlight w:val="none"/>
          <w:lang w:val="en-US" w:eastAsia="zh-CN" w:bidi="ar-SA"/>
        </w:rPr>
      </w:pPr>
    </w:p>
    <w:p w14:paraId="661AC0D9">
      <w:pPr>
        <w:pStyle w:val="8"/>
        <w:rPr>
          <w:rFonts w:hint="eastAsia" w:ascii="仿宋_GB2312" w:hAnsi="Calibri" w:eastAsia="仿宋_GB2312" w:cs="仿宋"/>
          <w:color w:val="auto"/>
          <w:kern w:val="0"/>
          <w:sz w:val="32"/>
          <w:szCs w:val="32"/>
          <w:highlight w:val="none"/>
          <w:lang w:val="en-US" w:eastAsia="zh-CN" w:bidi="ar-SA"/>
        </w:rPr>
      </w:pPr>
    </w:p>
    <w:p w14:paraId="02E74D79">
      <w:pPr>
        <w:pStyle w:val="8"/>
        <w:rPr>
          <w:rFonts w:hint="eastAsia" w:ascii="仿宋_GB2312" w:hAnsi="Calibri" w:eastAsia="仿宋_GB2312" w:cs="仿宋"/>
          <w:color w:val="auto"/>
          <w:kern w:val="0"/>
          <w:sz w:val="32"/>
          <w:szCs w:val="32"/>
          <w:highlight w:val="none"/>
          <w:lang w:val="en-US" w:eastAsia="zh-CN" w:bidi="ar-SA"/>
        </w:rPr>
      </w:pPr>
    </w:p>
    <w:p w14:paraId="449235B5">
      <w:pPr>
        <w:pStyle w:val="8"/>
        <w:rPr>
          <w:rFonts w:hint="eastAsia" w:ascii="仿宋_GB2312" w:hAnsi="Calibri" w:eastAsia="仿宋_GB2312" w:cs="仿宋"/>
          <w:color w:val="auto"/>
          <w:kern w:val="0"/>
          <w:sz w:val="32"/>
          <w:szCs w:val="32"/>
          <w:highlight w:val="none"/>
          <w:lang w:val="en-US" w:eastAsia="zh-CN" w:bidi="ar-SA"/>
        </w:rPr>
      </w:pPr>
    </w:p>
    <w:p w14:paraId="03F5AFE2">
      <w:pPr>
        <w:pStyle w:val="8"/>
        <w:rPr>
          <w:rFonts w:hint="eastAsia" w:ascii="仿宋_GB2312" w:hAnsi="Calibri" w:eastAsia="仿宋_GB2312" w:cs="仿宋"/>
          <w:color w:val="auto"/>
          <w:kern w:val="0"/>
          <w:sz w:val="32"/>
          <w:szCs w:val="32"/>
          <w:highlight w:val="none"/>
          <w:lang w:val="en-US" w:eastAsia="zh-CN" w:bidi="ar-SA"/>
        </w:rPr>
      </w:pPr>
    </w:p>
    <w:p w14:paraId="6BACB805">
      <w:pPr>
        <w:pStyle w:val="8"/>
        <w:rPr>
          <w:rFonts w:hint="eastAsia" w:ascii="仿宋_GB2312" w:hAnsi="Calibri" w:eastAsia="仿宋_GB2312" w:cs="仿宋"/>
          <w:color w:val="auto"/>
          <w:kern w:val="0"/>
          <w:sz w:val="32"/>
          <w:szCs w:val="32"/>
          <w:highlight w:val="none"/>
          <w:lang w:val="en-US" w:eastAsia="zh-CN" w:bidi="ar-SA"/>
        </w:rPr>
      </w:pPr>
    </w:p>
    <w:p w14:paraId="53315D6C">
      <w:pPr>
        <w:pStyle w:val="8"/>
        <w:rPr>
          <w:rFonts w:hint="eastAsia" w:ascii="仿宋_GB2312" w:hAnsi="Calibri" w:eastAsia="仿宋_GB2312" w:cs="仿宋"/>
          <w:color w:val="auto"/>
          <w:kern w:val="0"/>
          <w:sz w:val="32"/>
          <w:szCs w:val="32"/>
          <w:highlight w:val="none"/>
          <w:lang w:val="en-US" w:eastAsia="zh-CN" w:bidi="ar-SA"/>
        </w:rPr>
      </w:pPr>
    </w:p>
    <w:p w14:paraId="24D170DA">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64923E71">
      <w:pPr>
        <w:spacing w:line="600" w:lineRule="exact"/>
        <w:jc w:val="center"/>
        <w:outlineLvl w:val="0"/>
        <w:rPr>
          <w:rFonts w:hint="eastAsia" w:ascii="仿宋" w:hAnsi="仿宋" w:eastAsia="仿宋"/>
          <w:b w:val="0"/>
          <w:color w:val="auto"/>
          <w:highlight w:val="none"/>
        </w:rPr>
      </w:pPr>
      <w:bookmarkStart w:id="42" w:name="_Toc20054"/>
      <w:bookmarkStart w:id="43" w:name="_Toc6903"/>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五部分 附表</w:t>
      </w:r>
      <w:bookmarkEnd w:id="42"/>
      <w:bookmarkEnd w:id="43"/>
    </w:p>
    <w:p w14:paraId="2AC3300C">
      <w:pPr>
        <w:pStyle w:val="6"/>
        <w:rPr>
          <w:rFonts w:ascii="仿宋" w:hAnsi="仿宋" w:eastAsia="仿宋"/>
          <w:color w:val="auto"/>
          <w:highlight w:val="none"/>
        </w:rPr>
      </w:pPr>
      <w:bookmarkStart w:id="44" w:name="_Toc2331"/>
      <w:bookmarkStart w:id="45" w:name="_Toc17155"/>
      <w:r>
        <w:rPr>
          <w:rFonts w:hint="eastAsia" w:ascii="仿宋" w:hAnsi="仿宋" w:eastAsia="仿宋"/>
          <w:b w:val="0"/>
          <w:color w:val="auto"/>
          <w:highlight w:val="none"/>
        </w:rPr>
        <w:t>一、收</w:t>
      </w:r>
      <w:r>
        <w:rPr>
          <w:rStyle w:val="17"/>
          <w:rFonts w:hint="eastAsia" w:ascii="仿宋" w:hAnsi="仿宋" w:eastAsia="仿宋"/>
          <w:b w:val="0"/>
          <w:bCs w:val="0"/>
          <w:color w:val="auto"/>
          <w:highlight w:val="none"/>
        </w:rPr>
        <w:t>入支出决算总表</w:t>
      </w:r>
      <w:bookmarkEnd w:id="44"/>
      <w:bookmarkEnd w:id="45"/>
    </w:p>
    <w:p w14:paraId="753E8E6D">
      <w:pPr>
        <w:pStyle w:val="6"/>
        <w:rPr>
          <w:rFonts w:ascii="仿宋" w:hAnsi="仿宋" w:eastAsia="仿宋"/>
          <w:color w:val="auto"/>
          <w:highlight w:val="none"/>
        </w:rPr>
      </w:pPr>
      <w:bookmarkStart w:id="46" w:name="_Toc18608"/>
      <w:bookmarkStart w:id="47" w:name="_Toc13506"/>
      <w:r>
        <w:rPr>
          <w:rFonts w:hint="eastAsia" w:ascii="仿宋" w:hAnsi="仿宋" w:eastAsia="仿宋"/>
          <w:b w:val="0"/>
          <w:color w:val="auto"/>
          <w:highlight w:val="none"/>
        </w:rPr>
        <w:t>二、收</w:t>
      </w:r>
      <w:r>
        <w:rPr>
          <w:rStyle w:val="17"/>
          <w:rFonts w:hint="eastAsia" w:ascii="仿宋" w:hAnsi="仿宋" w:eastAsia="仿宋"/>
          <w:b w:val="0"/>
          <w:bCs w:val="0"/>
          <w:color w:val="auto"/>
          <w:highlight w:val="none"/>
        </w:rPr>
        <w:t>入决算表</w:t>
      </w:r>
      <w:bookmarkEnd w:id="46"/>
      <w:bookmarkEnd w:id="47"/>
    </w:p>
    <w:p w14:paraId="5AFA7883">
      <w:pPr>
        <w:pStyle w:val="6"/>
        <w:rPr>
          <w:rFonts w:ascii="仿宋" w:hAnsi="仿宋" w:eastAsia="仿宋"/>
          <w:color w:val="auto"/>
          <w:highlight w:val="none"/>
        </w:rPr>
      </w:pPr>
      <w:bookmarkStart w:id="48" w:name="_Toc8717"/>
      <w:bookmarkStart w:id="49" w:name="_Toc24373"/>
      <w:r>
        <w:rPr>
          <w:rStyle w:val="1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7"/>
          <w:rFonts w:hint="eastAsia" w:ascii="仿宋" w:hAnsi="仿宋" w:eastAsia="仿宋"/>
          <w:b w:val="0"/>
          <w:bCs w:val="0"/>
          <w:color w:val="auto"/>
          <w:highlight w:val="none"/>
        </w:rPr>
        <w:t>出决算表</w:t>
      </w:r>
      <w:bookmarkEnd w:id="48"/>
      <w:bookmarkEnd w:id="49"/>
    </w:p>
    <w:p w14:paraId="7B873F7D">
      <w:pPr>
        <w:pStyle w:val="6"/>
        <w:rPr>
          <w:rFonts w:ascii="仿宋" w:hAnsi="仿宋" w:eastAsia="仿宋"/>
          <w:b w:val="0"/>
          <w:color w:val="auto"/>
          <w:highlight w:val="none"/>
        </w:rPr>
      </w:pPr>
      <w:bookmarkStart w:id="50" w:name="_Toc20994"/>
      <w:bookmarkStart w:id="51" w:name="_Toc27918"/>
      <w:r>
        <w:rPr>
          <w:rStyle w:val="1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政拨款收入支出决算总表</w:t>
      </w:r>
      <w:bookmarkEnd w:id="50"/>
      <w:bookmarkEnd w:id="51"/>
    </w:p>
    <w:p w14:paraId="6343C76D">
      <w:pPr>
        <w:pStyle w:val="6"/>
        <w:rPr>
          <w:rStyle w:val="17"/>
          <w:rFonts w:ascii="仿宋" w:hAnsi="仿宋" w:eastAsia="仿宋"/>
          <w:b w:val="0"/>
          <w:bCs w:val="0"/>
          <w:color w:val="auto"/>
          <w:highlight w:val="none"/>
        </w:rPr>
      </w:pPr>
      <w:bookmarkStart w:id="52" w:name="_Toc23638"/>
      <w:bookmarkStart w:id="53" w:name="_Toc7098"/>
      <w:r>
        <w:rPr>
          <w:rStyle w:val="1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政拨款支出决算明细表</w:t>
      </w:r>
      <w:bookmarkEnd w:id="52"/>
      <w:bookmarkEnd w:id="53"/>
    </w:p>
    <w:p w14:paraId="1AD4D302">
      <w:pPr>
        <w:pStyle w:val="6"/>
        <w:rPr>
          <w:rFonts w:ascii="仿宋" w:hAnsi="仿宋" w:eastAsia="仿宋"/>
          <w:color w:val="auto"/>
          <w:highlight w:val="none"/>
        </w:rPr>
      </w:pPr>
      <w:bookmarkStart w:id="54" w:name="_Toc10675"/>
      <w:bookmarkStart w:id="55" w:name="_Toc25025"/>
      <w:r>
        <w:rPr>
          <w:rStyle w:val="1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般公共预算财政拨款支出决算表</w:t>
      </w:r>
      <w:bookmarkEnd w:id="54"/>
      <w:bookmarkEnd w:id="55"/>
    </w:p>
    <w:p w14:paraId="29CF1DB0">
      <w:pPr>
        <w:pStyle w:val="6"/>
        <w:rPr>
          <w:rFonts w:ascii="仿宋" w:hAnsi="仿宋" w:eastAsia="仿宋"/>
          <w:color w:val="auto"/>
          <w:highlight w:val="none"/>
        </w:rPr>
      </w:pPr>
      <w:bookmarkStart w:id="56" w:name="_Toc3006"/>
      <w:bookmarkStart w:id="57" w:name="_Toc18811"/>
      <w:r>
        <w:rPr>
          <w:rStyle w:val="1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般公共预算财政拨款支出决算明细表</w:t>
      </w:r>
      <w:bookmarkEnd w:id="56"/>
      <w:bookmarkEnd w:id="57"/>
    </w:p>
    <w:p w14:paraId="1E821D41">
      <w:pPr>
        <w:pStyle w:val="6"/>
        <w:rPr>
          <w:rFonts w:ascii="仿宋" w:hAnsi="仿宋" w:eastAsia="仿宋"/>
          <w:color w:val="auto"/>
          <w:highlight w:val="none"/>
        </w:rPr>
      </w:pPr>
      <w:bookmarkStart w:id="58" w:name="_Toc5393"/>
      <w:bookmarkStart w:id="59" w:name="_Toc6568"/>
      <w:r>
        <w:rPr>
          <w:rStyle w:val="1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般公共预算财政拨款基本支出决算表</w:t>
      </w:r>
      <w:bookmarkEnd w:id="58"/>
      <w:bookmarkEnd w:id="59"/>
    </w:p>
    <w:p w14:paraId="6243580D">
      <w:pPr>
        <w:pStyle w:val="6"/>
        <w:rPr>
          <w:rFonts w:ascii="仿宋" w:hAnsi="仿宋" w:eastAsia="仿宋"/>
          <w:color w:val="auto"/>
          <w:highlight w:val="none"/>
        </w:rPr>
      </w:pPr>
      <w:bookmarkStart w:id="60" w:name="_Toc22895"/>
      <w:bookmarkStart w:id="61" w:name="_Toc23674"/>
      <w:r>
        <w:rPr>
          <w:rStyle w:val="1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般公共预算财政拨款项目支出决算表</w:t>
      </w:r>
      <w:bookmarkEnd w:id="60"/>
      <w:bookmarkEnd w:id="61"/>
    </w:p>
    <w:p w14:paraId="5EB1AC58">
      <w:pPr>
        <w:pStyle w:val="6"/>
        <w:rPr>
          <w:rFonts w:ascii="仿宋" w:hAnsi="仿宋" w:eastAsia="仿宋"/>
          <w:color w:val="auto"/>
          <w:highlight w:val="none"/>
        </w:rPr>
      </w:pPr>
      <w:bookmarkStart w:id="62" w:name="_Toc18594"/>
      <w:bookmarkStart w:id="63" w:name="_Toc29761"/>
      <w:r>
        <w:rPr>
          <w:rStyle w:val="17"/>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7"/>
          <w:rFonts w:hint="eastAsia" w:ascii="仿宋" w:hAnsi="仿宋" w:eastAsia="仿宋"/>
          <w:b w:val="0"/>
          <w:bCs w:val="0"/>
          <w:color w:val="auto"/>
          <w:highlight w:val="none"/>
        </w:rPr>
        <w:t>府性基金预算财政拨款收入支出决算表</w:t>
      </w:r>
      <w:bookmarkEnd w:id="62"/>
      <w:bookmarkEnd w:id="63"/>
    </w:p>
    <w:p w14:paraId="58C06713">
      <w:pPr>
        <w:pStyle w:val="6"/>
        <w:rPr>
          <w:rFonts w:ascii="仿宋" w:hAnsi="仿宋" w:eastAsia="仿宋"/>
          <w:color w:val="auto"/>
          <w:highlight w:val="none"/>
        </w:rPr>
      </w:pPr>
      <w:bookmarkStart w:id="64" w:name="_Toc28944"/>
      <w:bookmarkStart w:id="65" w:name="_Toc23140"/>
      <w:r>
        <w:rPr>
          <w:rStyle w:val="17"/>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7"/>
          <w:rFonts w:hint="eastAsia" w:ascii="仿宋" w:hAnsi="仿宋" w:eastAsia="仿宋"/>
          <w:b w:val="0"/>
          <w:bCs w:val="0"/>
          <w:color w:val="auto"/>
          <w:highlight w:val="none"/>
        </w:rPr>
        <w:t>有资本经营预算</w:t>
      </w:r>
      <w:r>
        <w:rPr>
          <w:rStyle w:val="17"/>
          <w:rFonts w:hint="eastAsia" w:ascii="仿宋" w:hAnsi="仿宋" w:eastAsia="仿宋"/>
          <w:b w:val="0"/>
          <w:bCs w:val="0"/>
          <w:color w:val="auto"/>
          <w:highlight w:val="none"/>
          <w:lang w:eastAsia="zh-CN"/>
        </w:rPr>
        <w:t>财政拨款收入</w:t>
      </w:r>
      <w:r>
        <w:rPr>
          <w:rStyle w:val="17"/>
          <w:rFonts w:hint="eastAsia" w:ascii="仿宋" w:hAnsi="仿宋" w:eastAsia="仿宋"/>
          <w:b w:val="0"/>
          <w:bCs w:val="0"/>
          <w:color w:val="auto"/>
          <w:highlight w:val="none"/>
        </w:rPr>
        <w:t>支出决算表</w:t>
      </w:r>
      <w:bookmarkEnd w:id="64"/>
      <w:bookmarkEnd w:id="65"/>
    </w:p>
    <w:p w14:paraId="36E1831F">
      <w:pPr>
        <w:pStyle w:val="6"/>
        <w:rPr>
          <w:rFonts w:ascii="仿宋" w:hAnsi="仿宋" w:eastAsia="仿宋"/>
          <w:color w:val="auto"/>
          <w:highlight w:val="none"/>
        </w:rPr>
      </w:pPr>
      <w:bookmarkStart w:id="66" w:name="_Toc21733"/>
      <w:bookmarkStart w:id="67" w:name="_Toc29958"/>
      <w:r>
        <w:rPr>
          <w:rStyle w:val="17"/>
          <w:rFonts w:hint="eastAsia" w:ascii="仿宋" w:hAnsi="仿宋" w:eastAsia="仿宋"/>
          <w:b w:val="0"/>
          <w:bCs w:val="0"/>
          <w:color w:val="auto"/>
          <w:highlight w:val="none"/>
        </w:rPr>
        <w:t>十二、</w:t>
      </w:r>
      <w:r>
        <w:rPr>
          <w:rStyle w:val="17"/>
          <w:rFonts w:hint="eastAsia" w:ascii="仿宋" w:hAnsi="仿宋" w:eastAsia="仿宋"/>
          <w:b w:val="0"/>
          <w:bCs w:val="0"/>
          <w:color w:val="auto"/>
          <w:highlight w:val="none"/>
          <w:lang w:eastAsia="zh-CN"/>
        </w:rPr>
        <w:t>国有资本经营预算财政拨款支出决算表</w:t>
      </w:r>
      <w:bookmarkEnd w:id="66"/>
      <w:bookmarkEnd w:id="67"/>
    </w:p>
    <w:p w14:paraId="7C699795">
      <w:pPr>
        <w:pStyle w:val="6"/>
        <w:rPr>
          <w:rFonts w:hint="eastAsia" w:eastAsia="仿宋"/>
          <w:color w:val="auto"/>
          <w:highlight w:val="none"/>
          <w:lang w:eastAsia="zh-CN"/>
        </w:rPr>
      </w:pPr>
      <w:bookmarkStart w:id="68" w:name="_Toc5244"/>
      <w:bookmarkStart w:id="69" w:name="_Toc32173"/>
      <w:r>
        <w:rPr>
          <w:rStyle w:val="17"/>
          <w:rFonts w:hint="eastAsia" w:ascii="仿宋" w:hAnsi="仿宋" w:eastAsia="仿宋"/>
          <w:b w:val="0"/>
          <w:bCs w:val="0"/>
          <w:color w:val="auto"/>
          <w:highlight w:val="none"/>
        </w:rPr>
        <w:t>十三、</w:t>
      </w:r>
      <w:r>
        <w:rPr>
          <w:rStyle w:val="17"/>
          <w:rFonts w:hint="eastAsia" w:ascii="仿宋" w:hAnsi="仿宋" w:eastAsia="仿宋"/>
          <w:b w:val="0"/>
          <w:bCs w:val="0"/>
          <w:color w:val="auto"/>
          <w:highlight w:val="none"/>
          <w:lang w:eastAsia="zh-CN"/>
        </w:rPr>
        <w:t>财政拨款“三公”经费支出决算表</w:t>
      </w:r>
      <w:bookmarkEnd w:id="68"/>
      <w:bookmarkEnd w:id="69"/>
    </w:p>
    <w:p w14:paraId="5D91F3B2">
      <w:pPr>
        <w:rPr>
          <w:rFonts w:hint="eastAsia"/>
          <w:lang w:eastAsia="zh-CN"/>
        </w:rPr>
      </w:pPr>
    </w:p>
    <w:p w14:paraId="2399900D"/>
    <w:sectPr>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9A1EF">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1B486ED8">
                              <w:pPr>
                                <w:pStyle w:val="9"/>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03B9FDBB">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1B486ED8">
                        <w:pPr>
                          <w:pStyle w:val="9"/>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03B9FDBB">
                    <w:pPr>
                      <w:pStyle w:val="2"/>
                    </w:pPr>
                  </w:p>
                </w:txbxContent>
              </v:textbox>
            </v:shape>
          </w:pict>
        </mc:Fallback>
      </mc:AlternateContent>
    </w:r>
  </w:p>
  <w:p w14:paraId="102DB9E2">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CFC7D">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80B42E">
                          <w:pPr>
                            <w:pStyle w:val="9"/>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4680B42E">
                    <w:pPr>
                      <w:pStyle w:val="9"/>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2CC480C"/>
    <w:rsid w:val="02FB2F3A"/>
    <w:rsid w:val="04EB099C"/>
    <w:rsid w:val="08D212FD"/>
    <w:rsid w:val="09BD6E82"/>
    <w:rsid w:val="140A6E54"/>
    <w:rsid w:val="1D7917DC"/>
    <w:rsid w:val="1FA348AA"/>
    <w:rsid w:val="24ED6B54"/>
    <w:rsid w:val="26E50D2A"/>
    <w:rsid w:val="27862523"/>
    <w:rsid w:val="28EE08D1"/>
    <w:rsid w:val="2FA40906"/>
    <w:rsid w:val="3224079F"/>
    <w:rsid w:val="33B41936"/>
    <w:rsid w:val="34B27EEA"/>
    <w:rsid w:val="382D5279"/>
    <w:rsid w:val="3A221FB6"/>
    <w:rsid w:val="3C1B0D83"/>
    <w:rsid w:val="41F325E5"/>
    <w:rsid w:val="482F19AD"/>
    <w:rsid w:val="4B6045DE"/>
    <w:rsid w:val="525E180D"/>
    <w:rsid w:val="5B6022C7"/>
    <w:rsid w:val="5EAB325C"/>
    <w:rsid w:val="60DE253A"/>
    <w:rsid w:val="61FE71CE"/>
    <w:rsid w:val="64373E17"/>
    <w:rsid w:val="67A24A5E"/>
    <w:rsid w:val="69EF535A"/>
    <w:rsid w:val="6E0F3DEA"/>
    <w:rsid w:val="74186DFA"/>
    <w:rsid w:val="78857244"/>
    <w:rsid w:val="78ED301C"/>
    <w:rsid w:val="7A104BEC"/>
    <w:rsid w:val="7B710B8F"/>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iPriority="99"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Chars="200"/>
    </w:pPr>
    <w:rPr>
      <w:rFonts w:ascii="仿宋_GB2312"/>
      <w:szCs w:val="32"/>
    </w:rPr>
  </w:style>
  <w:style w:type="paragraph" w:styleId="7">
    <w:name w:val="annotation text"/>
    <w:basedOn w:val="1"/>
    <w:semiHidden/>
    <w:unhideWhenUsed/>
    <w:qFormat/>
    <w:uiPriority w:val="99"/>
    <w:pPr>
      <w:jc w:val="left"/>
    </w:pPr>
  </w:style>
  <w:style w:type="paragraph" w:styleId="8">
    <w:name w:val="Body Text"/>
    <w:basedOn w:val="1"/>
    <w:next w:val="1"/>
    <w:qFormat/>
    <w:uiPriority w:val="99"/>
    <w:pPr>
      <w:spacing w:beforeLines="30"/>
    </w:pPr>
    <w:rPr>
      <w:rFonts w:ascii="仿宋_GB2312" w:eastAsia="仿宋_GB2312"/>
      <w:kern w:val="0"/>
      <w:sz w:val="30"/>
    </w:rPr>
  </w:style>
  <w:style w:type="paragraph" w:styleId="9">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99"/>
    <w:pPr>
      <w:spacing w:beforeAutospacing="1" w:afterAutospacing="1"/>
      <w:jc w:val="left"/>
    </w:pPr>
    <w:rPr>
      <w:kern w:val="0"/>
      <w:sz w:val="24"/>
    </w:rPr>
  </w:style>
  <w:style w:type="character" w:styleId="15">
    <w:name w:val="Strong"/>
    <w:basedOn w:val="14"/>
    <w:qFormat/>
    <w:uiPriority w:val="99"/>
    <w:rPr>
      <w:b/>
    </w:rPr>
  </w:style>
  <w:style w:type="character" w:customStyle="1" w:styleId="16">
    <w:name w:val="标题 1 Char"/>
    <w:basedOn w:val="14"/>
    <w:link w:val="5"/>
    <w:qFormat/>
    <w:uiPriority w:val="9"/>
    <w:rPr>
      <w:b/>
      <w:bCs/>
      <w:kern w:val="44"/>
      <w:sz w:val="44"/>
      <w:szCs w:val="44"/>
    </w:rPr>
  </w:style>
  <w:style w:type="character" w:customStyle="1" w:styleId="17">
    <w:name w:val="标题 2 Char"/>
    <w:basedOn w:val="14"/>
    <w:link w:val="6"/>
    <w:qFormat/>
    <w:uiPriority w:val="9"/>
    <w:rPr>
      <w:rFonts w:asciiTheme="majorHAnsi" w:hAnsiTheme="majorHAnsi" w:eastAsiaTheme="majorEastAsia" w:cstheme="majorBidi"/>
      <w:b/>
      <w:bCs/>
      <w:sz w:val="32"/>
      <w:szCs w:val="32"/>
    </w:rPr>
  </w:style>
  <w:style w:type="paragraph" w:styleId="18">
    <w:name w:val="List Paragraph"/>
    <w:basedOn w:val="1"/>
    <w:qFormat/>
    <w:uiPriority w:val="34"/>
    <w:pPr>
      <w:ind w:firstLine="420" w:firstLineChars="200"/>
    </w:pPr>
  </w:style>
  <w:style w:type="paragraph" w:customStyle="1" w:styleId="1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0">
    <w:name w:val="WPSOffice手动目录 1"/>
    <w:qFormat/>
    <w:uiPriority w:val="0"/>
    <w:pPr>
      <w:ind w:leftChars="0"/>
    </w:pPr>
    <w:rPr>
      <w:rFonts w:asciiTheme="minorHAnsi" w:hAnsiTheme="minorHAnsi" w:eastAsiaTheme="minorEastAsia" w:cstheme="minorBidi"/>
      <w:sz w:val="20"/>
      <w:szCs w:val="20"/>
    </w:rPr>
  </w:style>
  <w:style w:type="paragraph" w:customStyle="1" w:styleId="21">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2828.713781</c:v>
                </c:pt>
                <c:pt idx="1">
                  <c:v>2828.713781</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2038.223252</c:v>
                </c:pt>
                <c:pt idx="1">
                  <c:v>2038.223252</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manualLayout>
                  <c:x val="0.00483208504469679"/>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2828.71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支出决算结构图</a:t>
            </a:r>
            <a:endParaRPr lang="en-US" altLang="zh-CN"/>
          </a:p>
        </c:rich>
      </c:tx>
      <c:layout>
        <c:manualLayout>
          <c:xMode val="edge"/>
          <c:yMode val="edge"/>
          <c:x val="0.372432954820005"/>
          <c:y val="0.0254993625159371"/>
        </c:manualLayout>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2701.36</c:v>
                </c:pt>
                <c:pt idx="1" c:formatCode="General">
                  <c:v>127.35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0.00_ </c:formatCode>
                <c:ptCount val="2"/>
                <c:pt idx="0">
                  <c:v>2828.71</c:v>
                </c:pt>
                <c:pt idx="1">
                  <c:v>2828.71</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General</c:formatCode>
                <c:ptCount val="2"/>
                <c:pt idx="0">
                  <c:v>2038.22</c:v>
                </c:pt>
                <c:pt idx="1">
                  <c:v>2038.22</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manualLayout>
          <c:layoutTarget val="inner"/>
          <c:xMode val="edge"/>
          <c:yMode val="edge"/>
          <c:x val="0.105170330997826"/>
          <c:y val="0.161920951976201"/>
          <c:w val="0.754215994201498"/>
          <c:h val="0.735741606459839"/>
        </c:manualLayout>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0.00_ </c:formatCode>
                <c:ptCount val="1"/>
                <c:pt idx="0">
                  <c:v>2828.71</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2038.22</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a:t>
                    </a:r>
                    <a:r>
                      <a:rPr lang="en-US" altLang="zh-CN"/>
                      <a:t>8</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4.</a:t>
                    </a:r>
                    <a:r>
                      <a:rPr lang="en-US" altLang="zh-CN"/>
                      <a:t>9</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manualLayout>
                  <c:x val="0.00181203189176129"/>
                  <c:y val="-0.0063748406289842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80.</a:t>
                    </a:r>
                    <a:r>
                      <a:rPr lang="en-US" altLang="zh-CN"/>
                      <a:t>1</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5.3%</a:t>
                    </a:r>
                  </a:p>
                </c:rich>
              </c:tx>
              <c:dLblPos val="outEnd"/>
              <c:showLegendKey val="0"/>
              <c:showVal val="0"/>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General</c:formatCode>
                <c:ptCount val="4"/>
                <c:pt idx="0">
                  <c:v>275.82</c:v>
                </c:pt>
                <c:pt idx="1">
                  <c:v>137.97</c:v>
                </c:pt>
                <c:pt idx="2" c:formatCode="#,##0.00">
                  <c:v>2264.64</c:v>
                </c:pt>
                <c:pt idx="3">
                  <c:v>150.28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a:t>
            </a:r>
            <a:r>
              <a:rPr altLang="en-US"/>
              <a:t>三公</a:t>
            </a:r>
            <a:r>
              <a:rPr lang="en-US" altLang="zh-CN"/>
              <a:t>”</a:t>
            </a:r>
            <a:r>
              <a:rPr altLang="en-US"/>
              <a:t>经费财政拨款支出</a:t>
            </a:r>
            <a:endParaRPr lang="en-US" altLang="zh-CN"/>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公务用车购置及运行维护费支出</c:v>
                </c:pt>
              </c:strCache>
            </c:strRef>
          </c:cat>
          <c:val>
            <c:numRef>
              <c:f>Sheet1!$B$2</c:f>
              <c:numCache>
                <c:formatCode>General</c:formatCode>
                <c:ptCount val="1"/>
                <c:pt idx="0">
                  <c:v>18.98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6330</Words>
  <Characters>6830</Characters>
  <Lines>0</Lines>
  <Paragraphs>0</Paragraphs>
  <TotalTime>9</TotalTime>
  <ScaleCrop>false</ScaleCrop>
  <LinksUpToDate>false</LinksUpToDate>
  <CharactersWithSpaces>7010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2024-09-18T02:35:21Z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3808EA2F72D84818B60B71CB02E6F5F8_13</vt:lpwstr>
  </property>
</Properties>
</file>