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3BB70">
      <w:pPr>
        <w:rPr>
          <w:rFonts w:hint="eastAsia"/>
          <w:lang w:val="en-US" w:eastAsia="zh-CN"/>
        </w:rPr>
      </w:pPr>
    </w:p>
    <w:p w14:paraId="32569B86">
      <w:pPr>
        <w:pStyle w:val="8"/>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2023年度阿坝藏族羌族自治州公路管理局都江堰干休所单位决算</w:t>
      </w:r>
    </w:p>
    <w:p w14:paraId="47D2FA96">
      <w:pPr>
        <w:widowControl/>
        <w:spacing w:line="440" w:lineRule="exact"/>
        <w:jc w:val="left"/>
        <w:rPr>
          <w:rFonts w:ascii="仿宋" w:hAnsi="仿宋" w:eastAsia="仿宋"/>
          <w:bCs/>
          <w:color w:val="auto"/>
          <w:kern w:val="44"/>
          <w:sz w:val="24"/>
          <w:highlight w:val="none"/>
        </w:rPr>
      </w:pPr>
      <w:r>
        <w:rPr>
          <w:rFonts w:ascii="方正小标宋简体" w:hAnsi="宋体" w:eastAsia="方正小标宋简体"/>
          <w:color w:val="auto"/>
          <w:sz w:val="36"/>
          <w:szCs w:val="36"/>
          <w:highlight w:val="none"/>
        </w:rPr>
        <w:br w:type="page"/>
      </w:r>
    </w:p>
    <w:p w14:paraId="75123BB9">
      <w:pPr>
        <w:widowControl/>
        <w:jc w:val="center"/>
        <w:rPr>
          <w:rFonts w:ascii="黑体" w:hAnsi="黑体" w:eastAsia="黑体"/>
          <w:color w:val="auto"/>
          <w:sz w:val="48"/>
          <w:szCs w:val="48"/>
          <w:highlight w:val="none"/>
        </w:rPr>
      </w:pPr>
      <w:bookmarkStart w:id="0" w:name="_Toc20147"/>
      <w:r>
        <w:rPr>
          <w:rFonts w:hint="eastAsia" w:ascii="黑体" w:hAnsi="黑体" w:eastAsia="黑体"/>
          <w:color w:val="auto"/>
          <w:sz w:val="48"/>
          <w:szCs w:val="48"/>
          <w:highlight w:val="none"/>
        </w:rPr>
        <w:t>目录</w:t>
      </w:r>
    </w:p>
    <w:p w14:paraId="31052014">
      <w:pPr>
        <w:widowControl/>
        <w:jc w:val="center"/>
        <w:rPr>
          <w:rFonts w:ascii="黑体" w:hAnsi="黑体" w:eastAsia="黑体" w:cstheme="minorBidi"/>
          <w:color w:val="auto"/>
          <w:sz w:val="28"/>
          <w:szCs w:val="28"/>
          <w:highlight w:val="none"/>
        </w:rPr>
      </w:pPr>
    </w:p>
    <w:p w14:paraId="3FA0DBBE">
      <w:pPr>
        <w:pStyle w:val="10"/>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3D405250">
      <w:pPr>
        <w:pStyle w:val="8"/>
        <w:rPr>
          <w:rFonts w:hint="eastAsia" w:ascii="黑体" w:hAnsi="黑体" w:eastAsia="黑体"/>
          <w:b w:val="0"/>
          <w:color w:val="auto"/>
          <w:highlight w:val="none"/>
        </w:rPr>
      </w:pPr>
    </w:p>
    <w:sdt>
      <w:sdtPr>
        <w:rPr>
          <w:rFonts w:hint="eastAsia" w:ascii="仿宋" w:hAnsi="仿宋" w:eastAsia="仿宋" w:cs="仿宋"/>
          <w:kern w:val="2"/>
          <w:sz w:val="28"/>
          <w:szCs w:val="28"/>
          <w:lang w:val="en-US" w:eastAsia="zh-CN" w:bidi="ar-SA"/>
        </w:rPr>
        <w:id w:val="147451820"/>
        <w15:color w:val="DBDBDB"/>
        <w:docPartObj>
          <w:docPartGallery w:val="Table of Contents"/>
          <w:docPartUnique/>
        </w:docPartObj>
      </w:sdtPr>
      <w:sdtEndPr>
        <w:rPr>
          <w:rFonts w:hint="eastAsia" w:ascii="黑体" w:hAnsi="黑体" w:eastAsia="黑体" w:cs="Times New Roman"/>
          <w:b/>
          <w:color w:val="auto"/>
          <w:kern w:val="0"/>
          <w:sz w:val="30"/>
          <w:szCs w:val="24"/>
          <w:highlight w:val="none"/>
          <w:lang w:val="en-US" w:eastAsia="zh-CN" w:bidi="ar-SA"/>
        </w:rPr>
      </w:sdtEndPr>
      <w:sdtContent>
        <w:p w14:paraId="774D414D">
          <w:pPr>
            <w:pStyle w:val="20"/>
            <w:tabs>
              <w:tab w:val="right" w:leader="dot" w:pos="8306"/>
            </w:tabs>
            <w:rPr>
              <w:rFonts w:hint="eastAsia" w:ascii="仿宋" w:hAnsi="仿宋" w:eastAsia="仿宋" w:cs="仿宋"/>
              <w:b/>
              <w:sz w:val="28"/>
              <w:szCs w:val="28"/>
            </w:rPr>
          </w:pPr>
          <w:r>
            <w:rPr>
              <w:rFonts w:hint="eastAsia" w:ascii="仿宋" w:hAnsi="仿宋" w:eastAsia="仿宋" w:cs="仿宋"/>
              <w:b w:val="0"/>
              <w:color w:val="auto"/>
              <w:sz w:val="28"/>
              <w:szCs w:val="28"/>
              <w:highlight w:val="none"/>
            </w:rPr>
            <w:fldChar w:fldCharType="begin"/>
          </w:r>
          <w:r>
            <w:rPr>
              <w:rFonts w:hint="eastAsia" w:ascii="仿宋" w:hAnsi="仿宋" w:eastAsia="仿宋" w:cs="仿宋"/>
              <w:b w:val="0"/>
              <w:color w:val="auto"/>
              <w:sz w:val="28"/>
              <w:szCs w:val="28"/>
              <w:highlight w:val="none"/>
            </w:rPr>
            <w:instrText xml:space="preserve">TOC \o "1-2" \h \u </w:instrText>
          </w:r>
          <w:r>
            <w:rPr>
              <w:rFonts w:hint="eastAsia" w:ascii="仿宋" w:hAnsi="仿宋" w:eastAsia="仿宋" w:cs="仿宋"/>
              <w:b w:val="0"/>
              <w:color w:val="auto"/>
              <w:sz w:val="28"/>
              <w:szCs w:val="28"/>
              <w:highlight w:val="none"/>
            </w:rPr>
            <w:fldChar w:fldCharType="separate"/>
          </w: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_Toc15424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_Toc15424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5751044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_Toc25069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lang w:eastAsia="zh-CN"/>
            </w:rPr>
            <w:t xml:space="preserve">一、 </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_Toc25069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CA37711">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_Toc24477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_Toc24477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9A5D6AF">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_Toc23317 </w:instrText>
          </w:r>
          <w:r>
            <w:rPr>
              <w:rFonts w:hint="eastAsia" w:ascii="仿宋" w:hAnsi="仿宋" w:eastAsia="仿宋" w:cs="仿宋"/>
              <w:b/>
              <w:sz w:val="28"/>
              <w:szCs w:val="28"/>
              <w:highlight w:val="none"/>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_Toc23317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F398F0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_Toc2313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_Toc2313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1A017B">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_Toc25673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_Toc25673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6EDD5D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_Toc18682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_Toc18682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887D3E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_Toc11326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_Toc11326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85258E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_Toc4548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_Toc4548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9652E1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_Toc5599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_Toc5599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DC860CA">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_Toc12125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_Toc12125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6E5DDC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_Toc6949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_Toc6949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C2948D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_Toc9400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_Toc9400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548BC9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450CA98">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_Toc10352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_Toc10352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- 12 -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290C235">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_Toc1295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_Toc1295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9B6F8BC">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_Toc20054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_Toc20054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- 16 -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68E76A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_Toc2331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_Toc2331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375C2B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_Toc18608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_Toc18608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F0151C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_Toc24373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_Toc24373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E81105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_Toc27918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_Toc27918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F84C7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_Toc7098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_Toc7098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5AA1A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_Toc25025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_Toc25025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1487F76">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_Toc18811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_Toc18811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54B442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_Toc5393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_Toc5393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FCCDA78">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_Toc22895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_Toc22895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74788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_Toc18594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_Toc18594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D18834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_Toc28944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_Toc28944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FA8264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_Toc21733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_Toc21733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62B023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_Toc5244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_Toc5244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DB97748">
          <w:pPr>
            <w:pStyle w:val="8"/>
            <w:rPr>
              <w:rFonts w:hint="eastAsia" w:ascii="黑体" w:hAnsi="黑体" w:eastAsia="黑体" w:cs="Times New Roman"/>
              <w:b/>
              <w:color w:val="auto"/>
              <w:kern w:val="0"/>
              <w:sz w:val="30"/>
              <w:szCs w:val="24"/>
              <w:highlight w:val="none"/>
              <w:lang w:val="en-US" w:eastAsia="zh-CN" w:bidi="ar-SA"/>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color w:val="auto"/>
              <w:sz w:val="28"/>
              <w:szCs w:val="28"/>
              <w:highlight w:val="none"/>
            </w:rPr>
            <w:fldChar w:fldCharType="end"/>
          </w:r>
        </w:p>
      </w:sdtContent>
    </w:sdt>
    <w:p w14:paraId="59918931">
      <w:pPr>
        <w:pStyle w:val="5"/>
        <w:jc w:val="center"/>
        <w:rPr>
          <w:rStyle w:val="16"/>
          <w:rFonts w:ascii="黑体" w:hAnsi="黑体" w:eastAsia="黑体"/>
          <w:b/>
          <w:bCs w:val="0"/>
          <w:color w:val="auto"/>
          <w:highlight w:val="none"/>
        </w:rPr>
      </w:pPr>
      <w:bookmarkStart w:id="1" w:name="_Toc15424"/>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0"/>
      <w:bookmarkEnd w:id="1"/>
    </w:p>
    <w:p w14:paraId="4A07DC2C">
      <w:pPr>
        <w:widowControl/>
        <w:jc w:val="left"/>
        <w:rPr>
          <w:rFonts w:ascii="黑体" w:eastAsia="黑体"/>
          <w:color w:val="auto"/>
          <w:sz w:val="32"/>
          <w:szCs w:val="32"/>
          <w:highlight w:val="none"/>
        </w:rPr>
      </w:pPr>
    </w:p>
    <w:p w14:paraId="623D1B94">
      <w:pPr>
        <w:pStyle w:val="6"/>
        <w:numPr>
          <w:ilvl w:val="0"/>
          <w:numId w:val="1"/>
        </w:numPr>
        <w:rPr>
          <w:rFonts w:hint="eastAsia" w:ascii="仿宋" w:hAnsi="仿宋" w:eastAsia="仿宋" w:cs="仿宋"/>
          <w:sz w:val="32"/>
          <w:szCs w:val="32"/>
        </w:rPr>
      </w:pPr>
      <w:bookmarkStart w:id="2" w:name="_Toc25069"/>
      <w:bookmarkStart w:id="3" w:name="_Toc3786"/>
      <w:r>
        <w:rPr>
          <w:rStyle w:val="17"/>
          <w:rFonts w:hint="eastAsia" w:ascii="黑体" w:hAnsi="黑体" w:eastAsia="黑体"/>
          <w:b w:val="0"/>
          <w:bCs w:val="0"/>
          <w:color w:val="auto"/>
          <w:highlight w:val="none"/>
          <w:lang w:eastAsia="zh-CN"/>
        </w:rPr>
        <w:t>主要职责</w:t>
      </w:r>
      <w:bookmarkEnd w:id="2"/>
      <w:bookmarkEnd w:id="3"/>
    </w:p>
    <w:p w14:paraId="4001CD31">
      <w:pPr>
        <w:snapToGrid w:val="0"/>
        <w:spacing w:line="520" w:lineRule="exact"/>
        <w:ind w:firstLine="640" w:firstLineChars="200"/>
        <w:rPr>
          <w:rFonts w:hint="eastAsia" w:ascii="仿宋_GB2312" w:eastAsia="仿宋_GB2312"/>
          <w:sz w:val="32"/>
          <w:szCs w:val="32"/>
          <w:lang w:eastAsia="zh-CN"/>
        </w:rPr>
      </w:pPr>
      <w:r>
        <w:rPr>
          <w:rFonts w:hint="eastAsia" w:ascii="仿宋" w:hAnsi="仿宋" w:eastAsia="仿宋" w:cs="仿宋"/>
          <w:sz w:val="32"/>
          <w:szCs w:val="32"/>
        </w:rPr>
        <w:t>根据阿坝州编委阿编发[1994]21号文批准成立阿坝藏族羌族自治州公路管理局都江堰干休所，其性质为事业性的生产单位和具有一定行政管理职能的经济技术实体；主要职能职责是：为（离）退休同志提供服务、负责党和国家老干部工作方针、政策的宣传；完成州公路局交办的其他任务。</w:t>
      </w:r>
    </w:p>
    <w:p w14:paraId="32BE43BA">
      <w:pPr>
        <w:pStyle w:val="6"/>
        <w:numPr>
          <w:ilvl w:val="0"/>
          <w:numId w:val="0"/>
        </w:numPr>
        <w:rPr>
          <w:rFonts w:hint="eastAsia" w:ascii="黑体" w:hAnsi="黑体" w:eastAsia="黑体"/>
          <w:b w:val="0"/>
          <w:color w:val="auto"/>
          <w:highlight w:val="none"/>
          <w:lang w:val="en-US" w:eastAsia="zh-CN"/>
        </w:rPr>
      </w:pPr>
      <w:bookmarkStart w:id="4" w:name="_Toc24477"/>
      <w:bookmarkStart w:id="5" w:name="_Toc29259"/>
      <w:r>
        <w:rPr>
          <w:rFonts w:hint="eastAsia" w:ascii="黑体" w:hAnsi="黑体" w:eastAsia="黑体"/>
          <w:b w:val="0"/>
          <w:color w:val="auto"/>
          <w:highlight w:val="none"/>
          <w:lang w:val="en-US" w:eastAsia="zh-CN"/>
        </w:rPr>
        <w:t>二、机构设置</w:t>
      </w:r>
      <w:bookmarkEnd w:id="4"/>
      <w:bookmarkEnd w:id="5"/>
    </w:p>
    <w:p w14:paraId="38E5E02D">
      <w:pPr>
        <w:snapToGrid w:val="0"/>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根据阿坝藏族羌族自治州机构编制委员会阿编发〔1994〕22号、阿编发〔2015〕32号文件和阿编发〔2019〕202号批准。下设行政办公室、劳动人事股、财务股3个股室。</w:t>
      </w:r>
    </w:p>
    <w:p w14:paraId="4B00DA18">
      <w:pPr>
        <w:widowControl/>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2DC0719F">
      <w:pPr>
        <w:pStyle w:val="5"/>
        <w:ind w:right="440"/>
        <w:jc w:val="center"/>
        <w:rPr>
          <w:rStyle w:val="16"/>
          <w:rFonts w:ascii="黑体" w:hAnsi="黑体" w:eastAsia="黑体"/>
          <w:b w:val="0"/>
          <w:bCs/>
          <w:color w:val="auto"/>
          <w:highlight w:val="none"/>
        </w:rPr>
      </w:pPr>
      <w:bookmarkStart w:id="6" w:name="_Toc17768"/>
      <w:bookmarkStart w:id="7" w:name="_Toc2331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6"/>
      <w:bookmarkEnd w:id="7"/>
    </w:p>
    <w:p w14:paraId="5A3D8CEC">
      <w:pPr>
        <w:rPr>
          <w:color w:val="auto"/>
          <w:highlight w:val="none"/>
        </w:rPr>
      </w:pPr>
    </w:p>
    <w:p w14:paraId="6020E242">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8" w:name="_Toc2313"/>
      <w:bookmarkStart w:id="9" w:name="_Toc22627"/>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8"/>
      <w:bookmarkEnd w:id="9"/>
    </w:p>
    <w:p w14:paraId="42CFBB78">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127.3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47.8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各类社会保障缴费单位部分增加导致人员经费增加</w:t>
      </w:r>
      <w:r>
        <w:rPr>
          <w:rFonts w:hint="eastAsia" w:ascii="仿宋" w:hAnsi="仿宋" w:eastAsia="仿宋"/>
          <w:color w:val="auto"/>
          <w:sz w:val="32"/>
          <w:szCs w:val="32"/>
          <w:highlight w:val="none"/>
          <w:lang w:eastAsia="zh-CN"/>
        </w:rPr>
        <w:t>。</w:t>
      </w:r>
    </w:p>
    <w:p w14:paraId="39642368">
      <w:pPr>
        <w:pStyle w:val="8"/>
        <w:rPr>
          <w:rFonts w:hint="eastAsia" w:ascii="仿宋" w:hAnsi="仿宋" w:eastAsia="仿宋"/>
          <w:color w:val="auto"/>
          <w:sz w:val="32"/>
          <w:szCs w:val="32"/>
          <w:highlight w:val="none"/>
          <w:lang w:eastAsia="zh-CN"/>
        </w:rPr>
      </w:pPr>
      <w:r>
        <w:rPr>
          <w:rFonts w:hint="eastAsia"/>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B8CD745">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624F8F68">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0" w:name="_Toc10990"/>
      <w:bookmarkStart w:id="11" w:name="_Toc25673"/>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10"/>
      <w:bookmarkEnd w:id="11"/>
    </w:p>
    <w:p w14:paraId="7819421E">
      <w:pPr>
        <w:spacing w:line="600" w:lineRule="exact"/>
        <w:ind w:firstLine="640" w:firstLineChars="200"/>
        <w:outlineLvl w:val="1"/>
        <w:rPr>
          <w:rFonts w:ascii="仿宋" w:hAnsi="仿宋" w:eastAsia="仿宋"/>
          <w:color w:val="auto"/>
          <w:sz w:val="32"/>
          <w:szCs w:val="32"/>
          <w:highlight w:val="none"/>
        </w:rPr>
      </w:pPr>
      <w:bookmarkStart w:id="12" w:name="_Toc4258"/>
      <w:bookmarkStart w:id="13" w:name="_Toc1626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2"/>
      <w:bookmarkEnd w:id="13"/>
    </w:p>
    <w:p w14:paraId="0920E8CB">
      <w:pPr>
        <w:spacing w:line="600" w:lineRule="exact"/>
        <w:rPr>
          <w:rFonts w:hint="eastAsia" w:ascii="仿宋" w:hAnsi="仿宋" w:eastAsia="仿宋"/>
          <w:color w:val="auto"/>
          <w:sz w:val="32"/>
          <w:szCs w:val="32"/>
          <w:highlight w:val="none"/>
        </w:rPr>
      </w:pPr>
    </w:p>
    <w:p w14:paraId="4E597107">
      <w:pPr>
        <w:pStyle w:val="8"/>
        <w:rPr>
          <w:rFonts w:hint="eastAsia" w:ascii="仿宋" w:hAnsi="仿宋" w:eastAsia="仿宋"/>
          <w:color w:val="auto"/>
          <w:sz w:val="32"/>
          <w:szCs w:val="32"/>
          <w:highlight w:val="none"/>
        </w:rPr>
      </w:pPr>
    </w:p>
    <w:p w14:paraId="5FC585C9">
      <w:pPr>
        <w:pStyle w:val="8"/>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BA991AC">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14:paraId="5503129C">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4" w:name="_Toc18682"/>
      <w:bookmarkStart w:id="15" w:name="_Toc4339"/>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14"/>
      <w:bookmarkEnd w:id="15"/>
    </w:p>
    <w:p w14:paraId="0523C216">
      <w:pPr>
        <w:spacing w:line="600" w:lineRule="exact"/>
        <w:ind w:firstLine="640" w:firstLineChars="200"/>
        <w:outlineLvl w:val="1"/>
        <w:rPr>
          <w:rFonts w:ascii="仿宋" w:hAnsi="仿宋" w:eastAsia="仿宋"/>
          <w:color w:val="auto"/>
          <w:sz w:val="32"/>
          <w:szCs w:val="32"/>
          <w:highlight w:val="none"/>
          <w:shd w:val="pct10" w:color="auto" w:fill="FFFFFF"/>
        </w:rPr>
      </w:pPr>
      <w:bookmarkStart w:id="16" w:name="_Toc16574"/>
      <w:bookmarkStart w:id="17" w:name="_Toc491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6"/>
      <w:bookmarkEnd w:id="17"/>
    </w:p>
    <w:p w14:paraId="54961825">
      <w:pPr>
        <w:pStyle w:val="8"/>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49B4FE">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6AF9C6F3">
      <w:pPr>
        <w:spacing w:line="600" w:lineRule="exact"/>
        <w:ind w:firstLine="640" w:firstLineChars="200"/>
        <w:rPr>
          <w:rFonts w:ascii="仿宋_GB2312" w:eastAsia="仿宋_GB2312"/>
          <w:color w:val="auto"/>
          <w:sz w:val="32"/>
          <w:szCs w:val="32"/>
          <w:highlight w:val="none"/>
        </w:rPr>
      </w:pPr>
    </w:p>
    <w:p w14:paraId="5E622C59">
      <w:pPr>
        <w:spacing w:line="600" w:lineRule="exact"/>
        <w:ind w:firstLine="640" w:firstLineChars="200"/>
        <w:outlineLvl w:val="1"/>
        <w:rPr>
          <w:rStyle w:val="17"/>
          <w:rFonts w:ascii="黑体" w:hAnsi="黑体" w:eastAsia="黑体"/>
          <w:b w:val="0"/>
          <w:color w:val="auto"/>
          <w:highlight w:val="none"/>
        </w:rPr>
      </w:pPr>
      <w:bookmarkStart w:id="18" w:name="_Toc31848"/>
      <w:bookmarkStart w:id="19" w:name="_Toc11326"/>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18"/>
      <w:bookmarkEnd w:id="19"/>
    </w:p>
    <w:p w14:paraId="055C2531">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127.3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47.8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各类社会保障缴费单位部分增加导致人员经费增加。</w:t>
      </w:r>
    </w:p>
    <w:p w14:paraId="0E9C1FC4">
      <w:pPr>
        <w:pStyle w:val="8"/>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D74129E">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1D3A90DE">
      <w:pPr>
        <w:spacing w:line="600" w:lineRule="exact"/>
        <w:ind w:firstLine="640"/>
        <w:rPr>
          <w:rFonts w:ascii="仿宋" w:hAnsi="仿宋" w:eastAsia="仿宋"/>
          <w:b/>
          <w:color w:val="auto"/>
          <w:sz w:val="32"/>
          <w:szCs w:val="32"/>
          <w:highlight w:val="none"/>
        </w:rPr>
      </w:pPr>
    </w:p>
    <w:p w14:paraId="0D0F2BA6">
      <w:pPr>
        <w:spacing w:line="600" w:lineRule="exact"/>
        <w:ind w:firstLine="640" w:firstLineChars="200"/>
        <w:outlineLvl w:val="1"/>
        <w:rPr>
          <w:rStyle w:val="17"/>
          <w:rFonts w:ascii="黑体" w:hAnsi="黑体" w:eastAsia="黑体"/>
          <w:b w:val="0"/>
          <w:color w:val="auto"/>
          <w:highlight w:val="none"/>
        </w:rPr>
      </w:pPr>
      <w:bookmarkStart w:id="20" w:name="_Toc13977"/>
      <w:bookmarkStart w:id="21" w:name="_Toc4548"/>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20"/>
      <w:bookmarkEnd w:id="21"/>
    </w:p>
    <w:p w14:paraId="0F6CF82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16569C76">
      <w:pPr>
        <w:spacing w:line="6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127.3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47.8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各类社会保障缴费单位部分增加以及慰问离退休干部职工。</w:t>
      </w:r>
    </w:p>
    <w:p w14:paraId="7227932B">
      <w:pPr>
        <w:spacing w:line="600" w:lineRule="exact"/>
        <w:ind w:firstLine="640" w:firstLineChars="200"/>
        <w:rPr>
          <w:rFonts w:ascii="仿宋" w:hAnsi="仿宋" w:eastAsia="仿宋"/>
          <w:color w:val="auto"/>
          <w:sz w:val="32"/>
          <w:szCs w:val="32"/>
          <w:highlight w:val="none"/>
        </w:rPr>
      </w:pPr>
    </w:p>
    <w:p w14:paraId="04F68DBD">
      <w:pPr>
        <w:pStyle w:val="8"/>
        <w:rPr>
          <w:rFonts w:ascii="仿宋" w:hAnsi="仿宋" w:eastAsia="仿宋"/>
          <w:color w:val="auto"/>
          <w:sz w:val="32"/>
          <w:szCs w:val="32"/>
          <w:highlight w:val="none"/>
        </w:rPr>
      </w:pPr>
    </w:p>
    <w:p w14:paraId="276364EF">
      <w:pPr>
        <w:pStyle w:val="8"/>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E9C815">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1BD47047">
      <w:pPr>
        <w:spacing w:line="600" w:lineRule="exact"/>
        <w:ind w:firstLine="640" w:firstLineChars="200"/>
        <w:rPr>
          <w:rFonts w:ascii="仿宋" w:hAnsi="仿宋" w:eastAsia="仿宋"/>
          <w:color w:val="auto"/>
          <w:sz w:val="32"/>
          <w:szCs w:val="32"/>
          <w:highlight w:val="none"/>
        </w:rPr>
      </w:pPr>
    </w:p>
    <w:p w14:paraId="0DF1847F">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0408AEF9">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w:t>
      </w:r>
      <w:r>
        <w:rPr>
          <w:rFonts w:hint="eastAsia" w:ascii="仿宋" w:hAnsi="仿宋" w:eastAsia="仿宋"/>
          <w:color w:val="auto"/>
          <w:sz w:val="32"/>
          <w:szCs w:val="32"/>
          <w:highlight w:val="none"/>
          <w:lang w:val="en-US" w:eastAsia="zh-CN"/>
        </w:rPr>
        <w:t>53.03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w:t>
      </w:r>
      <w:r>
        <w:rPr>
          <w:rFonts w:hint="eastAsia" w:ascii="仿宋" w:hAnsi="仿宋" w:eastAsia="仿宋"/>
          <w:color w:val="auto"/>
          <w:sz w:val="32"/>
          <w:szCs w:val="32"/>
          <w:highlight w:val="none"/>
          <w:lang w:val="en-US" w:eastAsia="zh-CN"/>
        </w:rPr>
        <w:t>15.03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w:t>
      </w:r>
      <w:r>
        <w:rPr>
          <w:rFonts w:hint="eastAsia" w:ascii="仿宋" w:hAnsi="仿宋" w:eastAsia="仿宋"/>
          <w:color w:val="auto"/>
          <w:sz w:val="32"/>
          <w:szCs w:val="32"/>
          <w:highlight w:val="none"/>
          <w:lang w:val="en-US" w:eastAsia="zh-CN"/>
        </w:rPr>
        <w:t>316.21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80.3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9.59万元，占2.4%</w:t>
      </w:r>
      <w:r>
        <w:rPr>
          <w:rFonts w:hint="eastAsia" w:ascii="仿宋" w:hAnsi="仿宋" w:eastAsia="仿宋"/>
          <w:color w:val="auto"/>
          <w:sz w:val="32"/>
          <w:szCs w:val="32"/>
          <w:highlight w:val="none"/>
        </w:rPr>
        <w:t>。</w:t>
      </w:r>
    </w:p>
    <w:p w14:paraId="7EA01CCD">
      <w:pPr>
        <w:spacing w:line="600" w:lineRule="exact"/>
        <w:ind w:firstLine="640"/>
        <w:rPr>
          <w:rFonts w:ascii="仿宋" w:hAnsi="仿宋" w:eastAsia="仿宋"/>
          <w:color w:val="auto"/>
          <w:sz w:val="32"/>
          <w:szCs w:val="32"/>
          <w:highlight w:val="none"/>
        </w:rPr>
      </w:pPr>
    </w:p>
    <w:p w14:paraId="7F70B32A">
      <w:pPr>
        <w:pStyle w:val="8"/>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FA114EA">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0B1A17E4">
      <w:pPr>
        <w:spacing w:line="600" w:lineRule="exact"/>
        <w:ind w:firstLine="640" w:firstLineChars="200"/>
        <w:rPr>
          <w:rFonts w:ascii="仿宋" w:hAnsi="仿宋" w:eastAsia="仿宋"/>
          <w:color w:val="auto"/>
          <w:sz w:val="32"/>
          <w:szCs w:val="32"/>
          <w:highlight w:val="none"/>
        </w:rPr>
      </w:pPr>
    </w:p>
    <w:p w14:paraId="29954B39">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63C8AB0B">
      <w:pPr>
        <w:spacing w:line="600" w:lineRule="exact"/>
        <w:ind w:firstLine="643" w:firstLineChars="200"/>
        <w:outlineLvl w:val="1"/>
        <w:rPr>
          <w:rFonts w:ascii="仿宋" w:hAnsi="仿宋" w:eastAsia="仿宋"/>
          <w:color w:val="auto"/>
          <w:sz w:val="32"/>
          <w:szCs w:val="32"/>
          <w:highlight w:val="none"/>
        </w:rPr>
      </w:pPr>
      <w:bookmarkStart w:id="22" w:name="_Toc5514"/>
      <w:bookmarkStart w:id="23" w:name="_Toc18379"/>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393.86万元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22"/>
      <w:bookmarkEnd w:id="23"/>
    </w:p>
    <w:p w14:paraId="532802C3">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社会保障和就业支出（类）行政事业单位养老支出（款）机关事业单位基本养老保险缴费支出（项）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8.99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5978E170">
      <w:pPr>
        <w:spacing w:line="600" w:lineRule="exact"/>
        <w:ind w:firstLine="643" w:firstLineChars="200"/>
        <w:rPr>
          <w:rStyle w:val="15"/>
          <w:rFonts w:hint="eastAsia" w:ascii="仿宋" w:hAnsi="仿宋" w:eastAsia="仿宋"/>
          <w:b w:val="0"/>
          <w:bCs/>
          <w:color w:val="auto"/>
          <w:sz w:val="32"/>
          <w:szCs w:val="32"/>
          <w:highlight w:val="none"/>
        </w:rPr>
      </w:pPr>
      <w:r>
        <w:rPr>
          <w:rStyle w:val="15"/>
          <w:rFonts w:ascii="仿宋" w:hAnsi="仿宋" w:eastAsia="仿宋"/>
          <w:bCs/>
          <w:color w:val="auto"/>
          <w:sz w:val="32"/>
          <w:szCs w:val="32"/>
          <w:highlight w:val="none"/>
        </w:rPr>
        <w:t>2.</w:t>
      </w:r>
      <w:r>
        <w:rPr>
          <w:rStyle w:val="15"/>
          <w:rFonts w:hint="eastAsia" w:ascii="仿宋" w:hAnsi="仿宋" w:eastAsia="仿宋"/>
          <w:bCs/>
          <w:color w:val="auto"/>
          <w:sz w:val="32"/>
          <w:szCs w:val="32"/>
          <w:highlight w:val="none"/>
        </w:rPr>
        <w:t>社会保障和就业支出（类）行政事业单位养老支出（款）机关事业单位职业年金缴费支出（项）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4.48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3FFCE024">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3</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社会保障和就业支出（类）抚恤（款）机关事业单位死亡抚恤（项）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39.55</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34683ED3">
      <w:pPr>
        <w:spacing w:line="600" w:lineRule="exact"/>
        <w:ind w:firstLine="640" w:firstLineChars="200"/>
        <w:rPr>
          <w:rStyle w:val="15"/>
          <w:rFonts w:hint="eastAsia" w:ascii="仿宋" w:hAnsi="仿宋" w:eastAsia="仿宋"/>
          <w:b w:val="0"/>
          <w:bCs/>
          <w:color w:val="auto"/>
          <w:sz w:val="32"/>
          <w:szCs w:val="32"/>
          <w:highlight w:val="none"/>
        </w:rPr>
      </w:pPr>
    </w:p>
    <w:p w14:paraId="17009E54">
      <w:pPr>
        <w:pStyle w:val="2"/>
      </w:pPr>
    </w:p>
    <w:p w14:paraId="25DA0ABB">
      <w:pP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4</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卫生健康支出（类）行政事业单位医疗（款）事业单位医疗（项）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6.7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242D700E">
      <w:pP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5</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卫生健康支出（类）行政事业单位医疗（款）其他行政事业单位医疗支出（项）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8.33</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4101975A">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6</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交通运输支出（类）公路水路运输（款）公路养护（项）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316.21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17C8DDCD">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7</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（类）住房改革支出（款）住房公积金（项）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7.59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1A78EA79">
      <w:pPr>
        <w:pStyle w:val="8"/>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8</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（类）住房改革支出（款）购房补贴（项）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05D4D481">
      <w:pPr>
        <w:tabs>
          <w:tab w:val="right" w:pos="8306"/>
        </w:tabs>
        <w:spacing w:line="600" w:lineRule="exact"/>
        <w:ind w:firstLine="640"/>
        <w:outlineLvl w:val="1"/>
        <w:rPr>
          <w:rStyle w:val="17"/>
          <w:color w:val="auto"/>
          <w:highlight w:val="none"/>
        </w:rPr>
      </w:pPr>
      <w:bookmarkStart w:id="24" w:name="_Toc5599"/>
      <w:bookmarkStart w:id="25" w:name="_Toc1724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24"/>
      <w:bookmarkEnd w:id="25"/>
      <w:r>
        <w:rPr>
          <w:rStyle w:val="17"/>
          <w:rFonts w:ascii="黑体" w:hAnsi="黑体" w:eastAsia="黑体"/>
          <w:b w:val="0"/>
          <w:color w:val="auto"/>
          <w:highlight w:val="none"/>
        </w:rPr>
        <w:tab/>
      </w:r>
    </w:p>
    <w:p w14:paraId="70E8BA32">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393.86</w:t>
      </w:r>
      <w:r>
        <w:rPr>
          <w:rFonts w:hint="eastAsia" w:ascii="仿宋" w:hAnsi="仿宋" w:eastAsia="仿宋"/>
          <w:color w:val="auto"/>
          <w:sz w:val="32"/>
          <w:szCs w:val="32"/>
          <w:highlight w:val="none"/>
        </w:rPr>
        <w:t>万元，其中：</w:t>
      </w:r>
    </w:p>
    <w:p w14:paraId="70EF0A01">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359.11</w:t>
      </w:r>
      <w:r>
        <w:rPr>
          <w:rFonts w:hint="eastAsia" w:ascii="仿宋" w:hAnsi="仿宋" w:eastAsia="仿宋"/>
          <w:color w:val="auto"/>
          <w:sz w:val="32"/>
          <w:szCs w:val="32"/>
          <w:highlight w:val="none"/>
        </w:rPr>
        <w:t>万元，主要包括：基本工资、津贴补贴、奖金、</w:t>
      </w:r>
      <w:r>
        <w:rPr>
          <w:rFonts w:hint="eastAsia" w:ascii="仿宋" w:hAnsi="仿宋" w:eastAsia="仿宋"/>
          <w:color w:val="auto"/>
          <w:sz w:val="32"/>
          <w:szCs w:val="32"/>
          <w:highlight w:val="none"/>
          <w:lang w:val="en-US" w:eastAsia="zh-CN"/>
        </w:rPr>
        <w:t>伙食补助费、</w:t>
      </w:r>
      <w:r>
        <w:rPr>
          <w:rFonts w:hint="eastAsia" w:ascii="仿宋" w:hAnsi="仿宋" w:eastAsia="仿宋"/>
          <w:color w:val="auto"/>
          <w:sz w:val="32"/>
          <w:szCs w:val="32"/>
          <w:highlight w:val="none"/>
        </w:rPr>
        <w:t>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离休费、</w:t>
      </w:r>
      <w:r>
        <w:rPr>
          <w:rFonts w:hint="eastAsia" w:ascii="仿宋" w:hAnsi="仿宋" w:eastAsia="仿宋"/>
          <w:color w:val="auto"/>
          <w:sz w:val="32"/>
          <w:szCs w:val="32"/>
          <w:highlight w:val="none"/>
        </w:rPr>
        <w:t>抚恤金、生活补助、住房公积金等。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34.74</w:t>
      </w:r>
      <w:r>
        <w:rPr>
          <w:rFonts w:hint="eastAsia" w:ascii="仿宋" w:hAnsi="仿宋" w:eastAsia="仿宋"/>
          <w:color w:val="auto"/>
          <w:sz w:val="32"/>
          <w:szCs w:val="32"/>
          <w:highlight w:val="none"/>
        </w:rPr>
        <w:t>万元，主要包括：办公费、水费、电费、邮电费、差旅费、维修（护）费、</w:t>
      </w:r>
      <w:r>
        <w:rPr>
          <w:rFonts w:hint="eastAsia" w:ascii="仿宋" w:hAnsi="仿宋" w:eastAsia="仿宋"/>
          <w:color w:val="auto"/>
          <w:sz w:val="32"/>
          <w:szCs w:val="32"/>
          <w:highlight w:val="none"/>
          <w:lang w:val="en-US" w:eastAsia="zh-CN"/>
        </w:rPr>
        <w:t>劳务费</w:t>
      </w:r>
      <w:r>
        <w:rPr>
          <w:rFonts w:hint="eastAsia" w:ascii="仿宋" w:hAnsi="仿宋" w:eastAsia="仿宋"/>
          <w:color w:val="auto"/>
          <w:sz w:val="32"/>
          <w:szCs w:val="32"/>
          <w:highlight w:val="none"/>
        </w:rPr>
        <w:t>、福利费、公务用车运行维护费等。</w:t>
      </w:r>
    </w:p>
    <w:p w14:paraId="131BF871">
      <w:pPr>
        <w:spacing w:line="600" w:lineRule="exact"/>
        <w:ind w:firstLine="640"/>
        <w:outlineLvl w:val="1"/>
        <w:rPr>
          <w:rStyle w:val="17"/>
          <w:rFonts w:ascii="黑体" w:hAnsi="黑体" w:eastAsia="黑体"/>
          <w:b w:val="0"/>
          <w:color w:val="auto"/>
          <w:highlight w:val="none"/>
        </w:rPr>
      </w:pPr>
      <w:bookmarkStart w:id="26" w:name="_Toc16480"/>
      <w:bookmarkStart w:id="27" w:name="_Toc12125"/>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26"/>
      <w:bookmarkEnd w:id="27"/>
    </w:p>
    <w:p w14:paraId="2D4D7B1D">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35A732E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2.84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增加0.37万元，增加14.8%。</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 w:hAnsi="仿宋" w:eastAsia="仿宋"/>
          <w:color w:val="auto"/>
          <w:sz w:val="32"/>
          <w:szCs w:val="32"/>
          <w:highlight w:val="none"/>
        </w:rPr>
        <w:t>。</w:t>
      </w:r>
    </w:p>
    <w:p w14:paraId="2B11BA10">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EDB1425">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2023年度“三公”经费财政拨款支出决算中，因公出国（境）费支出决算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%；公务用车购置及运行维护费支出决算</w:t>
      </w:r>
      <w:r>
        <w:rPr>
          <w:rFonts w:hint="eastAsia" w:ascii="仿宋" w:hAnsi="仿宋" w:eastAsia="仿宋"/>
          <w:color w:val="auto"/>
          <w:sz w:val="32"/>
          <w:szCs w:val="32"/>
          <w:highlight w:val="none"/>
          <w:lang w:val="en-US" w:eastAsia="zh-CN"/>
        </w:rPr>
        <w:t>2.84</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lang w:eastAsia="zh-CN"/>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。具体情况如下：</w:t>
      </w:r>
    </w:p>
    <w:p w14:paraId="6DD8EA21">
      <w:pPr>
        <w:pStyle w:val="8"/>
        <w:rPr>
          <w:rFonts w:hint="eastAsia" w:ascii="仿宋" w:hAnsi="仿宋" w:eastAsia="仿宋"/>
          <w:color w:val="auto"/>
          <w:sz w:val="32"/>
          <w:szCs w:val="32"/>
          <w:highlight w:val="none"/>
        </w:rPr>
      </w:pPr>
    </w:p>
    <w:p w14:paraId="625BEAEE">
      <w:pPr>
        <w:pStyle w:val="8"/>
        <w:rPr>
          <w:rFonts w:hint="eastAsia" w:ascii="仿宋" w:hAnsi="仿宋" w:eastAsia="仿宋"/>
          <w:color w:val="auto"/>
          <w:sz w:val="32"/>
          <w:szCs w:val="32"/>
          <w:highlight w:val="none"/>
        </w:rPr>
      </w:pPr>
      <w:r>
        <w:rPr>
          <w:rFonts w:hint="eastAsia" w:eastAsia="仿宋"/>
          <w:lang w:eastAsia="zh-CN"/>
        </w:rPr>
        <w:drawing>
          <wp:inline distT="0" distB="0" distL="114300" distR="114300">
            <wp:extent cx="5256530" cy="3242945"/>
            <wp:effectExtent l="4445" t="4445" r="12065" b="1397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5A0D69">
      <w:pPr>
        <w:spacing w:line="600" w:lineRule="exact"/>
        <w:ind w:firstLine="64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（图7：“三公”经费财政拨款支出结构）</w:t>
      </w:r>
    </w:p>
    <w:p w14:paraId="45911040">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2022年度</w:t>
      </w:r>
      <w:r>
        <w:rPr>
          <w:rFonts w:hint="eastAsia" w:ascii="仿宋_GB2312" w:eastAsia="仿宋_GB2312"/>
          <w:color w:val="auto"/>
          <w:sz w:val="32"/>
          <w:szCs w:val="32"/>
          <w:highlight w:val="none"/>
          <w:lang w:val="en-US" w:eastAsia="zh-CN"/>
        </w:rPr>
        <w:t>持平</w:t>
      </w:r>
      <w:r>
        <w:rPr>
          <w:rFonts w:hint="eastAsia" w:ascii="仿宋_GB2312" w:eastAsia="仿宋_GB2312"/>
          <w:color w:val="auto"/>
          <w:sz w:val="32"/>
          <w:szCs w:val="32"/>
          <w:highlight w:val="none"/>
        </w:rPr>
        <w:t>。</w:t>
      </w:r>
    </w:p>
    <w:p w14:paraId="35019BD6">
      <w:pPr>
        <w:spacing w:line="600" w:lineRule="exact"/>
        <w:ind w:firstLine="640"/>
        <w:rPr>
          <w:rFonts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2</w:t>
      </w:r>
      <w:r>
        <w:rPr>
          <w:rFonts w:ascii="仿宋_GB2312" w:eastAsia="仿宋_GB2312"/>
          <w:b/>
          <w:color w:val="auto"/>
          <w:sz w:val="32"/>
          <w:szCs w:val="32"/>
          <w:highlight w:val="none"/>
        </w:rPr>
        <w:t>.</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2.84</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94.7</w:t>
      </w:r>
      <w:bookmarkStart w:id="70" w:name="_GoBack"/>
      <w:bookmarkEnd w:id="70"/>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增加0.37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增加14.8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本单位大修公务用车</w:t>
      </w:r>
      <w:r>
        <w:rPr>
          <w:rFonts w:hint="eastAsia" w:ascii="仿宋_GB2312" w:eastAsia="仿宋_GB2312"/>
          <w:color w:val="auto"/>
          <w:sz w:val="32"/>
          <w:szCs w:val="32"/>
          <w:highlight w:val="none"/>
        </w:rPr>
        <w:t>。</w:t>
      </w:r>
    </w:p>
    <w:p w14:paraId="0646C915">
      <w:pPr>
        <w:spacing w:line="600" w:lineRule="exact"/>
        <w:ind w:firstLine="640" w:firstLineChars="200"/>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7A019C86">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2.84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17975F56">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。公务接待费支出决算</w:t>
      </w:r>
      <w:r>
        <w:rPr>
          <w:rStyle w:val="15"/>
          <w:rFonts w:hint="eastAsia" w:ascii="仿宋" w:hAnsi="仿宋" w:eastAsia="仿宋"/>
          <w:b w:val="0"/>
          <w:bCs/>
          <w:color w:val="auto"/>
          <w:sz w:val="32"/>
          <w:szCs w:val="32"/>
          <w:highlight w:val="none"/>
          <w:lang w:val="en-US" w:eastAsia="zh-CN"/>
        </w:rPr>
        <w:t>与</w:t>
      </w:r>
      <w:r>
        <w:rPr>
          <w:rStyle w:val="15"/>
          <w:rFonts w:hint="eastAsia" w:ascii="仿宋" w:hAnsi="仿宋" w:eastAsia="仿宋"/>
          <w:b w:val="0"/>
          <w:bCs/>
          <w:color w:val="auto"/>
          <w:sz w:val="32"/>
          <w:szCs w:val="32"/>
          <w:highlight w:val="none"/>
        </w:rPr>
        <w:t>2022年度</w:t>
      </w:r>
      <w:r>
        <w:rPr>
          <w:rStyle w:val="15"/>
          <w:rFonts w:hint="eastAsia" w:ascii="仿宋" w:hAnsi="仿宋" w:eastAsia="仿宋"/>
          <w:b w:val="0"/>
          <w:bCs/>
          <w:color w:val="auto"/>
          <w:sz w:val="32"/>
          <w:szCs w:val="32"/>
          <w:highlight w:val="none"/>
          <w:lang w:val="en-US" w:eastAsia="zh-CN"/>
        </w:rPr>
        <w:t>持平</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其中：</w:t>
      </w:r>
    </w:p>
    <w:p w14:paraId="1D2A7425">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元。</w:t>
      </w:r>
    </w:p>
    <w:p w14:paraId="37450C5D">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CA29214">
      <w:pPr>
        <w:spacing w:line="600" w:lineRule="exact"/>
        <w:ind w:firstLine="640"/>
        <w:outlineLvl w:val="9"/>
        <w:rPr>
          <w:rFonts w:ascii="黑体" w:eastAsia="黑体"/>
          <w:color w:val="auto"/>
          <w:sz w:val="32"/>
          <w:szCs w:val="32"/>
          <w:highlight w:val="none"/>
        </w:rPr>
      </w:pPr>
    </w:p>
    <w:p w14:paraId="426DA5F7">
      <w:pPr>
        <w:spacing w:line="600" w:lineRule="exact"/>
        <w:ind w:firstLine="640"/>
        <w:outlineLvl w:val="1"/>
        <w:rPr>
          <w:rStyle w:val="17"/>
          <w:rFonts w:ascii="黑体" w:hAnsi="黑体" w:eastAsia="黑体"/>
          <w:color w:val="auto"/>
          <w:highlight w:val="none"/>
        </w:rPr>
      </w:pPr>
      <w:bookmarkStart w:id="28" w:name="_Toc6949"/>
      <w:bookmarkStart w:id="29" w:name="_Toc17044"/>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28"/>
      <w:bookmarkEnd w:id="29"/>
    </w:p>
    <w:p w14:paraId="56CC123D">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9996505">
      <w:pPr>
        <w:spacing w:line="600" w:lineRule="exact"/>
        <w:ind w:firstLine="640"/>
        <w:rPr>
          <w:rFonts w:ascii="仿宋_GB2312" w:eastAsia="仿宋_GB2312"/>
          <w:color w:val="auto"/>
          <w:sz w:val="32"/>
          <w:szCs w:val="32"/>
          <w:highlight w:val="none"/>
        </w:rPr>
      </w:pPr>
    </w:p>
    <w:p w14:paraId="765A6A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ascii="黑体" w:hAnsi="黑体" w:eastAsia="黑体"/>
          <w:b w:val="0"/>
          <w:color w:val="auto"/>
          <w:highlight w:val="none"/>
        </w:rPr>
      </w:pPr>
      <w:bookmarkStart w:id="30" w:name="_Toc9400"/>
      <w:bookmarkStart w:id="31" w:name="_Toc27184"/>
      <w:r>
        <w:rPr>
          <w:rStyle w:val="17"/>
          <w:rFonts w:hint="eastAsia" w:ascii="黑体" w:hAnsi="黑体" w:eastAsia="黑体"/>
          <w:b w:val="0"/>
          <w:color w:val="auto"/>
          <w:highlight w:val="none"/>
          <w:lang w:eastAsia="zh-CN"/>
        </w:rPr>
        <w:t>九、</w:t>
      </w:r>
      <w:r>
        <w:rPr>
          <w:rStyle w:val="17"/>
          <w:rFonts w:hint="eastAsia" w:ascii="黑体" w:hAnsi="黑体" w:eastAsia="黑体"/>
          <w:b w:val="0"/>
          <w:color w:val="auto"/>
          <w:highlight w:val="none"/>
        </w:rPr>
        <w:t>国有资本经营预算支出决算情况说明</w:t>
      </w:r>
      <w:bookmarkEnd w:id="30"/>
      <w:bookmarkEnd w:id="31"/>
    </w:p>
    <w:p w14:paraId="2850F472">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0803AB8">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37AE4D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hint="eastAsia" w:ascii="黑体" w:hAnsi="黑体" w:eastAsia="黑体"/>
          <w:b w:val="0"/>
          <w:color w:val="auto"/>
          <w:highlight w:val="none"/>
        </w:rPr>
      </w:pPr>
      <w:bookmarkStart w:id="32" w:name="_Toc45"/>
      <w:bookmarkStart w:id="33" w:name="_Toc23272"/>
      <w:r>
        <w:rPr>
          <w:rStyle w:val="17"/>
          <w:rFonts w:hint="eastAsia" w:ascii="黑体" w:hAnsi="黑体" w:eastAsia="黑体"/>
          <w:b w:val="0"/>
          <w:color w:val="auto"/>
          <w:highlight w:val="none"/>
          <w:lang w:eastAsia="zh-CN"/>
        </w:rPr>
        <w:t>十、</w:t>
      </w:r>
      <w:r>
        <w:rPr>
          <w:rStyle w:val="17"/>
          <w:rFonts w:hint="eastAsia" w:ascii="黑体" w:hAnsi="黑体" w:eastAsia="黑体"/>
          <w:b w:val="0"/>
          <w:color w:val="auto"/>
          <w:highlight w:val="none"/>
        </w:rPr>
        <w:t>其他重要事项的情况说明</w:t>
      </w:r>
      <w:bookmarkEnd w:id="32"/>
      <w:bookmarkEnd w:id="33"/>
    </w:p>
    <w:p w14:paraId="315D3A39">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6A048B07">
      <w:pPr>
        <w:spacing w:line="600" w:lineRule="exact"/>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。与2022年度决算数持平。</w:t>
      </w:r>
    </w:p>
    <w:p w14:paraId="6E3B173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3AAD250B">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公务用车采购</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B04562E">
      <w:pPr>
        <w:spacing w:line="600" w:lineRule="exact"/>
        <w:ind w:firstLine="643" w:firstLineChars="200"/>
        <w:rPr>
          <w:rFonts w:ascii="仿宋" w:hAnsi="仿宋" w:eastAsia="仿宋"/>
          <w:b/>
          <w:color w:val="auto"/>
          <w:sz w:val="32"/>
          <w:szCs w:val="32"/>
          <w:highlight w:val="none"/>
        </w:rPr>
      </w:pPr>
    </w:p>
    <w:p w14:paraId="37AEC540">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69C2CE0D">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69957B99">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7092EE1E">
      <w:pPr>
        <w:spacing w:line="600" w:lineRule="exact"/>
        <w:ind w:firstLine="640" w:firstLineChars="200"/>
        <w:rPr>
          <w:rFonts w:hint="default"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2023年本单位完成整体绩效自评，并撰写自评报告，自评得分88.7。不涉及项目绩效自评，故无项目绩效自评表。</w:t>
      </w:r>
    </w:p>
    <w:p w14:paraId="2EF3B774">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4AA989AD">
      <w:pPr>
        <w:numPr>
          <w:ilvl w:val="0"/>
          <w:numId w:val="0"/>
        </w:numPr>
        <w:spacing w:line="600" w:lineRule="exact"/>
        <w:jc w:val="center"/>
        <w:outlineLvl w:val="0"/>
        <w:rPr>
          <w:rStyle w:val="16"/>
          <w:rFonts w:ascii="黑体" w:hAnsi="黑体" w:eastAsia="黑体"/>
          <w:b w:val="0"/>
          <w:color w:val="auto"/>
          <w:highlight w:val="none"/>
        </w:rPr>
      </w:pPr>
      <w:bookmarkStart w:id="34" w:name="_Toc10352"/>
      <w:bookmarkStart w:id="35" w:name="_Toc1524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34"/>
      <w:bookmarkEnd w:id="35"/>
    </w:p>
    <w:p w14:paraId="6EFA0398">
      <w:pPr>
        <w:spacing w:line="600" w:lineRule="exact"/>
        <w:jc w:val="left"/>
        <w:rPr>
          <w:rFonts w:ascii="宋体"/>
          <w:b/>
          <w:color w:val="auto"/>
          <w:sz w:val="44"/>
          <w:szCs w:val="44"/>
          <w:highlight w:val="none"/>
        </w:rPr>
      </w:pPr>
    </w:p>
    <w:p w14:paraId="73A0ECB8">
      <w:pPr>
        <w:pStyle w:val="19"/>
        <w:spacing w:line="560" w:lineRule="exact"/>
        <w:ind w:firstLine="640" w:firstLineChars="200"/>
        <w:outlineLvl w:val="1"/>
        <w:rPr>
          <w:rFonts w:ascii="仿宋_GB2312" w:eastAsia="仿宋_GB2312"/>
          <w:color w:val="auto"/>
          <w:sz w:val="32"/>
          <w:szCs w:val="32"/>
          <w:highlight w:val="none"/>
        </w:rPr>
      </w:pPr>
      <w:bookmarkStart w:id="36" w:name="_Toc22062"/>
      <w:bookmarkStart w:id="37" w:name="_Toc1254"/>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36"/>
      <w:bookmarkEnd w:id="37"/>
    </w:p>
    <w:p w14:paraId="10F9277E">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1B158AC8">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38F2C9E9">
      <w:pPr>
        <w:pStyle w:val="19"/>
        <w:spacing w:line="560" w:lineRule="exact"/>
        <w:ind w:firstLine="640" w:firstLineChars="200"/>
        <w:outlineLvl w:val="1"/>
        <w:rPr>
          <w:rFonts w:ascii="仿宋_GB2312" w:eastAsia="仿宋_GB2312"/>
          <w:color w:val="auto"/>
          <w:sz w:val="32"/>
          <w:szCs w:val="32"/>
          <w:highlight w:val="none"/>
        </w:rPr>
      </w:pPr>
      <w:bookmarkStart w:id="38" w:name="_Toc5647"/>
      <w:bookmarkStart w:id="39" w:name="_Toc7151"/>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38"/>
      <w:bookmarkEnd w:id="39"/>
      <w:r>
        <w:rPr>
          <w:rFonts w:ascii="仿宋_GB2312" w:eastAsia="仿宋_GB2312"/>
          <w:color w:val="auto"/>
          <w:sz w:val="32"/>
          <w:szCs w:val="32"/>
          <w:highlight w:val="none"/>
        </w:rPr>
        <w:t xml:space="preserve"> </w:t>
      </w:r>
    </w:p>
    <w:p w14:paraId="17B66B7F">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6DCCEE4D">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5D36164">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50CEF16B">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65A618A4">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52D59C8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3F926D1">
      <w:pPr>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11.社会保障和就业支出（类）抚恤（款）机关事业单位死亡抚恤（项）：反映按规定用于烈士和牺牲、病故人员家属的一次性和定期 抚恤金、丧葬补助费以及烈士褒扬金。</w:t>
      </w:r>
    </w:p>
    <w:p w14:paraId="5BA1E51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7E73B7E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3BA16063">
      <w:pPr>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.交通运输支出（类）公路水路运输（款）公路养护</w:t>
      </w:r>
      <w:r>
        <w:rPr>
          <w:rFonts w:hint="eastAsia" w:ascii="仿宋_GB2312" w:hAnsi="Times New Roman" w:eastAsia="仿宋_GB2312" w:cs="Times New Roman"/>
          <w:color w:val="auto"/>
          <w:sz w:val="32"/>
          <w:szCs w:val="32"/>
          <w:highlight w:val="none"/>
          <w:lang w:val="en-US" w:eastAsia="zh-CN"/>
        </w:rPr>
        <w:t>（项）：指反映公路养护支出。</w:t>
      </w:r>
    </w:p>
    <w:p w14:paraId="7F0B30AE">
      <w:pPr>
        <w:ind w:firstLine="640" w:firstLineChars="200"/>
        <w:rPr>
          <w:rFonts w:hint="eastAsia" w:ascii="仿宋_GB2312" w:eastAsia="仿宋_GB2312"/>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15.住房保障支出（类）住房改革支出（款）住房公积金（项）：指反映行政事业单位按人力资源和社会保障部、</w:t>
      </w:r>
      <w:r>
        <w:rPr>
          <w:rFonts w:hint="eastAsia" w:ascii="仿宋_GB2312" w:eastAsia="仿宋_GB2312"/>
          <w:color w:val="auto"/>
          <w:sz w:val="32"/>
          <w:szCs w:val="32"/>
          <w:highlight w:val="none"/>
        </w:rPr>
        <w:t>财政部规定的 基本工资和津贴补贴以及规定比例为职工缴纳的住房公积金。</w:t>
      </w:r>
    </w:p>
    <w:p w14:paraId="1CD3B541">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5142673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3D3DDE1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2A0F0F4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4AB10FFD">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C751DEF">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21</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FBF134">
      <w:pPr>
        <w:pStyle w:val="19"/>
        <w:spacing w:line="560" w:lineRule="exact"/>
        <w:ind w:firstLine="640" w:firstLineChars="200"/>
        <w:rPr>
          <w:rFonts w:ascii="仿宋_GB2312" w:eastAsia="仿宋_GB2312" w:cs="黑体"/>
          <w:color w:val="auto"/>
          <w:sz w:val="32"/>
          <w:szCs w:val="32"/>
          <w:highlight w:val="none"/>
        </w:rPr>
      </w:pPr>
    </w:p>
    <w:p w14:paraId="202E6C1C">
      <w:pPr>
        <w:spacing w:line="600" w:lineRule="exact"/>
        <w:jc w:val="center"/>
        <w:outlineLvl w:val="0"/>
        <w:rPr>
          <w:rStyle w:val="16"/>
          <w:rFonts w:ascii="黑体" w:hAnsi="黑体" w:eastAsia="黑体"/>
          <w:b w:val="0"/>
          <w:color w:val="auto"/>
          <w:highlight w:val="none"/>
        </w:rPr>
      </w:pPr>
      <w:r>
        <w:rPr>
          <w:rFonts w:ascii="宋体"/>
          <w:b/>
          <w:color w:val="auto"/>
          <w:sz w:val="44"/>
          <w:szCs w:val="44"/>
          <w:highlight w:val="none"/>
        </w:rPr>
        <w:br w:type="page"/>
      </w:r>
      <w:bookmarkStart w:id="40" w:name="_Toc1295"/>
      <w:bookmarkStart w:id="41" w:name="_Toc7873"/>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40"/>
      <w:bookmarkEnd w:id="41"/>
    </w:p>
    <w:p w14:paraId="07B8A269">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5CE90D7C">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r>
        <w:rPr>
          <w:rFonts w:hint="eastAsia" w:cs="Times New Roman"/>
          <w:sz w:val="32"/>
          <w:szCs w:val="32"/>
          <w:highlight w:val="none"/>
          <w:lang w:val="en-US" w:eastAsia="zh-CN"/>
        </w:rPr>
        <w:t>2023年阿坝藏族羌族自治州公路管理局都江堰干休所无单位</w:t>
      </w:r>
      <w:r>
        <w:rPr>
          <w:rFonts w:hint="eastAsia" w:hAnsi="Times New Roman" w:cs="Times New Roman"/>
          <w:sz w:val="32"/>
          <w:szCs w:val="32"/>
          <w:highlight w:val="none"/>
          <w:lang w:val="en-US" w:eastAsia="zh-CN"/>
        </w:rPr>
        <w:t>预算项目支出绩效自评表</w:t>
      </w:r>
      <w:r>
        <w:rPr>
          <w:rFonts w:hint="eastAsia" w:cs="Times New Roman"/>
          <w:sz w:val="32"/>
          <w:szCs w:val="32"/>
          <w:highlight w:val="none"/>
          <w:lang w:val="en-US" w:eastAsia="zh-CN"/>
        </w:rPr>
        <w:t>。</w:t>
      </w:r>
    </w:p>
    <w:p w14:paraId="7485CEDF">
      <w:pPr>
        <w:pStyle w:val="8"/>
        <w:rPr>
          <w:rFonts w:hint="eastAsia" w:ascii="仿宋_GB2312" w:hAnsi="Calibri" w:eastAsia="仿宋_GB2312" w:cs="仿宋"/>
          <w:color w:val="auto"/>
          <w:kern w:val="0"/>
          <w:sz w:val="32"/>
          <w:szCs w:val="32"/>
          <w:highlight w:val="none"/>
          <w:lang w:val="en-US" w:eastAsia="zh-CN" w:bidi="ar-SA"/>
        </w:rPr>
      </w:pPr>
    </w:p>
    <w:p w14:paraId="7E60AC51">
      <w:pPr>
        <w:pStyle w:val="8"/>
        <w:rPr>
          <w:rFonts w:hint="eastAsia" w:ascii="仿宋_GB2312" w:hAnsi="Calibri" w:eastAsia="仿宋_GB2312" w:cs="仿宋"/>
          <w:color w:val="auto"/>
          <w:kern w:val="0"/>
          <w:sz w:val="32"/>
          <w:szCs w:val="32"/>
          <w:highlight w:val="none"/>
          <w:lang w:val="en-US" w:eastAsia="zh-CN" w:bidi="ar-SA"/>
        </w:rPr>
      </w:pPr>
    </w:p>
    <w:p w14:paraId="6CF2DAAA">
      <w:pPr>
        <w:pStyle w:val="8"/>
        <w:rPr>
          <w:rFonts w:hint="eastAsia" w:ascii="仿宋_GB2312" w:hAnsi="Calibri" w:eastAsia="仿宋_GB2312" w:cs="仿宋"/>
          <w:color w:val="auto"/>
          <w:kern w:val="0"/>
          <w:sz w:val="32"/>
          <w:szCs w:val="32"/>
          <w:highlight w:val="none"/>
          <w:lang w:val="en-US" w:eastAsia="zh-CN" w:bidi="ar-SA"/>
        </w:rPr>
      </w:pPr>
    </w:p>
    <w:p w14:paraId="4A55B9E8">
      <w:pPr>
        <w:pStyle w:val="8"/>
        <w:rPr>
          <w:rFonts w:hint="eastAsia" w:ascii="仿宋_GB2312" w:hAnsi="Calibri" w:eastAsia="仿宋_GB2312" w:cs="仿宋"/>
          <w:color w:val="auto"/>
          <w:kern w:val="0"/>
          <w:sz w:val="32"/>
          <w:szCs w:val="32"/>
          <w:highlight w:val="none"/>
          <w:lang w:val="en-US" w:eastAsia="zh-CN" w:bidi="ar-SA"/>
        </w:rPr>
      </w:pPr>
    </w:p>
    <w:p w14:paraId="69AB9994">
      <w:pPr>
        <w:pStyle w:val="8"/>
        <w:rPr>
          <w:rFonts w:hint="eastAsia" w:ascii="仿宋_GB2312" w:hAnsi="Calibri" w:eastAsia="仿宋_GB2312" w:cs="仿宋"/>
          <w:color w:val="auto"/>
          <w:kern w:val="0"/>
          <w:sz w:val="32"/>
          <w:szCs w:val="32"/>
          <w:highlight w:val="none"/>
          <w:lang w:val="en-US" w:eastAsia="zh-CN" w:bidi="ar-SA"/>
        </w:rPr>
      </w:pPr>
    </w:p>
    <w:p w14:paraId="108FF6BA">
      <w:pPr>
        <w:pStyle w:val="8"/>
        <w:rPr>
          <w:rFonts w:hint="eastAsia" w:ascii="仿宋_GB2312" w:hAnsi="Calibri" w:eastAsia="仿宋_GB2312" w:cs="仿宋"/>
          <w:color w:val="auto"/>
          <w:kern w:val="0"/>
          <w:sz w:val="32"/>
          <w:szCs w:val="32"/>
          <w:highlight w:val="none"/>
          <w:lang w:val="en-US" w:eastAsia="zh-CN" w:bidi="ar-SA"/>
        </w:rPr>
      </w:pPr>
    </w:p>
    <w:p w14:paraId="661AC0D9">
      <w:pPr>
        <w:pStyle w:val="8"/>
        <w:rPr>
          <w:rFonts w:hint="eastAsia" w:ascii="仿宋_GB2312" w:hAnsi="Calibri" w:eastAsia="仿宋_GB2312" w:cs="仿宋"/>
          <w:color w:val="auto"/>
          <w:kern w:val="0"/>
          <w:sz w:val="32"/>
          <w:szCs w:val="32"/>
          <w:highlight w:val="none"/>
          <w:lang w:val="en-US" w:eastAsia="zh-CN" w:bidi="ar-SA"/>
        </w:rPr>
      </w:pPr>
    </w:p>
    <w:p w14:paraId="02E74D79">
      <w:pPr>
        <w:pStyle w:val="8"/>
        <w:rPr>
          <w:rFonts w:hint="eastAsia" w:ascii="仿宋_GB2312" w:hAnsi="Calibri" w:eastAsia="仿宋_GB2312" w:cs="仿宋"/>
          <w:color w:val="auto"/>
          <w:kern w:val="0"/>
          <w:sz w:val="32"/>
          <w:szCs w:val="32"/>
          <w:highlight w:val="none"/>
          <w:lang w:val="en-US" w:eastAsia="zh-CN" w:bidi="ar-SA"/>
        </w:rPr>
      </w:pPr>
    </w:p>
    <w:p w14:paraId="449235B5">
      <w:pPr>
        <w:pStyle w:val="8"/>
        <w:rPr>
          <w:rFonts w:hint="eastAsia" w:ascii="仿宋_GB2312" w:hAnsi="Calibri" w:eastAsia="仿宋_GB2312" w:cs="仿宋"/>
          <w:color w:val="auto"/>
          <w:kern w:val="0"/>
          <w:sz w:val="32"/>
          <w:szCs w:val="32"/>
          <w:highlight w:val="none"/>
          <w:lang w:val="en-US" w:eastAsia="zh-CN" w:bidi="ar-SA"/>
        </w:rPr>
      </w:pPr>
    </w:p>
    <w:p w14:paraId="03F5AFE2">
      <w:pPr>
        <w:pStyle w:val="8"/>
        <w:rPr>
          <w:rFonts w:hint="eastAsia" w:ascii="仿宋_GB2312" w:hAnsi="Calibri" w:eastAsia="仿宋_GB2312" w:cs="仿宋"/>
          <w:color w:val="auto"/>
          <w:kern w:val="0"/>
          <w:sz w:val="32"/>
          <w:szCs w:val="32"/>
          <w:highlight w:val="none"/>
          <w:lang w:val="en-US" w:eastAsia="zh-CN" w:bidi="ar-SA"/>
        </w:rPr>
      </w:pPr>
    </w:p>
    <w:p w14:paraId="6BACB805">
      <w:pPr>
        <w:pStyle w:val="8"/>
        <w:rPr>
          <w:rFonts w:hint="eastAsia" w:ascii="仿宋_GB2312" w:hAnsi="Calibri" w:eastAsia="仿宋_GB2312" w:cs="仿宋"/>
          <w:color w:val="auto"/>
          <w:kern w:val="0"/>
          <w:sz w:val="32"/>
          <w:szCs w:val="32"/>
          <w:highlight w:val="none"/>
          <w:lang w:val="en-US" w:eastAsia="zh-CN" w:bidi="ar-SA"/>
        </w:rPr>
      </w:pPr>
    </w:p>
    <w:p w14:paraId="53315D6C">
      <w:pPr>
        <w:pStyle w:val="8"/>
        <w:rPr>
          <w:rFonts w:hint="eastAsia" w:ascii="仿宋_GB2312" w:hAnsi="Calibri" w:eastAsia="仿宋_GB2312" w:cs="仿宋"/>
          <w:color w:val="auto"/>
          <w:kern w:val="0"/>
          <w:sz w:val="32"/>
          <w:szCs w:val="32"/>
          <w:highlight w:val="none"/>
          <w:lang w:val="en-US" w:eastAsia="zh-CN" w:bidi="ar-SA"/>
        </w:rPr>
      </w:pPr>
    </w:p>
    <w:p w14:paraId="24D170DA">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4923E71">
      <w:pPr>
        <w:spacing w:line="600" w:lineRule="exact"/>
        <w:jc w:val="center"/>
        <w:outlineLvl w:val="0"/>
        <w:rPr>
          <w:rFonts w:hint="eastAsia" w:ascii="仿宋" w:hAnsi="仿宋" w:eastAsia="仿宋"/>
          <w:b w:val="0"/>
          <w:color w:val="auto"/>
          <w:highlight w:val="none"/>
        </w:rPr>
      </w:pPr>
      <w:bookmarkStart w:id="42" w:name="_Toc6903"/>
      <w:bookmarkStart w:id="43" w:name="_Toc20054"/>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42"/>
      <w:bookmarkEnd w:id="43"/>
    </w:p>
    <w:p w14:paraId="2AC3300C">
      <w:pPr>
        <w:pStyle w:val="6"/>
        <w:rPr>
          <w:rFonts w:ascii="仿宋" w:hAnsi="仿宋" w:eastAsia="仿宋"/>
          <w:color w:val="auto"/>
          <w:highlight w:val="none"/>
        </w:rPr>
      </w:pPr>
      <w:bookmarkStart w:id="44" w:name="_Toc2331"/>
      <w:bookmarkStart w:id="45" w:name="_Toc17155"/>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44"/>
      <w:bookmarkEnd w:id="45"/>
    </w:p>
    <w:p w14:paraId="753E8E6D">
      <w:pPr>
        <w:pStyle w:val="6"/>
        <w:rPr>
          <w:rFonts w:ascii="仿宋" w:hAnsi="仿宋" w:eastAsia="仿宋"/>
          <w:color w:val="auto"/>
          <w:highlight w:val="none"/>
        </w:rPr>
      </w:pPr>
      <w:bookmarkStart w:id="46" w:name="_Toc13506"/>
      <w:bookmarkStart w:id="47" w:name="_Toc18608"/>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46"/>
      <w:bookmarkEnd w:id="47"/>
    </w:p>
    <w:p w14:paraId="5AFA7883">
      <w:pPr>
        <w:pStyle w:val="6"/>
        <w:rPr>
          <w:rFonts w:ascii="仿宋" w:hAnsi="仿宋" w:eastAsia="仿宋"/>
          <w:color w:val="auto"/>
          <w:highlight w:val="none"/>
        </w:rPr>
      </w:pPr>
      <w:bookmarkStart w:id="48" w:name="_Toc24373"/>
      <w:bookmarkStart w:id="49" w:name="_Toc8717"/>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48"/>
      <w:bookmarkEnd w:id="49"/>
    </w:p>
    <w:p w14:paraId="7B873F7D">
      <w:pPr>
        <w:pStyle w:val="6"/>
        <w:rPr>
          <w:rFonts w:ascii="仿宋" w:hAnsi="仿宋" w:eastAsia="仿宋"/>
          <w:b w:val="0"/>
          <w:color w:val="auto"/>
          <w:highlight w:val="none"/>
        </w:rPr>
      </w:pPr>
      <w:bookmarkStart w:id="50" w:name="_Toc20994"/>
      <w:bookmarkStart w:id="51" w:name="_Toc27918"/>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50"/>
      <w:bookmarkEnd w:id="51"/>
    </w:p>
    <w:p w14:paraId="6343C76D">
      <w:pPr>
        <w:pStyle w:val="6"/>
        <w:rPr>
          <w:rStyle w:val="17"/>
          <w:rFonts w:ascii="仿宋" w:hAnsi="仿宋" w:eastAsia="仿宋"/>
          <w:b w:val="0"/>
          <w:bCs w:val="0"/>
          <w:color w:val="auto"/>
          <w:highlight w:val="none"/>
        </w:rPr>
      </w:pPr>
      <w:bookmarkStart w:id="52" w:name="_Toc7098"/>
      <w:bookmarkStart w:id="53" w:name="_Toc23638"/>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52"/>
      <w:bookmarkEnd w:id="53"/>
    </w:p>
    <w:p w14:paraId="1AD4D302">
      <w:pPr>
        <w:pStyle w:val="6"/>
        <w:rPr>
          <w:rFonts w:ascii="仿宋" w:hAnsi="仿宋" w:eastAsia="仿宋"/>
          <w:color w:val="auto"/>
          <w:highlight w:val="none"/>
        </w:rPr>
      </w:pPr>
      <w:bookmarkStart w:id="54" w:name="_Toc10675"/>
      <w:bookmarkStart w:id="55" w:name="_Toc25025"/>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54"/>
      <w:bookmarkEnd w:id="55"/>
    </w:p>
    <w:p w14:paraId="29CF1DB0">
      <w:pPr>
        <w:pStyle w:val="6"/>
        <w:rPr>
          <w:rFonts w:ascii="仿宋" w:hAnsi="仿宋" w:eastAsia="仿宋"/>
          <w:color w:val="auto"/>
          <w:highlight w:val="none"/>
        </w:rPr>
      </w:pPr>
      <w:bookmarkStart w:id="56" w:name="_Toc18811"/>
      <w:bookmarkStart w:id="57" w:name="_Toc3006"/>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56"/>
      <w:bookmarkEnd w:id="57"/>
    </w:p>
    <w:p w14:paraId="1E821D41">
      <w:pPr>
        <w:pStyle w:val="6"/>
        <w:rPr>
          <w:rFonts w:ascii="仿宋" w:hAnsi="仿宋" w:eastAsia="仿宋"/>
          <w:color w:val="auto"/>
          <w:highlight w:val="none"/>
        </w:rPr>
      </w:pPr>
      <w:bookmarkStart w:id="58" w:name="_Toc6568"/>
      <w:bookmarkStart w:id="59" w:name="_Toc5393"/>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58"/>
      <w:bookmarkEnd w:id="59"/>
    </w:p>
    <w:p w14:paraId="6243580D">
      <w:pPr>
        <w:pStyle w:val="6"/>
        <w:rPr>
          <w:rFonts w:ascii="仿宋" w:hAnsi="仿宋" w:eastAsia="仿宋"/>
          <w:color w:val="auto"/>
          <w:highlight w:val="none"/>
        </w:rPr>
      </w:pPr>
      <w:bookmarkStart w:id="60" w:name="_Toc22895"/>
      <w:bookmarkStart w:id="61" w:name="_Toc23674"/>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60"/>
      <w:bookmarkEnd w:id="61"/>
    </w:p>
    <w:p w14:paraId="5EB1AC58">
      <w:pPr>
        <w:pStyle w:val="6"/>
        <w:rPr>
          <w:rFonts w:ascii="仿宋" w:hAnsi="仿宋" w:eastAsia="仿宋"/>
          <w:color w:val="auto"/>
          <w:highlight w:val="none"/>
        </w:rPr>
      </w:pPr>
      <w:bookmarkStart w:id="62" w:name="_Toc18594"/>
      <w:bookmarkStart w:id="63" w:name="_Toc29761"/>
      <w:r>
        <w:rPr>
          <w:rStyle w:val="17"/>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62"/>
      <w:bookmarkEnd w:id="63"/>
    </w:p>
    <w:p w14:paraId="58C06713">
      <w:pPr>
        <w:pStyle w:val="6"/>
        <w:rPr>
          <w:rFonts w:ascii="仿宋" w:hAnsi="仿宋" w:eastAsia="仿宋"/>
          <w:color w:val="auto"/>
          <w:highlight w:val="none"/>
        </w:rPr>
      </w:pPr>
      <w:bookmarkStart w:id="64" w:name="_Toc28944"/>
      <w:bookmarkStart w:id="65" w:name="_Toc23140"/>
      <w:r>
        <w:rPr>
          <w:rStyle w:val="17"/>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64"/>
      <w:bookmarkEnd w:id="65"/>
    </w:p>
    <w:p w14:paraId="36E1831F">
      <w:pPr>
        <w:pStyle w:val="6"/>
        <w:rPr>
          <w:rFonts w:ascii="仿宋" w:hAnsi="仿宋" w:eastAsia="仿宋"/>
          <w:color w:val="auto"/>
          <w:highlight w:val="none"/>
        </w:rPr>
      </w:pPr>
      <w:bookmarkStart w:id="66" w:name="_Toc21733"/>
      <w:bookmarkStart w:id="67" w:name="_Toc29958"/>
      <w:r>
        <w:rPr>
          <w:rStyle w:val="17"/>
          <w:rFonts w:hint="eastAsia" w:ascii="仿宋" w:hAnsi="仿宋" w:eastAsia="仿宋"/>
          <w:b w:val="0"/>
          <w:bCs w:val="0"/>
          <w:color w:val="auto"/>
          <w:highlight w:val="none"/>
        </w:rPr>
        <w:t>十二、</w:t>
      </w:r>
      <w:r>
        <w:rPr>
          <w:rStyle w:val="17"/>
          <w:rFonts w:hint="eastAsia" w:ascii="仿宋" w:hAnsi="仿宋" w:eastAsia="仿宋"/>
          <w:b w:val="0"/>
          <w:bCs w:val="0"/>
          <w:color w:val="auto"/>
          <w:highlight w:val="none"/>
          <w:lang w:eastAsia="zh-CN"/>
        </w:rPr>
        <w:t>国有资本经营预算财政拨款支出决算表</w:t>
      </w:r>
      <w:bookmarkEnd w:id="66"/>
      <w:bookmarkEnd w:id="67"/>
    </w:p>
    <w:p w14:paraId="7C699795">
      <w:pPr>
        <w:pStyle w:val="6"/>
        <w:rPr>
          <w:rFonts w:hint="eastAsia" w:eastAsia="仿宋"/>
          <w:color w:val="auto"/>
          <w:highlight w:val="none"/>
          <w:lang w:eastAsia="zh-CN"/>
        </w:rPr>
      </w:pPr>
      <w:bookmarkStart w:id="68" w:name="_Toc32173"/>
      <w:bookmarkStart w:id="69" w:name="_Toc5244"/>
      <w:r>
        <w:rPr>
          <w:rStyle w:val="17"/>
          <w:rFonts w:hint="eastAsia" w:ascii="仿宋" w:hAnsi="仿宋" w:eastAsia="仿宋"/>
          <w:b w:val="0"/>
          <w:bCs w:val="0"/>
          <w:color w:val="auto"/>
          <w:highlight w:val="none"/>
        </w:rPr>
        <w:t>十三、</w:t>
      </w:r>
      <w:r>
        <w:rPr>
          <w:rStyle w:val="17"/>
          <w:rFonts w:hint="eastAsia" w:ascii="仿宋" w:hAnsi="仿宋" w:eastAsia="仿宋"/>
          <w:b w:val="0"/>
          <w:bCs w:val="0"/>
          <w:color w:val="auto"/>
          <w:highlight w:val="none"/>
          <w:lang w:eastAsia="zh-CN"/>
        </w:rPr>
        <w:t>财政拨款“三公”经费支出决算表</w:t>
      </w:r>
      <w:bookmarkEnd w:id="68"/>
      <w:bookmarkEnd w:id="69"/>
    </w:p>
    <w:p w14:paraId="5D91F3B2">
      <w:pPr>
        <w:rPr>
          <w:rFonts w:hint="eastAsia"/>
          <w:lang w:eastAsia="zh-CN"/>
        </w:rPr>
      </w:pPr>
    </w:p>
    <w:p w14:paraId="2399900D"/>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9A1E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B486ED8">
                              <w:pPr>
                                <w:pStyle w:val="9"/>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B486ED8">
                        <w:pPr>
                          <w:pStyle w:val="9"/>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2"/>
                    </w:pPr>
                  </w:p>
                </w:txbxContent>
              </v:textbox>
            </v:shape>
          </w:pict>
        </mc:Fallback>
      </mc:AlternateContent>
    </w:r>
  </w:p>
  <w:p w14:paraId="102DB9E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FC7D">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B42E">
                          <w:pPr>
                            <w:pStyle w:val="9"/>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680B42E">
                    <w:pPr>
                      <w:pStyle w:val="9"/>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784DE9"/>
    <w:rsid w:val="01521C8D"/>
    <w:rsid w:val="02CC480C"/>
    <w:rsid w:val="02FB2F3A"/>
    <w:rsid w:val="04EB099C"/>
    <w:rsid w:val="08D212FD"/>
    <w:rsid w:val="09BD6E82"/>
    <w:rsid w:val="0B633385"/>
    <w:rsid w:val="140A6E54"/>
    <w:rsid w:val="1FA348AA"/>
    <w:rsid w:val="24ED6B54"/>
    <w:rsid w:val="26E50D2A"/>
    <w:rsid w:val="28EE08D1"/>
    <w:rsid w:val="29362739"/>
    <w:rsid w:val="2FA40906"/>
    <w:rsid w:val="303C512C"/>
    <w:rsid w:val="32DA54BB"/>
    <w:rsid w:val="34B27EEA"/>
    <w:rsid w:val="382D5279"/>
    <w:rsid w:val="3A221FB6"/>
    <w:rsid w:val="3B1B329B"/>
    <w:rsid w:val="3DAC5CA6"/>
    <w:rsid w:val="419E59A6"/>
    <w:rsid w:val="482F19AD"/>
    <w:rsid w:val="48FB5DE3"/>
    <w:rsid w:val="4DB52955"/>
    <w:rsid w:val="525E180D"/>
    <w:rsid w:val="526E0D53"/>
    <w:rsid w:val="57D95558"/>
    <w:rsid w:val="5B6022C7"/>
    <w:rsid w:val="5C0C7E28"/>
    <w:rsid w:val="5D6677C8"/>
    <w:rsid w:val="5EAB325C"/>
    <w:rsid w:val="60DE253A"/>
    <w:rsid w:val="61FE71CE"/>
    <w:rsid w:val="64373E17"/>
    <w:rsid w:val="67A24A5E"/>
    <w:rsid w:val="6E0F3DEA"/>
    <w:rsid w:val="70652CA1"/>
    <w:rsid w:val="732C3E52"/>
    <w:rsid w:val="74186DFA"/>
    <w:rsid w:val="78857244"/>
    <w:rsid w:val="78ED301C"/>
    <w:rsid w:val="79BC53E5"/>
    <w:rsid w:val="7A9355EB"/>
    <w:rsid w:val="7B710B8F"/>
    <w:rsid w:val="7BD950E3"/>
    <w:rsid w:val="7DC0487A"/>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7">
    <w:name w:val="annotation text"/>
    <w:basedOn w:val="1"/>
    <w:semiHidden/>
    <w:unhideWhenUsed/>
    <w:qFormat/>
    <w:uiPriority w:val="99"/>
    <w:pPr>
      <w:jc w:val="left"/>
    </w:pPr>
  </w:style>
  <w:style w:type="paragraph" w:styleId="8">
    <w:name w:val="Body Text"/>
    <w:basedOn w:val="1"/>
    <w:next w:val="1"/>
    <w:qFormat/>
    <w:uiPriority w:val="99"/>
    <w:pPr>
      <w:spacing w:beforeLines="30"/>
    </w:pPr>
    <w:rPr>
      <w:rFonts w:ascii="仿宋_GB2312" w:eastAsia="仿宋_GB2312"/>
      <w:kern w:val="0"/>
      <w:sz w:val="30"/>
    </w:rPr>
  </w:style>
  <w:style w:type="paragraph" w:styleId="9">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99"/>
    <w:pPr>
      <w:spacing w:beforeAutospacing="1" w:afterAutospacing="1"/>
      <w:jc w:val="left"/>
    </w:pPr>
    <w:rPr>
      <w:kern w:val="0"/>
      <w:sz w:val="24"/>
    </w:rPr>
  </w:style>
  <w:style w:type="character" w:styleId="15">
    <w:name w:val="Strong"/>
    <w:basedOn w:val="14"/>
    <w:qFormat/>
    <w:uiPriority w:val="99"/>
    <w:rPr>
      <w:b/>
    </w:rPr>
  </w:style>
  <w:style w:type="character" w:customStyle="1" w:styleId="16">
    <w:name w:val="标题 1 Char"/>
    <w:basedOn w:val="14"/>
    <w:link w:val="5"/>
    <w:qFormat/>
    <w:uiPriority w:val="9"/>
    <w:rPr>
      <w:b/>
      <w:bCs/>
      <w:kern w:val="44"/>
      <w:sz w:val="44"/>
      <w:szCs w:val="44"/>
    </w:rPr>
  </w:style>
  <w:style w:type="character" w:customStyle="1" w:styleId="17">
    <w:name w:val="标题 2 Char"/>
    <w:basedOn w:val="14"/>
    <w:link w:val="6"/>
    <w:qFormat/>
    <w:uiPriority w:val="9"/>
    <w:rPr>
      <w:rFonts w:asciiTheme="majorHAnsi" w:hAnsiTheme="majorHAnsi" w:eastAsiaTheme="majorEastAsia" w:cstheme="majorBidi"/>
      <w:b/>
      <w:bCs/>
      <w:sz w:val="32"/>
      <w:szCs w:val="32"/>
    </w:rPr>
  </w:style>
  <w:style w:type="paragraph"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paragraph" w:customStyle="1" w:styleId="2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393.86</c:v>
                </c:pt>
                <c:pt idx="1">
                  <c:v>393.86</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266.56</c:v>
                </c:pt>
                <c:pt idx="1">
                  <c:v>266.56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manualLayout>
                  <c:x val="0.00483208504469679"/>
                  <c:y val="0"/>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393.86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880889103648224"/>
          <c:y val="0.511687207819804"/>
          <c:w val="0.115366030442136"/>
          <c:h val="0.11665958351041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manualLayout>
          <c:xMode val="edge"/>
          <c:yMode val="edge"/>
          <c:x val="0.372432954820005"/>
          <c:y val="0.0254993625159371"/>
        </c:manualLayout>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基本支出</c:v>
                </c:pt>
              </c:strCache>
            </c:strRef>
          </c:cat>
          <c:val>
            <c:numRef>
              <c:f>Sheet1!$B$2</c:f>
              <c:numCache>
                <c:formatCode>#,##0.00</c:formatCode>
                <c:ptCount val="1"/>
                <c:pt idx="0">
                  <c:v>393.86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393.86</c:v>
                </c:pt>
                <c:pt idx="1">
                  <c:v>393.86</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266.56</c:v>
                </c:pt>
                <c:pt idx="1">
                  <c:v>266.56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manualLayout>
          <c:layoutTarget val="inner"/>
          <c:xMode val="edge"/>
          <c:yMode val="edge"/>
          <c:x val="0.105170330997826"/>
          <c:y val="0.161920951976201"/>
          <c:w val="0.754215994201498"/>
          <c:h val="0.735741606459839"/>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393.86</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266.56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13.</a:t>
                    </a:r>
                    <a:r>
                      <a:rPr lang="en-US" altLang="zh-CN"/>
                      <a:t>5</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3.8%</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80.</a:t>
                    </a:r>
                    <a:r>
                      <a:rPr lang="en-US" altLang="zh-CN"/>
                      <a:t>3</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2.4%</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53.03</c:v>
                </c:pt>
                <c:pt idx="1">
                  <c:v>15.03</c:v>
                </c:pt>
                <c:pt idx="2" c:formatCode="#,##0.00">
                  <c:v>316.21</c:v>
                </c:pt>
                <c:pt idx="3">
                  <c:v>9.59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经费财政拨款支出</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公务用车购置及运行维护费支出</c:v>
                </c:pt>
              </c:strCache>
            </c:strRef>
          </c:cat>
          <c:val>
            <c:numRef>
              <c:f>Sheet1!$B$2</c:f>
              <c:numCache>
                <c:formatCode>General</c:formatCode>
                <c:ptCount val="1"/>
                <c:pt idx="0">
                  <c:v>2.84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4792</Words>
  <Characters>5194</Characters>
  <Lines>0</Lines>
  <Paragraphs>0</Paragraphs>
  <TotalTime>4</TotalTime>
  <ScaleCrop>false</ScaleCrop>
  <LinksUpToDate>false</LinksUpToDate>
  <CharactersWithSpaces>5373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2024-09-18T01:45:32Z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BA7DE8D3B13348F6A476D768A40C1BEF_13</vt:lpwstr>
  </property>
</Properties>
</file>