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BEF4A">
      <w:pPr>
        <w:pStyle w:val="8"/>
        <w:rPr>
          <w:rFonts w:hint="eastAsia" w:ascii="方正小标宋简体" w:hAnsi="宋体" w:eastAsia="方正小标宋简体" w:cs="Times New Roman"/>
          <w:color w:val="auto"/>
          <w:kern w:val="2"/>
          <w:sz w:val="72"/>
          <w:szCs w:val="72"/>
          <w:highlight w:val="none"/>
          <w:lang w:val="en-US" w:eastAsia="zh-CN" w:bidi="ar-SA"/>
        </w:rPr>
      </w:pPr>
      <w:bookmarkStart w:id="0" w:name="_Toc15306267"/>
      <w:bookmarkStart w:id="1" w:name="_Toc15377193"/>
      <w:bookmarkStart w:id="2" w:name="_Toc15377425"/>
      <w:bookmarkStart w:id="3" w:name="_Toc15396475"/>
      <w:bookmarkStart w:id="4" w:name="_Toc15378441"/>
      <w:bookmarkStart w:id="5" w:name="_Toc15396597"/>
    </w:p>
    <w:p w14:paraId="2BB39BCC">
      <w:pPr>
        <w:pStyle w:val="8"/>
        <w:rPr>
          <w:rFonts w:hint="eastAsia" w:ascii="方正小标宋简体" w:hAnsi="宋体" w:eastAsia="方正小标宋简体" w:cs="Times New Roman"/>
          <w:color w:val="auto"/>
          <w:kern w:val="2"/>
          <w:sz w:val="72"/>
          <w:szCs w:val="72"/>
          <w:highlight w:val="none"/>
          <w:lang w:val="en-US" w:eastAsia="zh-CN" w:bidi="ar-SA"/>
        </w:rPr>
      </w:pPr>
    </w:p>
    <w:p w14:paraId="6164F52B">
      <w:pPr>
        <w:pStyle w:val="8"/>
        <w:jc w:val="center"/>
        <w:sectPr>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r>
        <w:rPr>
          <w:rFonts w:hint="eastAsia" w:ascii="方正小标宋简体" w:hAnsi="宋体" w:eastAsia="方正小标宋简体" w:cs="Times New Roman"/>
          <w:color w:val="auto"/>
          <w:kern w:val="2"/>
          <w:sz w:val="44"/>
          <w:szCs w:val="44"/>
          <w:highlight w:val="none"/>
          <w:lang w:val="en-US" w:eastAsia="zh-CN" w:bidi="ar-SA"/>
        </w:rPr>
        <w:t>2023年度阿坝州公路局部门决算公开</w:t>
      </w:r>
    </w:p>
    <w:bookmarkEnd w:id="0"/>
    <w:bookmarkEnd w:id="1"/>
    <w:bookmarkEnd w:id="2"/>
    <w:bookmarkEnd w:id="3"/>
    <w:bookmarkEnd w:id="4"/>
    <w:bookmarkEnd w:id="5"/>
    <w:p w14:paraId="28AC503C">
      <w:pPr>
        <w:widowControl/>
        <w:jc w:val="center"/>
        <w:rPr>
          <w:rFonts w:ascii="黑体" w:hAnsi="黑体" w:eastAsia="黑体"/>
          <w:color w:val="auto"/>
          <w:sz w:val="48"/>
          <w:szCs w:val="48"/>
          <w:highlight w:val="none"/>
        </w:rPr>
      </w:pPr>
      <w:r>
        <w:rPr>
          <w:rFonts w:hint="eastAsia" w:ascii="黑体" w:hAnsi="黑体" w:eastAsia="黑体"/>
          <w:color w:val="auto"/>
          <w:sz w:val="48"/>
          <w:szCs w:val="48"/>
          <w:highlight w:val="none"/>
        </w:rPr>
        <w:t>目录</w:t>
      </w:r>
    </w:p>
    <w:p w14:paraId="2709113B">
      <w:pPr>
        <w:widowControl/>
        <w:jc w:val="center"/>
        <w:rPr>
          <w:rFonts w:ascii="黑体" w:hAnsi="黑体" w:eastAsia="黑体" w:cstheme="minorBidi"/>
          <w:color w:val="auto"/>
          <w:sz w:val="28"/>
          <w:szCs w:val="28"/>
          <w:highlight w:val="none"/>
        </w:rPr>
      </w:pPr>
    </w:p>
    <w:p w14:paraId="2363EC5E">
      <w:pPr>
        <w:pStyle w:val="15"/>
        <w:rPr>
          <w:color w:val="auto"/>
          <w:highlight w:val="none"/>
        </w:rPr>
      </w:pPr>
      <w:r>
        <w:rPr>
          <w:rFonts w:hint="eastAsia"/>
          <w:color w:val="auto"/>
          <w:highlight w:val="none"/>
        </w:rPr>
        <w:t>公开时间：20</w:t>
      </w:r>
      <w:r>
        <w:rPr>
          <w:rFonts w:hint="eastAsia"/>
          <w:color w:val="auto"/>
          <w:highlight w:val="none"/>
          <w:lang w:val="en-US" w:eastAsia="zh-CN"/>
        </w:rPr>
        <w:t>24</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p>
    <w:sdt>
      <w:sdtPr>
        <w:rPr>
          <w:rFonts w:ascii="宋体" w:hAnsi="宋体" w:eastAsia="宋体" w:cs="Times New Roman"/>
          <w:kern w:val="2"/>
          <w:sz w:val="21"/>
          <w:szCs w:val="24"/>
          <w:lang w:val="en-US" w:eastAsia="zh-CN" w:bidi="ar-SA"/>
        </w:rPr>
        <w:id w:val="147468921"/>
        <w15:color w:val="DBDBDB"/>
        <w:docPartObj>
          <w:docPartGallery w:val="Table of Contents"/>
          <w:docPartUnique/>
        </w:docPartObj>
      </w:sdtPr>
      <w:sdtEndPr>
        <w:rPr>
          <w:rFonts w:hint="eastAsia" w:ascii="仿宋" w:hAnsi="仿宋" w:eastAsia="仿宋" w:cs="仿宋"/>
          <w:b/>
          <w:kern w:val="2"/>
          <w:sz w:val="28"/>
          <w:szCs w:val="28"/>
          <w:lang w:val="en-US" w:eastAsia="zh-CN" w:bidi="ar-SA"/>
        </w:rPr>
      </w:sdtEndPr>
      <w:sdtContent>
        <w:p w14:paraId="76F74941">
          <w:pPr>
            <w:spacing w:before="0" w:beforeLines="0" w:after="0" w:afterLines="0" w:line="240" w:lineRule="auto"/>
            <w:ind w:left="0" w:leftChars="0" w:right="0" w:rightChars="0" w:firstLine="0" w:firstLineChars="0"/>
            <w:jc w:val="center"/>
          </w:pPr>
          <w:bookmarkStart w:id="6" w:name="_Toc15396599"/>
          <w:bookmarkStart w:id="7" w:name="_Toc15377196"/>
        </w:p>
        <w:p w14:paraId="54871BE1">
          <w:pPr>
            <w:pStyle w:val="39"/>
            <w:tabs>
              <w:tab w:val="right" w:leader="dot" w:pos="8306"/>
            </w:tabs>
            <w:rPr>
              <w:rFonts w:hint="eastAsia" w:ascii="仿宋" w:hAnsi="仿宋" w:eastAsia="仿宋" w:cs="仿宋"/>
              <w:b/>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TOC \o "1-2" \h \u </w:instrText>
          </w:r>
          <w:r>
            <w:rPr>
              <w:rFonts w:hint="eastAsia" w:ascii="仿宋" w:hAnsi="仿宋" w:eastAsia="仿宋" w:cs="仿宋"/>
              <w:sz w:val="28"/>
              <w:szCs w:val="28"/>
            </w:rPr>
            <w:fldChar w:fldCharType="separate"/>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_Toc27598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 xml:space="preserve">第一部分 </w:t>
          </w:r>
          <w:r>
            <w:rPr>
              <w:rFonts w:hint="eastAsia" w:ascii="仿宋" w:hAnsi="仿宋" w:eastAsia="仿宋" w:cs="仿宋"/>
              <w:b/>
              <w:bCs w:val="0"/>
              <w:sz w:val="28"/>
              <w:szCs w:val="28"/>
              <w:highlight w:val="none"/>
            </w:rPr>
            <w:t>部门概况</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_Toc27598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4618350C">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_Toc31629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一、</w:t>
          </w:r>
          <w:r>
            <w:rPr>
              <w:rFonts w:hint="eastAsia" w:ascii="仿宋" w:hAnsi="仿宋" w:eastAsia="仿宋" w:cs="仿宋"/>
              <w:sz w:val="28"/>
              <w:szCs w:val="28"/>
              <w:highlight w:val="none"/>
              <w:lang w:eastAsia="zh-CN"/>
            </w:rPr>
            <w:t>部门职责</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_Toc31629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9E1460E">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_Toc9518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二、机</w:t>
          </w:r>
          <w:r>
            <w:rPr>
              <w:rFonts w:hint="eastAsia" w:ascii="仿宋" w:hAnsi="仿宋" w:eastAsia="仿宋" w:cs="仿宋"/>
              <w:bCs w:val="0"/>
              <w:sz w:val="28"/>
              <w:szCs w:val="28"/>
              <w:highlight w:val="none"/>
            </w:rPr>
            <w:t>构设置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_Toc9518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1293695">
          <w:pPr>
            <w:pStyle w:val="39"/>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_Toc28961 </w:instrText>
          </w:r>
          <w:r>
            <w:rPr>
              <w:rFonts w:hint="eastAsia" w:ascii="仿宋" w:hAnsi="仿宋" w:eastAsia="仿宋" w:cs="仿宋"/>
              <w:b/>
              <w:sz w:val="28"/>
              <w:szCs w:val="28"/>
            </w:rPr>
            <w:fldChar w:fldCharType="separate"/>
          </w:r>
          <w:r>
            <w:rPr>
              <w:rFonts w:hint="eastAsia" w:ascii="仿宋" w:hAnsi="仿宋" w:eastAsia="仿宋" w:cs="仿宋"/>
              <w:b/>
              <w:bCs/>
              <w:sz w:val="28"/>
              <w:szCs w:val="28"/>
              <w:highlight w:val="none"/>
            </w:rPr>
            <w:t xml:space="preserve">第二部分 </w:t>
          </w:r>
          <w:r>
            <w:rPr>
              <w:rFonts w:hint="eastAsia" w:ascii="仿宋" w:hAnsi="仿宋" w:eastAsia="仿宋" w:cs="仿宋"/>
              <w:b/>
              <w:bCs/>
              <w:sz w:val="28"/>
              <w:szCs w:val="28"/>
              <w:highlight w:val="none"/>
              <w:lang w:val="en-US" w:eastAsia="zh-CN"/>
            </w:rPr>
            <w:t>2023年度</w:t>
          </w:r>
          <w:r>
            <w:rPr>
              <w:rFonts w:hint="eastAsia" w:ascii="仿宋" w:hAnsi="仿宋" w:eastAsia="仿宋" w:cs="仿宋"/>
              <w:b/>
              <w:bCs/>
              <w:sz w:val="28"/>
              <w:szCs w:val="28"/>
              <w:highlight w:val="none"/>
            </w:rPr>
            <w:t>部门决算情况说明</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_Toc28961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- 3 -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79F8447A">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_Toc30840 </w:instrText>
          </w:r>
          <w:r>
            <w:rPr>
              <w:rFonts w:hint="eastAsia" w:ascii="仿宋" w:hAnsi="仿宋" w:eastAsia="仿宋" w:cs="仿宋"/>
              <w:sz w:val="28"/>
              <w:szCs w:val="28"/>
            </w:rPr>
            <w:fldChar w:fldCharType="separate"/>
          </w:r>
          <w:r>
            <w:rPr>
              <w:rFonts w:hint="eastAsia" w:ascii="仿宋" w:hAnsi="仿宋" w:eastAsia="仿宋" w:cs="仿宋"/>
              <w:sz w:val="28"/>
              <w:szCs w:val="28"/>
            </w:rPr>
            <w:t xml:space="preserve">一、 </w:t>
          </w:r>
          <w:r>
            <w:rPr>
              <w:rFonts w:hint="eastAsia" w:ascii="仿宋" w:hAnsi="仿宋" w:eastAsia="仿宋" w:cs="仿宋"/>
              <w:sz w:val="28"/>
              <w:szCs w:val="28"/>
              <w:highlight w:val="none"/>
            </w:rPr>
            <w:t>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_Toc30840 \h </w:instrText>
          </w:r>
          <w:r>
            <w:rPr>
              <w:rFonts w:hint="eastAsia" w:ascii="仿宋" w:hAnsi="仿宋" w:eastAsia="仿宋" w:cs="仿宋"/>
              <w:sz w:val="28"/>
              <w:szCs w:val="28"/>
            </w:rPr>
            <w:fldChar w:fldCharType="separate"/>
          </w:r>
          <w:r>
            <w:rPr>
              <w:rFonts w:hint="eastAsia" w:ascii="仿宋" w:hAnsi="仿宋" w:eastAsia="仿宋" w:cs="仿宋"/>
              <w:sz w:val="28"/>
              <w:szCs w:val="28"/>
            </w:rPr>
            <w:t>- 3 -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0B3780A">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_Toc4054 </w:instrText>
          </w:r>
          <w:r>
            <w:rPr>
              <w:rFonts w:hint="eastAsia" w:ascii="仿宋" w:hAnsi="仿宋" w:eastAsia="仿宋" w:cs="仿宋"/>
              <w:sz w:val="28"/>
              <w:szCs w:val="28"/>
            </w:rPr>
            <w:fldChar w:fldCharType="separate"/>
          </w:r>
          <w:r>
            <w:rPr>
              <w:rFonts w:hint="eastAsia" w:ascii="仿宋" w:hAnsi="仿宋" w:eastAsia="仿宋" w:cs="仿宋"/>
              <w:sz w:val="28"/>
              <w:szCs w:val="28"/>
            </w:rPr>
            <w:t xml:space="preserve">二、 </w:t>
          </w:r>
          <w:r>
            <w:rPr>
              <w:rFonts w:hint="eastAsia" w:ascii="仿宋" w:hAnsi="仿宋" w:eastAsia="仿宋" w:cs="仿宋"/>
              <w:sz w:val="28"/>
              <w:szCs w:val="28"/>
              <w:highlight w:val="none"/>
            </w:rPr>
            <w:t>收入决算情况说明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_Toc4054 \h </w:instrText>
          </w:r>
          <w:r>
            <w:rPr>
              <w:rFonts w:hint="eastAsia" w:ascii="仿宋" w:hAnsi="仿宋" w:eastAsia="仿宋" w:cs="仿宋"/>
              <w:sz w:val="28"/>
              <w:szCs w:val="28"/>
            </w:rPr>
            <w:fldChar w:fldCharType="separate"/>
          </w:r>
          <w:r>
            <w:rPr>
              <w:rFonts w:hint="eastAsia" w:ascii="仿宋" w:hAnsi="仿宋" w:eastAsia="仿宋" w:cs="仿宋"/>
              <w:sz w:val="28"/>
              <w:szCs w:val="28"/>
            </w:rPr>
            <w:t>- 3 -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34DD6936">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_Toc27479 </w:instrText>
          </w:r>
          <w:r>
            <w:rPr>
              <w:rFonts w:hint="eastAsia" w:ascii="仿宋" w:hAnsi="仿宋" w:eastAsia="仿宋" w:cs="仿宋"/>
              <w:sz w:val="28"/>
              <w:szCs w:val="28"/>
            </w:rPr>
            <w:fldChar w:fldCharType="separate"/>
          </w:r>
          <w:r>
            <w:rPr>
              <w:rFonts w:hint="eastAsia" w:ascii="仿宋" w:hAnsi="仿宋" w:eastAsia="仿宋" w:cs="仿宋"/>
              <w:sz w:val="28"/>
              <w:szCs w:val="28"/>
            </w:rPr>
            <w:t xml:space="preserve">三、 </w:t>
          </w:r>
          <w:r>
            <w:rPr>
              <w:rFonts w:hint="eastAsia" w:ascii="仿宋" w:hAnsi="仿宋" w:eastAsia="仿宋" w:cs="仿宋"/>
              <w:sz w:val="28"/>
              <w:szCs w:val="28"/>
              <w:highlight w:val="none"/>
            </w:rPr>
            <w:t>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_Toc27479 \h </w:instrText>
          </w:r>
          <w:r>
            <w:rPr>
              <w:rFonts w:hint="eastAsia" w:ascii="仿宋" w:hAnsi="仿宋" w:eastAsia="仿宋" w:cs="仿宋"/>
              <w:sz w:val="28"/>
              <w:szCs w:val="28"/>
            </w:rPr>
            <w:fldChar w:fldCharType="separate"/>
          </w:r>
          <w:r>
            <w:rPr>
              <w:rFonts w:hint="eastAsia" w:ascii="仿宋" w:hAnsi="仿宋" w:eastAsia="仿宋" w:cs="仿宋"/>
              <w:sz w:val="28"/>
              <w:szCs w:val="28"/>
            </w:rPr>
            <w:t>- 4 -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D143642">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_Toc15791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四、财政拨款收入支出决算总体情况说明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_Toc15791 \h </w:instrText>
          </w:r>
          <w:r>
            <w:rPr>
              <w:rFonts w:hint="eastAsia" w:ascii="仿宋" w:hAnsi="仿宋" w:eastAsia="仿宋" w:cs="仿宋"/>
              <w:sz w:val="28"/>
              <w:szCs w:val="28"/>
            </w:rPr>
            <w:fldChar w:fldCharType="separate"/>
          </w:r>
          <w:r>
            <w:rPr>
              <w:rFonts w:hint="eastAsia" w:ascii="仿宋" w:hAnsi="仿宋" w:eastAsia="仿宋" w:cs="仿宋"/>
              <w:sz w:val="28"/>
              <w:szCs w:val="28"/>
            </w:rPr>
            <w:t>- 5 -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002455B">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_Toc22322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五、一般公共预算财政拨款支出决算情况说明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_Toc22322 \h </w:instrText>
          </w:r>
          <w:r>
            <w:rPr>
              <w:rFonts w:hint="eastAsia" w:ascii="仿宋" w:hAnsi="仿宋" w:eastAsia="仿宋" w:cs="仿宋"/>
              <w:sz w:val="28"/>
              <w:szCs w:val="28"/>
            </w:rPr>
            <w:fldChar w:fldCharType="separate"/>
          </w:r>
          <w:r>
            <w:rPr>
              <w:rFonts w:hint="eastAsia" w:ascii="仿宋" w:hAnsi="仿宋" w:eastAsia="仿宋" w:cs="仿宋"/>
              <w:sz w:val="28"/>
              <w:szCs w:val="28"/>
            </w:rPr>
            <w:t>- 5 -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F8F93AE">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_Toc596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六、一般公共预算财政拨款基本支出决算情况说明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_Toc596 \h </w:instrText>
          </w:r>
          <w:r>
            <w:rPr>
              <w:rFonts w:hint="eastAsia" w:ascii="仿宋" w:hAnsi="仿宋" w:eastAsia="仿宋" w:cs="仿宋"/>
              <w:sz w:val="28"/>
              <w:szCs w:val="28"/>
            </w:rPr>
            <w:fldChar w:fldCharType="separate"/>
          </w:r>
          <w:r>
            <w:rPr>
              <w:rFonts w:hint="eastAsia" w:ascii="仿宋" w:hAnsi="仿宋" w:eastAsia="仿宋" w:cs="仿宋"/>
              <w:sz w:val="28"/>
              <w:szCs w:val="28"/>
            </w:rPr>
            <w:t>- 9 -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39819E0B">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_Toc7576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七、财政拨款“三公”经费支出决算情况说明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_Toc7576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7789596">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_Toc10948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八、政府性基金预算支出决算情况说明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_Toc10948 \h </w:instrText>
          </w:r>
          <w:r>
            <w:rPr>
              <w:rFonts w:hint="eastAsia" w:ascii="仿宋" w:hAnsi="仿宋" w:eastAsia="仿宋" w:cs="仿宋"/>
              <w:sz w:val="28"/>
              <w:szCs w:val="28"/>
            </w:rPr>
            <w:fldChar w:fldCharType="separate"/>
          </w:r>
          <w:r>
            <w:rPr>
              <w:rFonts w:hint="eastAsia" w:ascii="仿宋" w:hAnsi="仿宋" w:eastAsia="仿宋" w:cs="仿宋"/>
              <w:sz w:val="28"/>
              <w:szCs w:val="28"/>
            </w:rPr>
            <w:t>- 12 -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326BF90C">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_Toc1931 </w:instrText>
          </w:r>
          <w:r>
            <w:rPr>
              <w:rFonts w:hint="eastAsia" w:ascii="仿宋" w:hAnsi="仿宋" w:eastAsia="仿宋" w:cs="仿宋"/>
              <w:sz w:val="28"/>
              <w:szCs w:val="28"/>
            </w:rPr>
            <w:fldChar w:fldCharType="separate"/>
          </w:r>
          <w:r>
            <w:rPr>
              <w:rFonts w:hint="eastAsia" w:ascii="仿宋" w:hAnsi="仿宋" w:eastAsia="仿宋" w:cs="仿宋"/>
              <w:sz w:val="28"/>
              <w:szCs w:val="28"/>
            </w:rPr>
            <w:t xml:space="preserve">九、 </w:t>
          </w:r>
          <w:r>
            <w:rPr>
              <w:rFonts w:hint="eastAsia" w:ascii="仿宋" w:hAnsi="仿宋" w:eastAsia="仿宋" w:cs="仿宋"/>
              <w:sz w:val="28"/>
              <w:szCs w:val="28"/>
              <w:highlight w:val="none"/>
            </w:rPr>
            <w:t>国有资本经营预算支出决算情况说明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_Toc1931 \h </w:instrText>
          </w:r>
          <w:r>
            <w:rPr>
              <w:rFonts w:hint="eastAsia" w:ascii="仿宋" w:hAnsi="仿宋" w:eastAsia="仿宋" w:cs="仿宋"/>
              <w:sz w:val="28"/>
              <w:szCs w:val="28"/>
            </w:rPr>
            <w:fldChar w:fldCharType="separate"/>
          </w:r>
          <w:r>
            <w:rPr>
              <w:rFonts w:hint="eastAsia" w:ascii="仿宋" w:hAnsi="仿宋" w:eastAsia="仿宋" w:cs="仿宋"/>
              <w:sz w:val="28"/>
              <w:szCs w:val="28"/>
            </w:rPr>
            <w:t>- 12 -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52FADB18">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_Toc16578 </w:instrText>
          </w:r>
          <w:r>
            <w:rPr>
              <w:rFonts w:hint="eastAsia" w:ascii="仿宋" w:hAnsi="仿宋" w:eastAsia="仿宋" w:cs="仿宋"/>
              <w:sz w:val="28"/>
              <w:szCs w:val="28"/>
            </w:rPr>
            <w:fldChar w:fldCharType="separate"/>
          </w:r>
          <w:r>
            <w:rPr>
              <w:rFonts w:hint="eastAsia" w:ascii="仿宋" w:hAnsi="仿宋" w:eastAsia="仿宋" w:cs="仿宋"/>
              <w:sz w:val="28"/>
              <w:szCs w:val="28"/>
            </w:rPr>
            <w:t xml:space="preserve">十、 </w:t>
          </w:r>
          <w:r>
            <w:rPr>
              <w:rFonts w:hint="eastAsia" w:ascii="仿宋" w:hAnsi="仿宋" w:eastAsia="仿宋" w:cs="仿宋"/>
              <w:sz w:val="28"/>
              <w:szCs w:val="28"/>
              <w:highlight w:val="none"/>
            </w:rPr>
            <w:t>其他重要事项的情况说明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_Toc16578 \h </w:instrText>
          </w:r>
          <w:r>
            <w:rPr>
              <w:rFonts w:hint="eastAsia" w:ascii="仿宋" w:hAnsi="仿宋" w:eastAsia="仿宋" w:cs="仿宋"/>
              <w:sz w:val="28"/>
              <w:szCs w:val="28"/>
            </w:rPr>
            <w:fldChar w:fldCharType="separate"/>
          </w:r>
          <w:r>
            <w:rPr>
              <w:rFonts w:hint="eastAsia" w:ascii="仿宋" w:hAnsi="仿宋" w:eastAsia="仿宋" w:cs="仿宋"/>
              <w:sz w:val="28"/>
              <w:szCs w:val="28"/>
            </w:rPr>
            <w:t>- 12 -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D23D515">
          <w:pPr>
            <w:pStyle w:val="39"/>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_Toc20780 </w:instrText>
          </w:r>
          <w:r>
            <w:rPr>
              <w:rFonts w:hint="eastAsia" w:ascii="仿宋" w:hAnsi="仿宋" w:eastAsia="仿宋" w:cs="仿宋"/>
              <w:b/>
              <w:sz w:val="28"/>
              <w:szCs w:val="28"/>
            </w:rPr>
            <w:fldChar w:fldCharType="separate"/>
          </w:r>
          <w:r>
            <w:rPr>
              <w:rFonts w:hint="eastAsia" w:ascii="仿宋" w:hAnsi="仿宋" w:eastAsia="仿宋" w:cs="仿宋"/>
              <w:b/>
              <w:sz w:val="28"/>
              <w:szCs w:val="28"/>
            </w:rPr>
            <w:t xml:space="preserve">第三部分 </w:t>
          </w:r>
          <w:r>
            <w:rPr>
              <w:rFonts w:hint="eastAsia" w:ascii="仿宋" w:hAnsi="仿宋" w:eastAsia="仿宋" w:cs="仿宋"/>
              <w:b/>
              <w:sz w:val="28"/>
              <w:szCs w:val="28"/>
              <w:highlight w:val="none"/>
            </w:rPr>
            <w:t>名词解释</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_Toc20780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- 15 -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30A63BAD">
          <w:pPr>
            <w:pStyle w:val="39"/>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_Toc14753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第四部分 附件</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_Toc14753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- 19 -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6FA54552">
          <w:pPr>
            <w:pStyle w:val="39"/>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_Toc5636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第五部分 附表</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_Toc5636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- 72 -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2D3B1551">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_Toc3662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一、收</w:t>
          </w:r>
          <w:r>
            <w:rPr>
              <w:rFonts w:hint="eastAsia" w:ascii="仿宋" w:hAnsi="仿宋" w:eastAsia="仿宋" w:cs="仿宋"/>
              <w:bCs w:val="0"/>
              <w:sz w:val="28"/>
              <w:szCs w:val="28"/>
              <w:highlight w:val="none"/>
            </w:rPr>
            <w:t>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_Toc3662 \h </w:instrText>
          </w:r>
          <w:r>
            <w:rPr>
              <w:rFonts w:hint="eastAsia" w:ascii="仿宋" w:hAnsi="仿宋" w:eastAsia="仿宋" w:cs="仿宋"/>
              <w:sz w:val="28"/>
              <w:szCs w:val="28"/>
            </w:rPr>
            <w:fldChar w:fldCharType="separate"/>
          </w:r>
          <w:r>
            <w:rPr>
              <w:rFonts w:hint="eastAsia" w:ascii="仿宋" w:hAnsi="仿宋" w:eastAsia="仿宋" w:cs="仿宋"/>
              <w:sz w:val="28"/>
              <w:szCs w:val="28"/>
            </w:rPr>
            <w:t>- 72 -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52C7EBA9">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_Toc30628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二、收</w:t>
          </w:r>
          <w:r>
            <w:rPr>
              <w:rFonts w:hint="eastAsia" w:ascii="仿宋" w:hAnsi="仿宋" w:eastAsia="仿宋" w:cs="仿宋"/>
              <w:bCs w:val="0"/>
              <w:sz w:val="28"/>
              <w:szCs w:val="28"/>
              <w:highlight w:val="none"/>
            </w:rPr>
            <w:t>入决算表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_Toc30628 \h </w:instrText>
          </w:r>
          <w:r>
            <w:rPr>
              <w:rFonts w:hint="eastAsia" w:ascii="仿宋" w:hAnsi="仿宋" w:eastAsia="仿宋" w:cs="仿宋"/>
              <w:sz w:val="28"/>
              <w:szCs w:val="28"/>
            </w:rPr>
            <w:fldChar w:fldCharType="separate"/>
          </w:r>
          <w:r>
            <w:rPr>
              <w:rFonts w:hint="eastAsia" w:ascii="仿宋" w:hAnsi="仿宋" w:eastAsia="仿宋" w:cs="仿宋"/>
              <w:sz w:val="28"/>
              <w:szCs w:val="28"/>
            </w:rPr>
            <w:t>- 72 -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DA050F6">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_Toc7409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三、</w:t>
          </w:r>
          <w:r>
            <w:rPr>
              <w:rFonts w:hint="eastAsia" w:ascii="仿宋" w:hAnsi="仿宋" w:eastAsia="仿宋" w:cs="仿宋"/>
              <w:sz w:val="28"/>
              <w:szCs w:val="28"/>
              <w:highlight w:val="none"/>
            </w:rPr>
            <w:t>支</w:t>
          </w:r>
          <w:r>
            <w:rPr>
              <w:rFonts w:hint="eastAsia" w:ascii="仿宋" w:hAnsi="仿宋" w:eastAsia="仿宋" w:cs="仿宋"/>
              <w:bCs w:val="0"/>
              <w:sz w:val="28"/>
              <w:szCs w:val="28"/>
              <w:highlight w:val="none"/>
            </w:rPr>
            <w:t>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_Toc7409 \h </w:instrText>
          </w:r>
          <w:r>
            <w:rPr>
              <w:rFonts w:hint="eastAsia" w:ascii="仿宋" w:hAnsi="仿宋" w:eastAsia="仿宋" w:cs="仿宋"/>
              <w:sz w:val="28"/>
              <w:szCs w:val="28"/>
            </w:rPr>
            <w:fldChar w:fldCharType="separate"/>
          </w:r>
          <w:r>
            <w:rPr>
              <w:rFonts w:hint="eastAsia" w:ascii="仿宋" w:hAnsi="仿宋" w:eastAsia="仿宋" w:cs="仿宋"/>
              <w:sz w:val="28"/>
              <w:szCs w:val="28"/>
            </w:rPr>
            <w:t>- 72 -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2245DE4">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_Toc16715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四、</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政拨款收入支出决算总表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_Toc16715 \h </w:instrText>
          </w:r>
          <w:r>
            <w:rPr>
              <w:rFonts w:hint="eastAsia" w:ascii="仿宋" w:hAnsi="仿宋" w:eastAsia="仿宋" w:cs="仿宋"/>
              <w:sz w:val="28"/>
              <w:szCs w:val="28"/>
            </w:rPr>
            <w:fldChar w:fldCharType="separate"/>
          </w:r>
          <w:r>
            <w:rPr>
              <w:rFonts w:hint="eastAsia" w:ascii="仿宋" w:hAnsi="仿宋" w:eastAsia="仿宋" w:cs="仿宋"/>
              <w:sz w:val="28"/>
              <w:szCs w:val="28"/>
            </w:rPr>
            <w:t>- 72 -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1B67101">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_Toc12016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五、</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_Toc12016 \h </w:instrText>
          </w:r>
          <w:r>
            <w:rPr>
              <w:rFonts w:hint="eastAsia" w:ascii="仿宋" w:hAnsi="仿宋" w:eastAsia="仿宋" w:cs="仿宋"/>
              <w:sz w:val="28"/>
              <w:szCs w:val="28"/>
            </w:rPr>
            <w:fldChar w:fldCharType="separate"/>
          </w:r>
          <w:r>
            <w:rPr>
              <w:rFonts w:hint="eastAsia" w:ascii="仿宋" w:hAnsi="仿宋" w:eastAsia="仿宋" w:cs="仿宋"/>
              <w:sz w:val="28"/>
              <w:szCs w:val="28"/>
            </w:rPr>
            <w:t>- 72 -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215B5EF">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_Toc20376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六、</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_Toc20376 \h </w:instrText>
          </w:r>
          <w:r>
            <w:rPr>
              <w:rFonts w:hint="eastAsia" w:ascii="仿宋" w:hAnsi="仿宋" w:eastAsia="仿宋" w:cs="仿宋"/>
              <w:sz w:val="28"/>
              <w:szCs w:val="28"/>
            </w:rPr>
            <w:fldChar w:fldCharType="separate"/>
          </w:r>
          <w:r>
            <w:rPr>
              <w:rFonts w:hint="eastAsia" w:ascii="仿宋" w:hAnsi="仿宋" w:eastAsia="仿宋" w:cs="仿宋"/>
              <w:sz w:val="28"/>
              <w:szCs w:val="28"/>
            </w:rPr>
            <w:t>- 72 -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5A27344">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_Toc967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七、</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_Toc967 \h </w:instrText>
          </w:r>
          <w:r>
            <w:rPr>
              <w:rFonts w:hint="eastAsia" w:ascii="仿宋" w:hAnsi="仿宋" w:eastAsia="仿宋" w:cs="仿宋"/>
              <w:sz w:val="28"/>
              <w:szCs w:val="28"/>
            </w:rPr>
            <w:fldChar w:fldCharType="separate"/>
          </w:r>
          <w:r>
            <w:rPr>
              <w:rFonts w:hint="eastAsia" w:ascii="仿宋" w:hAnsi="仿宋" w:eastAsia="仿宋" w:cs="仿宋"/>
              <w:sz w:val="28"/>
              <w:szCs w:val="28"/>
            </w:rPr>
            <w:t>- 72 -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ECBEE1C">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_Toc27635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八、</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般公共预算财政拨款基本支出决算表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_Toc27635 \h </w:instrText>
          </w:r>
          <w:r>
            <w:rPr>
              <w:rFonts w:hint="eastAsia" w:ascii="仿宋" w:hAnsi="仿宋" w:eastAsia="仿宋" w:cs="仿宋"/>
              <w:sz w:val="28"/>
              <w:szCs w:val="28"/>
            </w:rPr>
            <w:fldChar w:fldCharType="separate"/>
          </w:r>
          <w:r>
            <w:rPr>
              <w:rFonts w:hint="eastAsia" w:ascii="仿宋" w:hAnsi="仿宋" w:eastAsia="仿宋" w:cs="仿宋"/>
              <w:sz w:val="28"/>
              <w:szCs w:val="28"/>
            </w:rPr>
            <w:t>- 72 -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89B7C25">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_Toc4024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九、</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般公共预算财政拨款项目支出决算表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_Toc4024 \h </w:instrText>
          </w:r>
          <w:r>
            <w:rPr>
              <w:rFonts w:hint="eastAsia" w:ascii="仿宋" w:hAnsi="仿宋" w:eastAsia="仿宋" w:cs="仿宋"/>
              <w:sz w:val="28"/>
              <w:szCs w:val="28"/>
            </w:rPr>
            <w:fldChar w:fldCharType="separate"/>
          </w:r>
          <w:r>
            <w:rPr>
              <w:rFonts w:hint="eastAsia" w:ascii="仿宋" w:hAnsi="仿宋" w:eastAsia="仿宋" w:cs="仿宋"/>
              <w:sz w:val="28"/>
              <w:szCs w:val="28"/>
            </w:rPr>
            <w:t>- 72 -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BC0E9EB">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_Toc4159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w:t>
          </w:r>
          <w:r>
            <w:rPr>
              <w:rFonts w:hint="eastAsia" w:ascii="仿宋" w:hAnsi="仿宋" w:eastAsia="仿宋" w:cs="仿宋"/>
              <w:sz w:val="28"/>
              <w:szCs w:val="28"/>
              <w:highlight w:val="none"/>
            </w:rPr>
            <w:t>政</w:t>
          </w:r>
          <w:r>
            <w:rPr>
              <w:rFonts w:hint="eastAsia" w:ascii="仿宋" w:hAnsi="仿宋" w:eastAsia="仿宋" w:cs="仿宋"/>
              <w:bCs w:val="0"/>
              <w:sz w:val="28"/>
              <w:szCs w:val="28"/>
              <w:highlight w:val="none"/>
            </w:rPr>
            <w:t>府性基金预算财政拨款收入支出决算表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_Toc4159 \h </w:instrText>
          </w:r>
          <w:r>
            <w:rPr>
              <w:rFonts w:hint="eastAsia" w:ascii="仿宋" w:hAnsi="仿宋" w:eastAsia="仿宋" w:cs="仿宋"/>
              <w:sz w:val="28"/>
              <w:szCs w:val="28"/>
            </w:rPr>
            <w:fldChar w:fldCharType="separate"/>
          </w:r>
          <w:r>
            <w:rPr>
              <w:rFonts w:hint="eastAsia" w:ascii="仿宋" w:hAnsi="仿宋" w:eastAsia="仿宋" w:cs="仿宋"/>
              <w:sz w:val="28"/>
              <w:szCs w:val="28"/>
            </w:rPr>
            <w:t>- 72 -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F02B174">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_Toc2325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十一、</w:t>
          </w:r>
          <w:r>
            <w:rPr>
              <w:rFonts w:hint="eastAsia" w:ascii="仿宋" w:hAnsi="仿宋" w:eastAsia="仿宋" w:cs="仿宋"/>
              <w:sz w:val="28"/>
              <w:szCs w:val="28"/>
              <w:highlight w:val="none"/>
            </w:rPr>
            <w:t>国</w:t>
          </w:r>
          <w:r>
            <w:rPr>
              <w:rFonts w:hint="eastAsia" w:ascii="仿宋" w:hAnsi="仿宋" w:eastAsia="仿宋" w:cs="仿宋"/>
              <w:bCs w:val="0"/>
              <w:sz w:val="28"/>
              <w:szCs w:val="28"/>
              <w:highlight w:val="none"/>
            </w:rPr>
            <w:t>有资本经营预算</w:t>
          </w:r>
          <w:r>
            <w:rPr>
              <w:rFonts w:hint="eastAsia" w:ascii="仿宋" w:hAnsi="仿宋" w:eastAsia="仿宋" w:cs="仿宋"/>
              <w:bCs w:val="0"/>
              <w:sz w:val="28"/>
              <w:szCs w:val="28"/>
              <w:highlight w:val="none"/>
              <w:lang w:eastAsia="zh-CN"/>
            </w:rPr>
            <w:t>财政拨款收入</w:t>
          </w:r>
          <w:r>
            <w:rPr>
              <w:rFonts w:hint="eastAsia" w:ascii="仿宋" w:hAnsi="仿宋" w:eastAsia="仿宋" w:cs="仿宋"/>
              <w:bCs w:val="0"/>
              <w:sz w:val="28"/>
              <w:szCs w:val="28"/>
              <w:highlight w:val="none"/>
            </w:rPr>
            <w:t>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_Toc2325 \h </w:instrText>
          </w:r>
          <w:r>
            <w:rPr>
              <w:rFonts w:hint="eastAsia" w:ascii="仿宋" w:hAnsi="仿宋" w:eastAsia="仿宋" w:cs="仿宋"/>
              <w:sz w:val="28"/>
              <w:szCs w:val="28"/>
            </w:rPr>
            <w:fldChar w:fldCharType="separate"/>
          </w:r>
          <w:r>
            <w:rPr>
              <w:rFonts w:hint="eastAsia" w:ascii="仿宋" w:hAnsi="仿宋" w:eastAsia="仿宋" w:cs="仿宋"/>
              <w:sz w:val="28"/>
              <w:szCs w:val="28"/>
            </w:rPr>
            <w:t>- 72 -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74D4126">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_Toc13695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十二、</w:t>
          </w:r>
          <w:r>
            <w:rPr>
              <w:rFonts w:hint="eastAsia" w:ascii="仿宋" w:hAnsi="仿宋" w:eastAsia="仿宋" w:cs="仿宋"/>
              <w:bCs w:val="0"/>
              <w:sz w:val="28"/>
              <w:szCs w:val="28"/>
              <w:highlight w:val="none"/>
              <w:lang w:eastAsia="zh-CN"/>
            </w:rPr>
            <w:t>国有资本经营预算财政拨款支出决算表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_Toc13695 \h </w:instrText>
          </w:r>
          <w:r>
            <w:rPr>
              <w:rFonts w:hint="eastAsia" w:ascii="仿宋" w:hAnsi="仿宋" w:eastAsia="仿宋" w:cs="仿宋"/>
              <w:sz w:val="28"/>
              <w:szCs w:val="28"/>
            </w:rPr>
            <w:fldChar w:fldCharType="separate"/>
          </w:r>
          <w:r>
            <w:rPr>
              <w:rFonts w:hint="eastAsia" w:ascii="仿宋" w:hAnsi="仿宋" w:eastAsia="仿宋" w:cs="仿宋"/>
              <w:sz w:val="28"/>
              <w:szCs w:val="28"/>
            </w:rPr>
            <w:t>- 72 -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E64516D">
          <w:pPr>
            <w:pStyle w:val="40"/>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_Toc6380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十三、</w:t>
          </w:r>
          <w:r>
            <w:rPr>
              <w:rFonts w:hint="eastAsia" w:ascii="仿宋" w:hAnsi="仿宋" w:eastAsia="仿宋" w:cs="仿宋"/>
              <w:bCs w:val="0"/>
              <w:sz w:val="28"/>
              <w:szCs w:val="28"/>
              <w:highlight w:val="none"/>
              <w:lang w:eastAsia="zh-CN"/>
            </w:rPr>
            <w:t>财政拨款“三公”经费支出决算表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_Toc6380 \h </w:instrText>
          </w:r>
          <w:r>
            <w:rPr>
              <w:rFonts w:hint="eastAsia" w:ascii="仿宋" w:hAnsi="仿宋" w:eastAsia="仿宋" w:cs="仿宋"/>
              <w:sz w:val="28"/>
              <w:szCs w:val="28"/>
            </w:rPr>
            <w:fldChar w:fldCharType="separate"/>
          </w:r>
          <w:r>
            <w:rPr>
              <w:rFonts w:hint="eastAsia" w:ascii="仿宋" w:hAnsi="仿宋" w:eastAsia="仿宋" w:cs="仿宋"/>
              <w:sz w:val="28"/>
              <w:szCs w:val="28"/>
            </w:rPr>
            <w:t>- 72 -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E15AD1B">
          <w:pPr>
            <w:rPr>
              <w:rFonts w:hint="eastAsia" w:ascii="仿宋" w:hAnsi="仿宋" w:eastAsia="仿宋" w:cs="仿宋"/>
              <w:b/>
              <w:sz w:val="28"/>
              <w:szCs w:val="28"/>
            </w:rPr>
            <w:sectPr>
              <w:footerReference r:id="rId6" w:type="first"/>
              <w:footerReference r:id="rId5" w:type="default"/>
              <w:pgSz w:w="11906" w:h="16838"/>
              <w:pgMar w:top="1440" w:right="1800" w:bottom="1440" w:left="1800" w:header="851" w:footer="992" w:gutter="0"/>
              <w:pgNumType w:fmt="numberInDash" w:start="1"/>
              <w:cols w:space="425" w:num="1"/>
              <w:titlePg/>
              <w:docGrid w:type="lines" w:linePitch="312" w:charSpace="0"/>
            </w:sectPr>
          </w:pPr>
          <w:r>
            <w:rPr>
              <w:rFonts w:hint="eastAsia" w:ascii="仿宋" w:hAnsi="仿宋" w:eastAsia="仿宋" w:cs="仿宋"/>
              <w:b/>
              <w:sz w:val="28"/>
              <w:szCs w:val="28"/>
            </w:rPr>
            <w:fldChar w:fldCharType="end"/>
          </w:r>
        </w:p>
      </w:sdtContent>
    </w:sdt>
    <w:p w14:paraId="33A21669">
      <w:pPr>
        <w:pStyle w:val="3"/>
        <w:jc w:val="center"/>
        <w:rPr>
          <w:rStyle w:val="32"/>
          <w:rFonts w:ascii="黑体" w:hAnsi="黑体" w:eastAsia="黑体"/>
          <w:b/>
          <w:bCs w:val="0"/>
          <w:color w:val="auto"/>
          <w:highlight w:val="none"/>
        </w:rPr>
      </w:pPr>
      <w:bookmarkStart w:id="8" w:name="_Toc27598"/>
      <w:r>
        <w:rPr>
          <w:rFonts w:hint="eastAsia" w:ascii="黑体" w:hAnsi="黑体" w:eastAsia="黑体"/>
          <w:b w:val="0"/>
          <w:color w:val="auto"/>
          <w:highlight w:val="none"/>
        </w:rPr>
        <w:t xml:space="preserve">第一部分 </w:t>
      </w:r>
      <w:r>
        <w:rPr>
          <w:rStyle w:val="32"/>
          <w:rFonts w:hint="eastAsia" w:ascii="黑体" w:hAnsi="黑体" w:eastAsia="黑体"/>
          <w:b w:val="0"/>
          <w:bCs w:val="0"/>
          <w:color w:val="auto"/>
          <w:highlight w:val="none"/>
        </w:rPr>
        <w:t>部门概况</w:t>
      </w:r>
      <w:bookmarkEnd w:id="6"/>
      <w:bookmarkEnd w:id="7"/>
      <w:bookmarkEnd w:id="8"/>
    </w:p>
    <w:p w14:paraId="5BB76823">
      <w:pPr>
        <w:widowControl/>
        <w:jc w:val="left"/>
        <w:rPr>
          <w:rFonts w:ascii="黑体" w:eastAsia="黑体"/>
          <w:color w:val="auto"/>
          <w:sz w:val="32"/>
          <w:szCs w:val="32"/>
          <w:highlight w:val="none"/>
        </w:rPr>
      </w:pPr>
    </w:p>
    <w:p w14:paraId="6644CBBA">
      <w:pPr>
        <w:pStyle w:val="4"/>
        <w:rPr>
          <w:rFonts w:hint="eastAsia" w:ascii="黑体" w:hAnsi="黑体" w:eastAsia="黑体"/>
          <w:b w:val="0"/>
          <w:color w:val="auto"/>
          <w:highlight w:val="none"/>
          <w:lang w:eastAsia="zh-CN"/>
        </w:rPr>
      </w:pPr>
      <w:bookmarkStart w:id="9" w:name="_Toc15396600"/>
      <w:bookmarkStart w:id="10" w:name="_Toc15377197"/>
      <w:bookmarkStart w:id="11" w:name="_Toc31629"/>
      <w:r>
        <w:rPr>
          <w:rFonts w:hint="eastAsia" w:ascii="黑体" w:hAnsi="黑体" w:eastAsia="黑体"/>
          <w:b w:val="0"/>
          <w:color w:val="auto"/>
          <w:highlight w:val="none"/>
        </w:rPr>
        <w:t>一、</w:t>
      </w:r>
      <w:bookmarkEnd w:id="9"/>
      <w:bookmarkEnd w:id="10"/>
      <w:r>
        <w:rPr>
          <w:rFonts w:hint="eastAsia" w:ascii="黑体" w:hAnsi="黑体" w:eastAsia="黑体"/>
          <w:b w:val="0"/>
          <w:color w:val="auto"/>
          <w:highlight w:val="none"/>
          <w:lang w:eastAsia="zh-CN"/>
        </w:rPr>
        <w:t>部门职责</w:t>
      </w:r>
      <w:bookmarkEnd w:id="11"/>
    </w:p>
    <w:p w14:paraId="22B27A3B">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根据阿坝州编委阿编发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1994</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02号文批准成立阿坝州公路管理局</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主要职能职责是：在州交通局的领导下，管理全州国省干线公路，统筹国、省干线公路养护管理，按照上级下达的经费和要求，编制年度实施计划；组织实施公路遭受自然灾害的抢修恢复；指导各公路管理分局的养护管理工作；完成州交通局交办的其他任务</w:t>
      </w:r>
      <w:r>
        <w:rPr>
          <w:rFonts w:hint="eastAsia" w:ascii="仿宋" w:hAnsi="仿宋" w:eastAsia="仿宋"/>
          <w:color w:val="auto"/>
          <w:sz w:val="32"/>
          <w:szCs w:val="32"/>
          <w:highlight w:val="none"/>
          <w:lang w:eastAsia="zh-CN"/>
        </w:rPr>
        <w:t>。</w:t>
      </w:r>
    </w:p>
    <w:p w14:paraId="718843C8">
      <w:pPr>
        <w:pStyle w:val="4"/>
        <w:rPr>
          <w:rStyle w:val="33"/>
          <w:b w:val="0"/>
          <w:bCs w:val="0"/>
          <w:color w:val="auto"/>
          <w:highlight w:val="none"/>
        </w:rPr>
      </w:pPr>
      <w:bookmarkStart w:id="12" w:name="_Toc15396601"/>
      <w:bookmarkStart w:id="13" w:name="_Toc9518"/>
      <w:bookmarkStart w:id="14" w:name="_Toc15377200"/>
      <w:r>
        <w:rPr>
          <w:rFonts w:hint="eastAsia" w:ascii="黑体" w:eastAsia="黑体"/>
          <w:b w:val="0"/>
          <w:color w:val="auto"/>
          <w:highlight w:val="none"/>
        </w:rPr>
        <w:t>二、</w:t>
      </w:r>
      <w:r>
        <w:rPr>
          <w:rFonts w:hint="eastAsia" w:ascii="黑体" w:hAnsi="黑体" w:eastAsia="黑体"/>
          <w:b w:val="0"/>
          <w:color w:val="auto"/>
          <w:highlight w:val="none"/>
        </w:rPr>
        <w:t>机</w:t>
      </w:r>
      <w:r>
        <w:rPr>
          <w:rStyle w:val="33"/>
          <w:rFonts w:hint="eastAsia" w:ascii="黑体" w:hAnsi="黑体" w:eastAsia="黑体"/>
          <w:b w:val="0"/>
          <w:bCs w:val="0"/>
          <w:color w:val="auto"/>
          <w:highlight w:val="none"/>
        </w:rPr>
        <w:t>构设置</w:t>
      </w:r>
      <w:bookmarkEnd w:id="12"/>
      <w:bookmarkEnd w:id="13"/>
      <w:bookmarkEnd w:id="14"/>
    </w:p>
    <w:p w14:paraId="5004ED22">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根据阿坝藏族羌族自治州机构编制委员会阿编发〔1994〕22号、阿编发〔2007〕17号、18号文件和阿编发〔2011〕74号批准。辖14个公路管理分局（汶川公路管理分局、理县公路管理分局、茂县公路管理分局、松潘公路管理分局、九寨沟公路管理分局、黑水公路管理分局、金川公路管理分局、马尔康公路管理分局、小金公路管理分局、阿坝公路管理分局、若尔盖公路管理分局、红原公路管理分局、壤塘公路管理分局、刷经寺公路管理分局）、8个隧道管理所（汶川公路管理分局隧道管理所、理县公路管理分局隧道管理所、茂县公路管理分局隧道管理所、松潘公路管理分局隧道管理所、九寨沟公路管理分局隧道管理所、黑水公路管理分局隧道管理所、马尔康公路管理分局隧道管理所、小金公路管理分局隧道管理所）、一个干休所、机具站并实行垂直管理。下设党委办公室、行政办公室、工会办公室、总工办、人事科、监察审计科、工程科、财务科、机料科、安全科、路产维护科、养护科共</w:t>
      </w:r>
      <w:r>
        <w:rPr>
          <w:rFonts w:hint="eastAsia" w:ascii="仿宋" w:hAnsi="仿宋" w:eastAsia="仿宋"/>
          <w:color w:val="auto"/>
          <w:sz w:val="32"/>
          <w:szCs w:val="32"/>
          <w:highlight w:val="none"/>
          <w:lang w:val="en-US" w:eastAsia="zh-CN"/>
        </w:rPr>
        <w:t>12</w:t>
      </w:r>
      <w:r>
        <w:rPr>
          <w:rFonts w:hint="eastAsia" w:ascii="仿宋" w:hAnsi="仿宋" w:eastAsia="仿宋"/>
          <w:color w:val="auto"/>
          <w:sz w:val="32"/>
          <w:szCs w:val="32"/>
          <w:highlight w:val="none"/>
          <w:lang w:eastAsia="zh-CN"/>
        </w:rPr>
        <w:t>个科室。</w:t>
      </w:r>
    </w:p>
    <w:p w14:paraId="576884CF">
      <w:pPr>
        <w:widowControl/>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14:paraId="7EB35145">
      <w:pPr>
        <w:pStyle w:val="3"/>
        <w:ind w:right="440"/>
        <w:jc w:val="center"/>
        <w:rPr>
          <w:rStyle w:val="32"/>
          <w:rFonts w:ascii="黑体" w:hAnsi="黑体" w:eastAsia="黑体"/>
          <w:b w:val="0"/>
          <w:bCs/>
          <w:color w:val="auto"/>
          <w:highlight w:val="none"/>
        </w:rPr>
      </w:pPr>
      <w:bookmarkStart w:id="15" w:name="_Toc28961"/>
      <w:bookmarkStart w:id="16" w:name="_Toc15396602"/>
      <w:bookmarkStart w:id="17" w:name="_Toc15377204"/>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2023年度</w:t>
      </w:r>
      <w:r>
        <w:rPr>
          <w:rStyle w:val="32"/>
          <w:rFonts w:hint="eastAsia" w:ascii="黑体" w:hAnsi="黑体" w:eastAsia="黑体"/>
          <w:b w:val="0"/>
          <w:bCs/>
          <w:color w:val="auto"/>
          <w:highlight w:val="none"/>
        </w:rPr>
        <w:t>部门决算情况说明</w:t>
      </w:r>
      <w:bookmarkEnd w:id="15"/>
      <w:bookmarkEnd w:id="16"/>
      <w:bookmarkEnd w:id="17"/>
    </w:p>
    <w:p w14:paraId="42ACBB54">
      <w:pPr>
        <w:rPr>
          <w:color w:val="auto"/>
          <w:highlight w:val="none"/>
        </w:rPr>
      </w:pPr>
    </w:p>
    <w:p w14:paraId="53660C19">
      <w:pPr>
        <w:pStyle w:val="31"/>
        <w:numPr>
          <w:ilvl w:val="0"/>
          <w:numId w:val="1"/>
        </w:numPr>
        <w:spacing w:line="600" w:lineRule="exact"/>
        <w:ind w:firstLineChars="0"/>
        <w:outlineLvl w:val="1"/>
        <w:rPr>
          <w:rStyle w:val="33"/>
          <w:rFonts w:ascii="黑体" w:hAnsi="黑体" w:eastAsia="黑体"/>
          <w:b w:val="0"/>
          <w:color w:val="auto"/>
          <w:highlight w:val="none"/>
        </w:rPr>
      </w:pPr>
      <w:bookmarkStart w:id="18" w:name="_Toc30840"/>
      <w:bookmarkStart w:id="19" w:name="_Toc15377205"/>
      <w:bookmarkStart w:id="20" w:name="_Toc15396603"/>
      <w:r>
        <w:rPr>
          <w:rFonts w:hint="eastAsia" w:ascii="黑体" w:hAnsi="黑体" w:eastAsia="黑体"/>
          <w:color w:val="auto"/>
          <w:sz w:val="32"/>
          <w:szCs w:val="32"/>
          <w:highlight w:val="none"/>
        </w:rPr>
        <w:t>收</w:t>
      </w:r>
      <w:r>
        <w:rPr>
          <w:rStyle w:val="33"/>
          <w:rFonts w:hint="eastAsia" w:ascii="黑体" w:hAnsi="黑体" w:eastAsia="黑体"/>
          <w:b w:val="0"/>
          <w:color w:val="auto"/>
          <w:highlight w:val="none"/>
        </w:rPr>
        <w:t>入支出决算总体情况说明</w:t>
      </w:r>
      <w:bookmarkEnd w:id="18"/>
      <w:bookmarkEnd w:id="19"/>
      <w:bookmarkEnd w:id="20"/>
    </w:p>
    <w:p w14:paraId="7E41ABCD">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eastAsia="zh-CN"/>
        </w:rPr>
        <w:t>均为91,061.39</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相比，收、支总计各增加22,719.48万元，增长</w:t>
      </w:r>
      <w:r>
        <w:rPr>
          <w:rFonts w:hint="eastAsia" w:ascii="仿宋" w:hAnsi="仿宋" w:eastAsia="仿宋"/>
          <w:color w:val="auto"/>
          <w:sz w:val="32"/>
          <w:szCs w:val="32"/>
          <w:highlight w:val="none"/>
          <w:lang w:val="en-US" w:eastAsia="zh-CN"/>
        </w:rPr>
        <w:t>33.2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w:t>
      </w:r>
      <w:r>
        <w:rPr>
          <w:rFonts w:hint="eastAsia" w:ascii="仿宋" w:hAnsi="仿宋" w:eastAsia="仿宋"/>
          <w:color w:val="auto"/>
          <w:sz w:val="32"/>
          <w:szCs w:val="32"/>
          <w:highlight w:val="none"/>
          <w:lang w:eastAsia="zh-CN"/>
        </w:rPr>
        <w:t>变动</w:t>
      </w:r>
      <w:r>
        <w:rPr>
          <w:rFonts w:hint="eastAsia" w:ascii="仿宋" w:hAnsi="仿宋" w:eastAsia="仿宋"/>
          <w:color w:val="auto"/>
          <w:sz w:val="32"/>
          <w:szCs w:val="32"/>
          <w:highlight w:val="none"/>
        </w:rPr>
        <w:t>原因是</w:t>
      </w:r>
      <w:r>
        <w:rPr>
          <w:rFonts w:hint="eastAsia" w:ascii="仿宋" w:hAnsi="仿宋" w:eastAsia="仿宋"/>
          <w:color w:val="auto"/>
          <w:sz w:val="32"/>
          <w:szCs w:val="32"/>
          <w:highlight w:val="none"/>
          <w:lang w:val="en-US" w:eastAsia="zh-CN"/>
        </w:rPr>
        <w:t>2023年度国省干线大中修养护工程、公路新改扩建工程项目相较2022年度增多</w:t>
      </w:r>
      <w:r>
        <w:rPr>
          <w:rFonts w:hint="eastAsia" w:ascii="仿宋" w:hAnsi="仿宋" w:eastAsia="仿宋"/>
          <w:color w:val="auto"/>
          <w:sz w:val="32"/>
          <w:szCs w:val="32"/>
          <w:highlight w:val="none"/>
          <w:lang w:eastAsia="zh-CN"/>
        </w:rPr>
        <w:t>。</w:t>
      </w:r>
    </w:p>
    <w:p w14:paraId="23E549A6">
      <w:pPr>
        <w:pStyle w:val="16"/>
        <w:rPr>
          <w:rFonts w:hint="eastAsia"/>
          <w:lang w:eastAsia="zh-CN"/>
        </w:rPr>
      </w:pPr>
      <w:r>
        <w:rPr>
          <w:rFonts w:hint="eastAsia"/>
          <w:lang w:eastAsia="zh-CN"/>
        </w:rPr>
        <w:drawing>
          <wp:inline distT="0" distB="0" distL="114300" distR="114300">
            <wp:extent cx="5256530" cy="2988310"/>
            <wp:effectExtent l="5080" t="4445" r="8890" b="76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F51A496">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14:paraId="0B7A2813">
      <w:pPr>
        <w:spacing w:line="600" w:lineRule="exact"/>
        <w:ind w:firstLine="640" w:firstLineChars="200"/>
        <w:jc w:val="left"/>
        <w:rPr>
          <w:rFonts w:ascii="仿宋_GB2312" w:eastAsia="仿宋_GB2312"/>
          <w:color w:val="auto"/>
          <w:sz w:val="32"/>
          <w:szCs w:val="32"/>
          <w:highlight w:val="none"/>
        </w:rPr>
      </w:pPr>
    </w:p>
    <w:p w14:paraId="115C2431">
      <w:pPr>
        <w:pStyle w:val="31"/>
        <w:numPr>
          <w:ilvl w:val="0"/>
          <w:numId w:val="1"/>
        </w:numPr>
        <w:spacing w:line="600" w:lineRule="exact"/>
        <w:ind w:firstLineChars="0"/>
        <w:outlineLvl w:val="1"/>
        <w:rPr>
          <w:rStyle w:val="33"/>
          <w:rFonts w:ascii="黑体" w:hAnsi="黑体" w:eastAsia="黑体"/>
          <w:b w:val="0"/>
          <w:color w:val="auto"/>
          <w:highlight w:val="none"/>
        </w:rPr>
      </w:pPr>
      <w:bookmarkStart w:id="21" w:name="_Toc15396604"/>
      <w:bookmarkStart w:id="22" w:name="_Toc15377206"/>
      <w:bookmarkStart w:id="23" w:name="_Toc4054"/>
      <w:r>
        <w:rPr>
          <w:rFonts w:hint="eastAsia" w:ascii="黑体" w:hAnsi="黑体" w:eastAsia="黑体"/>
          <w:color w:val="auto"/>
          <w:sz w:val="32"/>
          <w:szCs w:val="32"/>
          <w:highlight w:val="none"/>
        </w:rPr>
        <w:t>收</w:t>
      </w:r>
      <w:r>
        <w:rPr>
          <w:rStyle w:val="33"/>
          <w:rFonts w:hint="eastAsia" w:ascii="黑体" w:hAnsi="黑体" w:eastAsia="黑体"/>
          <w:b w:val="0"/>
          <w:color w:val="auto"/>
          <w:highlight w:val="none"/>
        </w:rPr>
        <w:t>入决算情况说明</w:t>
      </w:r>
      <w:bookmarkEnd w:id="21"/>
      <w:bookmarkEnd w:id="22"/>
      <w:bookmarkEnd w:id="23"/>
    </w:p>
    <w:p w14:paraId="34AA1A12">
      <w:pPr>
        <w:spacing w:line="600" w:lineRule="exact"/>
        <w:ind w:firstLine="640" w:firstLineChars="200"/>
        <w:outlineLvl w:val="1"/>
        <w:rPr>
          <w:rFonts w:ascii="仿宋" w:hAnsi="仿宋" w:eastAsia="仿宋"/>
          <w:color w:val="auto"/>
          <w:sz w:val="32"/>
          <w:szCs w:val="32"/>
          <w:highlight w:val="none"/>
        </w:rPr>
      </w:pPr>
      <w:bookmarkStart w:id="24" w:name="_Toc13506"/>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本年收入合计90879.9</w:t>
      </w:r>
      <w:r>
        <w:rPr>
          <w:rFonts w:hint="eastAsia" w:ascii="仿宋" w:hAnsi="仿宋" w:eastAsia="仿宋"/>
          <w:color w:val="auto"/>
          <w:sz w:val="32"/>
          <w:szCs w:val="32"/>
          <w:highlight w:val="none"/>
          <w:lang w:val="en-US" w:eastAsia="zh-CN"/>
        </w:rPr>
        <w:t>2</w:t>
      </w:r>
      <w:r>
        <w:rPr>
          <w:rFonts w:hint="eastAsia" w:ascii="仿宋" w:hAnsi="仿宋" w:eastAsia="仿宋"/>
          <w:color w:val="auto"/>
          <w:sz w:val="32"/>
          <w:szCs w:val="32"/>
          <w:highlight w:val="none"/>
        </w:rPr>
        <w:t>万元，其中：一般公共预算财政拨款收入90879.9</w:t>
      </w:r>
      <w:r>
        <w:rPr>
          <w:rFonts w:hint="eastAsia" w:ascii="仿宋" w:hAnsi="仿宋" w:eastAsia="仿宋"/>
          <w:color w:val="auto"/>
          <w:sz w:val="32"/>
          <w:szCs w:val="32"/>
          <w:highlight w:val="none"/>
          <w:lang w:val="en-US" w:eastAsia="zh-CN"/>
        </w:rPr>
        <w:t>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24"/>
    </w:p>
    <w:p w14:paraId="006B8E3E">
      <w:pPr>
        <w:spacing w:line="240" w:lineRule="auto"/>
        <w:ind w:firstLine="0" w:firstLineChars="0"/>
        <w:outlineLvl w:val="9"/>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8890" b="76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A447117">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w:t>
      </w:r>
    </w:p>
    <w:p w14:paraId="3C99FCCC">
      <w:pPr>
        <w:spacing w:line="600" w:lineRule="exact"/>
        <w:ind w:firstLine="640" w:firstLineChars="200"/>
        <w:rPr>
          <w:rFonts w:ascii="仿宋_GB2312" w:eastAsia="仿宋_GB2312"/>
          <w:color w:val="auto"/>
          <w:sz w:val="32"/>
          <w:szCs w:val="32"/>
          <w:highlight w:val="none"/>
        </w:rPr>
      </w:pPr>
    </w:p>
    <w:p w14:paraId="106E7302">
      <w:pPr>
        <w:pStyle w:val="31"/>
        <w:numPr>
          <w:ilvl w:val="0"/>
          <w:numId w:val="1"/>
        </w:numPr>
        <w:spacing w:line="600" w:lineRule="exact"/>
        <w:ind w:firstLineChars="0"/>
        <w:outlineLvl w:val="1"/>
        <w:rPr>
          <w:rStyle w:val="33"/>
          <w:rFonts w:ascii="黑体" w:hAnsi="黑体" w:eastAsia="黑体"/>
          <w:b w:val="0"/>
          <w:color w:val="auto"/>
          <w:highlight w:val="none"/>
        </w:rPr>
      </w:pPr>
      <w:bookmarkStart w:id="25" w:name="_Toc15377207"/>
      <w:bookmarkStart w:id="26" w:name="_Toc15396605"/>
      <w:bookmarkStart w:id="27" w:name="_Toc27479"/>
      <w:r>
        <w:rPr>
          <w:rFonts w:hint="eastAsia" w:ascii="黑体" w:hAnsi="黑体" w:eastAsia="黑体"/>
          <w:color w:val="auto"/>
          <w:sz w:val="32"/>
          <w:szCs w:val="32"/>
          <w:highlight w:val="none"/>
        </w:rPr>
        <w:t>支</w:t>
      </w:r>
      <w:r>
        <w:rPr>
          <w:rStyle w:val="33"/>
          <w:rFonts w:hint="eastAsia" w:ascii="黑体" w:hAnsi="黑体" w:eastAsia="黑体"/>
          <w:b w:val="0"/>
          <w:color w:val="auto"/>
          <w:highlight w:val="none"/>
        </w:rPr>
        <w:t>出决算情况说明</w:t>
      </w:r>
      <w:bookmarkEnd w:id="25"/>
      <w:bookmarkEnd w:id="26"/>
      <w:bookmarkEnd w:id="27"/>
    </w:p>
    <w:p w14:paraId="521600E1">
      <w:pPr>
        <w:spacing w:line="600" w:lineRule="exact"/>
        <w:ind w:firstLine="640" w:firstLineChars="200"/>
        <w:outlineLvl w:val="1"/>
        <w:rPr>
          <w:rFonts w:hint="eastAsia" w:ascii="仿宋" w:hAnsi="仿宋" w:eastAsia="仿宋"/>
          <w:color w:val="auto"/>
          <w:sz w:val="32"/>
          <w:szCs w:val="32"/>
          <w:highlight w:val="none"/>
          <w:lang w:val="en-US" w:eastAsia="zh-CN"/>
        </w:rPr>
      </w:pPr>
      <w:bookmarkStart w:id="28" w:name="_Toc25655"/>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本年支出合计90,908.01万元，其中：基本支出46,883.46万元，占51.</w:t>
      </w:r>
      <w:r>
        <w:rPr>
          <w:rFonts w:hint="eastAsia" w:ascii="仿宋" w:hAnsi="仿宋" w:eastAsia="仿宋"/>
          <w:color w:val="auto"/>
          <w:sz w:val="32"/>
          <w:szCs w:val="32"/>
          <w:highlight w:val="none"/>
          <w:lang w:val="en-US" w:eastAsia="zh-CN"/>
        </w:rPr>
        <w:t>6</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；项目支出44,024.55万元</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占48.4%</w:t>
      </w:r>
      <w:r>
        <w:rPr>
          <w:rFonts w:hint="eastAsia" w:ascii="仿宋" w:hAnsi="仿宋" w:eastAsia="仿宋"/>
          <w:color w:val="auto"/>
          <w:sz w:val="32"/>
          <w:szCs w:val="32"/>
          <w:highlight w:val="none"/>
        </w:rPr>
        <w:t>。</w:t>
      </w:r>
      <w:bookmarkEnd w:id="28"/>
      <w:r>
        <w:rPr>
          <w:rFonts w:hint="eastAsia" w:ascii="仿宋" w:hAnsi="仿宋" w:eastAsia="仿宋"/>
          <w:color w:val="auto"/>
          <w:sz w:val="32"/>
          <w:szCs w:val="32"/>
          <w:highlight w:val="none"/>
          <w:lang w:val="en-US" w:eastAsia="zh-CN"/>
        </w:rPr>
        <w:tab/>
      </w:r>
    </w:p>
    <w:p w14:paraId="777D05F5">
      <w:pPr>
        <w:spacing w:line="240" w:lineRule="auto"/>
        <w:ind w:firstLine="0"/>
        <w:rPr>
          <w:rFonts w:ascii="仿宋" w:hAnsi="仿宋" w:eastAsia="仿宋"/>
          <w:color w:val="auto"/>
          <w:sz w:val="32"/>
          <w:szCs w:val="32"/>
          <w:highlight w:val="none"/>
          <w:shd w:val="pct10" w:color="auto" w:fill="FFFFFF"/>
        </w:rPr>
      </w:pPr>
      <w:r>
        <w:rPr>
          <w:rFonts w:hint="eastAsia" w:ascii="仿宋" w:hAnsi="仿宋" w:eastAsia="仿宋"/>
          <w:color w:val="auto"/>
          <w:sz w:val="32"/>
          <w:szCs w:val="32"/>
          <w:highlight w:val="none"/>
          <w:shd w:val="pct10" w:color="auto" w:fill="FFFFFF"/>
          <w:lang w:eastAsia="zh-CN"/>
        </w:rPr>
        <w:drawing>
          <wp:inline distT="0" distB="0" distL="114300" distR="114300">
            <wp:extent cx="5256530" cy="2988310"/>
            <wp:effectExtent l="5080" t="4445" r="8890" b="76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0BA98A3">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14:paraId="03B22212">
      <w:pPr>
        <w:spacing w:line="600" w:lineRule="exact"/>
        <w:ind w:firstLine="640" w:firstLineChars="200"/>
        <w:rPr>
          <w:rFonts w:ascii="仿宋_GB2312" w:eastAsia="仿宋_GB2312"/>
          <w:color w:val="auto"/>
          <w:sz w:val="32"/>
          <w:szCs w:val="32"/>
          <w:highlight w:val="none"/>
        </w:rPr>
      </w:pPr>
    </w:p>
    <w:p w14:paraId="4E8E5DB5">
      <w:pPr>
        <w:spacing w:line="600" w:lineRule="exact"/>
        <w:ind w:firstLine="640" w:firstLineChars="200"/>
        <w:outlineLvl w:val="1"/>
        <w:rPr>
          <w:rStyle w:val="33"/>
          <w:rFonts w:ascii="黑体" w:hAnsi="黑体" w:eastAsia="黑体"/>
          <w:b w:val="0"/>
          <w:color w:val="auto"/>
          <w:highlight w:val="none"/>
        </w:rPr>
      </w:pPr>
      <w:bookmarkStart w:id="29" w:name="_Toc15377208"/>
      <w:bookmarkStart w:id="30" w:name="_Toc15791"/>
      <w:bookmarkStart w:id="31" w:name="_Toc15396606"/>
      <w:r>
        <w:rPr>
          <w:rFonts w:hint="eastAsia" w:ascii="黑体" w:hAnsi="黑体" w:eastAsia="黑体"/>
          <w:color w:val="auto"/>
          <w:sz w:val="32"/>
          <w:szCs w:val="32"/>
          <w:highlight w:val="none"/>
        </w:rPr>
        <w:t>四、财</w:t>
      </w:r>
      <w:r>
        <w:rPr>
          <w:rStyle w:val="33"/>
          <w:rFonts w:hint="eastAsia" w:ascii="黑体" w:hAnsi="黑体" w:eastAsia="黑体"/>
          <w:b w:val="0"/>
          <w:color w:val="auto"/>
          <w:highlight w:val="none"/>
        </w:rPr>
        <w:t>政拨款收入支出决算总体情况说明</w:t>
      </w:r>
      <w:bookmarkEnd w:id="29"/>
      <w:bookmarkEnd w:id="30"/>
      <w:bookmarkEnd w:id="31"/>
    </w:p>
    <w:p w14:paraId="44C47EB2">
      <w:pPr>
        <w:spacing w:line="600" w:lineRule="exact"/>
        <w:ind w:firstLine="640"/>
        <w:rPr>
          <w:rFonts w:hint="default" w:ascii="仿宋" w:hAnsi="仿宋" w:eastAsia="仿宋"/>
          <w:color w:val="auto"/>
          <w:sz w:val="32"/>
          <w:szCs w:val="32"/>
          <w:highlight w:val="none"/>
          <w:lang w:val="en-US" w:eastAsia="zh-CN"/>
        </w:rPr>
      </w:pPr>
      <w:bookmarkStart w:id="124" w:name="_GoBack"/>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财政拨款收、支总计</w:t>
      </w:r>
      <w:r>
        <w:rPr>
          <w:rFonts w:hint="eastAsia" w:ascii="仿宋" w:hAnsi="仿宋" w:eastAsia="仿宋"/>
          <w:color w:val="auto"/>
          <w:sz w:val="32"/>
          <w:szCs w:val="32"/>
          <w:highlight w:val="none"/>
          <w:lang w:eastAsia="zh-CN"/>
        </w:rPr>
        <w:t>均为91050.1</w:t>
      </w:r>
      <w:r>
        <w:rPr>
          <w:rFonts w:hint="eastAsia" w:ascii="仿宋" w:hAnsi="仿宋" w:eastAsia="仿宋"/>
          <w:color w:val="auto"/>
          <w:sz w:val="32"/>
          <w:szCs w:val="32"/>
          <w:highlight w:val="none"/>
          <w:lang w:val="en-US" w:eastAsia="zh-CN"/>
        </w:rPr>
        <w:t>2</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相比，财政拨款收、支总计各增加22708.2万元，增长33.2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w:t>
      </w:r>
      <w:r>
        <w:rPr>
          <w:rFonts w:hint="eastAsia" w:ascii="仿宋" w:hAnsi="仿宋" w:eastAsia="仿宋"/>
          <w:color w:val="auto"/>
          <w:sz w:val="32"/>
          <w:szCs w:val="32"/>
          <w:highlight w:val="none"/>
          <w:lang w:eastAsia="zh-CN"/>
        </w:rPr>
        <w:t>变动</w:t>
      </w:r>
      <w:r>
        <w:rPr>
          <w:rFonts w:hint="eastAsia" w:ascii="仿宋" w:hAnsi="仿宋" w:eastAsia="仿宋"/>
          <w:color w:val="auto"/>
          <w:sz w:val="32"/>
          <w:szCs w:val="32"/>
          <w:highlight w:val="none"/>
        </w:rPr>
        <w:t>原因是</w:t>
      </w:r>
      <w:r>
        <w:rPr>
          <w:rFonts w:hint="eastAsia" w:ascii="仿宋" w:hAnsi="仿宋" w:eastAsia="仿宋"/>
          <w:color w:val="auto"/>
          <w:sz w:val="32"/>
          <w:szCs w:val="32"/>
          <w:highlight w:val="none"/>
          <w:lang w:val="en-US" w:eastAsia="zh-CN"/>
        </w:rPr>
        <w:t>2023年度国省干线大中修养护工程、公路新改扩建工程项目相较2022年度增多</w:t>
      </w:r>
      <w:r>
        <w:rPr>
          <w:rFonts w:hint="eastAsia" w:ascii="仿宋" w:hAnsi="仿宋" w:eastAsia="仿宋"/>
          <w:color w:val="auto"/>
          <w:sz w:val="32"/>
          <w:szCs w:val="32"/>
          <w:highlight w:val="none"/>
          <w:lang w:eastAsia="zh-CN"/>
        </w:rPr>
        <w:t>。</w:t>
      </w:r>
    </w:p>
    <w:bookmarkEnd w:id="124"/>
    <w:p w14:paraId="1EA70847">
      <w:pPr>
        <w:spacing w:line="240" w:lineRule="auto"/>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8890" b="76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201DEFC">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14:paraId="03F471F7">
      <w:pPr>
        <w:spacing w:line="600" w:lineRule="exact"/>
        <w:ind w:firstLine="640"/>
        <w:rPr>
          <w:rFonts w:ascii="仿宋" w:hAnsi="仿宋" w:eastAsia="仿宋"/>
          <w:b/>
          <w:color w:val="auto"/>
          <w:sz w:val="32"/>
          <w:szCs w:val="32"/>
          <w:highlight w:val="none"/>
        </w:rPr>
      </w:pPr>
    </w:p>
    <w:p w14:paraId="1897D8B3">
      <w:pPr>
        <w:spacing w:line="600" w:lineRule="exact"/>
        <w:ind w:firstLine="640" w:firstLineChars="200"/>
        <w:outlineLvl w:val="1"/>
        <w:rPr>
          <w:rStyle w:val="33"/>
          <w:rFonts w:ascii="黑体" w:hAnsi="黑体" w:eastAsia="黑体"/>
          <w:b w:val="0"/>
          <w:color w:val="auto"/>
          <w:highlight w:val="none"/>
        </w:rPr>
      </w:pPr>
      <w:bookmarkStart w:id="32" w:name="_Toc15396607"/>
      <w:bookmarkStart w:id="33" w:name="_Toc22322"/>
      <w:bookmarkStart w:id="34"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3"/>
          <w:rFonts w:hint="eastAsia" w:ascii="黑体" w:hAnsi="黑体" w:eastAsia="黑体"/>
          <w:b w:val="0"/>
          <w:color w:val="auto"/>
          <w:highlight w:val="none"/>
        </w:rPr>
        <w:t>般公共预算财政拨款支出决算情况说明</w:t>
      </w:r>
      <w:bookmarkEnd w:id="32"/>
      <w:bookmarkEnd w:id="33"/>
      <w:bookmarkEnd w:id="34"/>
    </w:p>
    <w:p w14:paraId="2529144E">
      <w:pPr>
        <w:spacing w:line="600" w:lineRule="exact"/>
        <w:ind w:firstLine="643" w:firstLineChars="200"/>
        <w:outlineLvl w:val="2"/>
        <w:rPr>
          <w:rFonts w:ascii="仿宋" w:hAnsi="仿宋" w:eastAsia="仿宋"/>
          <w:b/>
          <w:color w:val="auto"/>
          <w:sz w:val="32"/>
          <w:szCs w:val="32"/>
          <w:highlight w:val="none"/>
        </w:rPr>
      </w:pPr>
      <w:bookmarkStart w:id="35" w:name="_Toc15377210"/>
      <w:r>
        <w:rPr>
          <w:rFonts w:hint="eastAsia" w:ascii="仿宋" w:hAnsi="仿宋" w:eastAsia="仿宋"/>
          <w:b/>
          <w:color w:val="auto"/>
          <w:sz w:val="32"/>
          <w:szCs w:val="32"/>
          <w:highlight w:val="none"/>
        </w:rPr>
        <w:t>（一）一般公共预算财政拨款支出决算总体情况</w:t>
      </w:r>
      <w:bookmarkEnd w:id="35"/>
    </w:p>
    <w:p w14:paraId="239787D3">
      <w:pPr>
        <w:spacing w:line="600" w:lineRule="exact"/>
        <w:ind w:firstLine="640" w:firstLineChars="200"/>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一般公共预算财政拨款支出90,908.01万元，占本年支出合计的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增加22,566.1万元，增长33</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项目增加，社保调标。</w:t>
      </w:r>
    </w:p>
    <w:p w14:paraId="1D0A3F37">
      <w:pPr>
        <w:spacing w:line="240" w:lineRule="auto"/>
        <w:ind w:firstLine="0" w:firstLineChars="0"/>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8890" b="76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0296EA3">
      <w:pPr>
        <w:spacing w:line="600" w:lineRule="exact"/>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14:paraId="53262A34">
      <w:pPr>
        <w:spacing w:line="600" w:lineRule="exact"/>
        <w:ind w:firstLine="640" w:firstLineChars="200"/>
        <w:rPr>
          <w:rFonts w:ascii="仿宋" w:hAnsi="仿宋" w:eastAsia="仿宋"/>
          <w:color w:val="auto"/>
          <w:sz w:val="32"/>
          <w:szCs w:val="32"/>
          <w:highlight w:val="none"/>
        </w:rPr>
      </w:pPr>
    </w:p>
    <w:p w14:paraId="3E6149E0">
      <w:pPr>
        <w:spacing w:line="600" w:lineRule="exact"/>
        <w:ind w:firstLine="643" w:firstLineChars="200"/>
        <w:outlineLvl w:val="2"/>
        <w:rPr>
          <w:rFonts w:ascii="仿宋" w:hAnsi="仿宋" w:eastAsia="仿宋"/>
          <w:b/>
          <w:color w:val="auto"/>
          <w:sz w:val="32"/>
          <w:szCs w:val="32"/>
          <w:highlight w:val="none"/>
        </w:rPr>
      </w:pPr>
      <w:bookmarkStart w:id="36" w:name="_Toc15377211"/>
      <w:r>
        <w:rPr>
          <w:rFonts w:hint="eastAsia" w:ascii="仿宋" w:hAnsi="仿宋" w:eastAsia="仿宋"/>
          <w:b/>
          <w:color w:val="auto"/>
          <w:sz w:val="32"/>
          <w:szCs w:val="32"/>
          <w:highlight w:val="none"/>
        </w:rPr>
        <w:t>（二）一般公共预算财政拨款支出决算结构情况</w:t>
      </w:r>
      <w:bookmarkEnd w:id="36"/>
    </w:p>
    <w:p w14:paraId="56D6A7B1">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一般公共预算财政拨款支出90,908.01万元，主要用于以下方面</w:t>
      </w:r>
      <w:r>
        <w:rPr>
          <w:rFonts w:hint="eastAsia" w:ascii="仿宋" w:hAnsi="仿宋" w:eastAsia="仿宋"/>
          <w:color w:val="auto"/>
          <w:sz w:val="32"/>
          <w:szCs w:val="32"/>
          <w:highlight w:val="none"/>
          <w:lang w:eastAsia="zh-CN"/>
        </w:rPr>
        <w:t>：</w:t>
      </w:r>
      <w:r>
        <w:rPr>
          <w:rFonts w:hint="eastAsia" w:ascii="仿宋" w:hAnsi="仿宋" w:eastAsia="仿宋"/>
          <w:b/>
          <w:color w:val="auto"/>
          <w:sz w:val="32"/>
          <w:szCs w:val="32"/>
          <w:highlight w:val="none"/>
        </w:rPr>
        <w:t>社会保障和就业支出5,054.3</w:t>
      </w:r>
      <w:r>
        <w:rPr>
          <w:rFonts w:hint="eastAsia" w:ascii="仿宋" w:hAnsi="仿宋" w:eastAsia="仿宋"/>
          <w:color w:val="auto"/>
          <w:sz w:val="32"/>
          <w:szCs w:val="32"/>
          <w:highlight w:val="none"/>
        </w:rPr>
        <w:t>万元，占5.</w:t>
      </w:r>
      <w:r>
        <w:rPr>
          <w:rFonts w:hint="eastAsia" w:ascii="仿宋" w:hAnsi="仿宋" w:eastAsia="仿宋"/>
          <w:color w:val="auto"/>
          <w:sz w:val="32"/>
          <w:szCs w:val="32"/>
          <w:highlight w:val="none"/>
          <w:lang w:val="en-US" w:eastAsia="zh-CN"/>
        </w:rPr>
        <w:t>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卫生健康支出2,351.23</w:t>
      </w:r>
      <w:r>
        <w:rPr>
          <w:rFonts w:hint="eastAsia" w:ascii="仿宋" w:hAnsi="仿宋" w:eastAsia="仿宋"/>
          <w:color w:val="auto"/>
          <w:sz w:val="32"/>
          <w:szCs w:val="32"/>
          <w:highlight w:val="none"/>
        </w:rPr>
        <w:t>万元，占2.</w:t>
      </w:r>
      <w:r>
        <w:rPr>
          <w:rFonts w:hint="eastAsia" w:ascii="仿宋" w:hAnsi="仿宋" w:eastAsia="仿宋"/>
          <w:color w:val="auto"/>
          <w:sz w:val="32"/>
          <w:szCs w:val="32"/>
          <w:highlight w:val="none"/>
          <w:lang w:val="en-US" w:eastAsia="zh-CN"/>
        </w:rPr>
        <w:t>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交通运输支出80,708.4</w:t>
      </w:r>
      <w:r>
        <w:rPr>
          <w:rFonts w:hint="eastAsia" w:ascii="仿宋" w:hAnsi="仿宋" w:eastAsia="仿宋"/>
          <w:color w:val="auto"/>
          <w:sz w:val="32"/>
          <w:szCs w:val="32"/>
          <w:highlight w:val="none"/>
        </w:rPr>
        <w:t>万元，占88.</w:t>
      </w:r>
      <w:r>
        <w:rPr>
          <w:rFonts w:hint="eastAsia" w:ascii="仿宋" w:hAnsi="仿宋" w:eastAsia="仿宋"/>
          <w:color w:val="auto"/>
          <w:sz w:val="32"/>
          <w:szCs w:val="32"/>
          <w:highlight w:val="none"/>
          <w:lang w:val="en-US" w:eastAsia="zh-CN"/>
        </w:rPr>
        <w:t>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住房保障支出2,794.09</w:t>
      </w:r>
      <w:r>
        <w:rPr>
          <w:rFonts w:hint="eastAsia" w:ascii="仿宋" w:hAnsi="仿宋" w:eastAsia="仿宋"/>
          <w:color w:val="auto"/>
          <w:sz w:val="32"/>
          <w:szCs w:val="32"/>
          <w:highlight w:val="none"/>
        </w:rPr>
        <w:t>万元，占3.</w:t>
      </w:r>
      <w:r>
        <w:rPr>
          <w:rFonts w:hint="eastAsia" w:ascii="仿宋" w:hAnsi="仿宋" w:eastAsia="仿宋"/>
          <w:color w:val="auto"/>
          <w:sz w:val="32"/>
          <w:szCs w:val="32"/>
          <w:highlight w:val="none"/>
          <w:lang w:val="en-US" w:eastAsia="zh-CN"/>
        </w:rPr>
        <w:t>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14:paraId="268E4115">
      <w:pPr>
        <w:spacing w:line="240" w:lineRule="auto"/>
        <w:ind w:firstLine="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8890" b="762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2ED88D6">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14:paraId="769EC7F5">
      <w:pPr>
        <w:spacing w:line="600" w:lineRule="exact"/>
        <w:ind w:firstLine="640" w:firstLineChars="200"/>
        <w:rPr>
          <w:rFonts w:ascii="仿宋" w:hAnsi="仿宋" w:eastAsia="仿宋"/>
          <w:color w:val="auto"/>
          <w:sz w:val="32"/>
          <w:szCs w:val="32"/>
          <w:highlight w:val="none"/>
        </w:rPr>
      </w:pPr>
    </w:p>
    <w:p w14:paraId="0B515325">
      <w:pPr>
        <w:spacing w:line="600" w:lineRule="exact"/>
        <w:ind w:firstLine="643" w:firstLineChars="200"/>
        <w:outlineLvl w:val="2"/>
        <w:rPr>
          <w:rFonts w:ascii="仿宋" w:hAnsi="仿宋" w:eastAsia="仿宋"/>
          <w:b/>
          <w:color w:val="auto"/>
          <w:sz w:val="32"/>
          <w:szCs w:val="32"/>
          <w:highlight w:val="none"/>
        </w:rPr>
      </w:pPr>
      <w:bookmarkStart w:id="37" w:name="_Toc15377212"/>
      <w:r>
        <w:rPr>
          <w:rFonts w:hint="eastAsia" w:ascii="仿宋" w:hAnsi="仿宋" w:eastAsia="仿宋"/>
          <w:b/>
          <w:color w:val="auto"/>
          <w:sz w:val="32"/>
          <w:szCs w:val="32"/>
          <w:highlight w:val="none"/>
        </w:rPr>
        <w:t>（三）一般公共预算财政拨款支出决算具体情况</w:t>
      </w:r>
      <w:bookmarkEnd w:id="37"/>
    </w:p>
    <w:p w14:paraId="55CA3E14">
      <w:pPr>
        <w:spacing w:line="600" w:lineRule="exact"/>
        <w:ind w:firstLine="643" w:firstLineChars="200"/>
        <w:outlineLvl w:val="2"/>
        <w:rPr>
          <w:rFonts w:ascii="仿宋" w:hAnsi="仿宋" w:eastAsia="仿宋"/>
          <w:color w:val="auto"/>
          <w:sz w:val="32"/>
          <w:szCs w:val="32"/>
          <w:highlight w:val="none"/>
        </w:rPr>
      </w:pPr>
      <w:bookmarkStart w:id="38" w:name="_Toc15377213"/>
      <w:bookmarkStart w:id="39" w:name="_Toc15377444"/>
      <w:bookmarkStart w:id="40" w:name="_Toc15378460"/>
      <w:r>
        <w:rPr>
          <w:rFonts w:hint="eastAsia" w:ascii="仿宋" w:hAnsi="仿宋" w:eastAsia="仿宋"/>
          <w:b/>
          <w:color w:val="auto"/>
          <w:sz w:val="32"/>
          <w:szCs w:val="32"/>
          <w:highlight w:val="none"/>
          <w:lang w:eastAsia="zh-CN"/>
        </w:rPr>
        <w:t>2023</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度一</w:t>
      </w:r>
      <w:r>
        <w:rPr>
          <w:rFonts w:hint="eastAsia" w:ascii="仿宋" w:hAnsi="仿宋" w:eastAsia="仿宋"/>
          <w:b/>
          <w:color w:val="auto"/>
          <w:sz w:val="32"/>
          <w:szCs w:val="32"/>
          <w:highlight w:val="none"/>
        </w:rPr>
        <w:t>般公共预算支出决算数为90,908.01</w:t>
      </w:r>
      <w:r>
        <w:rPr>
          <w:rFonts w:hint="eastAsia" w:ascii="仿宋" w:hAnsi="仿宋" w:eastAsia="仿宋"/>
          <w:b/>
          <w:color w:val="auto"/>
          <w:sz w:val="32"/>
          <w:szCs w:val="32"/>
          <w:highlight w:val="none"/>
          <w:lang w:val="en-US" w:eastAsia="zh-CN"/>
        </w:rPr>
        <w:t>万元</w:t>
      </w:r>
      <w:r>
        <w:rPr>
          <w:rFonts w:hint="eastAsia" w:ascii="仿宋" w:hAnsi="仿宋" w:eastAsia="仿宋"/>
          <w:color w:val="auto"/>
          <w:sz w:val="32"/>
          <w:szCs w:val="32"/>
          <w:highlight w:val="none"/>
        </w:rPr>
        <w:t>，</w:t>
      </w:r>
      <w:r>
        <w:rPr>
          <w:rStyle w:val="21"/>
          <w:rFonts w:hint="eastAsia" w:ascii="仿宋" w:hAnsi="仿宋" w:eastAsia="仿宋"/>
          <w:bCs/>
          <w:color w:val="auto"/>
          <w:sz w:val="32"/>
          <w:szCs w:val="32"/>
          <w:highlight w:val="none"/>
        </w:rPr>
        <w:t>完成预算</w:t>
      </w:r>
      <w:r>
        <w:rPr>
          <w:rStyle w:val="21"/>
          <w:rFonts w:hint="eastAsia" w:ascii="仿宋" w:hAnsi="仿宋" w:eastAsia="仿宋"/>
          <w:bCs/>
          <w:color w:val="auto"/>
          <w:sz w:val="32"/>
          <w:szCs w:val="32"/>
          <w:highlight w:val="none"/>
          <w:lang w:val="en-US" w:eastAsia="zh-CN"/>
        </w:rPr>
        <w:t>99.8</w:t>
      </w:r>
      <w:r>
        <w:rPr>
          <w:rStyle w:val="21"/>
          <w:rFonts w:ascii="仿宋" w:hAnsi="仿宋" w:eastAsia="仿宋"/>
          <w:bCs/>
          <w:color w:val="auto"/>
          <w:sz w:val="32"/>
          <w:szCs w:val="32"/>
          <w:highlight w:val="none"/>
        </w:rPr>
        <w:t>%</w:t>
      </w:r>
      <w:r>
        <w:rPr>
          <w:rStyle w:val="21"/>
          <w:rFonts w:hint="eastAsia" w:ascii="仿宋" w:hAnsi="仿宋" w:eastAsia="仿宋"/>
          <w:bCs/>
          <w:color w:val="auto"/>
          <w:sz w:val="32"/>
          <w:szCs w:val="32"/>
          <w:highlight w:val="none"/>
        </w:rPr>
        <w:t>。其中：</w:t>
      </w:r>
      <w:bookmarkEnd w:id="38"/>
      <w:bookmarkEnd w:id="39"/>
      <w:bookmarkEnd w:id="40"/>
    </w:p>
    <w:p w14:paraId="2C9D55BD">
      <w:pPr>
        <w:spacing w:line="600" w:lineRule="exact"/>
        <w:ind w:firstLine="643" w:firstLineChars="200"/>
        <w:rPr>
          <w:rFonts w:ascii="仿宋" w:hAnsi="仿宋" w:eastAsia="仿宋"/>
          <w:b/>
          <w:color w:val="auto"/>
          <w:sz w:val="32"/>
          <w:szCs w:val="32"/>
          <w:highlight w:val="none"/>
        </w:rPr>
      </w:pPr>
      <w:r>
        <w:rPr>
          <w:rStyle w:val="21"/>
          <w:rFonts w:ascii="仿宋" w:hAnsi="仿宋" w:eastAsia="仿宋"/>
          <w:bCs/>
          <w:color w:val="auto"/>
          <w:sz w:val="32"/>
          <w:szCs w:val="32"/>
          <w:highlight w:val="none"/>
        </w:rPr>
        <w:t>1.</w:t>
      </w:r>
      <w:r>
        <w:rPr>
          <w:rStyle w:val="21"/>
          <w:rFonts w:hint="eastAsia" w:ascii="仿宋" w:hAnsi="仿宋" w:eastAsia="仿宋"/>
          <w:bCs/>
          <w:color w:val="auto"/>
          <w:sz w:val="32"/>
          <w:szCs w:val="32"/>
          <w:highlight w:val="none"/>
        </w:rPr>
        <w:t>社会保障和就业支出（类）行政事业单位养老支出（款）机关事业单位基本养老保险缴费支出（项）</w:t>
      </w:r>
      <w:r>
        <w:rPr>
          <w:rStyle w:val="21"/>
          <w:rFonts w:hint="eastAsia" w:ascii="仿宋" w:hAnsi="仿宋" w:eastAsia="仿宋"/>
          <w:bCs/>
          <w:color w:val="auto"/>
          <w:sz w:val="32"/>
          <w:szCs w:val="32"/>
          <w:highlight w:val="none"/>
          <w:lang w:eastAsia="zh-CN"/>
        </w:rPr>
        <w:t>：</w:t>
      </w:r>
      <w:r>
        <w:rPr>
          <w:rStyle w:val="21"/>
          <w:rFonts w:hint="eastAsia" w:ascii="仿宋" w:hAnsi="仿宋" w:eastAsia="仿宋"/>
          <w:b w:val="0"/>
          <w:bCs/>
          <w:color w:val="auto"/>
          <w:sz w:val="32"/>
          <w:szCs w:val="32"/>
          <w:highlight w:val="none"/>
        </w:rPr>
        <w:t>支出决算为3,343.44万元，完成预算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lang w:eastAsia="zh-CN"/>
        </w:rPr>
        <w:t>，</w:t>
      </w:r>
      <w:r>
        <w:rPr>
          <w:rStyle w:val="21"/>
          <w:rFonts w:hint="eastAsia" w:ascii="仿宋" w:hAnsi="仿宋" w:eastAsia="仿宋"/>
          <w:b w:val="0"/>
          <w:bCs/>
          <w:color w:val="auto"/>
          <w:sz w:val="32"/>
          <w:szCs w:val="32"/>
          <w:highlight w:val="none"/>
        </w:rPr>
        <w:t>决算数等于预算数。</w:t>
      </w:r>
    </w:p>
    <w:p w14:paraId="35C2C834">
      <w:pPr>
        <w:spacing w:line="600" w:lineRule="exact"/>
        <w:ind w:firstLine="643" w:firstLineChars="200"/>
        <w:rPr>
          <w:rStyle w:val="21"/>
          <w:rFonts w:hint="eastAsia" w:ascii="仿宋" w:hAnsi="仿宋" w:eastAsia="仿宋"/>
          <w:b w:val="0"/>
          <w:bCs/>
          <w:color w:val="auto"/>
          <w:sz w:val="32"/>
          <w:szCs w:val="32"/>
          <w:highlight w:val="none"/>
        </w:rPr>
      </w:pPr>
      <w:r>
        <w:rPr>
          <w:rStyle w:val="21"/>
          <w:rFonts w:ascii="仿宋" w:hAnsi="仿宋" w:eastAsia="仿宋"/>
          <w:bCs/>
          <w:color w:val="auto"/>
          <w:sz w:val="32"/>
          <w:szCs w:val="32"/>
          <w:highlight w:val="none"/>
        </w:rPr>
        <w:t>2.</w:t>
      </w:r>
      <w:r>
        <w:rPr>
          <w:rStyle w:val="21"/>
          <w:rFonts w:hint="eastAsia" w:ascii="仿宋" w:hAnsi="仿宋" w:eastAsia="仿宋"/>
          <w:bCs/>
          <w:color w:val="auto"/>
          <w:sz w:val="32"/>
          <w:szCs w:val="32"/>
          <w:highlight w:val="none"/>
        </w:rPr>
        <w:t>社会保障和就业支出（类）行政事业单位养老支出（款）机关事业单位职业年金缴费支出（项）</w:t>
      </w:r>
      <w:r>
        <w:rPr>
          <w:rStyle w:val="21"/>
          <w:rFonts w:hint="eastAsia" w:ascii="仿宋" w:hAnsi="仿宋" w:eastAsia="仿宋"/>
          <w:bCs/>
          <w:color w:val="auto"/>
          <w:sz w:val="32"/>
          <w:szCs w:val="32"/>
          <w:highlight w:val="none"/>
          <w:lang w:eastAsia="zh-CN"/>
        </w:rPr>
        <w:t>：</w:t>
      </w:r>
      <w:r>
        <w:rPr>
          <w:rStyle w:val="21"/>
          <w:rFonts w:hint="eastAsia" w:ascii="仿宋" w:hAnsi="仿宋" w:eastAsia="仿宋"/>
          <w:b w:val="0"/>
          <w:bCs/>
          <w:color w:val="auto"/>
          <w:sz w:val="32"/>
          <w:szCs w:val="32"/>
          <w:highlight w:val="none"/>
        </w:rPr>
        <w:t>支出决算为1,671.31万元，完成预算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lang w:eastAsia="zh-CN"/>
        </w:rPr>
        <w:t>，</w:t>
      </w:r>
      <w:r>
        <w:rPr>
          <w:rStyle w:val="21"/>
          <w:rFonts w:hint="eastAsia" w:ascii="仿宋" w:hAnsi="仿宋" w:eastAsia="仿宋"/>
          <w:b w:val="0"/>
          <w:bCs/>
          <w:color w:val="auto"/>
          <w:sz w:val="32"/>
          <w:szCs w:val="32"/>
          <w:highlight w:val="none"/>
        </w:rPr>
        <w:t>决算数等于预算数。</w:t>
      </w:r>
    </w:p>
    <w:p w14:paraId="54DE9C5F">
      <w:pPr>
        <w:pStyle w:val="8"/>
        <w:ind w:firstLine="643" w:firstLineChars="200"/>
        <w:rPr>
          <w:rFonts w:hint="eastAsia" w:eastAsia="仿宋"/>
          <w:lang w:eastAsia="zh-CN"/>
        </w:rPr>
      </w:pPr>
      <w:r>
        <w:rPr>
          <w:rStyle w:val="21"/>
          <w:rFonts w:hint="eastAsia" w:ascii="仿宋" w:hAnsi="仿宋" w:eastAsia="仿宋"/>
          <w:bCs/>
          <w:color w:val="auto"/>
          <w:sz w:val="32"/>
          <w:szCs w:val="32"/>
          <w:highlight w:val="none"/>
          <w:lang w:val="en-US" w:eastAsia="zh-CN"/>
        </w:rPr>
        <w:t>3.社</w:t>
      </w:r>
      <w:r>
        <w:rPr>
          <w:rStyle w:val="21"/>
          <w:rFonts w:hint="eastAsia" w:ascii="仿宋" w:hAnsi="仿宋" w:eastAsia="仿宋"/>
          <w:bCs/>
          <w:color w:val="auto"/>
          <w:sz w:val="32"/>
          <w:szCs w:val="32"/>
          <w:highlight w:val="none"/>
        </w:rPr>
        <w:t>会保障和就业支出（类）抚恤（款）死亡抚恤（项）</w:t>
      </w:r>
      <w:r>
        <w:rPr>
          <w:rStyle w:val="21"/>
          <w:rFonts w:hint="eastAsia" w:ascii="仿宋" w:hAnsi="仿宋" w:eastAsia="仿宋"/>
          <w:bCs/>
          <w:color w:val="auto"/>
          <w:sz w:val="32"/>
          <w:szCs w:val="32"/>
          <w:highlight w:val="none"/>
          <w:lang w:eastAsia="zh-CN"/>
        </w:rPr>
        <w:t>：</w:t>
      </w:r>
      <w:r>
        <w:rPr>
          <w:rStyle w:val="21"/>
          <w:rFonts w:hint="eastAsia" w:ascii="仿宋" w:hAnsi="仿宋" w:eastAsia="仿宋"/>
          <w:b w:val="0"/>
          <w:bCs/>
          <w:color w:val="auto"/>
          <w:sz w:val="32"/>
          <w:szCs w:val="32"/>
          <w:highlight w:val="none"/>
        </w:rPr>
        <w:t>支出决算为39.55万元，完成预算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lang w:eastAsia="zh-CN"/>
        </w:rPr>
        <w:t>，</w:t>
      </w:r>
      <w:r>
        <w:rPr>
          <w:rStyle w:val="21"/>
          <w:rFonts w:hint="eastAsia" w:ascii="仿宋" w:hAnsi="仿宋" w:eastAsia="仿宋"/>
          <w:b w:val="0"/>
          <w:bCs/>
          <w:color w:val="auto"/>
          <w:sz w:val="32"/>
          <w:szCs w:val="32"/>
          <w:highlight w:val="none"/>
        </w:rPr>
        <w:t>决算数等于预算数</w:t>
      </w:r>
      <w:r>
        <w:rPr>
          <w:rStyle w:val="21"/>
          <w:rFonts w:hint="eastAsia" w:ascii="仿宋" w:hAnsi="仿宋" w:eastAsia="仿宋"/>
          <w:b w:val="0"/>
          <w:bCs/>
          <w:color w:val="auto"/>
          <w:sz w:val="32"/>
          <w:szCs w:val="32"/>
          <w:highlight w:val="none"/>
          <w:lang w:eastAsia="zh-CN"/>
        </w:rPr>
        <w:t>。</w:t>
      </w:r>
    </w:p>
    <w:p w14:paraId="7FBAD46F">
      <w:pPr>
        <w:spacing w:line="600" w:lineRule="exact"/>
        <w:ind w:firstLine="643" w:firstLineChars="200"/>
        <w:rPr>
          <w:rFonts w:ascii="仿宋" w:hAnsi="仿宋" w:eastAsia="仿宋"/>
          <w:b/>
          <w:color w:val="auto"/>
          <w:sz w:val="32"/>
          <w:szCs w:val="32"/>
          <w:highlight w:val="none"/>
        </w:rPr>
      </w:pPr>
      <w:r>
        <w:rPr>
          <w:rStyle w:val="21"/>
          <w:rFonts w:hint="eastAsia" w:ascii="仿宋" w:hAnsi="仿宋" w:eastAsia="仿宋"/>
          <w:bCs/>
          <w:color w:val="auto"/>
          <w:sz w:val="32"/>
          <w:szCs w:val="32"/>
          <w:highlight w:val="none"/>
          <w:lang w:val="en-US" w:eastAsia="zh-CN"/>
        </w:rPr>
        <w:t>4</w:t>
      </w:r>
      <w:r>
        <w:rPr>
          <w:rStyle w:val="21"/>
          <w:rFonts w:ascii="仿宋" w:hAnsi="仿宋" w:eastAsia="仿宋"/>
          <w:bCs/>
          <w:color w:val="auto"/>
          <w:sz w:val="32"/>
          <w:szCs w:val="32"/>
          <w:highlight w:val="none"/>
        </w:rPr>
        <w:t>.</w:t>
      </w:r>
      <w:r>
        <w:rPr>
          <w:rStyle w:val="21"/>
          <w:rFonts w:hint="eastAsia" w:ascii="仿宋" w:hAnsi="仿宋" w:eastAsia="仿宋"/>
          <w:bCs/>
          <w:color w:val="auto"/>
          <w:sz w:val="32"/>
          <w:szCs w:val="32"/>
          <w:highlight w:val="none"/>
        </w:rPr>
        <w:t>卫生健康支出（类）行政事业单位医疗（款）事业单位医疗（项）</w:t>
      </w:r>
      <w:r>
        <w:rPr>
          <w:rStyle w:val="21"/>
          <w:rFonts w:hint="eastAsia" w:ascii="仿宋" w:hAnsi="仿宋" w:eastAsia="仿宋"/>
          <w:bCs/>
          <w:color w:val="auto"/>
          <w:sz w:val="32"/>
          <w:szCs w:val="32"/>
          <w:highlight w:val="none"/>
          <w:lang w:eastAsia="zh-CN"/>
        </w:rPr>
        <w:t>：</w:t>
      </w:r>
      <w:r>
        <w:rPr>
          <w:rStyle w:val="21"/>
          <w:rFonts w:hint="eastAsia" w:ascii="仿宋" w:hAnsi="仿宋" w:eastAsia="仿宋"/>
          <w:b w:val="0"/>
          <w:bCs/>
          <w:color w:val="auto"/>
          <w:sz w:val="32"/>
          <w:szCs w:val="32"/>
          <w:highlight w:val="none"/>
        </w:rPr>
        <w:t>支出决算为1,526.48万元，完成预算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lang w:eastAsia="zh-CN"/>
        </w:rPr>
        <w:t>，</w:t>
      </w:r>
      <w:r>
        <w:rPr>
          <w:rStyle w:val="21"/>
          <w:rFonts w:hint="eastAsia" w:ascii="仿宋" w:hAnsi="仿宋" w:eastAsia="仿宋"/>
          <w:b w:val="0"/>
          <w:bCs/>
          <w:color w:val="auto"/>
          <w:sz w:val="32"/>
          <w:szCs w:val="32"/>
          <w:highlight w:val="none"/>
        </w:rPr>
        <w:t>决算数等于预算数。</w:t>
      </w:r>
    </w:p>
    <w:p w14:paraId="69813605">
      <w:pPr>
        <w:spacing w:line="600" w:lineRule="exact"/>
        <w:ind w:firstLine="643" w:firstLineChars="200"/>
        <w:rPr>
          <w:rFonts w:ascii="仿宋" w:hAnsi="仿宋" w:eastAsia="仿宋"/>
          <w:b/>
          <w:color w:val="auto"/>
          <w:sz w:val="32"/>
          <w:szCs w:val="32"/>
          <w:highlight w:val="none"/>
        </w:rPr>
      </w:pPr>
      <w:r>
        <w:rPr>
          <w:rStyle w:val="21"/>
          <w:rFonts w:hint="eastAsia" w:ascii="仿宋" w:hAnsi="仿宋" w:eastAsia="仿宋"/>
          <w:bCs/>
          <w:color w:val="auto"/>
          <w:sz w:val="32"/>
          <w:szCs w:val="32"/>
          <w:highlight w:val="none"/>
          <w:lang w:val="en-US" w:eastAsia="zh-CN"/>
        </w:rPr>
        <w:t>5</w:t>
      </w:r>
      <w:r>
        <w:rPr>
          <w:rStyle w:val="21"/>
          <w:rFonts w:ascii="仿宋" w:hAnsi="仿宋" w:eastAsia="仿宋"/>
          <w:bCs/>
          <w:color w:val="auto"/>
          <w:sz w:val="32"/>
          <w:szCs w:val="32"/>
          <w:highlight w:val="none"/>
        </w:rPr>
        <w:t>.</w:t>
      </w:r>
      <w:r>
        <w:rPr>
          <w:rStyle w:val="21"/>
          <w:rFonts w:hint="eastAsia" w:ascii="仿宋" w:hAnsi="仿宋" w:eastAsia="仿宋"/>
          <w:bCs/>
          <w:color w:val="auto"/>
          <w:sz w:val="32"/>
          <w:szCs w:val="32"/>
          <w:highlight w:val="none"/>
        </w:rPr>
        <w:t>卫生健康支出（类）行政事业单位医疗（款）其他行政事业单位医疗支出（项）</w:t>
      </w:r>
      <w:r>
        <w:rPr>
          <w:rStyle w:val="21"/>
          <w:rFonts w:hint="eastAsia" w:ascii="仿宋" w:hAnsi="仿宋" w:eastAsia="仿宋"/>
          <w:bCs/>
          <w:color w:val="auto"/>
          <w:sz w:val="32"/>
          <w:szCs w:val="32"/>
          <w:highlight w:val="none"/>
          <w:lang w:eastAsia="zh-CN"/>
        </w:rPr>
        <w:t>：</w:t>
      </w:r>
      <w:r>
        <w:rPr>
          <w:rStyle w:val="21"/>
          <w:rFonts w:hint="eastAsia" w:ascii="仿宋" w:hAnsi="仿宋" w:eastAsia="仿宋"/>
          <w:b w:val="0"/>
          <w:bCs/>
          <w:color w:val="auto"/>
          <w:sz w:val="32"/>
          <w:szCs w:val="32"/>
          <w:highlight w:val="none"/>
        </w:rPr>
        <w:t>支出决算为824.75万元，完成预算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lang w:eastAsia="zh-CN"/>
        </w:rPr>
        <w:t>，</w:t>
      </w:r>
      <w:r>
        <w:rPr>
          <w:rStyle w:val="21"/>
          <w:rFonts w:hint="eastAsia" w:ascii="仿宋" w:hAnsi="仿宋" w:eastAsia="仿宋"/>
          <w:b w:val="0"/>
          <w:bCs/>
          <w:color w:val="auto"/>
          <w:sz w:val="32"/>
          <w:szCs w:val="32"/>
          <w:highlight w:val="none"/>
        </w:rPr>
        <w:t>决算数等于预算数。</w:t>
      </w:r>
    </w:p>
    <w:p w14:paraId="11A6A61C">
      <w:pPr>
        <w:spacing w:line="600" w:lineRule="exact"/>
        <w:ind w:firstLine="643" w:firstLineChars="200"/>
        <w:rPr>
          <w:rStyle w:val="21"/>
          <w:rFonts w:hint="eastAsia" w:ascii="仿宋" w:hAnsi="仿宋" w:eastAsia="仿宋"/>
          <w:bCs/>
          <w:color w:val="auto"/>
          <w:sz w:val="32"/>
          <w:szCs w:val="32"/>
          <w:highlight w:val="none"/>
          <w:lang w:eastAsia="zh-CN"/>
        </w:rPr>
      </w:pPr>
      <w:r>
        <w:rPr>
          <w:rStyle w:val="21"/>
          <w:rFonts w:hint="eastAsia" w:ascii="仿宋" w:hAnsi="仿宋" w:eastAsia="仿宋"/>
          <w:bCs/>
          <w:color w:val="auto"/>
          <w:sz w:val="32"/>
          <w:szCs w:val="32"/>
          <w:highlight w:val="none"/>
          <w:lang w:val="en-US" w:eastAsia="zh-CN"/>
        </w:rPr>
        <w:t>6</w:t>
      </w:r>
      <w:r>
        <w:rPr>
          <w:rStyle w:val="21"/>
          <w:rFonts w:ascii="仿宋" w:hAnsi="仿宋" w:eastAsia="仿宋"/>
          <w:bCs/>
          <w:color w:val="auto"/>
          <w:sz w:val="32"/>
          <w:szCs w:val="32"/>
          <w:highlight w:val="none"/>
        </w:rPr>
        <w:t>.</w:t>
      </w:r>
      <w:r>
        <w:rPr>
          <w:rStyle w:val="21"/>
          <w:rFonts w:hint="eastAsia" w:ascii="仿宋" w:hAnsi="仿宋" w:eastAsia="仿宋"/>
          <w:bCs/>
          <w:color w:val="auto"/>
          <w:sz w:val="32"/>
          <w:szCs w:val="32"/>
          <w:highlight w:val="none"/>
        </w:rPr>
        <w:t>交通运输支出（类）公路水路运输（款）公路建设（项）</w:t>
      </w:r>
      <w:r>
        <w:rPr>
          <w:rStyle w:val="21"/>
          <w:rFonts w:hint="eastAsia" w:ascii="仿宋" w:hAnsi="仿宋" w:eastAsia="仿宋"/>
          <w:bCs/>
          <w:color w:val="auto"/>
          <w:sz w:val="32"/>
          <w:szCs w:val="32"/>
          <w:highlight w:val="none"/>
          <w:lang w:eastAsia="zh-CN"/>
        </w:rPr>
        <w:t>：</w:t>
      </w:r>
      <w:r>
        <w:rPr>
          <w:rStyle w:val="21"/>
          <w:rFonts w:ascii="仿宋" w:hAnsi="仿宋" w:eastAsia="仿宋"/>
          <w:b w:val="0"/>
          <w:bCs/>
          <w:color w:val="auto"/>
          <w:sz w:val="32"/>
          <w:szCs w:val="32"/>
          <w:highlight w:val="none"/>
        </w:rPr>
        <w:t xml:space="preserve"> </w:t>
      </w:r>
      <w:r>
        <w:rPr>
          <w:rStyle w:val="21"/>
          <w:rFonts w:hint="eastAsia" w:ascii="仿宋" w:hAnsi="仿宋" w:eastAsia="仿宋"/>
          <w:b w:val="0"/>
          <w:bCs/>
          <w:color w:val="auto"/>
          <w:sz w:val="32"/>
          <w:szCs w:val="32"/>
          <w:highlight w:val="none"/>
        </w:rPr>
        <w:t>支出决算为2,996.55万元，完成预算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lang w:eastAsia="zh-CN"/>
        </w:rPr>
        <w:t>，</w:t>
      </w:r>
      <w:r>
        <w:rPr>
          <w:rStyle w:val="21"/>
          <w:rFonts w:hint="eastAsia" w:ascii="仿宋" w:hAnsi="仿宋" w:eastAsia="仿宋"/>
          <w:b w:val="0"/>
          <w:bCs/>
          <w:color w:val="auto"/>
          <w:sz w:val="32"/>
          <w:szCs w:val="32"/>
          <w:highlight w:val="none"/>
        </w:rPr>
        <w:t>决算数等于预算数</w:t>
      </w:r>
      <w:r>
        <w:rPr>
          <w:rStyle w:val="21"/>
          <w:rFonts w:hint="eastAsia" w:ascii="仿宋" w:hAnsi="仿宋" w:eastAsia="仿宋"/>
          <w:b w:val="0"/>
          <w:bCs/>
          <w:color w:val="auto"/>
          <w:sz w:val="32"/>
          <w:szCs w:val="32"/>
          <w:highlight w:val="none"/>
          <w:lang w:eastAsia="zh-CN"/>
        </w:rPr>
        <w:t>。</w:t>
      </w:r>
    </w:p>
    <w:p w14:paraId="6519E590">
      <w:pPr>
        <w:spacing w:line="600" w:lineRule="exact"/>
        <w:ind w:firstLine="643" w:firstLineChars="200"/>
        <w:rPr>
          <w:rStyle w:val="21"/>
          <w:rFonts w:hint="eastAsia" w:ascii="仿宋" w:hAnsi="仿宋" w:eastAsia="仿宋"/>
          <w:b w:val="0"/>
          <w:bCs/>
          <w:color w:val="auto"/>
          <w:sz w:val="32"/>
          <w:szCs w:val="32"/>
          <w:highlight w:val="none"/>
        </w:rPr>
      </w:pPr>
      <w:r>
        <w:rPr>
          <w:rStyle w:val="21"/>
          <w:rFonts w:hint="eastAsia" w:ascii="仿宋" w:hAnsi="仿宋" w:eastAsia="仿宋"/>
          <w:bCs/>
          <w:color w:val="auto"/>
          <w:sz w:val="32"/>
          <w:szCs w:val="32"/>
          <w:highlight w:val="none"/>
          <w:lang w:val="en-US" w:eastAsia="zh-CN"/>
        </w:rPr>
        <w:t>7.</w:t>
      </w:r>
      <w:r>
        <w:rPr>
          <w:rStyle w:val="21"/>
          <w:rFonts w:hint="eastAsia" w:ascii="仿宋" w:hAnsi="仿宋" w:eastAsia="仿宋"/>
          <w:bCs/>
          <w:color w:val="auto"/>
          <w:sz w:val="32"/>
          <w:szCs w:val="32"/>
          <w:highlight w:val="none"/>
        </w:rPr>
        <w:t>交通运输支出（类）公路水路运输（款）公路养护（项）</w:t>
      </w:r>
      <w:r>
        <w:rPr>
          <w:rStyle w:val="21"/>
          <w:rFonts w:hint="eastAsia" w:ascii="仿宋" w:hAnsi="仿宋" w:eastAsia="仿宋"/>
          <w:bCs/>
          <w:color w:val="auto"/>
          <w:sz w:val="32"/>
          <w:szCs w:val="32"/>
          <w:highlight w:val="none"/>
          <w:lang w:eastAsia="zh-CN"/>
        </w:rPr>
        <w:t>：</w:t>
      </w:r>
      <w:r>
        <w:rPr>
          <w:rStyle w:val="21"/>
          <w:rFonts w:ascii="仿宋" w:hAnsi="仿宋" w:eastAsia="仿宋"/>
          <w:b w:val="0"/>
          <w:bCs/>
          <w:color w:val="auto"/>
          <w:sz w:val="32"/>
          <w:szCs w:val="32"/>
          <w:highlight w:val="none"/>
        </w:rPr>
        <w:t xml:space="preserve"> </w:t>
      </w:r>
      <w:r>
        <w:rPr>
          <w:rStyle w:val="21"/>
          <w:rFonts w:hint="eastAsia" w:ascii="仿宋" w:hAnsi="仿宋" w:eastAsia="仿宋"/>
          <w:b w:val="0"/>
          <w:bCs/>
          <w:color w:val="auto"/>
          <w:sz w:val="32"/>
          <w:szCs w:val="32"/>
          <w:highlight w:val="none"/>
        </w:rPr>
        <w:t>支出决算为66,407.13万元，完成预算</w:t>
      </w:r>
      <w:r>
        <w:rPr>
          <w:rStyle w:val="21"/>
          <w:rFonts w:hint="eastAsia" w:ascii="仿宋" w:hAnsi="仿宋" w:eastAsia="仿宋"/>
          <w:b w:val="0"/>
          <w:bCs/>
          <w:color w:val="auto"/>
          <w:sz w:val="32"/>
          <w:szCs w:val="32"/>
          <w:highlight w:val="none"/>
          <w:lang w:val="en-US" w:eastAsia="zh-CN"/>
        </w:rPr>
        <w:t>99.8</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lang w:eastAsia="zh-CN"/>
        </w:rPr>
        <w:t>。</w:t>
      </w:r>
      <w:r>
        <w:rPr>
          <w:rStyle w:val="21"/>
          <w:rFonts w:hint="eastAsia" w:ascii="仿宋" w:hAnsi="仿宋" w:eastAsia="仿宋"/>
          <w:b w:val="0"/>
          <w:bCs/>
          <w:color w:val="auto"/>
          <w:sz w:val="32"/>
          <w:szCs w:val="32"/>
          <w:highlight w:val="none"/>
          <w:lang w:val="en-US" w:eastAsia="zh-CN"/>
        </w:rPr>
        <w:t>决算数小于预算数，主要原因是小修保养养护项目资金结转用于下年度使用</w:t>
      </w:r>
      <w:r>
        <w:rPr>
          <w:rStyle w:val="21"/>
          <w:rFonts w:hint="eastAsia" w:ascii="仿宋" w:hAnsi="仿宋" w:eastAsia="仿宋"/>
          <w:b w:val="0"/>
          <w:bCs/>
          <w:color w:val="auto"/>
          <w:sz w:val="32"/>
          <w:szCs w:val="32"/>
          <w:highlight w:val="none"/>
        </w:rPr>
        <w:t>。</w:t>
      </w:r>
    </w:p>
    <w:p w14:paraId="324DD8F1">
      <w:pPr>
        <w:pStyle w:val="8"/>
        <w:ind w:firstLine="643" w:firstLineChars="200"/>
        <w:rPr>
          <w:rFonts w:hint="eastAsia" w:eastAsia="仿宋"/>
          <w:lang w:val="en-US" w:eastAsia="zh-CN"/>
        </w:rPr>
      </w:pPr>
      <w:r>
        <w:rPr>
          <w:rStyle w:val="21"/>
          <w:rFonts w:hint="eastAsia" w:ascii="仿宋" w:hAnsi="仿宋" w:eastAsia="仿宋"/>
          <w:bCs/>
          <w:color w:val="auto"/>
          <w:sz w:val="32"/>
          <w:szCs w:val="32"/>
          <w:highlight w:val="none"/>
          <w:lang w:val="en-US" w:eastAsia="zh-CN"/>
        </w:rPr>
        <w:t>8.</w:t>
      </w:r>
      <w:r>
        <w:rPr>
          <w:rStyle w:val="21"/>
          <w:rFonts w:hint="eastAsia" w:ascii="仿宋" w:hAnsi="仿宋" w:eastAsia="仿宋"/>
          <w:bCs/>
          <w:color w:val="auto"/>
          <w:sz w:val="32"/>
          <w:szCs w:val="32"/>
          <w:highlight w:val="none"/>
        </w:rPr>
        <w:t>交通运输支出（类）公路水路运输（款）其他公路水路运输支出（项）</w:t>
      </w:r>
      <w:r>
        <w:rPr>
          <w:rStyle w:val="21"/>
          <w:rFonts w:hint="eastAsia" w:ascii="仿宋" w:hAnsi="仿宋" w:eastAsia="仿宋"/>
          <w:bCs/>
          <w:color w:val="auto"/>
          <w:sz w:val="32"/>
          <w:szCs w:val="32"/>
          <w:highlight w:val="none"/>
          <w:lang w:eastAsia="zh-CN"/>
        </w:rPr>
        <w:t>：</w:t>
      </w:r>
      <w:r>
        <w:rPr>
          <w:rStyle w:val="21"/>
          <w:rFonts w:hint="eastAsia" w:ascii="仿宋" w:hAnsi="仿宋" w:eastAsia="仿宋"/>
          <w:b w:val="0"/>
          <w:bCs/>
          <w:color w:val="auto"/>
          <w:sz w:val="32"/>
          <w:szCs w:val="32"/>
          <w:highlight w:val="none"/>
        </w:rPr>
        <w:t>支出决算为738.14万元，完成预算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lang w:eastAsia="zh-CN"/>
        </w:rPr>
        <w:t>，</w:t>
      </w:r>
      <w:r>
        <w:rPr>
          <w:rStyle w:val="21"/>
          <w:rFonts w:hint="eastAsia" w:ascii="仿宋" w:hAnsi="仿宋" w:eastAsia="仿宋"/>
          <w:b w:val="0"/>
          <w:bCs/>
          <w:color w:val="auto"/>
          <w:sz w:val="32"/>
          <w:szCs w:val="32"/>
          <w:highlight w:val="none"/>
        </w:rPr>
        <w:t>决算数等于预算数</w:t>
      </w:r>
      <w:r>
        <w:rPr>
          <w:rStyle w:val="21"/>
          <w:rFonts w:hint="eastAsia" w:ascii="仿宋" w:hAnsi="仿宋" w:eastAsia="仿宋"/>
          <w:b w:val="0"/>
          <w:bCs/>
          <w:color w:val="auto"/>
          <w:sz w:val="32"/>
          <w:szCs w:val="32"/>
          <w:highlight w:val="none"/>
          <w:lang w:eastAsia="zh-CN"/>
        </w:rPr>
        <w:t>。</w:t>
      </w:r>
    </w:p>
    <w:p w14:paraId="1E060789">
      <w:pPr>
        <w:spacing w:line="600" w:lineRule="exact"/>
        <w:ind w:firstLine="643" w:firstLineChars="200"/>
        <w:rPr>
          <w:rStyle w:val="21"/>
          <w:rFonts w:hint="eastAsia" w:ascii="仿宋" w:hAnsi="仿宋" w:eastAsia="仿宋"/>
          <w:b w:val="0"/>
          <w:bCs/>
          <w:color w:val="auto"/>
          <w:sz w:val="32"/>
          <w:szCs w:val="32"/>
          <w:highlight w:val="none"/>
        </w:rPr>
      </w:pPr>
      <w:r>
        <w:rPr>
          <w:rStyle w:val="21"/>
          <w:rFonts w:hint="eastAsia" w:ascii="仿宋" w:hAnsi="仿宋" w:eastAsia="仿宋"/>
          <w:bCs/>
          <w:color w:val="auto"/>
          <w:sz w:val="32"/>
          <w:szCs w:val="32"/>
          <w:highlight w:val="none"/>
          <w:lang w:val="en-US" w:eastAsia="zh-CN"/>
        </w:rPr>
        <w:t>9</w:t>
      </w:r>
      <w:r>
        <w:rPr>
          <w:rStyle w:val="21"/>
          <w:rFonts w:ascii="仿宋" w:hAnsi="仿宋" w:eastAsia="仿宋"/>
          <w:bCs/>
          <w:color w:val="auto"/>
          <w:sz w:val="32"/>
          <w:szCs w:val="32"/>
          <w:highlight w:val="none"/>
        </w:rPr>
        <w:t>.</w:t>
      </w:r>
      <w:r>
        <w:rPr>
          <w:rStyle w:val="21"/>
          <w:rFonts w:hint="eastAsia" w:ascii="仿宋" w:hAnsi="仿宋" w:eastAsia="仿宋"/>
          <w:bCs/>
          <w:color w:val="auto"/>
          <w:sz w:val="32"/>
          <w:szCs w:val="32"/>
          <w:highlight w:val="none"/>
        </w:rPr>
        <w:t>交通运输支出（类）车辆购置税支出（款）车辆购置税用于公路等基础设施建设支出（项）</w:t>
      </w:r>
      <w:r>
        <w:rPr>
          <w:rStyle w:val="21"/>
          <w:rFonts w:hint="eastAsia" w:ascii="仿宋" w:hAnsi="仿宋" w:eastAsia="仿宋"/>
          <w:bCs/>
          <w:color w:val="auto"/>
          <w:sz w:val="32"/>
          <w:szCs w:val="32"/>
          <w:highlight w:val="none"/>
          <w:lang w:eastAsia="zh-CN"/>
        </w:rPr>
        <w:t>：</w:t>
      </w:r>
      <w:r>
        <w:rPr>
          <w:rStyle w:val="21"/>
          <w:rFonts w:hint="eastAsia" w:ascii="仿宋" w:hAnsi="仿宋" w:eastAsia="仿宋"/>
          <w:b w:val="0"/>
          <w:bCs/>
          <w:color w:val="auto"/>
          <w:sz w:val="32"/>
          <w:szCs w:val="32"/>
          <w:highlight w:val="none"/>
        </w:rPr>
        <w:t>支出决算为10,536.57万元，完成预算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lang w:eastAsia="zh-CN"/>
        </w:rPr>
        <w:t>，</w:t>
      </w:r>
      <w:r>
        <w:rPr>
          <w:rStyle w:val="21"/>
          <w:rFonts w:hint="eastAsia" w:ascii="仿宋" w:hAnsi="仿宋" w:eastAsia="仿宋"/>
          <w:b w:val="0"/>
          <w:bCs/>
          <w:color w:val="auto"/>
          <w:sz w:val="32"/>
          <w:szCs w:val="32"/>
          <w:highlight w:val="none"/>
        </w:rPr>
        <w:t>决算数等于预算数。</w:t>
      </w:r>
    </w:p>
    <w:p w14:paraId="5F38FA3B">
      <w:pPr>
        <w:pStyle w:val="8"/>
        <w:ind w:firstLine="643" w:firstLineChars="200"/>
        <w:rPr>
          <w:rFonts w:hint="eastAsia" w:eastAsia="仿宋"/>
          <w:lang w:eastAsia="zh-CN"/>
        </w:rPr>
      </w:pPr>
      <w:r>
        <w:rPr>
          <w:rStyle w:val="21"/>
          <w:rFonts w:hint="eastAsia" w:ascii="仿宋" w:hAnsi="仿宋" w:eastAsia="仿宋"/>
          <w:bCs/>
          <w:color w:val="auto"/>
          <w:sz w:val="32"/>
          <w:szCs w:val="32"/>
          <w:highlight w:val="none"/>
          <w:lang w:val="en-US" w:eastAsia="zh-CN"/>
        </w:rPr>
        <w:t>10</w:t>
      </w:r>
      <w:r>
        <w:rPr>
          <w:rStyle w:val="21"/>
          <w:rFonts w:ascii="仿宋" w:hAnsi="仿宋" w:eastAsia="仿宋"/>
          <w:bCs/>
          <w:color w:val="auto"/>
          <w:sz w:val="32"/>
          <w:szCs w:val="32"/>
          <w:highlight w:val="none"/>
        </w:rPr>
        <w:t>.</w:t>
      </w:r>
      <w:r>
        <w:rPr>
          <w:rStyle w:val="21"/>
          <w:rFonts w:hint="eastAsia" w:ascii="仿宋" w:hAnsi="仿宋" w:eastAsia="仿宋"/>
          <w:bCs/>
          <w:color w:val="auto"/>
          <w:sz w:val="32"/>
          <w:szCs w:val="32"/>
          <w:highlight w:val="none"/>
        </w:rPr>
        <w:t>交通运输支出（类）其他交通运输支出（款）其他交通运输支出（项）</w:t>
      </w:r>
      <w:r>
        <w:rPr>
          <w:rStyle w:val="21"/>
          <w:rFonts w:hint="eastAsia" w:ascii="仿宋" w:hAnsi="仿宋" w:eastAsia="仿宋"/>
          <w:bCs/>
          <w:color w:val="auto"/>
          <w:sz w:val="32"/>
          <w:szCs w:val="32"/>
          <w:highlight w:val="none"/>
          <w:lang w:eastAsia="zh-CN"/>
        </w:rPr>
        <w:t>：</w:t>
      </w:r>
      <w:r>
        <w:rPr>
          <w:rStyle w:val="21"/>
          <w:rFonts w:hint="eastAsia" w:ascii="仿宋" w:hAnsi="仿宋" w:eastAsia="仿宋"/>
          <w:b w:val="0"/>
          <w:bCs/>
          <w:color w:val="auto"/>
          <w:sz w:val="32"/>
          <w:szCs w:val="32"/>
          <w:highlight w:val="none"/>
        </w:rPr>
        <w:t>支出决算为30万元，完成预算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lang w:eastAsia="zh-CN"/>
        </w:rPr>
        <w:t>，</w:t>
      </w:r>
      <w:r>
        <w:rPr>
          <w:rStyle w:val="21"/>
          <w:rFonts w:hint="eastAsia" w:ascii="仿宋" w:hAnsi="仿宋" w:eastAsia="仿宋"/>
          <w:b w:val="0"/>
          <w:bCs/>
          <w:color w:val="auto"/>
          <w:sz w:val="32"/>
          <w:szCs w:val="32"/>
          <w:highlight w:val="none"/>
        </w:rPr>
        <w:t>决算数等于预算数</w:t>
      </w:r>
      <w:r>
        <w:rPr>
          <w:rStyle w:val="21"/>
          <w:rFonts w:hint="eastAsia" w:ascii="仿宋" w:hAnsi="仿宋" w:eastAsia="仿宋"/>
          <w:b w:val="0"/>
          <w:bCs/>
          <w:color w:val="auto"/>
          <w:sz w:val="32"/>
          <w:szCs w:val="32"/>
          <w:highlight w:val="none"/>
          <w:lang w:eastAsia="zh-CN"/>
        </w:rPr>
        <w:t>。</w:t>
      </w:r>
    </w:p>
    <w:p w14:paraId="766CA3D1">
      <w:pPr>
        <w:spacing w:line="600" w:lineRule="exact"/>
        <w:ind w:firstLine="643" w:firstLineChars="200"/>
        <w:rPr>
          <w:rFonts w:hint="eastAsia" w:ascii="仿宋" w:hAnsi="仿宋" w:eastAsia="仿宋"/>
          <w:color w:val="auto"/>
          <w:sz w:val="32"/>
          <w:szCs w:val="32"/>
          <w:highlight w:val="none"/>
          <w:lang w:eastAsia="zh-CN"/>
        </w:rPr>
      </w:pPr>
      <w:r>
        <w:rPr>
          <w:rStyle w:val="21"/>
          <w:rFonts w:hint="eastAsia" w:ascii="仿宋" w:hAnsi="仿宋" w:eastAsia="仿宋" w:cs="Times New Roman"/>
          <w:bCs/>
          <w:color w:val="auto"/>
          <w:sz w:val="32"/>
          <w:szCs w:val="32"/>
          <w:highlight w:val="none"/>
          <w:lang w:val="en-US" w:eastAsia="zh-CN"/>
        </w:rPr>
        <w:t>11.</w:t>
      </w:r>
      <w:r>
        <w:rPr>
          <w:rStyle w:val="21"/>
          <w:rFonts w:hint="eastAsia" w:ascii="仿宋" w:hAnsi="仿宋" w:eastAsia="仿宋" w:cs="Times New Roman"/>
          <w:bCs/>
          <w:color w:val="auto"/>
          <w:sz w:val="32"/>
          <w:szCs w:val="32"/>
          <w:highlight w:val="none"/>
        </w:rPr>
        <w:t>住房保障支出</w:t>
      </w:r>
      <w:r>
        <w:rPr>
          <w:rStyle w:val="21"/>
          <w:rFonts w:hint="eastAsia" w:ascii="仿宋" w:hAnsi="仿宋" w:eastAsia="仿宋"/>
          <w:bCs/>
          <w:color w:val="auto"/>
          <w:sz w:val="32"/>
          <w:szCs w:val="32"/>
          <w:highlight w:val="none"/>
        </w:rPr>
        <w:t>（类）住房改革支出（款）住房公积金（项）</w:t>
      </w:r>
      <w:r>
        <w:rPr>
          <w:rStyle w:val="21"/>
          <w:rFonts w:hint="eastAsia" w:ascii="仿宋" w:hAnsi="仿宋" w:eastAsia="仿宋"/>
          <w:bCs/>
          <w:color w:val="auto"/>
          <w:sz w:val="32"/>
          <w:szCs w:val="32"/>
          <w:highlight w:val="none"/>
          <w:lang w:eastAsia="zh-CN"/>
        </w:rPr>
        <w:t>：</w:t>
      </w:r>
      <w:r>
        <w:rPr>
          <w:rStyle w:val="21"/>
          <w:rFonts w:hint="eastAsia" w:ascii="仿宋" w:hAnsi="仿宋" w:eastAsia="仿宋"/>
          <w:b w:val="0"/>
          <w:bCs/>
          <w:color w:val="auto"/>
          <w:sz w:val="32"/>
          <w:szCs w:val="32"/>
          <w:highlight w:val="none"/>
        </w:rPr>
        <w:t>支出决算为2,681.69万元，完成预算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lang w:eastAsia="zh-CN"/>
        </w:rPr>
        <w:t>，</w:t>
      </w:r>
      <w:r>
        <w:rPr>
          <w:rStyle w:val="21"/>
          <w:rFonts w:hint="eastAsia" w:ascii="仿宋" w:hAnsi="仿宋" w:eastAsia="仿宋"/>
          <w:b w:val="0"/>
          <w:bCs/>
          <w:color w:val="auto"/>
          <w:sz w:val="32"/>
          <w:szCs w:val="32"/>
          <w:highlight w:val="none"/>
        </w:rPr>
        <w:t>决算数等于预算数</w:t>
      </w:r>
      <w:r>
        <w:rPr>
          <w:rFonts w:hint="eastAsia" w:ascii="仿宋" w:hAnsi="仿宋" w:eastAsia="仿宋"/>
          <w:color w:val="auto"/>
          <w:sz w:val="32"/>
          <w:szCs w:val="32"/>
          <w:highlight w:val="none"/>
          <w:lang w:eastAsia="zh-CN"/>
        </w:rPr>
        <w:t>。</w:t>
      </w:r>
    </w:p>
    <w:p w14:paraId="7D674C44">
      <w:pPr>
        <w:spacing w:line="600" w:lineRule="exact"/>
        <w:ind w:firstLine="643" w:firstLineChars="200"/>
        <w:rPr>
          <w:rFonts w:hint="eastAsia" w:ascii="仿宋" w:hAnsi="仿宋" w:eastAsia="仿宋"/>
          <w:color w:val="auto"/>
          <w:sz w:val="32"/>
          <w:szCs w:val="32"/>
          <w:highlight w:val="none"/>
          <w:lang w:eastAsia="zh-CN"/>
        </w:rPr>
      </w:pPr>
      <w:r>
        <w:rPr>
          <w:rStyle w:val="21"/>
          <w:rFonts w:hint="eastAsia" w:ascii="仿宋" w:hAnsi="仿宋" w:eastAsia="仿宋" w:cs="Times New Roman"/>
          <w:bCs/>
          <w:color w:val="auto"/>
          <w:kern w:val="2"/>
          <w:sz w:val="32"/>
          <w:szCs w:val="32"/>
          <w:highlight w:val="none"/>
          <w:lang w:val="en-US" w:eastAsia="zh-CN" w:bidi="ar-SA"/>
        </w:rPr>
        <w:t>12.</w:t>
      </w:r>
      <w:r>
        <w:rPr>
          <w:rStyle w:val="21"/>
          <w:rFonts w:hint="eastAsia" w:ascii="仿宋" w:hAnsi="仿宋" w:eastAsia="仿宋" w:cs="Times New Roman"/>
          <w:bCs/>
          <w:color w:val="auto"/>
          <w:sz w:val="32"/>
          <w:szCs w:val="32"/>
          <w:highlight w:val="none"/>
        </w:rPr>
        <w:t>住房保障支出</w:t>
      </w:r>
      <w:r>
        <w:rPr>
          <w:rStyle w:val="21"/>
          <w:rFonts w:hint="eastAsia" w:ascii="仿宋" w:hAnsi="仿宋" w:eastAsia="仿宋"/>
          <w:bCs/>
          <w:color w:val="auto"/>
          <w:sz w:val="32"/>
          <w:szCs w:val="32"/>
          <w:highlight w:val="none"/>
        </w:rPr>
        <w:t>（类）住房改革支出（款）购房补贴（项）</w:t>
      </w:r>
      <w:r>
        <w:rPr>
          <w:rStyle w:val="21"/>
          <w:rFonts w:hint="eastAsia" w:ascii="仿宋" w:hAnsi="仿宋" w:eastAsia="仿宋"/>
          <w:bCs/>
          <w:color w:val="auto"/>
          <w:sz w:val="32"/>
          <w:szCs w:val="32"/>
          <w:highlight w:val="none"/>
          <w:lang w:eastAsia="zh-CN"/>
        </w:rPr>
        <w:t>：</w:t>
      </w:r>
      <w:r>
        <w:rPr>
          <w:rStyle w:val="21"/>
          <w:rFonts w:hint="eastAsia" w:ascii="仿宋" w:hAnsi="仿宋" w:eastAsia="仿宋"/>
          <w:b w:val="0"/>
          <w:bCs/>
          <w:color w:val="auto"/>
          <w:sz w:val="32"/>
          <w:szCs w:val="32"/>
          <w:highlight w:val="none"/>
        </w:rPr>
        <w:t>支出决算为112.4万元，完成预算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lang w:eastAsia="zh-CN"/>
        </w:rPr>
        <w:t>，</w:t>
      </w:r>
      <w:r>
        <w:rPr>
          <w:rStyle w:val="21"/>
          <w:rFonts w:hint="eastAsia" w:ascii="仿宋" w:hAnsi="仿宋" w:eastAsia="仿宋"/>
          <w:b w:val="0"/>
          <w:bCs/>
          <w:color w:val="auto"/>
          <w:sz w:val="32"/>
          <w:szCs w:val="32"/>
          <w:highlight w:val="none"/>
        </w:rPr>
        <w:t>决算数等于预算数</w:t>
      </w:r>
      <w:r>
        <w:rPr>
          <w:rStyle w:val="21"/>
          <w:rFonts w:hint="eastAsia" w:ascii="仿宋" w:hAnsi="仿宋" w:eastAsia="仿宋"/>
          <w:b w:val="0"/>
          <w:bCs/>
          <w:color w:val="auto"/>
          <w:sz w:val="32"/>
          <w:szCs w:val="32"/>
          <w:highlight w:val="none"/>
          <w:lang w:eastAsia="zh-CN"/>
        </w:rPr>
        <w:t>。</w:t>
      </w:r>
    </w:p>
    <w:p w14:paraId="54DF9878">
      <w:pPr>
        <w:spacing w:line="600" w:lineRule="exact"/>
        <w:ind w:firstLine="643" w:firstLineChars="200"/>
        <w:rPr>
          <w:rFonts w:ascii="仿宋" w:hAnsi="仿宋" w:eastAsia="仿宋"/>
          <w:b/>
          <w:color w:val="auto"/>
          <w:sz w:val="32"/>
          <w:szCs w:val="32"/>
          <w:highlight w:val="none"/>
        </w:rPr>
      </w:pPr>
    </w:p>
    <w:p w14:paraId="6F015D1D">
      <w:pPr>
        <w:spacing w:line="600" w:lineRule="exact"/>
        <w:ind w:firstLine="640"/>
        <w:rPr>
          <w:rFonts w:ascii="仿宋" w:hAnsi="仿宋" w:eastAsia="仿宋"/>
          <w:b/>
          <w:color w:val="auto"/>
          <w:sz w:val="32"/>
          <w:szCs w:val="32"/>
          <w:highlight w:val="none"/>
        </w:rPr>
      </w:pPr>
    </w:p>
    <w:p w14:paraId="52EEF194">
      <w:pPr>
        <w:tabs>
          <w:tab w:val="right" w:pos="8306"/>
        </w:tabs>
        <w:spacing w:line="600" w:lineRule="exact"/>
        <w:ind w:firstLine="640"/>
        <w:outlineLvl w:val="1"/>
        <w:rPr>
          <w:rStyle w:val="33"/>
          <w:color w:val="auto"/>
          <w:highlight w:val="none"/>
        </w:rPr>
      </w:pPr>
      <w:bookmarkStart w:id="41" w:name="_Toc15396608"/>
      <w:bookmarkStart w:id="42" w:name="_Toc15377214"/>
      <w:bookmarkStart w:id="43" w:name="_Toc596"/>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3"/>
          <w:rFonts w:hint="eastAsia" w:ascii="黑体" w:hAnsi="黑体" w:eastAsia="黑体"/>
          <w:b w:val="0"/>
          <w:color w:val="auto"/>
          <w:highlight w:val="none"/>
        </w:rPr>
        <w:t>般公共预算财政拨款基本支出决算情况说明</w:t>
      </w:r>
      <w:bookmarkEnd w:id="41"/>
      <w:bookmarkEnd w:id="42"/>
      <w:bookmarkEnd w:id="43"/>
      <w:r>
        <w:rPr>
          <w:rStyle w:val="33"/>
          <w:rFonts w:ascii="黑体" w:hAnsi="黑体" w:eastAsia="黑体"/>
          <w:b w:val="0"/>
          <w:color w:val="auto"/>
          <w:highlight w:val="none"/>
        </w:rPr>
        <w:tab/>
      </w:r>
    </w:p>
    <w:p w14:paraId="54B06CC7">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一般公共预算财政拨款基本支出46,883.46万元，其中：</w:t>
      </w:r>
    </w:p>
    <w:p w14:paraId="2D3E93AF">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人员经费43,446.64万元，主要包括：基本工资、津贴补贴、奖金、伙食补助费、绩效工资、机关事业单位基本养老保险缴费、职业年金缴费、职工基本医疗保险缴费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其他社会保障缴费、住房公积金、其他工资福利支出、离休费、抚恤金、生活补助、奖励金、其他对个人和家庭的补助支出等。</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公用经费3,436.82万元，主要包括：办公费、印刷费、咨询费、手续费、水费、电费、邮电费、物业管理费、差旅费、维修（护）费、租赁费、会议费、培训费、公务接待费、专用材料费</w:t>
      </w:r>
      <w:r>
        <w:rPr>
          <w:rFonts w:hint="eastAsia" w:ascii="仿宋" w:hAnsi="仿宋" w:eastAsia="仿宋"/>
          <w:color w:val="auto"/>
          <w:sz w:val="32"/>
          <w:szCs w:val="32"/>
          <w:highlight w:val="none"/>
          <w:lang w:eastAsia="zh-CN"/>
        </w:rPr>
        <w:t>、专用燃料费、</w:t>
      </w:r>
      <w:r>
        <w:rPr>
          <w:rFonts w:hint="eastAsia" w:ascii="仿宋" w:hAnsi="仿宋" w:eastAsia="仿宋"/>
          <w:color w:val="auto"/>
          <w:sz w:val="32"/>
          <w:szCs w:val="32"/>
          <w:highlight w:val="none"/>
        </w:rPr>
        <w:t>劳务费、委托业务费、工会经费、福利费、公务用车运行维护费、其他交通费、其他商品和服务支出、办公设备购置、专用设备购置、基础设施建设</w:t>
      </w:r>
      <w:r>
        <w:rPr>
          <w:rFonts w:hint="eastAsia" w:ascii="仿宋" w:hAnsi="仿宋" w:eastAsia="仿宋"/>
          <w:color w:val="auto"/>
          <w:sz w:val="32"/>
          <w:szCs w:val="32"/>
          <w:highlight w:val="none"/>
          <w:lang w:eastAsia="zh-CN"/>
        </w:rPr>
        <w:t>、大型修缮、</w:t>
      </w:r>
      <w:r>
        <w:rPr>
          <w:rFonts w:hint="eastAsia" w:ascii="仿宋" w:hAnsi="仿宋" w:eastAsia="仿宋"/>
          <w:color w:val="auto"/>
          <w:sz w:val="32"/>
          <w:szCs w:val="32"/>
          <w:highlight w:val="none"/>
        </w:rPr>
        <w:t>信息网络及软件购置更新、无形资产购置</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其他资本性支出等。</w:t>
      </w:r>
    </w:p>
    <w:p w14:paraId="0A71E54E">
      <w:pPr>
        <w:spacing w:line="600" w:lineRule="exact"/>
        <w:ind w:firstLine="640"/>
        <w:rPr>
          <w:rFonts w:ascii="仿宋" w:hAnsi="仿宋" w:eastAsia="仿宋"/>
          <w:b/>
          <w:color w:val="auto"/>
          <w:sz w:val="32"/>
          <w:szCs w:val="32"/>
          <w:highlight w:val="none"/>
        </w:rPr>
      </w:pPr>
    </w:p>
    <w:p w14:paraId="3C6E40AA">
      <w:pPr>
        <w:spacing w:line="600" w:lineRule="exact"/>
        <w:ind w:firstLine="640"/>
        <w:outlineLvl w:val="1"/>
        <w:rPr>
          <w:rStyle w:val="33"/>
          <w:rFonts w:ascii="黑体" w:hAnsi="黑体" w:eastAsia="黑体"/>
          <w:b w:val="0"/>
          <w:color w:val="auto"/>
          <w:highlight w:val="none"/>
        </w:rPr>
      </w:pPr>
      <w:bookmarkStart w:id="44" w:name="_Toc15396609"/>
      <w:bookmarkStart w:id="45" w:name="_Toc7576"/>
      <w:bookmarkStart w:id="46" w:name="_Toc15377215"/>
      <w:r>
        <w:rPr>
          <w:rFonts w:hint="eastAsia" w:ascii="黑体" w:eastAsia="黑体"/>
          <w:color w:val="auto"/>
          <w:sz w:val="32"/>
          <w:szCs w:val="32"/>
          <w:highlight w:val="none"/>
        </w:rPr>
        <w:t>七、</w:t>
      </w:r>
      <w:r>
        <w:rPr>
          <w:rStyle w:val="33"/>
          <w:rFonts w:hint="eastAsia" w:ascii="黑体" w:hAnsi="黑体" w:eastAsia="黑体"/>
          <w:b w:val="0"/>
          <w:color w:val="auto"/>
          <w:highlight w:val="none"/>
        </w:rPr>
        <w:t>财政拨款</w:t>
      </w:r>
      <w:r>
        <w:rPr>
          <w:rStyle w:val="33"/>
          <w:rFonts w:hint="eastAsia" w:ascii="黑体" w:hAnsi="黑体" w:eastAsia="黑体"/>
          <w:color w:val="auto"/>
          <w:highlight w:val="none"/>
        </w:rPr>
        <w:t>“</w:t>
      </w:r>
      <w:r>
        <w:rPr>
          <w:rStyle w:val="33"/>
          <w:rFonts w:hint="eastAsia" w:ascii="黑体" w:hAnsi="黑体" w:eastAsia="黑体"/>
          <w:b w:val="0"/>
          <w:color w:val="auto"/>
          <w:highlight w:val="none"/>
        </w:rPr>
        <w:t>三公”经费支出决算情况说明</w:t>
      </w:r>
      <w:bookmarkEnd w:id="44"/>
      <w:bookmarkEnd w:id="45"/>
      <w:bookmarkEnd w:id="46"/>
    </w:p>
    <w:p w14:paraId="7427CC92">
      <w:pPr>
        <w:spacing w:line="600" w:lineRule="exact"/>
        <w:ind w:firstLine="640"/>
        <w:outlineLvl w:val="2"/>
        <w:rPr>
          <w:rFonts w:ascii="仿宋" w:hAnsi="仿宋" w:eastAsia="仿宋"/>
          <w:b/>
          <w:color w:val="auto"/>
          <w:sz w:val="32"/>
          <w:szCs w:val="32"/>
          <w:highlight w:val="none"/>
        </w:rPr>
      </w:pPr>
      <w:bookmarkStart w:id="47" w:name="_Toc15377216"/>
      <w:r>
        <w:rPr>
          <w:rFonts w:hint="eastAsia" w:ascii="仿宋" w:hAnsi="仿宋" w:eastAsia="仿宋"/>
          <w:b/>
          <w:color w:val="auto"/>
          <w:sz w:val="32"/>
          <w:szCs w:val="32"/>
          <w:highlight w:val="none"/>
        </w:rPr>
        <w:t>（一）“三公”经费财政拨款支出决算总体情况说明</w:t>
      </w:r>
      <w:bookmarkEnd w:id="47"/>
    </w:p>
    <w:p w14:paraId="70707FA6">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“三公”经费财政拨款支出决算为463.46万元，完成预算</w:t>
      </w:r>
      <w:r>
        <w:rPr>
          <w:rFonts w:hint="eastAsia" w:ascii="仿宋" w:hAnsi="仿宋" w:eastAsia="仿宋"/>
          <w:color w:val="auto"/>
          <w:sz w:val="32"/>
          <w:szCs w:val="32"/>
          <w:highlight w:val="none"/>
          <w:lang w:val="en-US" w:eastAsia="zh-CN"/>
        </w:rPr>
        <w:t>84.6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较上年度</w:t>
      </w:r>
      <w:r>
        <w:rPr>
          <w:rFonts w:hint="eastAsia" w:ascii="仿宋" w:hAnsi="仿宋" w:eastAsia="仿宋"/>
          <w:color w:val="auto"/>
          <w:sz w:val="32"/>
          <w:szCs w:val="32"/>
          <w:highlight w:val="none"/>
          <w:lang w:val="en-US" w:eastAsia="zh-CN"/>
        </w:rPr>
        <w:t>减少40.87万元，下降8.1%。</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val="en-US" w:eastAsia="zh-CN"/>
        </w:rPr>
        <w:t>依据厉行节约的原则，缩减三公经费</w:t>
      </w:r>
      <w:r>
        <w:rPr>
          <w:rFonts w:hint="eastAsia" w:ascii="仿宋" w:hAnsi="仿宋" w:eastAsia="仿宋"/>
          <w:color w:val="auto"/>
          <w:sz w:val="32"/>
          <w:szCs w:val="32"/>
          <w:highlight w:val="none"/>
        </w:rPr>
        <w:t>。</w:t>
      </w:r>
    </w:p>
    <w:p w14:paraId="7A0C2477">
      <w:pPr>
        <w:spacing w:line="600" w:lineRule="exact"/>
        <w:ind w:firstLine="640"/>
        <w:outlineLvl w:val="2"/>
        <w:rPr>
          <w:rFonts w:ascii="仿宋" w:hAnsi="仿宋" w:eastAsia="仿宋"/>
          <w:b/>
          <w:color w:val="auto"/>
          <w:sz w:val="32"/>
          <w:szCs w:val="32"/>
          <w:highlight w:val="none"/>
        </w:rPr>
      </w:pPr>
      <w:bookmarkStart w:id="48" w:name="_Toc15377217"/>
      <w:r>
        <w:rPr>
          <w:rFonts w:hint="eastAsia" w:ascii="仿宋" w:hAnsi="仿宋" w:eastAsia="仿宋"/>
          <w:b/>
          <w:color w:val="auto"/>
          <w:sz w:val="32"/>
          <w:szCs w:val="32"/>
          <w:highlight w:val="none"/>
        </w:rPr>
        <w:t>（二）“三公”经费财政拨款支出决算具体情况说明</w:t>
      </w:r>
      <w:bookmarkEnd w:id="48"/>
    </w:p>
    <w:p w14:paraId="6E7315FC">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；公务用车购置及运行维护费支出决算461.28万元，占</w:t>
      </w:r>
      <w:r>
        <w:rPr>
          <w:rFonts w:hint="eastAsia" w:ascii="仿宋" w:hAnsi="仿宋" w:eastAsia="仿宋"/>
          <w:color w:val="auto"/>
          <w:sz w:val="32"/>
          <w:szCs w:val="32"/>
          <w:highlight w:val="none"/>
          <w:lang w:val="en-US" w:eastAsia="zh-CN"/>
        </w:rPr>
        <w:t>99.5</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；公务接待费支出决算2.18万元，占</w:t>
      </w:r>
      <w:r>
        <w:rPr>
          <w:rFonts w:hint="eastAsia" w:ascii="仿宋" w:hAnsi="仿宋" w:eastAsia="仿宋"/>
          <w:color w:val="auto"/>
          <w:sz w:val="32"/>
          <w:szCs w:val="32"/>
          <w:highlight w:val="none"/>
          <w:lang w:val="en-US" w:eastAsia="zh-CN"/>
        </w:rPr>
        <w:t>0.5</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14:paraId="2AE40124">
      <w:pPr>
        <w:pStyle w:val="8"/>
      </w:pPr>
      <w:r>
        <w:rPr>
          <w:rFonts w:hint="eastAsia" w:eastAsia="仿宋"/>
          <w:lang w:eastAsia="zh-CN"/>
        </w:rPr>
        <w:drawing>
          <wp:inline distT="0" distB="0" distL="114300" distR="114300">
            <wp:extent cx="5256530" cy="2988310"/>
            <wp:effectExtent l="5080" t="4445" r="8890" b="762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7F33810">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14:paraId="684D3B5E">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21"/>
          <w:rFonts w:hint="eastAsia" w:ascii="仿宋" w:hAnsi="仿宋" w:eastAsia="仿宋"/>
          <w:b w:val="0"/>
          <w:bCs/>
          <w:color w:val="auto"/>
          <w:sz w:val="32"/>
          <w:szCs w:val="32"/>
          <w:highlight w:val="none"/>
        </w:rPr>
        <w:t>完成预算</w:t>
      </w:r>
      <w:r>
        <w:rPr>
          <w:rStyle w:val="21"/>
          <w:rFonts w:hint="eastAsia" w:ascii="仿宋" w:hAnsi="仿宋" w:eastAsia="仿宋"/>
          <w:b w:val="0"/>
          <w:bCs/>
          <w:color w:val="auto"/>
          <w:sz w:val="32"/>
          <w:szCs w:val="32"/>
          <w:highlight w:val="none"/>
          <w:lang w:val="en-US" w:eastAsia="zh-CN"/>
        </w:rPr>
        <w:t>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人。因公出国（境）支出决算</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lang w:val="en-US" w:eastAsia="zh-CN"/>
        </w:rPr>
        <w:t>持平。</w:t>
      </w:r>
    </w:p>
    <w:p w14:paraId="2E509318">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公务用车购置及运行维护费支出461.28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Style w:val="21"/>
          <w:rFonts w:hint="eastAsia" w:ascii="仿宋" w:hAnsi="仿宋" w:eastAsia="仿宋"/>
          <w:b w:val="0"/>
          <w:bCs/>
          <w:color w:val="auto"/>
          <w:sz w:val="32"/>
          <w:szCs w:val="32"/>
          <w:highlight w:val="none"/>
        </w:rPr>
        <w:t>完成预算9</w:t>
      </w:r>
      <w:r>
        <w:rPr>
          <w:rStyle w:val="21"/>
          <w:rFonts w:hint="eastAsia" w:ascii="仿宋" w:hAnsi="仿宋" w:eastAsia="仿宋"/>
          <w:b w:val="0"/>
          <w:bCs/>
          <w:color w:val="auto"/>
          <w:sz w:val="32"/>
          <w:szCs w:val="32"/>
          <w:highlight w:val="none"/>
          <w:lang w:val="en-US" w:eastAsia="zh-CN"/>
        </w:rPr>
        <w:t>2.9</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减少37.47万元，下降7.5</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 w:hAnsi="仿宋" w:eastAsia="仿宋"/>
          <w:color w:val="auto"/>
          <w:sz w:val="32"/>
          <w:szCs w:val="32"/>
          <w:highlight w:val="none"/>
          <w:lang w:val="en-US" w:eastAsia="zh-CN"/>
        </w:rPr>
        <w:t>依据厉行节约的原则，缩减三公经费</w:t>
      </w:r>
      <w:r>
        <w:rPr>
          <w:rFonts w:hint="eastAsia" w:ascii="仿宋_GB2312" w:eastAsia="仿宋_GB2312"/>
          <w:color w:val="auto"/>
          <w:sz w:val="32"/>
          <w:szCs w:val="32"/>
          <w:highlight w:val="none"/>
        </w:rPr>
        <w:t>。</w:t>
      </w:r>
    </w:p>
    <w:p w14:paraId="285A4670">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31日</w:t>
      </w:r>
      <w:r>
        <w:rPr>
          <w:rFonts w:hint="eastAsia" w:ascii="仿宋_GB2312" w:eastAsia="仿宋_GB2312"/>
          <w:color w:val="auto"/>
          <w:sz w:val="32"/>
          <w:szCs w:val="32"/>
          <w:highlight w:val="none"/>
        </w:rPr>
        <w:t>，单位共有公务用车</w:t>
      </w:r>
      <w:r>
        <w:rPr>
          <w:rFonts w:hint="eastAsia" w:ascii="仿宋_GB2312" w:eastAsia="仿宋_GB2312"/>
          <w:color w:val="auto"/>
          <w:sz w:val="32"/>
          <w:szCs w:val="32"/>
          <w:highlight w:val="none"/>
          <w:lang w:val="en-US" w:eastAsia="zh-CN"/>
        </w:rPr>
        <w:t>254</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45</w:t>
      </w:r>
      <w:r>
        <w:rPr>
          <w:rFonts w:hint="eastAsia" w:ascii="仿宋_GB2312" w:eastAsia="仿宋_GB2312"/>
          <w:color w:val="auto"/>
          <w:sz w:val="32"/>
          <w:szCs w:val="32"/>
          <w:highlight w:val="none"/>
        </w:rPr>
        <w:t>辆、越野车</w:t>
      </w:r>
      <w:r>
        <w:rPr>
          <w:rFonts w:hint="eastAsia" w:ascii="仿宋_GB2312" w:eastAsia="仿宋_GB2312"/>
          <w:color w:val="auto"/>
          <w:sz w:val="32"/>
          <w:szCs w:val="32"/>
          <w:highlight w:val="none"/>
          <w:lang w:val="en-US" w:eastAsia="zh-CN"/>
        </w:rPr>
        <w:t>36</w:t>
      </w:r>
      <w:r>
        <w:rPr>
          <w:rFonts w:hint="eastAsia" w:ascii="仿宋_GB2312" w:eastAsia="仿宋_GB2312"/>
          <w:color w:val="auto"/>
          <w:sz w:val="32"/>
          <w:szCs w:val="32"/>
          <w:highlight w:val="none"/>
        </w:rPr>
        <w:t>辆、中型客车和大型客车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、其他车型</w:t>
      </w:r>
      <w:r>
        <w:rPr>
          <w:rFonts w:hint="eastAsia" w:ascii="仿宋_GB2312" w:eastAsia="仿宋_GB2312"/>
          <w:color w:val="auto"/>
          <w:sz w:val="32"/>
          <w:szCs w:val="32"/>
          <w:highlight w:val="none"/>
          <w:lang w:val="en-US" w:eastAsia="zh-CN"/>
        </w:rPr>
        <w:t>172辆</w:t>
      </w:r>
      <w:r>
        <w:rPr>
          <w:rFonts w:hint="eastAsia" w:ascii="仿宋_GB2312" w:eastAsia="仿宋_GB2312"/>
          <w:color w:val="auto"/>
          <w:sz w:val="32"/>
          <w:szCs w:val="32"/>
          <w:highlight w:val="none"/>
        </w:rPr>
        <w:t>。</w:t>
      </w:r>
    </w:p>
    <w:p w14:paraId="0D6355FE">
      <w:pPr>
        <w:spacing w:line="600" w:lineRule="exact"/>
        <w:ind w:firstLine="640"/>
        <w:rPr>
          <w:rFonts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公务用车运行维护费支出461.28</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rPr>
        <w:t>等所需的公务用车燃料费、维修费、过路过桥费、保险费等支出。</w:t>
      </w:r>
    </w:p>
    <w:p w14:paraId="3CAF3822">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公务接待费支出2.18</w:t>
      </w:r>
      <w:r>
        <w:rPr>
          <w:rFonts w:hint="eastAsia" w:ascii="仿宋_GB2312" w:eastAsia="仿宋_GB2312"/>
          <w:color w:val="auto"/>
          <w:sz w:val="32"/>
          <w:szCs w:val="32"/>
          <w:highlight w:val="none"/>
        </w:rPr>
        <w:t>万元，</w:t>
      </w:r>
      <w:r>
        <w:rPr>
          <w:rStyle w:val="21"/>
          <w:rFonts w:hint="eastAsia" w:ascii="仿宋" w:hAnsi="仿宋" w:eastAsia="仿宋"/>
          <w:b w:val="0"/>
          <w:bCs/>
          <w:color w:val="auto"/>
          <w:sz w:val="32"/>
          <w:szCs w:val="32"/>
          <w:highlight w:val="none"/>
        </w:rPr>
        <w:t>完成预算</w:t>
      </w:r>
      <w:r>
        <w:rPr>
          <w:rStyle w:val="21"/>
          <w:rFonts w:hint="eastAsia" w:ascii="仿宋" w:hAnsi="仿宋" w:eastAsia="仿宋"/>
          <w:b w:val="0"/>
          <w:bCs/>
          <w:color w:val="auto"/>
          <w:sz w:val="32"/>
          <w:szCs w:val="32"/>
          <w:highlight w:val="none"/>
          <w:lang w:val="en-US" w:eastAsia="zh-CN"/>
        </w:rPr>
        <w:t>4.3</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减少3.4万元，下降6</w:t>
      </w: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 w:hAnsi="仿宋" w:eastAsia="仿宋"/>
          <w:color w:val="auto"/>
          <w:sz w:val="32"/>
          <w:szCs w:val="32"/>
          <w:highlight w:val="none"/>
          <w:lang w:val="en-US" w:eastAsia="zh-CN"/>
        </w:rPr>
        <w:t>依据厉行节约的原则，缩减三公经费</w:t>
      </w:r>
      <w:r>
        <w:rPr>
          <w:rFonts w:hint="eastAsia" w:ascii="仿宋_GB2312" w:eastAsia="仿宋_GB2312"/>
          <w:color w:val="auto"/>
          <w:sz w:val="32"/>
          <w:szCs w:val="32"/>
          <w:highlight w:val="none"/>
        </w:rPr>
        <w:t>。其中：</w:t>
      </w:r>
    </w:p>
    <w:p w14:paraId="3EC19941">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_GB2312" w:eastAsia="仿宋_GB2312"/>
          <w:b/>
          <w:color w:val="auto"/>
          <w:sz w:val="32"/>
          <w:szCs w:val="32"/>
          <w:highlight w:val="none"/>
        </w:rPr>
        <w:t>2.18</w:t>
      </w:r>
      <w:r>
        <w:rPr>
          <w:rFonts w:hint="eastAsia" w:ascii="仿宋_GB2312" w:eastAsia="仿宋_GB2312"/>
          <w:color w:val="auto"/>
          <w:sz w:val="32"/>
          <w:szCs w:val="32"/>
          <w:highlight w:val="none"/>
        </w:rPr>
        <w:t>万元，主要用于第一季度、第二季度考核接待</w:t>
      </w:r>
      <w:r>
        <w:rPr>
          <w:rFonts w:hint="eastAsia" w:ascii="仿宋_GB2312" w:eastAsia="仿宋_GB2312"/>
          <w:color w:val="auto"/>
          <w:sz w:val="32"/>
          <w:szCs w:val="32"/>
          <w:highlight w:val="none"/>
          <w:lang w:val="en-US" w:eastAsia="zh-CN"/>
        </w:rPr>
        <w:t>等</w:t>
      </w:r>
      <w:r>
        <w:rPr>
          <w:rFonts w:hint="eastAsia" w:ascii="仿宋_GB2312" w:eastAsia="仿宋_GB2312"/>
          <w:color w:val="auto"/>
          <w:sz w:val="32"/>
          <w:szCs w:val="32"/>
          <w:highlight w:val="none"/>
        </w:rPr>
        <w:t>活动开支的交通费、住宿费、用餐费等。国内公务接待</w:t>
      </w:r>
      <w:r>
        <w:rPr>
          <w:rFonts w:hint="eastAsia" w:ascii="仿宋_GB2312" w:eastAsia="仿宋_GB2312"/>
          <w:color w:val="auto"/>
          <w:sz w:val="32"/>
          <w:szCs w:val="32"/>
          <w:highlight w:val="none"/>
          <w:lang w:val="en-US" w:eastAsia="zh-CN"/>
        </w:rPr>
        <w:t>37</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242</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2.18</w:t>
      </w:r>
      <w:r>
        <w:rPr>
          <w:rFonts w:hint="eastAsia" w:ascii="仿宋_GB2312" w:eastAsia="仿宋_GB2312"/>
          <w:color w:val="auto"/>
          <w:sz w:val="32"/>
          <w:szCs w:val="32"/>
          <w:highlight w:val="none"/>
        </w:rPr>
        <w:t>万元，具体内容包括：第一季度、第二季度考核接待</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接待支出1500元；4月、7月份隧道管养及安全运行情况指导组一行接待，接待支出450元；2023年全州国省干线公路第一季度考核接待，接待支出480元等</w:t>
      </w:r>
      <w:r>
        <w:rPr>
          <w:rFonts w:hint="eastAsia" w:ascii="仿宋_GB2312" w:eastAsia="仿宋_GB2312"/>
          <w:color w:val="auto"/>
          <w:sz w:val="32"/>
          <w:szCs w:val="32"/>
          <w:highlight w:val="none"/>
        </w:rPr>
        <w:t>。</w:t>
      </w:r>
    </w:p>
    <w:p w14:paraId="15A8AE90">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53FB3C1B">
      <w:pPr>
        <w:spacing w:line="600" w:lineRule="exact"/>
        <w:ind w:firstLine="640"/>
        <w:outlineLvl w:val="9"/>
        <w:rPr>
          <w:rFonts w:ascii="黑体" w:eastAsia="黑体"/>
          <w:color w:val="auto"/>
          <w:sz w:val="32"/>
          <w:szCs w:val="32"/>
          <w:highlight w:val="none"/>
        </w:rPr>
      </w:pPr>
      <w:bookmarkStart w:id="49" w:name="_Toc15377218"/>
      <w:bookmarkStart w:id="50" w:name="_Toc15396610"/>
    </w:p>
    <w:p w14:paraId="3221DB71">
      <w:pPr>
        <w:spacing w:line="600" w:lineRule="exact"/>
        <w:ind w:firstLine="640"/>
        <w:outlineLvl w:val="1"/>
        <w:rPr>
          <w:rStyle w:val="33"/>
          <w:rFonts w:ascii="黑体" w:hAnsi="黑体" w:eastAsia="黑体"/>
          <w:color w:val="auto"/>
          <w:highlight w:val="none"/>
        </w:rPr>
      </w:pPr>
      <w:bookmarkStart w:id="51" w:name="_Toc10948"/>
      <w:r>
        <w:rPr>
          <w:rFonts w:hint="eastAsia" w:ascii="黑体" w:eastAsia="黑体"/>
          <w:color w:val="auto"/>
          <w:sz w:val="32"/>
          <w:szCs w:val="32"/>
          <w:highlight w:val="none"/>
        </w:rPr>
        <w:t>八、</w:t>
      </w:r>
      <w:r>
        <w:rPr>
          <w:rStyle w:val="33"/>
          <w:rFonts w:hint="eastAsia" w:ascii="黑体" w:hAnsi="黑体" w:eastAsia="黑体"/>
          <w:b w:val="0"/>
          <w:color w:val="auto"/>
          <w:highlight w:val="none"/>
        </w:rPr>
        <w:t>政府性基金预算支出决算情况说明</w:t>
      </w:r>
      <w:bookmarkEnd w:id="49"/>
      <w:bookmarkEnd w:id="50"/>
      <w:bookmarkEnd w:id="51"/>
    </w:p>
    <w:p w14:paraId="33E24589">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1BA51C91">
      <w:pPr>
        <w:spacing w:line="600" w:lineRule="exact"/>
        <w:ind w:firstLine="640"/>
        <w:rPr>
          <w:rFonts w:ascii="仿宋_GB2312" w:eastAsia="仿宋_GB2312"/>
          <w:color w:val="auto"/>
          <w:sz w:val="32"/>
          <w:szCs w:val="32"/>
          <w:highlight w:val="none"/>
        </w:rPr>
      </w:pPr>
    </w:p>
    <w:p w14:paraId="5A356D5C">
      <w:pPr>
        <w:numPr>
          <w:ilvl w:val="0"/>
          <w:numId w:val="2"/>
        </w:numPr>
        <w:spacing w:line="600" w:lineRule="exact"/>
        <w:ind w:firstLine="640"/>
        <w:outlineLvl w:val="1"/>
        <w:rPr>
          <w:rStyle w:val="33"/>
          <w:rFonts w:ascii="黑体" w:hAnsi="黑体" w:eastAsia="黑体"/>
          <w:b w:val="0"/>
          <w:color w:val="auto"/>
          <w:highlight w:val="none"/>
        </w:rPr>
      </w:pPr>
      <w:bookmarkStart w:id="52" w:name="_Toc15396611"/>
      <w:bookmarkStart w:id="53" w:name="_Toc15377219"/>
      <w:bookmarkStart w:id="54" w:name="_Toc1931"/>
      <w:r>
        <w:rPr>
          <w:rStyle w:val="33"/>
          <w:rFonts w:hint="eastAsia" w:ascii="黑体" w:hAnsi="黑体" w:eastAsia="黑体"/>
          <w:b w:val="0"/>
          <w:color w:val="auto"/>
          <w:highlight w:val="none"/>
        </w:rPr>
        <w:t>国有资本经营预算支出决算情况说明</w:t>
      </w:r>
      <w:bookmarkEnd w:id="52"/>
      <w:bookmarkEnd w:id="53"/>
      <w:bookmarkEnd w:id="54"/>
    </w:p>
    <w:p w14:paraId="75B9E390">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605DE95A">
      <w:pPr>
        <w:spacing w:line="580" w:lineRule="exact"/>
        <w:jc w:val="center"/>
        <w:rPr>
          <w:rFonts w:ascii="方正小标宋简体" w:hAnsi="方正小标宋简体" w:eastAsia="方正小标宋简体" w:cs="方正小标宋简体"/>
          <w:color w:val="auto"/>
          <w:sz w:val="44"/>
          <w:szCs w:val="44"/>
          <w:highlight w:val="none"/>
        </w:rPr>
      </w:pPr>
    </w:p>
    <w:p w14:paraId="1439D19B">
      <w:pPr>
        <w:numPr>
          <w:ilvl w:val="0"/>
          <w:numId w:val="2"/>
        </w:numPr>
        <w:spacing w:line="600" w:lineRule="exact"/>
        <w:ind w:firstLine="640"/>
        <w:outlineLvl w:val="1"/>
        <w:rPr>
          <w:rStyle w:val="33"/>
          <w:rFonts w:hint="eastAsia" w:ascii="黑体" w:hAnsi="黑体" w:eastAsia="黑体"/>
          <w:b w:val="0"/>
          <w:color w:val="auto"/>
          <w:highlight w:val="none"/>
        </w:rPr>
      </w:pPr>
      <w:bookmarkStart w:id="55" w:name="_Toc16578"/>
      <w:bookmarkStart w:id="56" w:name="_Toc15396612"/>
      <w:bookmarkStart w:id="57" w:name="_Toc15377221"/>
      <w:r>
        <w:rPr>
          <w:rStyle w:val="33"/>
          <w:rFonts w:hint="eastAsia" w:ascii="黑体" w:hAnsi="黑体" w:eastAsia="黑体"/>
          <w:b w:val="0"/>
          <w:color w:val="auto"/>
          <w:highlight w:val="none"/>
        </w:rPr>
        <w:t>其他重要事项的情况说明</w:t>
      </w:r>
      <w:bookmarkEnd w:id="55"/>
      <w:bookmarkEnd w:id="56"/>
      <w:bookmarkEnd w:id="57"/>
    </w:p>
    <w:p w14:paraId="5DD1682C">
      <w:pPr>
        <w:spacing w:line="600" w:lineRule="exact"/>
        <w:ind w:firstLine="643" w:firstLineChars="200"/>
        <w:outlineLvl w:val="2"/>
        <w:rPr>
          <w:rFonts w:ascii="仿宋" w:hAnsi="仿宋" w:eastAsia="仿宋"/>
          <w:color w:val="auto"/>
          <w:sz w:val="32"/>
          <w:szCs w:val="32"/>
          <w:highlight w:val="none"/>
        </w:rPr>
      </w:pPr>
      <w:bookmarkStart w:id="58" w:name="_Toc15377222"/>
      <w:r>
        <w:rPr>
          <w:rFonts w:hint="eastAsia" w:ascii="仿宋" w:hAnsi="仿宋" w:eastAsia="仿宋"/>
          <w:b/>
          <w:color w:val="auto"/>
          <w:sz w:val="32"/>
          <w:szCs w:val="32"/>
          <w:highlight w:val="none"/>
        </w:rPr>
        <w:t>（一）机关运行经费支出情况</w:t>
      </w:r>
      <w:bookmarkEnd w:id="58"/>
    </w:p>
    <w:p w14:paraId="31CEAFE8">
      <w:pPr>
        <w:spacing w:line="60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本部门</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lang w:val="en-US" w:eastAsia="zh-CN"/>
        </w:rPr>
        <w:t>持平。</w:t>
      </w:r>
    </w:p>
    <w:p w14:paraId="64D47A24">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59" w:name="_Toc15377223"/>
      <w:r>
        <w:rPr>
          <w:rFonts w:hint="eastAsia" w:ascii="仿宋" w:hAnsi="仿宋" w:eastAsia="仿宋"/>
          <w:b/>
          <w:color w:val="auto"/>
          <w:sz w:val="32"/>
          <w:szCs w:val="32"/>
          <w:highlight w:val="none"/>
        </w:rPr>
        <w:t>（二）政府采购支出情况</w:t>
      </w:r>
      <w:bookmarkEnd w:id="59"/>
    </w:p>
    <w:p w14:paraId="401A5341">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本部门</w:t>
      </w:r>
      <w:r>
        <w:rPr>
          <w:rFonts w:hint="eastAsia" w:ascii="仿宋_GB2312" w:eastAsia="仿宋_GB2312"/>
          <w:color w:val="auto"/>
          <w:sz w:val="32"/>
          <w:szCs w:val="32"/>
          <w:highlight w:val="none"/>
        </w:rPr>
        <w:t>政府采购支出总额19,595.2万元，其中：政府采购货物支出478.06万元、政府采购工程支出18,890.37万元、政府采购服务支出226.78万元。</w:t>
      </w:r>
      <w:r>
        <w:rPr>
          <w:rFonts w:hint="eastAsia" w:ascii="仿宋_GB2312" w:eastAsia="仿宋_GB2312"/>
          <w:color w:val="auto"/>
          <w:sz w:val="32"/>
          <w:szCs w:val="32"/>
          <w:highlight w:val="none"/>
          <w:u w:val="none"/>
        </w:rPr>
        <w:t>主要用于公务用车购置、一线职工工作服和公务用车大修</w:t>
      </w:r>
      <w:r>
        <w:rPr>
          <w:rFonts w:hint="eastAsia" w:ascii="仿宋_GB2312" w:eastAsia="仿宋_GB2312"/>
          <w:color w:val="auto"/>
          <w:sz w:val="32"/>
          <w:szCs w:val="32"/>
          <w:highlight w:val="none"/>
          <w:u w:val="none"/>
          <w:lang w:val="en-US" w:eastAsia="zh-CN"/>
        </w:rPr>
        <w:t>等</w:t>
      </w:r>
      <w:r>
        <w:rPr>
          <w:rFonts w:hint="eastAsia" w:ascii="仿宋_GB2312" w:eastAsia="仿宋_GB2312"/>
          <w:color w:val="auto"/>
          <w:sz w:val="32"/>
          <w:szCs w:val="32"/>
          <w:highlight w:val="none"/>
          <w:u w:val="none"/>
        </w:rPr>
        <w:t>。</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14:paraId="0E86C9F7">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60" w:name="_Toc15377224"/>
      <w:r>
        <w:rPr>
          <w:rFonts w:hint="eastAsia" w:ascii="仿宋" w:hAnsi="仿宋" w:eastAsia="仿宋"/>
          <w:b/>
          <w:color w:val="auto"/>
          <w:sz w:val="32"/>
          <w:szCs w:val="32"/>
          <w:highlight w:val="none"/>
        </w:rPr>
        <w:t>（三）国有资产占有使用情况</w:t>
      </w:r>
      <w:bookmarkEnd w:id="60"/>
    </w:p>
    <w:p w14:paraId="478B7B6D">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254</w:t>
      </w:r>
      <w:r>
        <w:rPr>
          <w:rFonts w:hint="eastAsia" w:ascii="仿宋_GB2312" w:eastAsia="仿宋_GB2312"/>
          <w:color w:val="auto"/>
          <w:sz w:val="32"/>
          <w:szCs w:val="32"/>
          <w:highlight w:val="none"/>
        </w:rPr>
        <w:t>辆，其中：应急保障用车</w:t>
      </w:r>
      <w:r>
        <w:rPr>
          <w:rFonts w:hint="eastAsia" w:ascii="仿宋_GB2312" w:eastAsia="仿宋_GB2312"/>
          <w:color w:val="auto"/>
          <w:sz w:val="32"/>
          <w:szCs w:val="32"/>
          <w:highlight w:val="none"/>
          <w:lang w:val="en-US" w:eastAsia="zh-CN"/>
        </w:rPr>
        <w:t>143</w:t>
      </w:r>
      <w:r>
        <w:rPr>
          <w:rFonts w:hint="eastAsia" w:ascii="仿宋_GB2312" w:eastAsia="仿宋_GB2312"/>
          <w:color w:val="auto"/>
          <w:sz w:val="32"/>
          <w:szCs w:val="32"/>
          <w:highlight w:val="none"/>
        </w:rPr>
        <w:t>辆、执法执勤用车</w:t>
      </w:r>
      <w:r>
        <w:rPr>
          <w:rFonts w:hint="eastAsia" w:ascii="仿宋_GB2312" w:eastAsia="仿宋_GB2312"/>
          <w:color w:val="auto"/>
          <w:sz w:val="32"/>
          <w:szCs w:val="32"/>
          <w:highlight w:val="none"/>
          <w:lang w:val="en-US" w:eastAsia="zh-CN"/>
        </w:rPr>
        <w:t>10辆、</w:t>
      </w:r>
      <w:r>
        <w:rPr>
          <w:rFonts w:hint="eastAsia" w:ascii="仿宋_GB2312" w:eastAsia="仿宋_GB2312"/>
          <w:color w:val="auto"/>
          <w:sz w:val="32"/>
          <w:szCs w:val="32"/>
          <w:highlight w:val="none"/>
        </w:rPr>
        <w:t>其他用车</w:t>
      </w:r>
      <w:r>
        <w:rPr>
          <w:rFonts w:hint="eastAsia" w:ascii="仿宋_GB2312" w:eastAsia="仿宋_GB2312"/>
          <w:color w:val="auto"/>
          <w:sz w:val="32"/>
          <w:szCs w:val="32"/>
          <w:highlight w:val="none"/>
          <w:lang w:val="en-US" w:eastAsia="zh-CN"/>
        </w:rPr>
        <w:t>101</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万元以上设备</w:t>
      </w:r>
      <w:r>
        <w:rPr>
          <w:rFonts w:hint="eastAsia" w:ascii="仿宋_GB2312" w:eastAsia="仿宋_GB2312"/>
          <w:color w:val="auto"/>
          <w:sz w:val="32"/>
          <w:szCs w:val="32"/>
          <w:highlight w:val="none"/>
          <w:lang w:eastAsia="zh-CN"/>
        </w:rPr>
        <w:t>（不含车辆）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7D53EA24">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（四）预算绩效管理情况</w:t>
      </w:r>
    </w:p>
    <w:p w14:paraId="447D2559">
      <w:pPr>
        <w:spacing w:line="58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根据预算绩效管理要求，本部门在</w:t>
      </w:r>
      <w:r>
        <w:rPr>
          <w:rFonts w:hint="eastAsia" w:ascii="仿宋_GB2312" w:hAnsi="仿宋_GB2312" w:eastAsia="仿宋_GB2312" w:cs="仿宋_GB2312"/>
          <w:color w:val="auto"/>
          <w:sz w:val="32"/>
          <w:szCs w:val="32"/>
          <w:highlight w:val="none"/>
          <w:lang w:val="en-US" w:eastAsia="zh-CN"/>
        </w:rPr>
        <w:t>2023年度</w:t>
      </w:r>
      <w:r>
        <w:rPr>
          <w:rFonts w:hint="eastAsia" w:ascii="仿宋_GB2312" w:hAnsi="仿宋_GB2312" w:eastAsia="仿宋_GB2312" w:cs="仿宋_GB2312"/>
          <w:color w:val="auto"/>
          <w:sz w:val="32"/>
          <w:szCs w:val="32"/>
          <w:highlight w:val="none"/>
        </w:rPr>
        <w:t>预算编制阶段，组织对小金公路分局养护机械运行维护费项目</w:t>
      </w:r>
      <w:r>
        <w:rPr>
          <w:rFonts w:hint="eastAsia" w:ascii="仿宋_GB2312" w:hAnsi="仿宋_GB2312" w:eastAsia="仿宋_GB2312" w:cs="仿宋_GB2312"/>
          <w:color w:val="auto"/>
          <w:sz w:val="32"/>
          <w:szCs w:val="32"/>
          <w:highlight w:val="none"/>
          <w:lang w:eastAsia="zh-CN"/>
        </w:rPr>
        <w:t>、巴朗山隧道管理经费（2023年）</w:t>
      </w:r>
      <w:r>
        <w:rPr>
          <w:rFonts w:hint="eastAsia" w:ascii="仿宋_GB2312" w:hAnsi="仿宋_GB2312" w:eastAsia="仿宋_GB2312" w:cs="仿宋_GB2312"/>
          <w:color w:val="auto"/>
          <w:sz w:val="32"/>
          <w:szCs w:val="32"/>
          <w:highlight w:val="none"/>
          <w:lang w:val="en-US" w:eastAsia="zh-CN"/>
        </w:rPr>
        <w:t>项目、小金公路局购买公务用车（2023年）</w:t>
      </w:r>
      <w:r>
        <w:rPr>
          <w:rFonts w:hint="eastAsia" w:ascii="仿宋_GB2312" w:hAnsi="仿宋_GB2312" w:eastAsia="仿宋_GB2312" w:cs="仿宋_GB2312"/>
          <w:color w:val="auto"/>
          <w:sz w:val="32"/>
          <w:szCs w:val="32"/>
          <w:highlight w:val="none"/>
          <w:lang w:eastAsia="zh-CN"/>
        </w:rPr>
        <w:t>等</w:t>
      </w:r>
      <w:r>
        <w:rPr>
          <w:rFonts w:hint="eastAsia" w:ascii="仿宋_GB2312" w:hAnsi="仿宋_GB2312" w:eastAsia="仿宋_GB2312" w:cs="仿宋_GB2312"/>
          <w:color w:val="auto"/>
          <w:sz w:val="32"/>
          <w:szCs w:val="32"/>
          <w:highlight w:val="none"/>
          <w:lang w:val="en-US" w:eastAsia="zh-CN"/>
        </w:rPr>
        <w:t>21个项目</w:t>
      </w:r>
      <w:r>
        <w:rPr>
          <w:rFonts w:hint="eastAsia" w:ascii="仿宋_GB2312" w:hAnsi="仿宋_GB2312" w:eastAsia="仿宋_GB2312" w:cs="仿宋_GB2312"/>
          <w:color w:val="auto"/>
          <w:sz w:val="32"/>
          <w:szCs w:val="32"/>
          <w:highlight w:val="none"/>
        </w:rPr>
        <w:t>开展了预算事前绩效评估，对</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个项目编制了绩效目标，预算执行过程中，选取</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个项目开展绩效监控</w:t>
      </w:r>
      <w:r>
        <w:rPr>
          <w:rFonts w:hint="eastAsia" w:ascii="仿宋_GB2312" w:hAnsi="仿宋_GB2312" w:eastAsia="仿宋_GB2312" w:cs="仿宋_GB2312"/>
          <w:color w:val="auto"/>
          <w:sz w:val="32"/>
          <w:szCs w:val="32"/>
          <w:highlight w:val="none"/>
          <w:lang w:eastAsia="zh-CN"/>
        </w:rPr>
        <w:t>。</w:t>
      </w:r>
    </w:p>
    <w:p w14:paraId="3C25DA3C">
      <w:pPr>
        <w:spacing w:line="580" w:lineRule="exact"/>
        <w:ind w:firstLine="640" w:firstLineChars="200"/>
        <w:rPr>
          <w:rFonts w:hint="eastAsia" w:ascii="仿宋_GB2312" w:hAnsi="仿宋_GB2312" w:eastAsia="仿宋_GB2312" w:cs="仿宋_GB2312"/>
          <w:color w:val="auto"/>
          <w:sz w:val="32"/>
          <w:szCs w:val="32"/>
          <w:highlight w:val="yellow"/>
          <w:lang w:val="en-US" w:eastAsia="zh-CN"/>
        </w:rPr>
      </w:pPr>
      <w:r>
        <w:rPr>
          <w:rFonts w:hint="eastAsia" w:ascii="仿宋_GB2312" w:hAnsi="仿宋_GB2312" w:eastAsia="仿宋_GB2312" w:cs="仿宋_GB2312"/>
          <w:color w:val="auto"/>
          <w:sz w:val="32"/>
          <w:szCs w:val="32"/>
          <w:highlight w:val="none"/>
          <w:lang w:eastAsia="zh-CN"/>
        </w:rPr>
        <w:t>组织</w:t>
      </w:r>
      <w:r>
        <w:rPr>
          <w:rFonts w:hint="eastAsia" w:ascii="仿宋_GB2312" w:hAnsi="仿宋_GB2312" w:eastAsia="仿宋_GB2312" w:cs="仿宋_GB2312"/>
          <w:color w:val="auto"/>
          <w:sz w:val="32"/>
          <w:szCs w:val="32"/>
          <w:highlight w:val="none"/>
        </w:rPr>
        <w:t>对</w:t>
      </w:r>
      <w:r>
        <w:rPr>
          <w:rFonts w:hint="eastAsia" w:ascii="仿宋_GB2312" w:hAnsi="仿宋_GB2312" w:eastAsia="仿宋_GB2312" w:cs="仿宋_GB2312"/>
          <w:color w:val="auto"/>
          <w:sz w:val="32"/>
          <w:szCs w:val="32"/>
          <w:highlight w:val="none"/>
          <w:lang w:val="en-US" w:eastAsia="zh-CN"/>
        </w:rPr>
        <w:t>2023年度一般公共预算</w:t>
      </w:r>
      <w:r>
        <w:rPr>
          <w:rFonts w:hint="eastAsia" w:ascii="仿宋_GB2312" w:hAnsi="仿宋_GB2312" w:eastAsia="仿宋_GB2312" w:cs="仿宋_GB2312"/>
          <w:color w:val="auto"/>
          <w:sz w:val="32"/>
          <w:szCs w:val="32"/>
          <w:highlight w:val="none"/>
          <w:lang w:eastAsia="zh-CN"/>
        </w:rPr>
        <w:t>等</w:t>
      </w:r>
      <w:r>
        <w:rPr>
          <w:rFonts w:hint="eastAsia" w:ascii="仿宋_GB2312" w:hAnsi="仿宋_GB2312" w:eastAsia="仿宋_GB2312" w:cs="仿宋_GB2312"/>
          <w:color w:val="auto"/>
          <w:sz w:val="32"/>
          <w:szCs w:val="32"/>
          <w:highlight w:val="none"/>
          <w:lang w:val="en-US" w:eastAsia="zh-CN"/>
        </w:rPr>
        <w:t>全面开展绩效自评，形成</w:t>
      </w:r>
      <w:r>
        <w:rPr>
          <w:rFonts w:hint="eastAsia" w:ascii="仿宋_GB2312" w:hAnsi="仿宋_GB2312" w:eastAsia="仿宋_GB2312" w:cs="仿宋_GB2312"/>
          <w:color w:val="auto"/>
          <w:sz w:val="32"/>
          <w:szCs w:val="32"/>
          <w:highlight w:val="none"/>
          <w:lang w:eastAsia="zh-CN"/>
        </w:rPr>
        <w:t>部门整体（含部门预算项目）</w:t>
      </w:r>
      <w:r>
        <w:rPr>
          <w:rFonts w:hint="eastAsia" w:ascii="仿宋_GB2312" w:hAnsi="仿宋_GB2312" w:eastAsia="仿宋_GB2312" w:cs="仿宋_GB2312"/>
          <w:color w:val="auto"/>
          <w:sz w:val="32"/>
          <w:szCs w:val="32"/>
          <w:highlight w:val="none"/>
          <w:lang w:val="en-US" w:eastAsia="zh-CN"/>
        </w:rPr>
        <w:t>绩效自评报告</w:t>
      </w:r>
      <w:r>
        <w:rPr>
          <w:rFonts w:hint="eastAsia" w:ascii="仿宋_GB2312" w:hAnsi="仿宋_GB2312" w:eastAsia="仿宋_GB2312" w:cs="仿宋_GB2312"/>
          <w:color w:val="auto"/>
          <w:sz w:val="32"/>
          <w:szCs w:val="32"/>
          <w:highlight w:val="none"/>
          <w:lang w:eastAsia="zh-CN"/>
        </w:rPr>
        <w:t>、国道317线金川至壤塘段灾害防治工程、国道 317线阿坝州理县段灾害防治工程、2023年度国省干线公路养护工程专项预算项目</w:t>
      </w:r>
      <w:r>
        <w:rPr>
          <w:rFonts w:hint="eastAsia" w:ascii="仿宋_GB2312" w:hAnsi="仿宋_GB2312" w:eastAsia="仿宋_GB2312" w:cs="仿宋_GB2312"/>
          <w:color w:val="auto"/>
          <w:sz w:val="32"/>
          <w:szCs w:val="32"/>
          <w:highlight w:val="none"/>
          <w:lang w:val="en-US" w:eastAsia="zh-CN"/>
        </w:rPr>
        <w:t>绩效自评报告，其中，部门整体</w:t>
      </w:r>
      <w:r>
        <w:rPr>
          <w:rFonts w:hint="eastAsia" w:ascii="仿宋_GB2312" w:hAnsi="仿宋_GB2312" w:eastAsia="仿宋_GB2312" w:cs="仿宋_GB2312"/>
          <w:color w:val="auto"/>
          <w:sz w:val="32"/>
          <w:szCs w:val="32"/>
          <w:highlight w:val="none"/>
          <w:lang w:eastAsia="zh-CN"/>
        </w:rPr>
        <w:t>（含部门预算项目）</w:t>
      </w:r>
      <w:r>
        <w:rPr>
          <w:rFonts w:hint="eastAsia" w:ascii="仿宋_GB2312" w:hAnsi="仿宋_GB2312" w:eastAsia="仿宋_GB2312" w:cs="仿宋_GB2312"/>
          <w:color w:val="auto"/>
          <w:sz w:val="32"/>
          <w:szCs w:val="32"/>
          <w:highlight w:val="none"/>
          <w:lang w:val="en-US" w:eastAsia="zh-CN"/>
        </w:rPr>
        <w:t>绩效自评得分为85.75分，绩效自评综述：2023年我部门较好地完成了各项工作，经过对我部门总体工作进行自评，最终自评分数为85.75分，自评等级为“良”；</w:t>
      </w:r>
      <w:r>
        <w:rPr>
          <w:rFonts w:hint="eastAsia" w:ascii="仿宋_GB2312" w:hAnsi="仿宋_GB2312" w:eastAsia="仿宋_GB2312" w:cs="仿宋_GB2312"/>
          <w:color w:val="auto"/>
          <w:sz w:val="32"/>
          <w:szCs w:val="32"/>
          <w:highlight w:val="none"/>
          <w:lang w:eastAsia="zh-CN"/>
        </w:rPr>
        <w:t>国道317线金川至壤塘段灾害防治工程专项预</w:t>
      </w:r>
      <w:r>
        <w:rPr>
          <w:rFonts w:hint="eastAsia" w:ascii="仿宋_GB2312" w:hAnsi="仿宋_GB2312" w:eastAsia="仿宋_GB2312" w:cs="仿宋_GB2312"/>
          <w:color w:val="auto"/>
          <w:sz w:val="32"/>
          <w:szCs w:val="32"/>
          <w:highlight w:val="none"/>
          <w:lang w:val="en-US" w:eastAsia="zh-CN"/>
        </w:rPr>
        <w:t>算项目绩效自评得分为96分，绩效自评综述：2024年度结束后严格执行绩效评价，比对各个指标结果进行总结、分析，将各个指标反馈相应业务股室。最终自评得分96分，自评结果为“优”。针对绩效自评结果，拟通过以下措施强化绩效自评结果的运用：一是利用绩效自评成果改进下一年度绩效自评指标及时总结经验，改进管理措施，从而完善项目自评机制，有效提高资金管理水平和使用效率，确保项目按要求完成，及时发挥财政资金效能；二是与下一年度预算安排结合，本次自评结果作为下一年度预算的重要依据，对于合理安排下一年度预算起到关键作用；</w:t>
      </w:r>
      <w:r>
        <w:rPr>
          <w:rFonts w:hint="eastAsia" w:ascii="仿宋_GB2312" w:hAnsi="仿宋_GB2312" w:eastAsia="仿宋_GB2312" w:cs="仿宋_GB2312"/>
          <w:color w:val="auto"/>
          <w:sz w:val="32"/>
          <w:szCs w:val="32"/>
          <w:highlight w:val="none"/>
          <w:lang w:eastAsia="zh-CN"/>
        </w:rPr>
        <w:t>国道 317线阿坝州理县段灾害防治工程专项预</w:t>
      </w:r>
      <w:r>
        <w:rPr>
          <w:rFonts w:hint="eastAsia" w:ascii="仿宋_GB2312" w:hAnsi="仿宋_GB2312" w:eastAsia="仿宋_GB2312" w:cs="仿宋_GB2312"/>
          <w:color w:val="auto"/>
          <w:sz w:val="32"/>
          <w:szCs w:val="32"/>
          <w:highlight w:val="none"/>
          <w:lang w:val="en-US" w:eastAsia="zh-CN"/>
        </w:rPr>
        <w:t>算项目绩效自评得分为98分，绩效自评综述：2024年度结束后严格执行绩效评价，比对各个指标结果进行总结、分析，将各个指标反馈相应业务股室。最终自评得分98分，自评结果为“优”。针对绩效自评结果，拟通过以下措施强化绩效自评结果的运用：一是利用绩效自评成果改进下一年度绩效自评指标及时总结经验，改进管理措施，从而完善项目自评机制，有效提高资金管理水平和使用效率，确保项目按要求完成，及时发挥财政资金效能；二是与下一年度预算安排结合，本次自评结果作为下一年度预算的重要依据，对于合理安排下一年度预算起到关键作用。绩效自评报告详见附件。</w:t>
      </w:r>
    </w:p>
    <w:p w14:paraId="1BF09A7F">
      <w:r>
        <w:rPr>
          <w:rFonts w:ascii="仿宋_GB2312" w:eastAsia="仿宋_GB2312"/>
          <w:b/>
          <w:color w:val="auto"/>
          <w:sz w:val="32"/>
          <w:szCs w:val="32"/>
          <w:highlight w:val="none"/>
        </w:rPr>
        <w:br w:type="page"/>
      </w:r>
    </w:p>
    <w:p w14:paraId="122A91FA">
      <w:pPr>
        <w:numPr>
          <w:ilvl w:val="0"/>
          <w:numId w:val="3"/>
        </w:numPr>
        <w:spacing w:line="600" w:lineRule="exact"/>
        <w:ind w:firstLine="660" w:firstLineChars="150"/>
        <w:jc w:val="center"/>
        <w:outlineLvl w:val="0"/>
        <w:rPr>
          <w:rStyle w:val="32"/>
          <w:rFonts w:ascii="黑体" w:hAnsi="黑体" w:eastAsia="黑体"/>
          <w:b w:val="0"/>
          <w:color w:val="auto"/>
          <w:highlight w:val="none"/>
        </w:rPr>
      </w:pPr>
      <w:bookmarkStart w:id="61" w:name="_Toc15396613"/>
      <w:bookmarkStart w:id="62" w:name="_Toc15377225"/>
      <w:bookmarkStart w:id="63" w:name="_Toc20780"/>
      <w:r>
        <w:rPr>
          <w:rFonts w:hint="eastAsia" w:ascii="黑体" w:hAnsi="黑体" w:eastAsia="黑体"/>
          <w:color w:val="auto"/>
          <w:sz w:val="44"/>
          <w:szCs w:val="44"/>
          <w:highlight w:val="none"/>
        </w:rPr>
        <w:t>名</w:t>
      </w:r>
      <w:r>
        <w:rPr>
          <w:rStyle w:val="32"/>
          <w:rFonts w:hint="eastAsia" w:ascii="黑体" w:hAnsi="黑体" w:eastAsia="黑体"/>
          <w:b w:val="0"/>
          <w:color w:val="auto"/>
          <w:highlight w:val="none"/>
        </w:rPr>
        <w:t>词解释</w:t>
      </w:r>
      <w:bookmarkEnd w:id="61"/>
      <w:bookmarkEnd w:id="62"/>
      <w:bookmarkEnd w:id="63"/>
    </w:p>
    <w:p w14:paraId="1F66C280">
      <w:pPr>
        <w:spacing w:line="600" w:lineRule="exact"/>
        <w:jc w:val="left"/>
        <w:rPr>
          <w:rFonts w:ascii="宋体"/>
          <w:b/>
          <w:color w:val="auto"/>
          <w:sz w:val="44"/>
          <w:szCs w:val="44"/>
          <w:highlight w:val="none"/>
        </w:rPr>
      </w:pPr>
    </w:p>
    <w:p w14:paraId="70159484">
      <w:pPr>
        <w:pStyle w:val="30"/>
        <w:spacing w:line="560" w:lineRule="exact"/>
        <w:ind w:firstLine="640" w:firstLineChars="200"/>
        <w:outlineLvl w:val="1"/>
        <w:rPr>
          <w:rFonts w:ascii="仿宋_GB2312" w:eastAsia="仿宋_GB2312"/>
          <w:color w:val="auto"/>
          <w:sz w:val="32"/>
          <w:szCs w:val="32"/>
          <w:highlight w:val="none"/>
        </w:rPr>
      </w:pPr>
      <w:bookmarkStart w:id="64" w:name="_Toc11183"/>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bookmarkEnd w:id="64"/>
    </w:p>
    <w:p w14:paraId="20CFD11B">
      <w:pPr>
        <w:pStyle w:val="30"/>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w:t>
      </w:r>
    </w:p>
    <w:p w14:paraId="509C48B4">
      <w:pPr>
        <w:pStyle w:val="30"/>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3.</w:t>
      </w:r>
      <w:r>
        <w:rPr>
          <w:rFonts w:hint="eastAsia" w:ascii="仿宋_GB2312" w:eastAsia="仿宋_GB2312"/>
          <w:color w:val="auto"/>
          <w:sz w:val="32"/>
          <w:szCs w:val="32"/>
          <w:highlight w:val="none"/>
        </w:rPr>
        <w:t>经营收入：指事业单位在专业业务活动及其辅助活动之外开展非独立核算经营活动取得的收入。</w:t>
      </w:r>
    </w:p>
    <w:p w14:paraId="254041FE">
      <w:pPr>
        <w:pStyle w:val="30"/>
        <w:spacing w:line="560" w:lineRule="exact"/>
        <w:ind w:firstLine="640" w:firstLineChars="200"/>
        <w:outlineLvl w:val="1"/>
        <w:rPr>
          <w:rFonts w:ascii="仿宋_GB2312" w:eastAsia="仿宋_GB2312"/>
          <w:color w:val="auto"/>
          <w:sz w:val="32"/>
          <w:szCs w:val="32"/>
          <w:highlight w:val="none"/>
        </w:rPr>
      </w:pPr>
      <w:bookmarkStart w:id="65" w:name="_Toc30992"/>
      <w:r>
        <w:rPr>
          <w:rFonts w:ascii="仿宋_GB2312" w:eastAsia="仿宋_GB2312"/>
          <w:color w:val="auto"/>
          <w:sz w:val="32"/>
          <w:szCs w:val="32"/>
          <w:highlight w:val="none"/>
        </w:rPr>
        <w:t>4.</w:t>
      </w:r>
      <w:r>
        <w:rPr>
          <w:rFonts w:hint="eastAsia" w:ascii="仿宋_GB2312" w:eastAsia="仿宋_GB2312"/>
          <w:color w:val="auto"/>
          <w:sz w:val="32"/>
          <w:szCs w:val="32"/>
          <w:highlight w:val="none"/>
        </w:rPr>
        <w:t>其他收入：指单位取得的除上述收入以外的各项收入。</w:t>
      </w:r>
      <w:bookmarkEnd w:id="65"/>
      <w:r>
        <w:rPr>
          <w:rFonts w:ascii="仿宋_GB2312" w:eastAsia="仿宋_GB2312"/>
          <w:color w:val="auto"/>
          <w:sz w:val="32"/>
          <w:szCs w:val="32"/>
          <w:highlight w:val="none"/>
        </w:rPr>
        <w:t xml:space="preserve"> </w:t>
      </w:r>
    </w:p>
    <w:p w14:paraId="2E0C71F3">
      <w:pPr>
        <w:pStyle w:val="30"/>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5.</w:t>
      </w:r>
      <w:r>
        <w:rPr>
          <w:rFonts w:hint="eastAsia" w:ascii="仿宋_GB2312" w:hAnsi="华文中宋" w:eastAsia="仿宋_GB2312"/>
          <w:sz w:val="32"/>
          <w:szCs w:val="32"/>
          <w:u w:val="none"/>
          <w:lang w:eastAsia="zh-CN"/>
        </w:rPr>
        <w:t>使用非财政拨款结余（含专用结余）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r>
        <w:rPr>
          <w:rFonts w:ascii="仿宋_GB2312" w:eastAsia="仿宋_GB2312"/>
          <w:color w:val="auto"/>
          <w:sz w:val="32"/>
          <w:szCs w:val="32"/>
          <w:highlight w:val="none"/>
        </w:rPr>
        <w:t xml:space="preserve"> </w:t>
      </w:r>
    </w:p>
    <w:p w14:paraId="0F8F5F88">
      <w:pPr>
        <w:pStyle w:val="30"/>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6.</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14:paraId="226AAB5B">
      <w:pPr>
        <w:pStyle w:val="30"/>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7.</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14:paraId="61F276A8">
      <w:pPr>
        <w:pStyle w:val="30"/>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8</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14:paraId="1C134A73">
      <w:pPr>
        <w:ind w:firstLine="640" w:firstLineChars="200"/>
        <w:rPr>
          <w:rFonts w:hint="eastAsia" w:ascii="仿宋_GB2312" w:eastAsia="仿宋_GB2312"/>
          <w:color w:val="auto"/>
          <w:sz w:val="32"/>
          <w:szCs w:val="32"/>
          <w:highlight w:val="none"/>
        </w:rPr>
      </w:pPr>
      <w:r>
        <w:rPr>
          <w:rFonts w:ascii="仿宋_GB2312" w:eastAsia="仿宋_GB2312"/>
          <w:color w:val="auto"/>
          <w:sz w:val="32"/>
          <w:szCs w:val="32"/>
          <w:highlight w:val="none"/>
        </w:rPr>
        <w:t>9.</w:t>
      </w:r>
      <w:r>
        <w:rPr>
          <w:rFonts w:hint="eastAsia" w:ascii="仿宋_GB2312" w:eastAsia="仿宋_GB2312"/>
          <w:color w:val="auto"/>
          <w:sz w:val="32"/>
          <w:szCs w:val="32"/>
          <w:highlight w:val="none"/>
        </w:rPr>
        <w:t>社会保障和就业支出（类）行政事业单位养老支出（款）机关事业单位基本养老保险缴费支出（项）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反映机关事业单位实施养老保险制度由单位缴纳的基本养老保险费支出。</w:t>
      </w:r>
    </w:p>
    <w:p w14:paraId="3CFE5BC1">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.社会保障和就业支出（类）行政事业单位养老支出（款）机关事业单位职业年金缴费支出（项）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指反映机关事业单位实施养老保险制度由单位实际缴纳的职业年金支出</w:t>
      </w:r>
      <w:r>
        <w:rPr>
          <w:rFonts w:hint="eastAsia" w:ascii="仿宋_GB2312" w:eastAsia="仿宋_GB2312"/>
          <w:color w:val="auto"/>
          <w:sz w:val="32"/>
          <w:szCs w:val="32"/>
          <w:highlight w:val="none"/>
        </w:rPr>
        <w:t>。</w:t>
      </w:r>
    </w:p>
    <w:p w14:paraId="55CA6DE3">
      <w:pPr>
        <w:ind w:firstLine="640" w:firstLineChars="200"/>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.社会保障和就业支出（类）抚恤（款）死亡抚恤（项）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指反映按规定用于烈士和牺牲、病故人员家属的一次性和定期 抚恤金、丧葬补助费以及烈士褒扬金。</w:t>
      </w:r>
    </w:p>
    <w:p w14:paraId="2BC446E5">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卫生健康支出（类）行政事业单位医疗（款）事业单位医疗（项）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反映财政部门安排的事业单位基本医疗保险缴费经费，未参加医疗保险的事业单位的公费医疗经费，按国家规定享受离休人员待遇的医疗经费。</w:t>
      </w:r>
    </w:p>
    <w:p w14:paraId="4DA1E3B9">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hint="eastAsia" w:ascii="仿宋_GB2312" w:eastAsia="仿宋_GB2312"/>
          <w:color w:val="auto"/>
          <w:sz w:val="32"/>
          <w:szCs w:val="32"/>
          <w:highlight w:val="none"/>
        </w:rPr>
        <w:t>.卫生健康支出（类）行政事业单位医疗（款）其他行政事业单位医疗支出（项）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反映除上述项目以外的其他用于行政事业单位医疗方面的支出。</w:t>
      </w:r>
    </w:p>
    <w:p w14:paraId="5E744623">
      <w:pPr>
        <w:ind w:firstLine="640" w:firstLineChars="200"/>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14.</w:t>
      </w:r>
      <w:r>
        <w:rPr>
          <w:rFonts w:hint="eastAsia" w:ascii="仿宋_GB2312" w:eastAsia="仿宋_GB2312"/>
          <w:color w:val="auto"/>
          <w:sz w:val="32"/>
          <w:szCs w:val="32"/>
          <w:highlight w:val="none"/>
        </w:rPr>
        <w:t>交通运输支出（类）公路水路运输（款）公路建设（项）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指反映新建公路支出，公路改建支出，特大型桥梁建设支出，公路客货运站（场）建设支出。</w:t>
      </w:r>
    </w:p>
    <w:p w14:paraId="202E72D0">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rPr>
        <w:t>.交通运输支出（类）公路水路运输（款）公路养护（项）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反映公路养护支出。</w:t>
      </w:r>
    </w:p>
    <w:p w14:paraId="7DA3FE85">
      <w:pPr>
        <w:pStyle w:val="8"/>
        <w:ind w:firstLine="640" w:firstLineChars="200"/>
        <w:rPr>
          <w:rFonts w:hint="eastAsia" w:eastAsia="仿宋_GB2312"/>
          <w:lang w:val="en-US" w:eastAsia="zh-CN"/>
        </w:rPr>
      </w:pPr>
      <w:r>
        <w:rPr>
          <w:rFonts w:hint="eastAsia"/>
          <w:color w:val="auto"/>
          <w:sz w:val="32"/>
          <w:szCs w:val="32"/>
          <w:highlight w:val="none"/>
          <w:lang w:val="en-US" w:eastAsia="zh-CN"/>
        </w:rPr>
        <w:t>16.</w:t>
      </w:r>
      <w:r>
        <w:rPr>
          <w:rFonts w:hint="eastAsia" w:ascii="仿宋_GB2312" w:eastAsia="仿宋_GB2312"/>
          <w:color w:val="auto"/>
          <w:sz w:val="32"/>
          <w:szCs w:val="32"/>
          <w:highlight w:val="none"/>
        </w:rPr>
        <w:t>交通运输支出（类）公路水路运输（款）其他公路水路运输支出（项）</w:t>
      </w:r>
      <w:r>
        <w:rPr>
          <w:rFonts w:hint="eastAsia" w:ascii="仿宋_GB2312" w:eastAsia="仿宋_GB2312"/>
          <w:color w:val="auto"/>
          <w:sz w:val="32"/>
          <w:szCs w:val="32"/>
          <w:highlight w:val="none"/>
          <w:lang w:eastAsia="zh-CN"/>
        </w:rPr>
        <w:t>：</w:t>
      </w:r>
      <w:r>
        <w:rPr>
          <w:rFonts w:hint="eastAsia"/>
          <w:color w:val="auto"/>
          <w:sz w:val="32"/>
          <w:szCs w:val="32"/>
          <w:highlight w:val="none"/>
          <w:lang w:val="en-US" w:eastAsia="zh-CN"/>
        </w:rPr>
        <w:t>指</w:t>
      </w:r>
      <w:r>
        <w:t>反映除上述项目以外其他用于公路水路运输</w:t>
      </w:r>
      <w:r>
        <w:rPr>
          <w:spacing w:val="-1"/>
        </w:rPr>
        <w:t>方面的支出</w:t>
      </w:r>
      <w:r>
        <w:rPr>
          <w:rFonts w:hint="eastAsia"/>
          <w:spacing w:val="-1"/>
          <w:lang w:eastAsia="zh-CN"/>
        </w:rPr>
        <w:t>。</w:t>
      </w:r>
    </w:p>
    <w:p w14:paraId="529A9DBE">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17</w:t>
      </w:r>
      <w:r>
        <w:rPr>
          <w:rFonts w:hint="eastAsia" w:ascii="仿宋_GB2312" w:eastAsia="仿宋_GB2312"/>
          <w:color w:val="auto"/>
          <w:sz w:val="32"/>
          <w:szCs w:val="32"/>
          <w:highlight w:val="none"/>
        </w:rPr>
        <w:t>.交通运输支出（类）车辆购置税支出（款）车辆购置税用于公路等基础设施建设支出（项）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指反映车辆购置税收入安排用于公路等基础设施建设的支出</w:t>
      </w:r>
      <w:r>
        <w:rPr>
          <w:rFonts w:hint="eastAsia" w:ascii="仿宋_GB2312" w:eastAsia="仿宋_GB2312"/>
          <w:color w:val="auto"/>
          <w:sz w:val="32"/>
          <w:szCs w:val="32"/>
          <w:highlight w:val="none"/>
        </w:rPr>
        <w:t>。</w:t>
      </w:r>
    </w:p>
    <w:p w14:paraId="30C896F6">
      <w:pPr>
        <w:pStyle w:val="8"/>
        <w:ind w:firstLine="640" w:firstLineChars="200"/>
        <w:rPr>
          <w:rFonts w:hint="default" w:eastAsia="仿宋_GB2312"/>
          <w:lang w:val="en-US" w:eastAsia="zh-CN"/>
        </w:rPr>
      </w:pPr>
      <w:r>
        <w:rPr>
          <w:rFonts w:hint="eastAsia"/>
          <w:color w:val="auto"/>
          <w:sz w:val="32"/>
          <w:szCs w:val="32"/>
          <w:highlight w:val="none"/>
          <w:lang w:val="en-US" w:eastAsia="zh-CN"/>
        </w:rPr>
        <w:t>18.</w:t>
      </w:r>
      <w:r>
        <w:rPr>
          <w:rFonts w:hint="eastAsia" w:ascii="仿宋_GB2312" w:eastAsia="仿宋_GB2312"/>
          <w:color w:val="auto"/>
          <w:sz w:val="32"/>
          <w:szCs w:val="32"/>
          <w:highlight w:val="none"/>
        </w:rPr>
        <w:t>交通运输支出（类）其他交通运输支出（款）其他交通运输支出（项）</w:t>
      </w:r>
      <w:r>
        <w:rPr>
          <w:rFonts w:hint="eastAsia"/>
          <w:color w:val="auto"/>
          <w:sz w:val="32"/>
          <w:szCs w:val="32"/>
          <w:highlight w:val="none"/>
          <w:lang w:eastAsia="zh-CN"/>
        </w:rPr>
        <w:t>：</w:t>
      </w:r>
      <w:r>
        <w:rPr>
          <w:rFonts w:hint="eastAsia"/>
          <w:color w:val="auto"/>
          <w:sz w:val="32"/>
          <w:szCs w:val="32"/>
          <w:highlight w:val="none"/>
          <w:lang w:val="en-US" w:eastAsia="zh-CN"/>
        </w:rPr>
        <w:t>指反映其他交通运输支出中除对公共交通运营补助以外的其他支出。</w:t>
      </w:r>
    </w:p>
    <w:p w14:paraId="0D51BB6C">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19.</w:t>
      </w:r>
      <w:r>
        <w:rPr>
          <w:rFonts w:hint="eastAsia" w:ascii="仿宋_GB2312" w:eastAsia="仿宋_GB2312"/>
          <w:color w:val="auto"/>
          <w:sz w:val="32"/>
          <w:szCs w:val="32"/>
          <w:highlight w:val="none"/>
        </w:rPr>
        <w:t>住房保障支出（类）住房改革支出（款）住房公积金（项）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反映行政事业单位按人力资源和社会保障部、财政部规定的 基本工资和津贴补贴以及规定比例为职工缴纳的住房公积金。</w:t>
      </w:r>
    </w:p>
    <w:p w14:paraId="1C26924E">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住房保障支出（类）住房改革支出（款）购房补贴（项）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指反映按房改政策规定，行政事业单位向符合条件职工（含离 退休人员）、军队（含武警）向转役复员离退休人员发放的用于购买住房的补贴。</w:t>
      </w:r>
    </w:p>
    <w:p w14:paraId="464C2C78">
      <w:pPr>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14:paraId="756CC2A8">
      <w:pPr>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0F955198">
      <w:pPr>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lang w:val="en-US" w:eastAsia="zh-CN"/>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经营支出：指事业单位在专业业务活动及其辅助活动之外开展非独立核算经营活动发生的支出。</w:t>
      </w:r>
    </w:p>
    <w:p w14:paraId="64F3CEB3">
      <w:pPr>
        <w:pStyle w:val="30"/>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24</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3DD1B506">
      <w:pPr>
        <w:pStyle w:val="30"/>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25</w:t>
      </w:r>
      <w:r>
        <w:rPr>
          <w:rFonts w:ascii="仿宋_GB2312" w:eastAsia="仿宋_GB2312"/>
          <w:color w:val="auto"/>
          <w:sz w:val="32"/>
          <w:szCs w:val="32"/>
          <w:highlight w:val="none"/>
        </w:rPr>
        <w:t>.</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94817DB">
      <w:pPr>
        <w:spacing w:line="600" w:lineRule="exact"/>
        <w:jc w:val="center"/>
        <w:outlineLvl w:val="0"/>
        <w:rPr>
          <w:rStyle w:val="32"/>
          <w:rFonts w:hint="eastAsia" w:ascii="黑体" w:hAnsi="黑体" w:eastAsia="黑体"/>
          <w:b w:val="0"/>
          <w:color w:val="auto"/>
          <w:highlight w:val="none"/>
          <w:lang w:eastAsia="zh-CN"/>
        </w:rPr>
      </w:pPr>
      <w:bookmarkStart w:id="66" w:name="_Toc15377226"/>
      <w:r>
        <w:rPr>
          <w:rFonts w:ascii="宋体"/>
          <w:b/>
          <w:color w:val="auto"/>
          <w:sz w:val="44"/>
          <w:szCs w:val="44"/>
          <w:highlight w:val="none"/>
        </w:rPr>
        <w:br w:type="page"/>
      </w:r>
      <w:bookmarkStart w:id="67" w:name="_Toc14753"/>
      <w:bookmarkStart w:id="68" w:name="_Toc15396614"/>
      <w:r>
        <w:rPr>
          <w:rFonts w:hint="eastAsia" w:ascii="黑体" w:hAnsi="黑体" w:eastAsia="黑体"/>
          <w:color w:val="auto"/>
          <w:sz w:val="44"/>
          <w:szCs w:val="44"/>
          <w:highlight w:val="none"/>
        </w:rPr>
        <w:t>第</w:t>
      </w:r>
      <w:r>
        <w:rPr>
          <w:rStyle w:val="32"/>
          <w:rFonts w:hint="eastAsia" w:ascii="黑体" w:hAnsi="黑体" w:eastAsia="黑体"/>
          <w:b w:val="0"/>
          <w:color w:val="auto"/>
          <w:highlight w:val="none"/>
        </w:rPr>
        <w:t>四部分 附件</w:t>
      </w:r>
      <w:bookmarkEnd w:id="67"/>
      <w:bookmarkEnd w:id="68"/>
    </w:p>
    <w:p w14:paraId="47D25195">
      <w:pPr>
        <w:keepNext w:val="0"/>
        <w:keepLines w:val="0"/>
        <w:pageBreakBefore w:val="0"/>
        <w:kinsoku/>
        <w:wordWrap/>
        <w:overflowPunct/>
        <w:topLinePunct w:val="0"/>
        <w:autoSpaceDE/>
        <w:autoSpaceDN/>
        <w:bidi w:val="0"/>
        <w:spacing w:line="572" w:lineRule="exact"/>
        <w:jc w:val="left"/>
        <w:textAlignment w:val="auto"/>
        <w:outlineLvl w:val="9"/>
        <w:rPr>
          <w:rFonts w:hint="eastAsia" w:ascii="黑体" w:hAnsi="黑体" w:eastAsia="黑体" w:cs="黑体"/>
          <w:color w:val="FF0000"/>
          <w:sz w:val="32"/>
          <w:szCs w:val="32"/>
          <w:highlight w:val="none"/>
        </w:rPr>
      </w:pPr>
    </w:p>
    <w:p w14:paraId="7B114E21">
      <w:pPr>
        <w:keepNext w:val="0"/>
        <w:keepLines w:val="0"/>
        <w:pageBreakBefore w:val="0"/>
        <w:kinsoku/>
        <w:wordWrap/>
        <w:overflowPunct/>
        <w:topLinePunct w:val="0"/>
        <w:autoSpaceDE/>
        <w:autoSpaceDN/>
        <w:bidi w:val="0"/>
        <w:spacing w:line="572" w:lineRule="exact"/>
        <w:jc w:val="left"/>
        <w:textAlignment w:val="auto"/>
        <w:outlineLvl w:val="1"/>
        <w:rPr>
          <w:rFonts w:hint="eastAsia" w:ascii="方正小标宋简体" w:hAnsi="方正小标宋简体" w:eastAsia="黑体" w:cs="方正小标宋简体"/>
          <w:color w:val="auto"/>
          <w:sz w:val="44"/>
          <w:szCs w:val="44"/>
          <w:highlight w:val="none"/>
          <w:lang w:val="en-US" w:eastAsia="zh-CN"/>
        </w:rPr>
      </w:pPr>
      <w:bookmarkStart w:id="69" w:name="_Toc32641"/>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bookmarkEnd w:id="69"/>
    </w:p>
    <w:p w14:paraId="26E9E723">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r>
        <w:rPr>
          <w:rFonts w:hint="default" w:ascii="Times New Roman" w:hAnsi="Times New Roman" w:eastAsia="方正小标宋简体" w:cs="Times New Roman"/>
          <w:b w:val="0"/>
          <w:bCs/>
          <w:sz w:val="44"/>
          <w:szCs w:val="44"/>
          <w:highlight w:val="none"/>
          <w:shd w:val="clear" w:color="auto" w:fill="FFFFFF"/>
        </w:rPr>
        <w:t>部门</w:t>
      </w:r>
      <w:r>
        <w:rPr>
          <w:rFonts w:hint="default" w:ascii="Times New Roman" w:hAnsi="Times New Roman" w:eastAsia="方正小标宋简体" w:cs="Times New Roman"/>
          <w:b w:val="0"/>
          <w:bCs/>
          <w:sz w:val="44"/>
          <w:szCs w:val="44"/>
          <w:highlight w:val="none"/>
          <w:shd w:val="clear" w:color="auto" w:fill="FFFFFF"/>
          <w:lang w:eastAsia="zh-CN"/>
        </w:rPr>
        <w:t>预算</w:t>
      </w:r>
      <w:r>
        <w:rPr>
          <w:rFonts w:hint="default" w:ascii="Times New Roman" w:hAnsi="Times New Roman" w:eastAsia="方正小标宋简体" w:cs="Times New Roman"/>
          <w:b w:val="0"/>
          <w:bCs/>
          <w:sz w:val="44"/>
          <w:szCs w:val="44"/>
          <w:highlight w:val="none"/>
          <w:shd w:val="clear" w:color="auto" w:fill="FFFFFF"/>
        </w:rPr>
        <w:t>绩效</w:t>
      </w:r>
      <w:r>
        <w:rPr>
          <w:rFonts w:hint="eastAsia" w:ascii="Times New Roman" w:hAnsi="Times New Roman" w:eastAsia="方正小标宋简体" w:cs="Times New Roman"/>
          <w:b w:val="0"/>
          <w:bCs/>
          <w:sz w:val="44"/>
          <w:szCs w:val="44"/>
          <w:highlight w:val="none"/>
          <w:shd w:val="clear" w:color="auto" w:fill="FFFFFF"/>
          <w:lang w:eastAsia="zh-CN"/>
        </w:rPr>
        <w:t>评价</w:t>
      </w:r>
      <w:r>
        <w:rPr>
          <w:rFonts w:hint="default" w:ascii="Times New Roman" w:hAnsi="Times New Roman" w:eastAsia="方正小标宋简体" w:cs="Times New Roman"/>
          <w:b w:val="0"/>
          <w:bCs/>
          <w:sz w:val="44"/>
          <w:szCs w:val="44"/>
          <w:highlight w:val="none"/>
          <w:shd w:val="clear" w:color="auto" w:fill="FFFFFF"/>
        </w:rPr>
        <w:t>报告</w:t>
      </w:r>
    </w:p>
    <w:p w14:paraId="7D0EF961">
      <w:pPr>
        <w:keepNext w:val="0"/>
        <w:keepLines w:val="0"/>
        <w:pageBreakBefore w:val="0"/>
        <w:widowControl/>
        <w:kinsoku/>
        <w:wordWrap/>
        <w:overflowPunct/>
        <w:topLinePunct w:val="0"/>
        <w:autoSpaceDE/>
        <w:autoSpaceDN/>
        <w:bidi w:val="0"/>
        <w:adjustRightInd w:val="0"/>
        <w:snapToGrid w:val="0"/>
        <w:spacing w:line="578" w:lineRule="exact"/>
        <w:ind w:firstLine="480" w:firstLineChars="200"/>
        <w:contextualSpacing/>
        <w:jc w:val="left"/>
        <w:textAlignment w:val="auto"/>
        <w:outlineLvl w:val="9"/>
        <w:rPr>
          <w:rFonts w:hint="default" w:ascii="Times New Roman" w:hAnsi="Times New Roman" w:eastAsia="黑体" w:cs="Times New Roman"/>
          <w:color w:val="000000"/>
          <w:kern w:val="0"/>
          <w:sz w:val="24"/>
          <w:szCs w:val="32"/>
          <w:highlight w:val="none"/>
          <w:shd w:val="clear" w:color="auto" w:fill="FFFFFF"/>
        </w:rPr>
      </w:pPr>
    </w:p>
    <w:p w14:paraId="241E3A44">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1"/>
        <w:rPr>
          <w:rFonts w:hint="default" w:eastAsia="黑体" w:cs="Times New Roman"/>
          <w:color w:val="000000"/>
          <w:kern w:val="0"/>
          <w:sz w:val="32"/>
          <w:szCs w:val="32"/>
          <w:highlight w:val="none"/>
          <w:shd w:val="clear" w:color="auto" w:fill="FFFFFF"/>
          <w:lang w:val="zh-CN"/>
        </w:rPr>
      </w:pPr>
      <w:bookmarkStart w:id="70" w:name="_Toc21017"/>
      <w:r>
        <w:rPr>
          <w:rFonts w:hint="eastAsia" w:eastAsia="黑体" w:cs="Times New Roman"/>
          <w:color w:val="000000"/>
          <w:kern w:val="0"/>
          <w:sz w:val="32"/>
          <w:szCs w:val="32"/>
          <w:highlight w:val="none"/>
          <w:shd w:val="clear" w:color="auto" w:fill="FFFFFF"/>
          <w:lang w:val="zh-CN"/>
        </w:rPr>
        <w:t>一、</w:t>
      </w:r>
      <w:r>
        <w:rPr>
          <w:rFonts w:hint="default" w:eastAsia="黑体" w:cs="Times New Roman"/>
          <w:color w:val="000000"/>
          <w:kern w:val="0"/>
          <w:sz w:val="32"/>
          <w:szCs w:val="32"/>
          <w:highlight w:val="none"/>
          <w:shd w:val="clear" w:color="auto" w:fill="FFFFFF"/>
          <w:lang w:val="zh-CN"/>
        </w:rPr>
        <w:t>部门（单位）基本情况</w:t>
      </w:r>
      <w:bookmarkEnd w:id="70"/>
    </w:p>
    <w:p w14:paraId="717D6459">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Times New Roman" w:hAnsi="Times New Roman" w:eastAsia="楷体_GB2312" w:cs="Times New Roman"/>
          <w:b/>
          <w:bCs/>
          <w:color w:val="000000"/>
          <w:kern w:val="0"/>
          <w:sz w:val="32"/>
          <w:szCs w:val="32"/>
          <w:highlight w:val="none"/>
          <w:shd w:val="clear" w:color="auto" w:fill="FFFFFF"/>
          <w:lang w:val="zh-CN"/>
        </w:rPr>
        <w:t>（一）</w:t>
      </w:r>
      <w:r>
        <w:rPr>
          <w:rFonts w:hint="default" w:ascii="Times New Roman" w:hAnsi="Times New Roman" w:eastAsia="楷体_GB2312" w:cs="Times New Roman"/>
          <w:b/>
          <w:bCs/>
          <w:color w:val="000000"/>
          <w:kern w:val="0"/>
          <w:sz w:val="32"/>
          <w:szCs w:val="32"/>
          <w:highlight w:val="none"/>
          <w:shd w:val="clear" w:color="auto" w:fill="FFFFFF"/>
          <w:lang w:val="zh-CN"/>
        </w:rPr>
        <w:t>机构组成。</w:t>
      </w:r>
    </w:p>
    <w:p w14:paraId="6F6BD863">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cs="Times New Roman"/>
          <w:szCs w:val="32"/>
        </w:rPr>
      </w:pPr>
      <w:r>
        <w:rPr>
          <w:rFonts w:hint="default" w:ascii="Times New Roman" w:hAnsi="Times New Roman" w:eastAsia="仿宋_GB2312" w:cs="Times New Roman"/>
          <w:sz w:val="32"/>
          <w:szCs w:val="32"/>
          <w:lang w:val="zh-CN" w:eastAsia="zh-CN"/>
        </w:rPr>
        <w:t>我部门属一级预算单位，下属预算单位17个，分别为辖鹧鸪山隧道管理处和14个公路管理分局（汶川公路管理分局、理县公路管理分局、茂县公路管理分局、松潘公路管理分局、九寨沟公路管理分局、黑水公路管理分局、金川公路管理分局、马尔康公路管理分局、小金公路管理分局、阿坝公路管理分局、若尔盖公路管理分局、红原公路管理分局、壤塘公路管理分局、刷经寺公路管理分局），一个干休所、机具站并实行垂直管理。部门下设党委办公室、行政办公室、工会办公室、总工办、人事科、监察审计科、工程科、财务科、机料科、安全科、养护科、路产维护科共12个科室</w:t>
      </w:r>
      <w:r>
        <w:rPr>
          <w:rFonts w:hint="default" w:ascii="Times New Roman" w:hAnsi="Times New Roman" w:eastAsia="仿宋_GB2312" w:cs="Times New Roman"/>
          <w:sz w:val="32"/>
          <w:szCs w:val="32"/>
          <w:lang w:val="en-US" w:eastAsia="zh-CN"/>
        </w:rPr>
        <w:t>。</w:t>
      </w:r>
    </w:p>
    <w:p w14:paraId="356DCD0B">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eastAsia" w:ascii="Times New Roman" w:hAnsi="Times New Roman" w:eastAsia="楷体_GB2312" w:cs="Times New Roman"/>
          <w:b/>
          <w:bCs/>
          <w:color w:val="000000"/>
          <w:kern w:val="0"/>
          <w:sz w:val="32"/>
          <w:szCs w:val="32"/>
          <w:highlight w:val="none"/>
          <w:shd w:val="clear" w:color="auto" w:fill="FFFFFF"/>
          <w:lang w:val="zh-CN"/>
        </w:rPr>
      </w:pPr>
      <w:r>
        <w:rPr>
          <w:rFonts w:hint="default" w:ascii="Times New Roman" w:hAnsi="Times New Roman" w:eastAsia="楷体_GB2312" w:cs="Times New Roman"/>
          <w:b/>
          <w:bCs/>
          <w:color w:val="000000"/>
          <w:kern w:val="0"/>
          <w:sz w:val="32"/>
          <w:szCs w:val="32"/>
          <w:highlight w:val="none"/>
          <w:shd w:val="clear" w:color="auto" w:fill="FFFFFF"/>
          <w:lang w:val="zh-CN"/>
        </w:rPr>
        <w:t>（二）机构职能</w:t>
      </w:r>
      <w:r>
        <w:rPr>
          <w:rFonts w:hint="eastAsia" w:ascii="Times New Roman" w:hAnsi="Times New Roman" w:eastAsia="楷体_GB2312" w:cs="Times New Roman"/>
          <w:b/>
          <w:bCs/>
          <w:color w:val="000000"/>
          <w:kern w:val="0"/>
          <w:sz w:val="32"/>
          <w:szCs w:val="32"/>
          <w:highlight w:val="none"/>
          <w:shd w:val="clear" w:color="auto" w:fill="FFFFFF"/>
          <w:lang w:val="zh-CN"/>
        </w:rPr>
        <w:t>。</w:t>
      </w:r>
    </w:p>
    <w:p w14:paraId="131389A1">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楷体_GB2312" w:cs="Times New Roman"/>
          <w:b/>
          <w:bCs/>
          <w:color w:val="000000"/>
          <w:kern w:val="0"/>
          <w:szCs w:val="32"/>
          <w:highlight w:val="none"/>
          <w:shd w:val="clear" w:color="auto" w:fill="FFFFFF"/>
          <w:lang w:val="zh-CN"/>
        </w:rPr>
      </w:pPr>
      <w:r>
        <w:rPr>
          <w:rFonts w:hint="eastAsia" w:ascii="Times New Roman" w:hAnsi="Times New Roman" w:eastAsia="仿宋_GB2312" w:cs="Times New Roman"/>
          <w:sz w:val="32"/>
          <w:szCs w:val="32"/>
          <w:lang w:val="en-US" w:eastAsia="zh-CN"/>
        </w:rPr>
        <w:t>我部门主要职能职责是：在州委、州政府及州交通局的领导下，管理全州国、省道干线公路，统筹全州国、省道干线公路、隧道、桥梁的养护管理；按照州财政局下达的年度公路养护预算资金，做好全局各基层单位公路养护资金调配工作，充分发挥资金的使用效益；完成省交通厅公路局下达的大中修计划任务及各项目标任务；负责协调处理县与县之间的公路养护管理关系；负责组织实施全州国、省干线公路遭受自然灾害的抢修恢复；指导局属各单位的养护管理工作；完成州委、州政府及州交通局交办的其他任务。</w:t>
      </w:r>
    </w:p>
    <w:p w14:paraId="623EC5BD">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Times New Roman" w:hAnsi="Times New Roman" w:eastAsia="楷体_GB2312" w:cs="Times New Roman"/>
          <w:b/>
          <w:bCs/>
          <w:color w:val="000000"/>
          <w:kern w:val="0"/>
          <w:sz w:val="32"/>
          <w:szCs w:val="32"/>
          <w:highlight w:val="none"/>
          <w:shd w:val="clear" w:color="auto" w:fill="FFFFFF"/>
          <w:lang w:val="zh-CN"/>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三</w:t>
      </w:r>
      <w:r>
        <w:rPr>
          <w:rFonts w:hint="default" w:ascii="Times New Roman" w:hAnsi="Times New Roman" w:eastAsia="楷体_GB2312" w:cs="Times New Roman"/>
          <w:b/>
          <w:bCs/>
          <w:color w:val="000000"/>
          <w:kern w:val="0"/>
          <w:sz w:val="32"/>
          <w:szCs w:val="32"/>
          <w:highlight w:val="none"/>
          <w:shd w:val="clear" w:color="auto" w:fill="FFFFFF"/>
          <w:lang w:val="zh-CN"/>
        </w:rPr>
        <w:t>）人员概况</w:t>
      </w:r>
      <w:r>
        <w:rPr>
          <w:rFonts w:hint="eastAsia" w:ascii="Times New Roman" w:hAnsi="Times New Roman" w:eastAsia="楷体_GB2312" w:cs="Times New Roman"/>
          <w:b/>
          <w:bCs/>
          <w:color w:val="000000"/>
          <w:kern w:val="0"/>
          <w:sz w:val="32"/>
          <w:szCs w:val="32"/>
          <w:highlight w:val="none"/>
          <w:shd w:val="clear" w:color="auto" w:fill="FFFFFF"/>
          <w:lang w:val="zh-CN"/>
        </w:rPr>
        <w:t>。</w:t>
      </w:r>
    </w:p>
    <w:p w14:paraId="57927D6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szCs w:val="32"/>
        </w:rPr>
      </w:pPr>
      <w:r>
        <w:rPr>
          <w:rFonts w:hint="default" w:ascii="Times New Roman" w:hAnsi="Times New Roman" w:eastAsia="仿宋_GB2312" w:cs="Times New Roman"/>
          <w:sz w:val="32"/>
          <w:szCs w:val="32"/>
          <w:lang w:val="en-US" w:eastAsia="zh-CN"/>
        </w:rPr>
        <w:t>截至202</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年末，根据阿坝藏族羌族自治州机构编制委员会核定，我部门总编制核编2168名。其中：其他事业编制2168名。截至2023年12月，我部门实有在职人员总数1751名，其中：其他事业编制1749名，离休人员2人</w:t>
      </w:r>
      <w:r>
        <w:rPr>
          <w:rFonts w:hint="eastAsia" w:ascii="Times New Roman" w:hAnsi="Times New Roman" w:eastAsia="仿宋_GB2312" w:cs="Times New Roman"/>
          <w:sz w:val="32"/>
          <w:szCs w:val="32"/>
          <w:lang w:val="en-US" w:eastAsia="zh-CN"/>
        </w:rPr>
        <w:t>。</w:t>
      </w:r>
    </w:p>
    <w:p w14:paraId="5397FE7E">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1"/>
        <w:rPr>
          <w:rFonts w:hint="default" w:eastAsia="黑体" w:cs="Times New Roman"/>
          <w:color w:val="000000"/>
          <w:kern w:val="0"/>
          <w:sz w:val="32"/>
          <w:szCs w:val="32"/>
          <w:highlight w:val="none"/>
          <w:shd w:val="clear" w:color="auto" w:fill="FFFFFF"/>
          <w:lang w:val="zh-CN" w:eastAsia="zh-CN"/>
        </w:rPr>
      </w:pPr>
      <w:bookmarkStart w:id="71" w:name="_Toc31956"/>
      <w:r>
        <w:rPr>
          <w:rFonts w:hint="default" w:eastAsia="黑体" w:cs="Times New Roman"/>
          <w:color w:val="000000"/>
          <w:kern w:val="0"/>
          <w:sz w:val="32"/>
          <w:szCs w:val="32"/>
          <w:highlight w:val="none"/>
          <w:shd w:val="clear" w:color="auto" w:fill="FFFFFF"/>
          <w:lang w:val="zh-CN" w:eastAsia="zh-CN"/>
        </w:rPr>
        <w:t>二、部门资金收支情况</w:t>
      </w:r>
      <w:bookmarkEnd w:id="71"/>
    </w:p>
    <w:p w14:paraId="25F572A7">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rPr>
      </w:pPr>
      <w:r>
        <w:rPr>
          <w:rFonts w:hint="default" w:ascii="Times New Roman" w:hAnsi="Times New Roman" w:eastAsia="楷体_GB2312" w:cs="Times New Roman"/>
          <w:b/>
          <w:bCs/>
          <w:color w:val="000000"/>
          <w:kern w:val="0"/>
          <w:sz w:val="32"/>
          <w:szCs w:val="32"/>
          <w:highlight w:val="none"/>
          <w:shd w:val="clear" w:color="auto" w:fill="FFFFFF"/>
          <w:lang w:val="zh-CN"/>
        </w:rPr>
        <w:t>（一）</w:t>
      </w:r>
      <w:r>
        <w:rPr>
          <w:rFonts w:hint="eastAsia" w:ascii="Times New Roman" w:hAnsi="Times New Roman" w:eastAsia="楷体_GB2312" w:cs="Times New Roman"/>
          <w:b/>
          <w:bCs/>
          <w:color w:val="000000"/>
          <w:kern w:val="0"/>
          <w:sz w:val="32"/>
          <w:szCs w:val="32"/>
          <w:highlight w:val="none"/>
          <w:shd w:val="clear" w:color="auto" w:fill="FFFFFF"/>
          <w:lang w:val="zh-CN"/>
        </w:rPr>
        <w:t>收入情况</w:t>
      </w:r>
      <w:r>
        <w:rPr>
          <w:rFonts w:hint="default" w:ascii="Times New Roman" w:hAnsi="Times New Roman" w:eastAsia="楷体_GB2312" w:cs="Times New Roman"/>
          <w:b/>
          <w:bCs/>
          <w:color w:val="000000"/>
          <w:kern w:val="0"/>
          <w:sz w:val="32"/>
          <w:szCs w:val="32"/>
          <w:highlight w:val="none"/>
          <w:shd w:val="clear" w:color="auto" w:fill="FFFFFF"/>
          <w:lang w:val="zh-CN"/>
        </w:rPr>
        <w:t>。</w:t>
      </w:r>
    </w:p>
    <w:p w14:paraId="5F28DD07">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我部门2023年收入预算46988.57万元，其中一般公共预算拨款收入46988.57万元，占100%。</w:t>
      </w:r>
    </w:p>
    <w:p w14:paraId="729F5543">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楷体_GB2312" w:cs="Times New Roman"/>
          <w:b/>
          <w:bCs/>
          <w:color w:val="000000"/>
          <w:kern w:val="0"/>
          <w:szCs w:val="32"/>
          <w:highlight w:val="none"/>
          <w:shd w:val="clear" w:color="auto" w:fill="FFFFFF"/>
          <w:lang w:val="en-US"/>
        </w:rPr>
      </w:pPr>
      <w:r>
        <w:rPr>
          <w:rFonts w:hint="eastAsia" w:ascii="Times New Roman" w:hAnsi="Times New Roman" w:eastAsia="仿宋_GB2312" w:cs="Times New Roman"/>
          <w:sz w:val="32"/>
          <w:szCs w:val="32"/>
          <w:lang w:val="en-US" w:eastAsia="zh-CN"/>
        </w:rPr>
        <w:t>截至2023年12月，我部门决算收入为91061.39万元，其中一般公共预算拨款收入90879.92万元，占99.8%，年初结转和结余181.47万元，占0.2%。</w:t>
      </w:r>
    </w:p>
    <w:p w14:paraId="423F6BEA">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二</w:t>
      </w: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支出情况</w:t>
      </w:r>
      <w:r>
        <w:rPr>
          <w:rFonts w:hint="default" w:ascii="Times New Roman" w:hAnsi="Times New Roman" w:eastAsia="楷体_GB2312" w:cs="Times New Roman"/>
          <w:b/>
          <w:bCs/>
          <w:color w:val="000000"/>
          <w:kern w:val="0"/>
          <w:sz w:val="32"/>
          <w:szCs w:val="32"/>
          <w:highlight w:val="none"/>
          <w:shd w:val="clear" w:color="auto" w:fill="FFFFFF"/>
          <w:lang w:val="zh-CN"/>
        </w:rPr>
        <w:t>。</w:t>
      </w:r>
    </w:p>
    <w:p w14:paraId="22BA5CF4">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我部门2023年支出预算46988.57万元，其中：基本支出40755.67万元，占86.7%；项目支出6232.90万元，占13.</w:t>
      </w:r>
      <w:r>
        <w:rPr>
          <w:rFonts w:hint="eastAsia" w:eastAsia="仿宋_GB2312" w:cs="Times New Roman"/>
          <w:sz w:val="32"/>
          <w:szCs w:val="32"/>
          <w:lang w:val="en-US" w:eastAsia="zh-CN"/>
        </w:rPr>
        <w:t>3</w:t>
      </w:r>
      <w:r>
        <w:rPr>
          <w:rFonts w:hint="eastAsia" w:ascii="Times New Roman" w:hAnsi="Times New Roman" w:eastAsia="仿宋_GB2312" w:cs="Times New Roman"/>
          <w:sz w:val="32"/>
          <w:szCs w:val="32"/>
          <w:lang w:val="en-US" w:eastAsia="zh-CN"/>
        </w:rPr>
        <w:t>%。</w:t>
      </w:r>
    </w:p>
    <w:p w14:paraId="198DE8F1">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cs="Times New Roman"/>
          <w:szCs w:val="32"/>
          <w:lang w:val="zh-CN" w:eastAsia="zh-CN"/>
        </w:rPr>
      </w:pPr>
      <w:r>
        <w:rPr>
          <w:rFonts w:hint="eastAsia" w:ascii="Times New Roman" w:hAnsi="Times New Roman" w:eastAsia="仿宋_GB2312" w:cs="Times New Roman"/>
          <w:sz w:val="32"/>
          <w:szCs w:val="32"/>
          <w:lang w:val="en-US" w:eastAsia="zh-CN"/>
        </w:rPr>
        <w:t>截至2023年12月，我部门决算支出91061.39万元，其中：基本支出46883.46万元，占51.</w:t>
      </w:r>
      <w:r>
        <w:rPr>
          <w:rFonts w:hint="eastAsia" w:eastAsia="仿宋_GB2312" w:cs="Times New Roman"/>
          <w:sz w:val="32"/>
          <w:szCs w:val="32"/>
          <w:lang w:val="en-US" w:eastAsia="zh-CN"/>
        </w:rPr>
        <w:t>5</w:t>
      </w:r>
      <w:r>
        <w:rPr>
          <w:rFonts w:hint="eastAsia" w:ascii="Times New Roman" w:hAnsi="Times New Roman" w:eastAsia="仿宋_GB2312" w:cs="Times New Roman"/>
          <w:sz w:val="32"/>
          <w:szCs w:val="32"/>
          <w:lang w:val="en-US" w:eastAsia="zh-CN"/>
        </w:rPr>
        <w:t>%；项目支出44024.55万元，占48.</w:t>
      </w:r>
      <w:r>
        <w:rPr>
          <w:rFonts w:hint="eastAsia" w:eastAsia="仿宋_GB2312" w:cs="Times New Roman"/>
          <w:sz w:val="32"/>
          <w:szCs w:val="32"/>
          <w:lang w:val="en-US" w:eastAsia="zh-CN"/>
        </w:rPr>
        <w:t>4</w:t>
      </w:r>
      <w:r>
        <w:rPr>
          <w:rFonts w:hint="eastAsia" w:ascii="Times New Roman" w:hAnsi="Times New Roman" w:eastAsia="仿宋_GB2312" w:cs="Times New Roman"/>
          <w:sz w:val="32"/>
          <w:szCs w:val="32"/>
          <w:lang w:val="en-US" w:eastAsia="zh-CN"/>
        </w:rPr>
        <w:t>%，年末结转结余153.38万元，占0.</w:t>
      </w:r>
      <w:r>
        <w:rPr>
          <w:rFonts w:hint="eastAsia"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w:t>
      </w:r>
    </w:p>
    <w:p w14:paraId="1F3A30BA">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eastAsia" w:ascii="Times New Roman" w:hAnsi="Times New Roman" w:eastAsia="楷体_GB2312" w:cs="Times New Roman"/>
          <w:b/>
          <w:bCs/>
          <w:color w:val="000000"/>
          <w:kern w:val="0"/>
          <w:sz w:val="32"/>
          <w:szCs w:val="32"/>
          <w:highlight w:val="none"/>
          <w:shd w:val="clear" w:color="auto" w:fill="FFFFFF"/>
          <w:lang w:val="zh-CN" w:eastAsia="zh-CN"/>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三</w:t>
      </w:r>
      <w:r>
        <w:rPr>
          <w:rFonts w:hint="default" w:ascii="Times New Roman" w:hAnsi="Times New Roman" w:eastAsia="楷体_GB2312" w:cs="Times New Roman"/>
          <w:b/>
          <w:bCs/>
          <w:color w:val="000000"/>
          <w:kern w:val="0"/>
          <w:sz w:val="32"/>
          <w:szCs w:val="32"/>
          <w:highlight w:val="none"/>
          <w:shd w:val="clear" w:color="auto" w:fill="FFFFFF"/>
          <w:lang w:val="zh-CN"/>
        </w:rPr>
        <w:t>）结余分配和结转结余情况</w:t>
      </w: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p>
    <w:p w14:paraId="1D334DF6">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仿宋_GB2312" w:cs="Times New Roman"/>
          <w:b w:val="0"/>
          <w:bCs w:val="0"/>
          <w:color w:val="000000"/>
          <w:kern w:val="0"/>
          <w:szCs w:val="32"/>
          <w:highlight w:val="none"/>
          <w:shd w:val="clear" w:color="auto" w:fill="FFFFFF"/>
          <w:lang w:val="zh-CN" w:eastAsia="zh-CN"/>
        </w:rPr>
      </w:pPr>
      <w:r>
        <w:rPr>
          <w:rFonts w:hint="default" w:ascii="Times New Roman" w:hAnsi="Times New Roman" w:eastAsia="仿宋_GB2312" w:cs="Times New Roman"/>
          <w:sz w:val="32"/>
          <w:szCs w:val="32"/>
          <w:lang w:val="en-US" w:eastAsia="zh-CN"/>
        </w:rPr>
        <w:t>我部门2023年初结余资金为181.47万元，年末结转结余153.38万元，2023年结转结余资金较上年减少28.09万元。</w:t>
      </w:r>
    </w:p>
    <w:p w14:paraId="7C21F668">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1"/>
        <w:rPr>
          <w:rFonts w:hint="default" w:eastAsia="黑体" w:cs="Times New Roman"/>
          <w:color w:val="000000"/>
          <w:kern w:val="0"/>
          <w:sz w:val="32"/>
          <w:szCs w:val="32"/>
          <w:highlight w:val="none"/>
          <w:shd w:val="clear" w:color="auto" w:fill="FFFFFF"/>
          <w:lang w:val="zh-CN" w:eastAsia="zh-CN"/>
        </w:rPr>
      </w:pPr>
      <w:bookmarkStart w:id="72" w:name="_Toc10125"/>
      <w:r>
        <w:rPr>
          <w:rFonts w:hint="default" w:eastAsia="黑体" w:cs="Times New Roman"/>
          <w:color w:val="000000"/>
          <w:kern w:val="0"/>
          <w:sz w:val="32"/>
          <w:szCs w:val="32"/>
          <w:highlight w:val="none"/>
          <w:shd w:val="clear" w:color="auto" w:fill="FFFFFF"/>
          <w:lang w:val="zh-CN" w:eastAsia="zh-CN"/>
        </w:rPr>
        <w:t>三、部门预算绩效分析</w:t>
      </w:r>
      <w:bookmarkEnd w:id="72"/>
    </w:p>
    <w:p w14:paraId="73E35156">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cs="Times New Roman"/>
          <w:color w:val="000000"/>
          <w:kern w:val="0"/>
          <w:szCs w:val="32"/>
          <w:highlight w:val="none"/>
          <w:shd w:val="clear" w:color="auto" w:fill="FFFFFF"/>
          <w:lang w:val="zh-CN"/>
        </w:rPr>
      </w:pPr>
      <w:r>
        <w:rPr>
          <w:rFonts w:hint="default" w:ascii="Times New Roman" w:hAnsi="Times New Roman" w:eastAsia="楷体_GB2312" w:cs="Times New Roman"/>
          <w:b/>
          <w:bCs/>
          <w:color w:val="000000"/>
          <w:kern w:val="0"/>
          <w:sz w:val="32"/>
          <w:szCs w:val="32"/>
          <w:highlight w:val="none"/>
          <w:shd w:val="clear" w:color="auto" w:fill="FFFFFF"/>
          <w:lang w:val="zh-CN"/>
        </w:rPr>
        <w:t>（一）</w:t>
      </w:r>
      <w:r>
        <w:rPr>
          <w:rFonts w:hint="eastAsia" w:ascii="Times New Roman" w:hAnsi="Times New Roman" w:eastAsia="楷体_GB2312" w:cs="Times New Roman"/>
          <w:b/>
          <w:bCs/>
          <w:color w:val="000000"/>
          <w:kern w:val="0"/>
          <w:sz w:val="32"/>
          <w:szCs w:val="32"/>
          <w:highlight w:val="none"/>
          <w:shd w:val="clear" w:color="auto" w:fill="FFFFFF"/>
          <w:lang w:val="zh-CN"/>
        </w:rPr>
        <w:t>部门预算</w:t>
      </w:r>
      <w:r>
        <w:rPr>
          <w:rFonts w:hint="default" w:ascii="Times New Roman" w:hAnsi="Times New Roman" w:eastAsia="楷体_GB2312" w:cs="Times New Roman"/>
          <w:b/>
          <w:bCs/>
          <w:color w:val="000000"/>
          <w:kern w:val="0"/>
          <w:sz w:val="32"/>
          <w:szCs w:val="32"/>
          <w:highlight w:val="none"/>
          <w:shd w:val="clear" w:color="auto" w:fill="FFFFFF"/>
          <w:lang w:val="zh-CN"/>
        </w:rPr>
        <w:t>总体绩效分析。</w:t>
      </w:r>
    </w:p>
    <w:p w14:paraId="1B6F144A">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楷体_GB2312" w:hAnsi="楷体_GB2312" w:eastAsia="楷体_GB2312" w:cs="楷体_GB2312"/>
          <w:color w:val="000000"/>
          <w:kern w:val="0"/>
          <w:sz w:val="32"/>
          <w:szCs w:val="32"/>
          <w:highlight w:val="none"/>
          <w:shd w:val="clear" w:color="auto" w:fill="FFFFFF"/>
          <w:lang w:val="en-US" w:eastAsia="zh-CN"/>
        </w:rPr>
        <w:t>1.</w:t>
      </w:r>
      <w:r>
        <w:rPr>
          <w:rFonts w:hint="eastAsia" w:ascii="楷体_GB2312" w:hAnsi="楷体_GB2312" w:eastAsia="楷体_GB2312" w:cs="楷体_GB2312"/>
          <w:color w:val="000000"/>
          <w:kern w:val="0"/>
          <w:sz w:val="32"/>
          <w:szCs w:val="32"/>
          <w:highlight w:val="none"/>
          <w:shd w:val="clear" w:color="auto" w:fill="FFFFFF"/>
          <w:lang w:val="zh-CN"/>
        </w:rPr>
        <w:t>履职效能。</w:t>
      </w:r>
    </w:p>
    <w:p w14:paraId="5435C4EE">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我部门年度总体目标：加强全州2121.209公里国省干线公路的养护管理工作，保证公路运输的安全，扩大和改善公路服务质量，提高公路的运输使用寿命，保证人民群众安全出行，提高国省干线营运状况，最终达到畅、安、舒的整体效果。</w:t>
      </w:r>
    </w:p>
    <w:p w14:paraId="4510E88C">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公路管理养护工作：2023年，我部门累计修补路面坑凼6280m²，修补路面沉陷780余m²，清理边沟3500公里</w:t>
      </w:r>
      <w:r>
        <w:rPr>
          <w:rFonts w:hint="eastAsia" w:eastAsia="仿宋_GB2312" w:cs="Times New Roman"/>
          <w:sz w:val="32"/>
          <w:szCs w:val="32"/>
          <w:lang w:val="zh-CN" w:eastAsia="zh-CN"/>
        </w:rPr>
        <w:t>，</w:t>
      </w:r>
      <w:r>
        <w:rPr>
          <w:rFonts w:hint="eastAsia" w:ascii="Times New Roman" w:hAnsi="Times New Roman" w:eastAsia="仿宋_GB2312" w:cs="Times New Roman"/>
          <w:sz w:val="32"/>
          <w:szCs w:val="32"/>
          <w:lang w:val="zh-CN" w:eastAsia="zh-CN"/>
        </w:rPr>
        <w:t>路肩培修土10.5余万m²、清理坍塌方36000余m³</w:t>
      </w:r>
      <w:r>
        <w:rPr>
          <w:rFonts w:hint="eastAsia" w:eastAsia="仿宋_GB2312" w:cs="Times New Roman"/>
          <w:sz w:val="32"/>
          <w:szCs w:val="32"/>
          <w:lang w:val="zh-CN" w:eastAsia="zh-CN"/>
        </w:rPr>
        <w:t>；</w:t>
      </w:r>
      <w:r>
        <w:rPr>
          <w:rFonts w:hint="eastAsia" w:ascii="Times New Roman" w:hAnsi="Times New Roman" w:eastAsia="仿宋_GB2312" w:cs="Times New Roman"/>
          <w:sz w:val="32"/>
          <w:szCs w:val="32"/>
          <w:lang w:val="zh-CN" w:eastAsia="zh-CN"/>
        </w:rPr>
        <w:t>更换、修复波形护栏26.7余公里</w:t>
      </w:r>
      <w:r>
        <w:rPr>
          <w:rFonts w:hint="eastAsia" w:eastAsia="仿宋_GB2312" w:cs="Times New Roman"/>
          <w:sz w:val="32"/>
          <w:szCs w:val="32"/>
          <w:lang w:val="zh-CN" w:eastAsia="zh-CN"/>
        </w:rPr>
        <w:t>，</w:t>
      </w:r>
      <w:r>
        <w:rPr>
          <w:rFonts w:hint="eastAsia" w:ascii="Times New Roman" w:hAnsi="Times New Roman" w:eastAsia="仿宋_GB2312" w:cs="Times New Roman"/>
          <w:sz w:val="32"/>
          <w:szCs w:val="32"/>
          <w:lang w:val="zh-CN" w:eastAsia="zh-CN"/>
        </w:rPr>
        <w:t>更换、修复安全警示标志牌620余副，疏通桥梁泄水孔5840余个、清理伸缩缝2130余道，清洗隧道壁167余次，增补隧道进出口防撞桶130余个，疏通清理涵洞2560余座。公路管理养护工作得5分。</w:t>
      </w:r>
    </w:p>
    <w:p w14:paraId="6BCA2F71">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公路抢险救灾工作：2023年，国道213线松潘县青云乡雄山村“5.8”山体滑坡</w:t>
      </w:r>
      <w:r>
        <w:rPr>
          <w:rFonts w:hint="eastAsia" w:eastAsia="仿宋_GB2312" w:cs="Times New Roman"/>
          <w:sz w:val="32"/>
          <w:szCs w:val="32"/>
          <w:lang w:val="zh-CN" w:eastAsia="zh-CN"/>
        </w:rPr>
        <w:t>地质灾害</w:t>
      </w:r>
      <w:r>
        <w:rPr>
          <w:rFonts w:hint="eastAsia" w:ascii="Times New Roman" w:hAnsi="Times New Roman" w:eastAsia="仿宋_GB2312" w:cs="Times New Roman"/>
          <w:sz w:val="32"/>
          <w:szCs w:val="32"/>
          <w:lang w:val="zh-CN" w:eastAsia="zh-CN"/>
        </w:rPr>
        <w:t>发生后，我局按照州委、州政府工作安排，主动作为，全力实施临时应急道路施工，在确定方案后不到一个月的时间实现通车，较预计时间提前4天恢复通行。7月15日，国道317线K183+300处（甘堡电厂）公路内侧发生山体垮塌，我局立即同交警部门对该段进行临时交通管制，并组织相关部门召开专题会议，确定该处为抢险救灾工程，历时1个月，累计清理危岩2009m³；铺设主动防护网6700㎡；钢管桩76根；清渣约1651m³，于8月16日12时恢复交通。公路抢险救灾工作完成率100%，故得5分。</w:t>
      </w:r>
    </w:p>
    <w:p w14:paraId="49EB524F">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 w:val="32"/>
          <w:szCs w:val="32"/>
          <w:highlight w:val="none"/>
          <w:shd w:val="clear" w:color="auto" w:fill="FFFFFF"/>
          <w:lang w:val="zh-CN"/>
        </w:rPr>
      </w:pPr>
      <w:r>
        <w:rPr>
          <w:rFonts w:hint="eastAsia" w:ascii="Times New Roman" w:hAnsi="Times New Roman" w:eastAsia="仿宋_GB2312" w:cs="Times New Roman"/>
          <w:sz w:val="32"/>
          <w:szCs w:val="32"/>
          <w:lang w:val="zh-CN" w:eastAsia="zh-CN"/>
        </w:rPr>
        <w:t>国省干线公路小修保养：2023年我部门完成道路养护324.435公里（包括：大修28.532公里，中修208.914公里，预防性养护86.898公里）。截至目前，累计完成大中修主体工程237公里，剩余0.446公里正在实施；累计完成预防性养护80.329公里，剩余6.66公里正在实施。同步运用“四新”技术，将“微表处”“雾封层”“热再生”等新技术投入到预防性养护工程建设中。相关工作稳步推进，得5分。</w:t>
      </w:r>
    </w:p>
    <w:p w14:paraId="594BCBF3">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楷体_GB2312" w:hAnsi="楷体_GB2312" w:eastAsia="楷体_GB2312" w:cs="楷体_GB2312"/>
          <w:color w:val="000000"/>
          <w:kern w:val="0"/>
          <w:sz w:val="32"/>
          <w:szCs w:val="32"/>
          <w:highlight w:val="none"/>
          <w:shd w:val="clear" w:color="auto" w:fill="FFFFFF"/>
          <w:lang w:val="en-US" w:eastAsia="zh-CN"/>
        </w:rPr>
        <w:t>2.</w:t>
      </w:r>
      <w:r>
        <w:rPr>
          <w:rFonts w:hint="default" w:ascii="楷体_GB2312" w:hAnsi="楷体_GB2312" w:eastAsia="楷体_GB2312" w:cs="楷体_GB2312"/>
          <w:color w:val="000000"/>
          <w:kern w:val="0"/>
          <w:sz w:val="32"/>
          <w:szCs w:val="32"/>
          <w:highlight w:val="none"/>
          <w:shd w:val="clear" w:color="auto" w:fill="FFFFFF"/>
          <w:lang w:val="zh-CN"/>
        </w:rPr>
        <w:t>预算管理</w:t>
      </w:r>
      <w:r>
        <w:rPr>
          <w:rFonts w:hint="eastAsia" w:ascii="楷体_GB2312" w:hAnsi="楷体_GB2312" w:eastAsia="楷体_GB2312" w:cs="楷体_GB2312"/>
          <w:color w:val="000000"/>
          <w:kern w:val="0"/>
          <w:sz w:val="32"/>
          <w:szCs w:val="32"/>
          <w:highlight w:val="none"/>
          <w:shd w:val="clear" w:color="auto" w:fill="FFFFFF"/>
          <w:lang w:val="zh-CN"/>
        </w:rPr>
        <w:t>。</w:t>
      </w:r>
    </w:p>
    <w:p w14:paraId="07C9B08C">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（1）预算编制质量</w:t>
      </w:r>
    </w:p>
    <w:p w14:paraId="7F7481E2">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一是我部门2023年年初预算为46988.57万元，全年预算执行数为90908.01万元，预算偏离度为：（90908.01-46988.57）/46988.57=93.47%，得0.26分，偏离度较大的原因为；上级部门年中安排任务较多，追加项目预算资金量较大；二是我部门2023年资产配置预算为0，资产预算配置偏离度为0；三是我部门2023年政府采购预算308万元，实际执行4192.11万元，政府采购预算偏离度为：|4192.11-308|/308=1261.07%，得0分。政府采购执行率偏差度较大的原因为：因年中追加工程类项目预算资金量较大。故预算编制质量得2.26分。</w:t>
      </w:r>
    </w:p>
    <w:p w14:paraId="5D172C6C">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（2）单位收入统筹</w:t>
      </w:r>
    </w:p>
    <w:p w14:paraId="11A2992C">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2023年我部门自有收入预算1089.2万元，自有收入执行805.07万元，自有收入执行率为73.91%；我部门为财政全额拨款补助单位，财政核定的综合补助比例为100%，我部门2023年一般公共预算数全年预算数96067.8万元，预算全年执行数为90880.15万元，实际执行测算的综合补助比例为94.60%。故根据评分标准，该指标得3.48分。</w:t>
      </w:r>
    </w:p>
    <w:p w14:paraId="6F9F6909">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（3）支出执行进度</w:t>
      </w:r>
    </w:p>
    <w:p w14:paraId="77513CB9">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根据1-6月可执行情况表，本部门1至6月预算执行数为33928.75万元，根据决算报表，部门预算数为91061.39万元，1至6月支出预警金额为50.93万元，占比为0.06%，1至6月无支出违规金额。</w:t>
      </w:r>
    </w:p>
    <w:p w14:paraId="387A5DAA">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我部门2023年1-10月预算执行数为65792.58万元，部门预算数为91061.39万元，1至10月支出预警金额为13467.89万元，占比为14.79%，1至10月无支出违规金额。</w:t>
      </w:r>
    </w:p>
    <w:p w14:paraId="769E81DE">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综上，该项指标得分为：（33928.75÷（91061.39×50%）×2）+（1-0.06%×0.8-0×0.2）+（65792.58÷（91061.39×83.33%）×2）+（14.79%×0.8-0×0.2）=5.11分。</w:t>
      </w:r>
    </w:p>
    <w:p w14:paraId="7E3AB4E6">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（4）预算年终结余</w:t>
      </w:r>
    </w:p>
    <w:p w14:paraId="447D546A">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我部门2023年预算结转结余153.38万元，占部门全年预算0.17%，根据评分标准，该指标得2.00分。</w:t>
      </w:r>
    </w:p>
    <w:p w14:paraId="18EDA7DC">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（5）严控一般性支出</w:t>
      </w:r>
    </w:p>
    <w:p w14:paraId="00058F54">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我部门“三公”经费、会议、培训、差旅、办节办展、办公设备购置、信息网络及软件购置更新、课题经费等8项一般性支出情况详见下表：</w:t>
      </w:r>
    </w:p>
    <w:p w14:paraId="25753394">
      <w:pPr>
        <w:pStyle w:val="2"/>
        <w:rPr>
          <w:rFonts w:hint="eastAsia"/>
          <w:lang w:val="zh-CN" w:eastAsia="zh-CN"/>
        </w:rPr>
      </w:pPr>
      <w:bookmarkStart w:id="73" w:name="_Toc12114"/>
      <w:r>
        <w:rPr>
          <w:rFonts w:hint="eastAsia"/>
          <w:lang w:val="zh-CN" w:eastAsia="zh-CN"/>
        </w:rPr>
        <w:t>表3-1：严控一般性支出控制情况</w:t>
      </w:r>
      <w:bookmarkEnd w:id="73"/>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1419"/>
        <w:gridCol w:w="1219"/>
        <w:gridCol w:w="1225"/>
        <w:gridCol w:w="752"/>
        <w:gridCol w:w="1218"/>
        <w:gridCol w:w="1218"/>
        <w:gridCol w:w="760"/>
      </w:tblGrid>
      <w:tr w14:paraId="4E7A0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0" w:type="dxa"/>
            <w:vMerge w:val="restart"/>
            <w:tcBorders>
              <w:top w:val="single" w:color="auto" w:sz="4" w:space="0"/>
              <w:left w:val="single" w:color="auto" w:sz="4" w:space="0"/>
              <w:bottom w:val="single" w:color="auto" w:sz="4" w:space="0"/>
              <w:right w:val="single" w:color="auto" w:sz="4" w:space="0"/>
            </w:tcBorders>
            <w:noWrap/>
            <w:vAlign w:val="center"/>
          </w:tcPr>
          <w:p w14:paraId="700F9A70">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序号</w:t>
            </w:r>
          </w:p>
        </w:tc>
        <w:tc>
          <w:tcPr>
            <w:tcW w:w="1514" w:type="dxa"/>
            <w:vMerge w:val="restart"/>
            <w:tcBorders>
              <w:top w:val="single" w:color="auto" w:sz="4" w:space="0"/>
              <w:left w:val="single" w:color="auto" w:sz="4" w:space="0"/>
              <w:bottom w:val="single" w:color="auto" w:sz="4" w:space="0"/>
              <w:right w:val="single" w:color="auto" w:sz="4" w:space="0"/>
            </w:tcBorders>
            <w:noWrap/>
            <w:vAlign w:val="center"/>
          </w:tcPr>
          <w:p w14:paraId="131074EB">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项目名称</w:t>
            </w:r>
          </w:p>
        </w:tc>
        <w:tc>
          <w:tcPr>
            <w:tcW w:w="1299" w:type="dxa"/>
            <w:tcBorders>
              <w:top w:val="single" w:color="auto" w:sz="4" w:space="0"/>
              <w:left w:val="single" w:color="auto" w:sz="4" w:space="0"/>
              <w:bottom w:val="single" w:color="auto" w:sz="4" w:space="0"/>
              <w:right w:val="single" w:color="auto" w:sz="4" w:space="0"/>
            </w:tcBorders>
            <w:noWrap/>
            <w:vAlign w:val="center"/>
          </w:tcPr>
          <w:p w14:paraId="4579E277">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2022年度</w:t>
            </w:r>
          </w:p>
        </w:tc>
        <w:tc>
          <w:tcPr>
            <w:tcW w:w="1305" w:type="dxa"/>
            <w:tcBorders>
              <w:top w:val="single" w:color="auto" w:sz="4" w:space="0"/>
              <w:left w:val="single" w:color="auto" w:sz="4" w:space="0"/>
              <w:bottom w:val="single" w:color="auto" w:sz="4" w:space="0"/>
              <w:right w:val="single" w:color="auto" w:sz="4" w:space="0"/>
            </w:tcBorders>
            <w:noWrap/>
            <w:vAlign w:val="center"/>
          </w:tcPr>
          <w:p w14:paraId="45FB776A">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2023年度</w:t>
            </w:r>
          </w:p>
        </w:tc>
        <w:tc>
          <w:tcPr>
            <w:tcW w:w="794" w:type="dxa"/>
            <w:vMerge w:val="restart"/>
            <w:tcBorders>
              <w:top w:val="single" w:color="auto" w:sz="4" w:space="0"/>
              <w:left w:val="single" w:color="auto" w:sz="4" w:space="0"/>
              <w:bottom w:val="single" w:color="auto" w:sz="4" w:space="0"/>
              <w:right w:val="single" w:color="auto" w:sz="4" w:space="0"/>
            </w:tcBorders>
            <w:noWrap/>
            <w:vAlign w:val="center"/>
          </w:tcPr>
          <w:p w14:paraId="6147612B">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变动情况</w:t>
            </w:r>
          </w:p>
        </w:tc>
        <w:tc>
          <w:tcPr>
            <w:tcW w:w="1298" w:type="dxa"/>
            <w:tcBorders>
              <w:top w:val="single" w:color="auto" w:sz="4" w:space="0"/>
              <w:left w:val="single" w:color="auto" w:sz="4" w:space="0"/>
              <w:bottom w:val="single" w:color="auto" w:sz="4" w:space="0"/>
              <w:right w:val="single" w:color="auto" w:sz="4" w:space="0"/>
            </w:tcBorders>
            <w:noWrap/>
            <w:vAlign w:val="center"/>
          </w:tcPr>
          <w:p w14:paraId="7EA50692">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2022年度</w:t>
            </w:r>
          </w:p>
        </w:tc>
        <w:tc>
          <w:tcPr>
            <w:tcW w:w="1298" w:type="dxa"/>
            <w:tcBorders>
              <w:top w:val="single" w:color="auto" w:sz="4" w:space="0"/>
              <w:left w:val="single" w:color="auto" w:sz="4" w:space="0"/>
              <w:bottom w:val="single" w:color="auto" w:sz="4" w:space="0"/>
              <w:right w:val="single" w:color="auto" w:sz="4" w:space="0"/>
            </w:tcBorders>
            <w:noWrap/>
            <w:vAlign w:val="center"/>
          </w:tcPr>
          <w:p w14:paraId="6AC91C17">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2023年度</w:t>
            </w:r>
          </w:p>
        </w:tc>
        <w:tc>
          <w:tcPr>
            <w:tcW w:w="803" w:type="dxa"/>
            <w:vMerge w:val="restart"/>
            <w:tcBorders>
              <w:top w:val="single" w:color="auto" w:sz="4" w:space="0"/>
              <w:left w:val="single" w:color="auto" w:sz="4" w:space="0"/>
              <w:bottom w:val="single" w:color="auto" w:sz="4" w:space="0"/>
              <w:right w:val="single" w:color="auto" w:sz="4" w:space="0"/>
            </w:tcBorders>
            <w:noWrap/>
            <w:vAlign w:val="center"/>
          </w:tcPr>
          <w:p w14:paraId="77FCD19D">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变动情况</w:t>
            </w:r>
          </w:p>
        </w:tc>
      </w:tr>
      <w:tr w14:paraId="12FFC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50" w:type="dxa"/>
            <w:vMerge w:val="continue"/>
            <w:tcBorders>
              <w:top w:val="single" w:color="auto" w:sz="4" w:space="0"/>
              <w:left w:val="single" w:color="auto" w:sz="4" w:space="0"/>
              <w:bottom w:val="single" w:color="auto" w:sz="4" w:space="0"/>
              <w:right w:val="single" w:color="auto" w:sz="4" w:space="0"/>
            </w:tcBorders>
            <w:noWrap/>
            <w:vAlign w:val="center"/>
          </w:tcPr>
          <w:p w14:paraId="7CA74E44"/>
        </w:tc>
        <w:tc>
          <w:tcPr>
            <w:tcW w:w="1514" w:type="dxa"/>
            <w:vMerge w:val="continue"/>
            <w:tcBorders>
              <w:top w:val="single" w:color="auto" w:sz="4" w:space="0"/>
              <w:left w:val="single" w:color="auto" w:sz="4" w:space="0"/>
              <w:bottom w:val="single" w:color="auto" w:sz="4" w:space="0"/>
              <w:right w:val="single" w:color="auto" w:sz="4" w:space="0"/>
            </w:tcBorders>
            <w:noWrap/>
            <w:vAlign w:val="center"/>
          </w:tcPr>
          <w:p w14:paraId="4D3E564B"/>
        </w:tc>
        <w:tc>
          <w:tcPr>
            <w:tcW w:w="1299" w:type="dxa"/>
            <w:tcBorders>
              <w:top w:val="single" w:color="auto" w:sz="4" w:space="0"/>
              <w:left w:val="single" w:color="auto" w:sz="4" w:space="0"/>
              <w:bottom w:val="single" w:color="auto" w:sz="4" w:space="0"/>
              <w:right w:val="single" w:color="auto" w:sz="4" w:space="0"/>
            </w:tcBorders>
            <w:noWrap/>
            <w:vAlign w:val="center"/>
          </w:tcPr>
          <w:p w14:paraId="3F199F36">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财政拨款年初预算数</w:t>
            </w:r>
          </w:p>
        </w:tc>
        <w:tc>
          <w:tcPr>
            <w:tcW w:w="1305" w:type="dxa"/>
            <w:tcBorders>
              <w:top w:val="single" w:color="auto" w:sz="4" w:space="0"/>
              <w:left w:val="single" w:color="auto" w:sz="4" w:space="0"/>
              <w:bottom w:val="single" w:color="auto" w:sz="4" w:space="0"/>
              <w:right w:val="single" w:color="auto" w:sz="4" w:space="0"/>
            </w:tcBorders>
            <w:noWrap/>
            <w:vAlign w:val="center"/>
          </w:tcPr>
          <w:p w14:paraId="757AA7A8">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财政拨款年初预算数</w:t>
            </w:r>
          </w:p>
        </w:tc>
        <w:tc>
          <w:tcPr>
            <w:tcW w:w="794" w:type="dxa"/>
            <w:vMerge w:val="continue"/>
            <w:tcBorders>
              <w:top w:val="single" w:color="auto" w:sz="4" w:space="0"/>
              <w:left w:val="single" w:color="auto" w:sz="4" w:space="0"/>
              <w:bottom w:val="single" w:color="auto" w:sz="4" w:space="0"/>
              <w:right w:val="single" w:color="auto" w:sz="4" w:space="0"/>
            </w:tcBorders>
            <w:noWrap/>
            <w:vAlign w:val="center"/>
          </w:tcPr>
          <w:p w14:paraId="4CB9775E"/>
        </w:tc>
        <w:tc>
          <w:tcPr>
            <w:tcW w:w="1298" w:type="dxa"/>
            <w:tcBorders>
              <w:top w:val="single" w:color="auto" w:sz="4" w:space="0"/>
              <w:left w:val="single" w:color="auto" w:sz="4" w:space="0"/>
              <w:bottom w:val="single" w:color="auto" w:sz="4" w:space="0"/>
              <w:right w:val="single" w:color="auto" w:sz="4" w:space="0"/>
            </w:tcBorders>
            <w:noWrap/>
            <w:vAlign w:val="center"/>
          </w:tcPr>
          <w:p w14:paraId="53AF1B1E">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财政拨款年初</w:t>
            </w: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执行数</w:t>
            </w:r>
          </w:p>
        </w:tc>
        <w:tc>
          <w:tcPr>
            <w:tcW w:w="1298" w:type="dxa"/>
            <w:tcBorders>
              <w:top w:val="single" w:color="auto" w:sz="4" w:space="0"/>
              <w:left w:val="single" w:color="auto" w:sz="4" w:space="0"/>
              <w:bottom w:val="single" w:color="auto" w:sz="4" w:space="0"/>
              <w:right w:val="single" w:color="auto" w:sz="4" w:space="0"/>
            </w:tcBorders>
            <w:noWrap/>
            <w:vAlign w:val="center"/>
          </w:tcPr>
          <w:p w14:paraId="6795A7BB">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财政拨款年初</w:t>
            </w: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执行</w:t>
            </w: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数</w:t>
            </w:r>
          </w:p>
        </w:tc>
        <w:tc>
          <w:tcPr>
            <w:tcW w:w="803" w:type="dxa"/>
            <w:vMerge w:val="continue"/>
            <w:tcBorders>
              <w:top w:val="single" w:color="auto" w:sz="4" w:space="0"/>
              <w:left w:val="single" w:color="auto" w:sz="4" w:space="0"/>
              <w:bottom w:val="single" w:color="auto" w:sz="4" w:space="0"/>
              <w:right w:val="single" w:color="auto" w:sz="4" w:space="0"/>
            </w:tcBorders>
            <w:noWrap/>
            <w:vAlign w:val="center"/>
          </w:tcPr>
          <w:p w14:paraId="3901689E"/>
        </w:tc>
      </w:tr>
      <w:tr w14:paraId="5D6A3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0" w:type="dxa"/>
            <w:tcBorders>
              <w:top w:val="single" w:color="auto" w:sz="4" w:space="0"/>
              <w:left w:val="single" w:color="auto" w:sz="4" w:space="0"/>
              <w:bottom w:val="single" w:color="auto" w:sz="4" w:space="0"/>
              <w:right w:val="single" w:color="auto" w:sz="4" w:space="0"/>
            </w:tcBorders>
            <w:noWrap/>
            <w:vAlign w:val="center"/>
          </w:tcPr>
          <w:p w14:paraId="63D2F12B">
            <w:pPr>
              <w:keepNext w:val="0"/>
              <w:keepLines w:val="0"/>
              <w:pageBreakBefore w:val="0"/>
              <w:widowControl w:val="0"/>
              <w:kinsoku/>
              <w:wordWrap/>
              <w:overflowPunct/>
              <w:topLinePunct w:val="0"/>
              <w:autoSpaceDE/>
              <w:autoSpaceDN/>
              <w:bidi w:val="0"/>
              <w:adjustRightInd w:val="0"/>
              <w:snapToGrid w:val="0"/>
              <w:spacing w:line="480" w:lineRule="exact"/>
              <w:ind w:left="0" w:firstLine="0"/>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1</w:t>
            </w:r>
          </w:p>
        </w:tc>
        <w:tc>
          <w:tcPr>
            <w:tcW w:w="1514" w:type="dxa"/>
            <w:tcBorders>
              <w:top w:val="single" w:color="auto" w:sz="4" w:space="0"/>
              <w:left w:val="single" w:color="auto" w:sz="4" w:space="0"/>
              <w:bottom w:val="single" w:color="auto" w:sz="4" w:space="0"/>
              <w:right w:val="single" w:color="auto" w:sz="4" w:space="0"/>
            </w:tcBorders>
            <w:noWrap/>
            <w:vAlign w:val="center"/>
          </w:tcPr>
          <w:p w14:paraId="07BB54AA">
            <w:pPr>
              <w:keepNext w:val="0"/>
              <w:keepLines w:val="0"/>
              <w:pageBreakBefore w:val="0"/>
              <w:widowControl w:val="0"/>
              <w:kinsoku/>
              <w:wordWrap/>
              <w:overflowPunct/>
              <w:topLinePunct w:val="0"/>
              <w:autoSpaceDE/>
              <w:autoSpaceDN/>
              <w:bidi w:val="0"/>
              <w:adjustRightInd w:val="0"/>
              <w:snapToGrid w:val="0"/>
              <w:spacing w:line="480" w:lineRule="exact"/>
              <w:ind w:left="0" w:firstLine="0"/>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仿宋_GB2312" w:eastAsia="仿宋_GB2312" w:cs="仿宋_GB2312"/>
                <w:color w:val="000000"/>
                <w:spacing w:val="6"/>
                <w:kern w:val="0"/>
                <w:sz w:val="21"/>
                <w:szCs w:val="21"/>
                <w:highlight w:val="none"/>
                <w:shd w:val="clear" w:color="auto" w:fill="FFFFFF"/>
                <w:vertAlign w:val="baseline"/>
                <w:lang w:val="en-US" w:eastAsia="zh-CN" w:bidi="ar-SA"/>
              </w:rPr>
              <w:t>“三公”经</w:t>
            </w: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费</w:t>
            </w:r>
          </w:p>
        </w:tc>
        <w:tc>
          <w:tcPr>
            <w:tcW w:w="1299" w:type="dxa"/>
            <w:tcBorders>
              <w:top w:val="single" w:color="auto" w:sz="4" w:space="0"/>
              <w:left w:val="single" w:color="auto" w:sz="4" w:space="0"/>
              <w:bottom w:val="single" w:color="auto" w:sz="4" w:space="0"/>
              <w:right w:val="single" w:color="auto" w:sz="4" w:space="0"/>
            </w:tcBorders>
            <w:noWrap/>
            <w:vAlign w:val="center"/>
          </w:tcPr>
          <w:p w14:paraId="1F289C80">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474.3</w:t>
            </w:r>
          </w:p>
        </w:tc>
        <w:tc>
          <w:tcPr>
            <w:tcW w:w="1305" w:type="dxa"/>
            <w:tcBorders>
              <w:top w:val="single" w:color="auto" w:sz="4" w:space="0"/>
              <w:left w:val="single" w:color="auto" w:sz="4" w:space="0"/>
              <w:bottom w:val="single" w:color="auto" w:sz="4" w:space="0"/>
              <w:right w:val="single" w:color="auto" w:sz="4" w:space="0"/>
            </w:tcBorders>
            <w:noWrap/>
            <w:vAlign w:val="center"/>
          </w:tcPr>
          <w:p w14:paraId="0CF44F2E">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505.06</w:t>
            </w:r>
          </w:p>
        </w:tc>
        <w:tc>
          <w:tcPr>
            <w:tcW w:w="794" w:type="dxa"/>
            <w:tcBorders>
              <w:top w:val="single" w:color="auto" w:sz="4" w:space="0"/>
              <w:left w:val="single" w:color="auto" w:sz="4" w:space="0"/>
              <w:bottom w:val="single" w:color="auto" w:sz="4" w:space="0"/>
              <w:right w:val="single" w:color="auto" w:sz="4" w:space="0"/>
            </w:tcBorders>
            <w:noWrap/>
            <w:vAlign w:val="center"/>
          </w:tcPr>
          <w:p w14:paraId="1B84C1D0">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增加</w:t>
            </w:r>
          </w:p>
        </w:tc>
        <w:tc>
          <w:tcPr>
            <w:tcW w:w="1298" w:type="dxa"/>
            <w:tcBorders>
              <w:top w:val="single" w:color="auto" w:sz="4" w:space="0"/>
              <w:left w:val="single" w:color="auto" w:sz="4" w:space="0"/>
              <w:bottom w:val="single" w:color="auto" w:sz="4" w:space="0"/>
              <w:right w:val="single" w:color="auto" w:sz="4" w:space="0"/>
            </w:tcBorders>
            <w:noWrap/>
            <w:vAlign w:val="center"/>
          </w:tcPr>
          <w:p w14:paraId="669E40A7">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504</w:t>
            </w: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.33</w:t>
            </w:r>
          </w:p>
        </w:tc>
        <w:tc>
          <w:tcPr>
            <w:tcW w:w="1298" w:type="dxa"/>
            <w:tcBorders>
              <w:top w:val="single" w:color="auto" w:sz="4" w:space="0"/>
              <w:left w:val="single" w:color="auto" w:sz="4" w:space="0"/>
              <w:bottom w:val="single" w:color="auto" w:sz="4" w:space="0"/>
              <w:right w:val="single" w:color="auto" w:sz="4" w:space="0"/>
            </w:tcBorders>
            <w:noWrap/>
            <w:vAlign w:val="center"/>
          </w:tcPr>
          <w:p w14:paraId="2144E971">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463</w:t>
            </w: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.46</w:t>
            </w:r>
          </w:p>
        </w:tc>
        <w:tc>
          <w:tcPr>
            <w:tcW w:w="803" w:type="dxa"/>
            <w:tcBorders>
              <w:top w:val="single" w:color="auto" w:sz="4" w:space="0"/>
              <w:left w:val="single" w:color="auto" w:sz="4" w:space="0"/>
              <w:bottom w:val="single" w:color="auto" w:sz="4" w:space="0"/>
              <w:right w:val="single" w:color="auto" w:sz="4" w:space="0"/>
            </w:tcBorders>
            <w:noWrap/>
            <w:vAlign w:val="center"/>
          </w:tcPr>
          <w:p w14:paraId="333D45F3">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减少</w:t>
            </w:r>
          </w:p>
        </w:tc>
      </w:tr>
      <w:tr w14:paraId="652F2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0" w:type="dxa"/>
            <w:tcBorders>
              <w:top w:val="single" w:color="auto" w:sz="4" w:space="0"/>
              <w:left w:val="single" w:color="auto" w:sz="4" w:space="0"/>
              <w:bottom w:val="single" w:color="auto" w:sz="4" w:space="0"/>
              <w:right w:val="single" w:color="auto" w:sz="4" w:space="0"/>
            </w:tcBorders>
            <w:noWrap/>
            <w:vAlign w:val="center"/>
          </w:tcPr>
          <w:p w14:paraId="7647A3B1">
            <w:pPr>
              <w:keepNext w:val="0"/>
              <w:keepLines w:val="0"/>
              <w:pageBreakBefore w:val="0"/>
              <w:widowControl w:val="0"/>
              <w:kinsoku/>
              <w:wordWrap/>
              <w:overflowPunct/>
              <w:topLinePunct w:val="0"/>
              <w:autoSpaceDE/>
              <w:autoSpaceDN/>
              <w:bidi w:val="0"/>
              <w:adjustRightInd w:val="0"/>
              <w:snapToGrid w:val="0"/>
              <w:spacing w:line="480" w:lineRule="exact"/>
              <w:ind w:left="0" w:firstLine="0"/>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2</w:t>
            </w:r>
          </w:p>
        </w:tc>
        <w:tc>
          <w:tcPr>
            <w:tcW w:w="1514" w:type="dxa"/>
            <w:tcBorders>
              <w:top w:val="single" w:color="auto" w:sz="4" w:space="0"/>
              <w:left w:val="single" w:color="auto" w:sz="4" w:space="0"/>
              <w:bottom w:val="single" w:color="auto" w:sz="4" w:space="0"/>
              <w:right w:val="single" w:color="auto" w:sz="4" w:space="0"/>
            </w:tcBorders>
            <w:noWrap/>
            <w:vAlign w:val="center"/>
          </w:tcPr>
          <w:p w14:paraId="0B79F105">
            <w:pPr>
              <w:keepNext w:val="0"/>
              <w:keepLines w:val="0"/>
              <w:pageBreakBefore w:val="0"/>
              <w:widowControl w:val="0"/>
              <w:kinsoku/>
              <w:wordWrap/>
              <w:overflowPunct/>
              <w:topLinePunct w:val="0"/>
              <w:autoSpaceDE/>
              <w:autoSpaceDN/>
              <w:bidi w:val="0"/>
              <w:adjustRightInd w:val="0"/>
              <w:snapToGrid w:val="0"/>
              <w:spacing w:line="480" w:lineRule="exact"/>
              <w:ind w:left="0" w:firstLine="0"/>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会议经费</w:t>
            </w:r>
          </w:p>
        </w:tc>
        <w:tc>
          <w:tcPr>
            <w:tcW w:w="1299" w:type="dxa"/>
            <w:tcBorders>
              <w:top w:val="single" w:color="auto" w:sz="4" w:space="0"/>
              <w:left w:val="single" w:color="auto" w:sz="4" w:space="0"/>
              <w:bottom w:val="single" w:color="auto" w:sz="4" w:space="0"/>
              <w:right w:val="single" w:color="auto" w:sz="4" w:space="0"/>
            </w:tcBorders>
            <w:noWrap/>
            <w:vAlign w:val="center"/>
          </w:tcPr>
          <w:p w14:paraId="319185F6">
            <w:pPr>
              <w:keepNext w:val="0"/>
              <w:keepLines w:val="0"/>
              <w:pageBreakBefore w:val="0"/>
              <w:widowControl w:val="0"/>
              <w:kinsoku/>
              <w:wordWrap/>
              <w:overflowPunct/>
              <w:topLinePunct w:val="0"/>
              <w:autoSpaceDE/>
              <w:autoSpaceDN/>
              <w:bidi w:val="0"/>
              <w:adjustRightInd w:val="0"/>
              <w:snapToGrid w:val="0"/>
              <w:spacing w:line="480" w:lineRule="exact"/>
              <w:ind w:left="0" w:firstLine="0"/>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3</w:t>
            </w: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.05</w:t>
            </w:r>
          </w:p>
        </w:tc>
        <w:tc>
          <w:tcPr>
            <w:tcW w:w="1305" w:type="dxa"/>
            <w:tcBorders>
              <w:top w:val="single" w:color="auto" w:sz="4" w:space="0"/>
              <w:left w:val="single" w:color="auto" w:sz="4" w:space="0"/>
              <w:bottom w:val="single" w:color="auto" w:sz="4" w:space="0"/>
              <w:right w:val="single" w:color="auto" w:sz="4" w:space="0"/>
            </w:tcBorders>
            <w:noWrap/>
            <w:vAlign w:val="center"/>
          </w:tcPr>
          <w:p w14:paraId="6AD830BC">
            <w:pPr>
              <w:keepNext w:val="0"/>
              <w:keepLines w:val="0"/>
              <w:pageBreakBefore w:val="0"/>
              <w:widowControl w:val="0"/>
              <w:kinsoku/>
              <w:wordWrap/>
              <w:overflowPunct/>
              <w:topLinePunct w:val="0"/>
              <w:autoSpaceDE/>
              <w:autoSpaceDN/>
              <w:bidi w:val="0"/>
              <w:adjustRightInd w:val="0"/>
              <w:snapToGrid w:val="0"/>
              <w:spacing w:line="480" w:lineRule="exact"/>
              <w:ind w:left="0" w:firstLine="0"/>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1.4</w:t>
            </w:r>
          </w:p>
        </w:tc>
        <w:tc>
          <w:tcPr>
            <w:tcW w:w="794" w:type="dxa"/>
            <w:tcBorders>
              <w:top w:val="single" w:color="auto" w:sz="4" w:space="0"/>
              <w:left w:val="single" w:color="auto" w:sz="4" w:space="0"/>
              <w:bottom w:val="single" w:color="auto" w:sz="4" w:space="0"/>
              <w:right w:val="single" w:color="auto" w:sz="4" w:space="0"/>
            </w:tcBorders>
            <w:noWrap/>
            <w:vAlign w:val="center"/>
          </w:tcPr>
          <w:p w14:paraId="49F0AF8C">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减少</w:t>
            </w:r>
          </w:p>
        </w:tc>
        <w:tc>
          <w:tcPr>
            <w:tcW w:w="1298" w:type="dxa"/>
            <w:tcBorders>
              <w:top w:val="single" w:color="auto" w:sz="4" w:space="0"/>
              <w:left w:val="single" w:color="auto" w:sz="4" w:space="0"/>
              <w:bottom w:val="single" w:color="auto" w:sz="4" w:space="0"/>
              <w:right w:val="single" w:color="auto" w:sz="4" w:space="0"/>
            </w:tcBorders>
            <w:noWrap/>
            <w:vAlign w:val="center"/>
          </w:tcPr>
          <w:p w14:paraId="64AAADF6">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3</w:t>
            </w: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.05</w:t>
            </w:r>
          </w:p>
        </w:tc>
        <w:tc>
          <w:tcPr>
            <w:tcW w:w="1298" w:type="dxa"/>
            <w:tcBorders>
              <w:top w:val="single" w:color="auto" w:sz="4" w:space="0"/>
              <w:left w:val="single" w:color="auto" w:sz="4" w:space="0"/>
              <w:bottom w:val="single" w:color="auto" w:sz="4" w:space="0"/>
              <w:right w:val="single" w:color="auto" w:sz="4" w:space="0"/>
            </w:tcBorders>
            <w:noWrap/>
            <w:vAlign w:val="center"/>
          </w:tcPr>
          <w:p w14:paraId="6823B093">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1.4</w:t>
            </w:r>
          </w:p>
        </w:tc>
        <w:tc>
          <w:tcPr>
            <w:tcW w:w="803" w:type="dxa"/>
            <w:tcBorders>
              <w:top w:val="single" w:color="auto" w:sz="4" w:space="0"/>
              <w:left w:val="single" w:color="auto" w:sz="4" w:space="0"/>
              <w:bottom w:val="single" w:color="auto" w:sz="4" w:space="0"/>
              <w:right w:val="single" w:color="auto" w:sz="4" w:space="0"/>
            </w:tcBorders>
            <w:noWrap/>
            <w:vAlign w:val="center"/>
          </w:tcPr>
          <w:p w14:paraId="5C1B1309">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减少</w:t>
            </w:r>
          </w:p>
        </w:tc>
      </w:tr>
      <w:tr w14:paraId="63E45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0" w:type="dxa"/>
            <w:tcBorders>
              <w:top w:val="single" w:color="auto" w:sz="4" w:space="0"/>
              <w:left w:val="single" w:color="auto" w:sz="4" w:space="0"/>
              <w:bottom w:val="single" w:color="auto" w:sz="4" w:space="0"/>
              <w:right w:val="single" w:color="auto" w:sz="4" w:space="0"/>
            </w:tcBorders>
            <w:noWrap/>
            <w:vAlign w:val="center"/>
          </w:tcPr>
          <w:p w14:paraId="7055346E">
            <w:pPr>
              <w:keepNext w:val="0"/>
              <w:keepLines w:val="0"/>
              <w:pageBreakBefore w:val="0"/>
              <w:widowControl w:val="0"/>
              <w:kinsoku/>
              <w:wordWrap/>
              <w:overflowPunct/>
              <w:topLinePunct w:val="0"/>
              <w:autoSpaceDE/>
              <w:autoSpaceDN/>
              <w:bidi w:val="0"/>
              <w:adjustRightInd w:val="0"/>
              <w:snapToGrid w:val="0"/>
              <w:spacing w:line="480" w:lineRule="exact"/>
              <w:ind w:left="0" w:firstLine="0"/>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3</w:t>
            </w:r>
          </w:p>
        </w:tc>
        <w:tc>
          <w:tcPr>
            <w:tcW w:w="1514" w:type="dxa"/>
            <w:tcBorders>
              <w:top w:val="single" w:color="auto" w:sz="4" w:space="0"/>
              <w:left w:val="single" w:color="auto" w:sz="4" w:space="0"/>
              <w:bottom w:val="single" w:color="auto" w:sz="4" w:space="0"/>
              <w:right w:val="single" w:color="auto" w:sz="4" w:space="0"/>
            </w:tcBorders>
            <w:noWrap/>
            <w:vAlign w:val="center"/>
          </w:tcPr>
          <w:p w14:paraId="267D698D">
            <w:pPr>
              <w:keepNext w:val="0"/>
              <w:keepLines w:val="0"/>
              <w:pageBreakBefore w:val="0"/>
              <w:widowControl w:val="0"/>
              <w:kinsoku/>
              <w:wordWrap/>
              <w:overflowPunct/>
              <w:topLinePunct w:val="0"/>
              <w:autoSpaceDE/>
              <w:autoSpaceDN/>
              <w:bidi w:val="0"/>
              <w:adjustRightInd w:val="0"/>
              <w:snapToGrid w:val="0"/>
              <w:spacing w:line="480" w:lineRule="exact"/>
              <w:ind w:left="0" w:firstLine="0"/>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培训经费</w:t>
            </w:r>
          </w:p>
        </w:tc>
        <w:tc>
          <w:tcPr>
            <w:tcW w:w="1299" w:type="dxa"/>
            <w:tcBorders>
              <w:top w:val="single" w:color="auto" w:sz="4" w:space="0"/>
              <w:left w:val="single" w:color="auto" w:sz="4" w:space="0"/>
              <w:bottom w:val="single" w:color="auto" w:sz="4" w:space="0"/>
              <w:right w:val="single" w:color="auto" w:sz="4" w:space="0"/>
            </w:tcBorders>
            <w:noWrap/>
            <w:vAlign w:val="center"/>
          </w:tcPr>
          <w:p w14:paraId="4DCDA774">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179.84</w:t>
            </w:r>
          </w:p>
        </w:tc>
        <w:tc>
          <w:tcPr>
            <w:tcW w:w="1305" w:type="dxa"/>
            <w:tcBorders>
              <w:top w:val="single" w:color="auto" w:sz="4" w:space="0"/>
              <w:left w:val="single" w:color="auto" w:sz="4" w:space="0"/>
              <w:bottom w:val="single" w:color="auto" w:sz="4" w:space="0"/>
              <w:right w:val="single" w:color="auto" w:sz="4" w:space="0"/>
            </w:tcBorders>
            <w:noWrap/>
            <w:vAlign w:val="center"/>
          </w:tcPr>
          <w:p w14:paraId="29DEE405">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279.51</w:t>
            </w:r>
          </w:p>
        </w:tc>
        <w:tc>
          <w:tcPr>
            <w:tcW w:w="794" w:type="dxa"/>
            <w:tcBorders>
              <w:top w:val="single" w:color="auto" w:sz="4" w:space="0"/>
              <w:left w:val="single" w:color="auto" w:sz="4" w:space="0"/>
              <w:bottom w:val="single" w:color="auto" w:sz="4" w:space="0"/>
              <w:right w:val="single" w:color="auto" w:sz="4" w:space="0"/>
            </w:tcBorders>
            <w:noWrap/>
            <w:vAlign w:val="center"/>
          </w:tcPr>
          <w:p w14:paraId="77A12B18">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增加</w:t>
            </w:r>
          </w:p>
        </w:tc>
        <w:tc>
          <w:tcPr>
            <w:tcW w:w="1298" w:type="dxa"/>
            <w:tcBorders>
              <w:top w:val="single" w:color="auto" w:sz="4" w:space="0"/>
              <w:left w:val="single" w:color="auto" w:sz="4" w:space="0"/>
              <w:bottom w:val="single" w:color="auto" w:sz="4" w:space="0"/>
              <w:right w:val="single" w:color="auto" w:sz="4" w:space="0"/>
            </w:tcBorders>
            <w:noWrap/>
            <w:vAlign w:val="center"/>
          </w:tcPr>
          <w:p w14:paraId="52A0E9EC">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187</w:t>
            </w: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.09</w:t>
            </w:r>
          </w:p>
        </w:tc>
        <w:tc>
          <w:tcPr>
            <w:tcW w:w="1298" w:type="dxa"/>
            <w:tcBorders>
              <w:top w:val="single" w:color="auto" w:sz="4" w:space="0"/>
              <w:left w:val="single" w:color="auto" w:sz="4" w:space="0"/>
              <w:bottom w:val="single" w:color="auto" w:sz="4" w:space="0"/>
              <w:right w:val="single" w:color="auto" w:sz="4" w:space="0"/>
            </w:tcBorders>
            <w:noWrap/>
            <w:vAlign w:val="center"/>
          </w:tcPr>
          <w:p w14:paraId="06596568">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257.98</w:t>
            </w:r>
          </w:p>
        </w:tc>
        <w:tc>
          <w:tcPr>
            <w:tcW w:w="803" w:type="dxa"/>
            <w:tcBorders>
              <w:top w:val="single" w:color="auto" w:sz="4" w:space="0"/>
              <w:left w:val="single" w:color="auto" w:sz="4" w:space="0"/>
              <w:bottom w:val="single" w:color="auto" w:sz="4" w:space="0"/>
              <w:right w:val="single" w:color="auto" w:sz="4" w:space="0"/>
            </w:tcBorders>
            <w:noWrap/>
            <w:vAlign w:val="center"/>
          </w:tcPr>
          <w:p w14:paraId="1AA2BCA9">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增加</w:t>
            </w:r>
          </w:p>
        </w:tc>
      </w:tr>
      <w:tr w14:paraId="106FE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0" w:type="dxa"/>
            <w:tcBorders>
              <w:top w:val="single" w:color="auto" w:sz="4" w:space="0"/>
              <w:left w:val="single" w:color="auto" w:sz="4" w:space="0"/>
              <w:bottom w:val="single" w:color="auto" w:sz="4" w:space="0"/>
              <w:right w:val="single" w:color="auto" w:sz="4" w:space="0"/>
            </w:tcBorders>
            <w:noWrap/>
            <w:vAlign w:val="center"/>
          </w:tcPr>
          <w:p w14:paraId="733A648F">
            <w:pPr>
              <w:keepNext w:val="0"/>
              <w:keepLines w:val="0"/>
              <w:pageBreakBefore w:val="0"/>
              <w:widowControl w:val="0"/>
              <w:kinsoku/>
              <w:wordWrap/>
              <w:overflowPunct/>
              <w:topLinePunct w:val="0"/>
              <w:autoSpaceDE/>
              <w:autoSpaceDN/>
              <w:bidi w:val="0"/>
              <w:adjustRightInd w:val="0"/>
              <w:snapToGrid w:val="0"/>
              <w:spacing w:line="480" w:lineRule="exact"/>
              <w:ind w:left="0" w:firstLine="0"/>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4</w:t>
            </w:r>
          </w:p>
        </w:tc>
        <w:tc>
          <w:tcPr>
            <w:tcW w:w="1514" w:type="dxa"/>
            <w:tcBorders>
              <w:top w:val="single" w:color="auto" w:sz="4" w:space="0"/>
              <w:left w:val="single" w:color="auto" w:sz="4" w:space="0"/>
              <w:bottom w:val="single" w:color="auto" w:sz="4" w:space="0"/>
              <w:right w:val="single" w:color="auto" w:sz="4" w:space="0"/>
            </w:tcBorders>
            <w:noWrap/>
            <w:vAlign w:val="center"/>
          </w:tcPr>
          <w:p w14:paraId="07A3B8C9">
            <w:pPr>
              <w:keepNext w:val="0"/>
              <w:keepLines w:val="0"/>
              <w:pageBreakBefore w:val="0"/>
              <w:widowControl w:val="0"/>
              <w:kinsoku/>
              <w:wordWrap/>
              <w:overflowPunct/>
              <w:topLinePunct w:val="0"/>
              <w:autoSpaceDE/>
              <w:autoSpaceDN/>
              <w:bidi w:val="0"/>
              <w:adjustRightInd w:val="0"/>
              <w:snapToGrid w:val="0"/>
              <w:spacing w:line="480" w:lineRule="exact"/>
              <w:ind w:left="0" w:firstLine="0"/>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差旅经费</w:t>
            </w:r>
          </w:p>
        </w:tc>
        <w:tc>
          <w:tcPr>
            <w:tcW w:w="1299" w:type="dxa"/>
            <w:tcBorders>
              <w:top w:val="single" w:color="auto" w:sz="4" w:space="0"/>
              <w:left w:val="single" w:color="auto" w:sz="4" w:space="0"/>
              <w:bottom w:val="single" w:color="auto" w:sz="4" w:space="0"/>
              <w:right w:val="single" w:color="auto" w:sz="4" w:space="0"/>
            </w:tcBorders>
            <w:noWrap/>
            <w:vAlign w:val="center"/>
          </w:tcPr>
          <w:p w14:paraId="366FC19C">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280.63</w:t>
            </w:r>
          </w:p>
        </w:tc>
        <w:tc>
          <w:tcPr>
            <w:tcW w:w="1305" w:type="dxa"/>
            <w:tcBorders>
              <w:top w:val="single" w:color="auto" w:sz="4" w:space="0"/>
              <w:left w:val="single" w:color="auto" w:sz="4" w:space="0"/>
              <w:bottom w:val="single" w:color="auto" w:sz="4" w:space="0"/>
              <w:right w:val="single" w:color="auto" w:sz="4" w:space="0"/>
            </w:tcBorders>
            <w:noWrap/>
            <w:vAlign w:val="center"/>
          </w:tcPr>
          <w:p w14:paraId="5CA82E38">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862.7</w:t>
            </w:r>
          </w:p>
        </w:tc>
        <w:tc>
          <w:tcPr>
            <w:tcW w:w="794" w:type="dxa"/>
            <w:tcBorders>
              <w:top w:val="single" w:color="auto" w:sz="4" w:space="0"/>
              <w:left w:val="single" w:color="auto" w:sz="4" w:space="0"/>
              <w:bottom w:val="single" w:color="auto" w:sz="4" w:space="0"/>
              <w:right w:val="single" w:color="auto" w:sz="4" w:space="0"/>
            </w:tcBorders>
            <w:noWrap/>
            <w:vAlign w:val="center"/>
          </w:tcPr>
          <w:p w14:paraId="794619F1">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增加</w:t>
            </w:r>
          </w:p>
        </w:tc>
        <w:tc>
          <w:tcPr>
            <w:tcW w:w="1298" w:type="dxa"/>
            <w:tcBorders>
              <w:top w:val="single" w:color="auto" w:sz="4" w:space="0"/>
              <w:left w:val="single" w:color="auto" w:sz="4" w:space="0"/>
              <w:bottom w:val="single" w:color="auto" w:sz="4" w:space="0"/>
              <w:right w:val="single" w:color="auto" w:sz="4" w:space="0"/>
            </w:tcBorders>
            <w:noWrap/>
            <w:vAlign w:val="center"/>
          </w:tcPr>
          <w:p w14:paraId="4669B284">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280.63</w:t>
            </w:r>
          </w:p>
        </w:tc>
        <w:tc>
          <w:tcPr>
            <w:tcW w:w="1298" w:type="dxa"/>
            <w:tcBorders>
              <w:top w:val="single" w:color="auto" w:sz="4" w:space="0"/>
              <w:left w:val="single" w:color="auto" w:sz="4" w:space="0"/>
              <w:bottom w:val="single" w:color="auto" w:sz="4" w:space="0"/>
              <w:right w:val="single" w:color="auto" w:sz="4" w:space="0"/>
            </w:tcBorders>
            <w:noWrap/>
            <w:vAlign w:val="center"/>
          </w:tcPr>
          <w:p w14:paraId="071AD2FB">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862.7</w:t>
            </w:r>
          </w:p>
        </w:tc>
        <w:tc>
          <w:tcPr>
            <w:tcW w:w="803" w:type="dxa"/>
            <w:tcBorders>
              <w:top w:val="single" w:color="auto" w:sz="4" w:space="0"/>
              <w:left w:val="single" w:color="auto" w:sz="4" w:space="0"/>
              <w:bottom w:val="single" w:color="auto" w:sz="4" w:space="0"/>
              <w:right w:val="single" w:color="auto" w:sz="4" w:space="0"/>
            </w:tcBorders>
            <w:noWrap/>
            <w:vAlign w:val="center"/>
          </w:tcPr>
          <w:p w14:paraId="3EB0167A">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增加</w:t>
            </w:r>
          </w:p>
        </w:tc>
      </w:tr>
      <w:tr w14:paraId="02B26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0" w:type="dxa"/>
            <w:tcBorders>
              <w:top w:val="single" w:color="auto" w:sz="4" w:space="0"/>
              <w:left w:val="single" w:color="auto" w:sz="4" w:space="0"/>
              <w:bottom w:val="single" w:color="auto" w:sz="4" w:space="0"/>
              <w:right w:val="single" w:color="auto" w:sz="4" w:space="0"/>
            </w:tcBorders>
            <w:noWrap/>
            <w:vAlign w:val="center"/>
          </w:tcPr>
          <w:p w14:paraId="53256379">
            <w:pPr>
              <w:keepNext w:val="0"/>
              <w:keepLines w:val="0"/>
              <w:pageBreakBefore w:val="0"/>
              <w:widowControl w:val="0"/>
              <w:kinsoku/>
              <w:wordWrap/>
              <w:overflowPunct/>
              <w:topLinePunct w:val="0"/>
              <w:autoSpaceDE/>
              <w:autoSpaceDN/>
              <w:bidi w:val="0"/>
              <w:adjustRightInd w:val="0"/>
              <w:snapToGrid w:val="0"/>
              <w:spacing w:line="480" w:lineRule="exact"/>
              <w:ind w:left="0" w:firstLine="0"/>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5</w:t>
            </w:r>
          </w:p>
        </w:tc>
        <w:tc>
          <w:tcPr>
            <w:tcW w:w="1514" w:type="dxa"/>
            <w:tcBorders>
              <w:top w:val="single" w:color="auto" w:sz="4" w:space="0"/>
              <w:left w:val="single" w:color="auto" w:sz="4" w:space="0"/>
              <w:bottom w:val="single" w:color="auto" w:sz="4" w:space="0"/>
              <w:right w:val="single" w:color="auto" w:sz="4" w:space="0"/>
            </w:tcBorders>
            <w:noWrap/>
            <w:vAlign w:val="center"/>
          </w:tcPr>
          <w:p w14:paraId="5DCCABB9">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办节办展</w:t>
            </w:r>
          </w:p>
          <w:p w14:paraId="341CF38E">
            <w:pPr>
              <w:keepNext w:val="0"/>
              <w:keepLines w:val="0"/>
              <w:pageBreakBefore w:val="0"/>
              <w:widowControl w:val="0"/>
              <w:kinsoku/>
              <w:wordWrap/>
              <w:overflowPunct/>
              <w:topLinePunct w:val="0"/>
              <w:autoSpaceDE/>
              <w:autoSpaceDN/>
              <w:bidi w:val="0"/>
              <w:adjustRightInd w:val="0"/>
              <w:snapToGrid w:val="0"/>
              <w:spacing w:line="480" w:lineRule="exact"/>
              <w:ind w:left="0" w:firstLine="0"/>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经费</w:t>
            </w:r>
          </w:p>
        </w:tc>
        <w:tc>
          <w:tcPr>
            <w:tcW w:w="1299" w:type="dxa"/>
            <w:tcBorders>
              <w:top w:val="single" w:color="auto" w:sz="4" w:space="0"/>
              <w:left w:val="single" w:color="auto" w:sz="4" w:space="0"/>
              <w:bottom w:val="single" w:color="auto" w:sz="4" w:space="0"/>
              <w:right w:val="single" w:color="auto" w:sz="4" w:space="0"/>
            </w:tcBorders>
            <w:noWrap/>
            <w:vAlign w:val="center"/>
          </w:tcPr>
          <w:p w14:paraId="28DFAB86">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0</w:t>
            </w:r>
          </w:p>
        </w:tc>
        <w:tc>
          <w:tcPr>
            <w:tcW w:w="1305" w:type="dxa"/>
            <w:tcBorders>
              <w:top w:val="single" w:color="auto" w:sz="4" w:space="0"/>
              <w:left w:val="single" w:color="auto" w:sz="4" w:space="0"/>
              <w:bottom w:val="single" w:color="auto" w:sz="4" w:space="0"/>
              <w:right w:val="single" w:color="auto" w:sz="4" w:space="0"/>
            </w:tcBorders>
            <w:noWrap/>
            <w:vAlign w:val="center"/>
          </w:tcPr>
          <w:p w14:paraId="098D5BA4">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0</w:t>
            </w:r>
          </w:p>
        </w:tc>
        <w:tc>
          <w:tcPr>
            <w:tcW w:w="794" w:type="dxa"/>
            <w:tcBorders>
              <w:top w:val="single" w:color="auto" w:sz="4" w:space="0"/>
              <w:left w:val="single" w:color="auto" w:sz="4" w:space="0"/>
              <w:bottom w:val="single" w:color="auto" w:sz="4" w:space="0"/>
              <w:right w:val="single" w:color="auto" w:sz="4" w:space="0"/>
            </w:tcBorders>
            <w:noWrap/>
            <w:vAlign w:val="center"/>
          </w:tcPr>
          <w:p w14:paraId="2CB6076D">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持平</w:t>
            </w:r>
          </w:p>
        </w:tc>
        <w:tc>
          <w:tcPr>
            <w:tcW w:w="1298" w:type="dxa"/>
            <w:tcBorders>
              <w:top w:val="single" w:color="auto" w:sz="4" w:space="0"/>
              <w:left w:val="single" w:color="auto" w:sz="4" w:space="0"/>
              <w:bottom w:val="single" w:color="auto" w:sz="4" w:space="0"/>
              <w:right w:val="single" w:color="auto" w:sz="4" w:space="0"/>
            </w:tcBorders>
            <w:noWrap/>
            <w:vAlign w:val="center"/>
          </w:tcPr>
          <w:p w14:paraId="1D56D55F">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0</w:t>
            </w:r>
          </w:p>
        </w:tc>
        <w:tc>
          <w:tcPr>
            <w:tcW w:w="1298" w:type="dxa"/>
            <w:tcBorders>
              <w:top w:val="single" w:color="auto" w:sz="4" w:space="0"/>
              <w:left w:val="single" w:color="auto" w:sz="4" w:space="0"/>
              <w:bottom w:val="single" w:color="auto" w:sz="4" w:space="0"/>
              <w:right w:val="single" w:color="auto" w:sz="4" w:space="0"/>
            </w:tcBorders>
            <w:noWrap/>
            <w:vAlign w:val="center"/>
          </w:tcPr>
          <w:p w14:paraId="070105EC">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0</w:t>
            </w:r>
          </w:p>
        </w:tc>
        <w:tc>
          <w:tcPr>
            <w:tcW w:w="803" w:type="dxa"/>
            <w:tcBorders>
              <w:top w:val="single" w:color="auto" w:sz="4" w:space="0"/>
              <w:left w:val="single" w:color="auto" w:sz="4" w:space="0"/>
              <w:bottom w:val="single" w:color="auto" w:sz="4" w:space="0"/>
              <w:right w:val="single" w:color="auto" w:sz="4" w:space="0"/>
            </w:tcBorders>
            <w:noWrap/>
            <w:vAlign w:val="center"/>
          </w:tcPr>
          <w:p w14:paraId="0D08FA6E">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持平</w:t>
            </w:r>
          </w:p>
        </w:tc>
      </w:tr>
      <w:tr w14:paraId="161D1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0" w:type="dxa"/>
            <w:tcBorders>
              <w:top w:val="single" w:color="auto" w:sz="4" w:space="0"/>
              <w:left w:val="single" w:color="auto" w:sz="4" w:space="0"/>
              <w:bottom w:val="single" w:color="auto" w:sz="4" w:space="0"/>
              <w:right w:val="single" w:color="auto" w:sz="4" w:space="0"/>
            </w:tcBorders>
            <w:noWrap/>
            <w:vAlign w:val="center"/>
          </w:tcPr>
          <w:p w14:paraId="4A9FD690">
            <w:pPr>
              <w:keepNext w:val="0"/>
              <w:keepLines w:val="0"/>
              <w:pageBreakBefore w:val="0"/>
              <w:widowControl w:val="0"/>
              <w:kinsoku/>
              <w:wordWrap/>
              <w:overflowPunct/>
              <w:topLinePunct w:val="0"/>
              <w:autoSpaceDE/>
              <w:autoSpaceDN/>
              <w:bidi w:val="0"/>
              <w:adjustRightInd w:val="0"/>
              <w:snapToGrid w:val="0"/>
              <w:spacing w:line="480" w:lineRule="exact"/>
              <w:ind w:left="0" w:firstLine="0"/>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6</w:t>
            </w:r>
          </w:p>
        </w:tc>
        <w:tc>
          <w:tcPr>
            <w:tcW w:w="1514" w:type="dxa"/>
            <w:tcBorders>
              <w:top w:val="single" w:color="auto" w:sz="4" w:space="0"/>
              <w:left w:val="single" w:color="auto" w:sz="4" w:space="0"/>
              <w:bottom w:val="single" w:color="auto" w:sz="4" w:space="0"/>
              <w:right w:val="single" w:color="auto" w:sz="4" w:space="0"/>
            </w:tcBorders>
            <w:noWrap/>
            <w:vAlign w:val="center"/>
          </w:tcPr>
          <w:p w14:paraId="016D2C5E">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办公设备</w:t>
            </w:r>
          </w:p>
          <w:p w14:paraId="1EB733E1">
            <w:pPr>
              <w:keepNext w:val="0"/>
              <w:keepLines w:val="0"/>
              <w:pageBreakBefore w:val="0"/>
              <w:widowControl w:val="0"/>
              <w:kinsoku/>
              <w:wordWrap/>
              <w:overflowPunct/>
              <w:topLinePunct w:val="0"/>
              <w:autoSpaceDE/>
              <w:autoSpaceDN/>
              <w:bidi w:val="0"/>
              <w:adjustRightInd w:val="0"/>
              <w:snapToGrid w:val="0"/>
              <w:spacing w:line="480" w:lineRule="exact"/>
              <w:ind w:left="0" w:firstLine="0"/>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购置经费</w:t>
            </w:r>
          </w:p>
        </w:tc>
        <w:tc>
          <w:tcPr>
            <w:tcW w:w="1299" w:type="dxa"/>
            <w:tcBorders>
              <w:top w:val="single" w:color="auto" w:sz="4" w:space="0"/>
              <w:left w:val="single" w:color="auto" w:sz="4" w:space="0"/>
              <w:bottom w:val="single" w:color="auto" w:sz="4" w:space="0"/>
              <w:right w:val="single" w:color="auto" w:sz="4" w:space="0"/>
            </w:tcBorders>
            <w:noWrap/>
            <w:vAlign w:val="center"/>
          </w:tcPr>
          <w:p w14:paraId="34816F35">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77.84</w:t>
            </w:r>
          </w:p>
        </w:tc>
        <w:tc>
          <w:tcPr>
            <w:tcW w:w="1305" w:type="dxa"/>
            <w:tcBorders>
              <w:top w:val="single" w:color="auto" w:sz="4" w:space="0"/>
              <w:left w:val="single" w:color="auto" w:sz="4" w:space="0"/>
              <w:bottom w:val="single" w:color="auto" w:sz="4" w:space="0"/>
              <w:right w:val="single" w:color="auto" w:sz="4" w:space="0"/>
            </w:tcBorders>
            <w:noWrap/>
            <w:vAlign w:val="center"/>
          </w:tcPr>
          <w:p w14:paraId="790C2728">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54.46</w:t>
            </w:r>
          </w:p>
        </w:tc>
        <w:tc>
          <w:tcPr>
            <w:tcW w:w="794" w:type="dxa"/>
            <w:tcBorders>
              <w:top w:val="single" w:color="auto" w:sz="4" w:space="0"/>
              <w:left w:val="single" w:color="auto" w:sz="4" w:space="0"/>
              <w:bottom w:val="single" w:color="auto" w:sz="4" w:space="0"/>
              <w:right w:val="single" w:color="auto" w:sz="4" w:space="0"/>
            </w:tcBorders>
            <w:noWrap/>
            <w:vAlign w:val="center"/>
          </w:tcPr>
          <w:p w14:paraId="1D18C4A2">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减少</w:t>
            </w:r>
          </w:p>
        </w:tc>
        <w:tc>
          <w:tcPr>
            <w:tcW w:w="1298" w:type="dxa"/>
            <w:tcBorders>
              <w:top w:val="single" w:color="auto" w:sz="4" w:space="0"/>
              <w:left w:val="single" w:color="auto" w:sz="4" w:space="0"/>
              <w:bottom w:val="single" w:color="auto" w:sz="4" w:space="0"/>
              <w:right w:val="single" w:color="auto" w:sz="4" w:space="0"/>
            </w:tcBorders>
            <w:noWrap/>
            <w:vAlign w:val="center"/>
          </w:tcPr>
          <w:p w14:paraId="43D1EBA2">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74.58</w:t>
            </w:r>
          </w:p>
        </w:tc>
        <w:tc>
          <w:tcPr>
            <w:tcW w:w="1298" w:type="dxa"/>
            <w:tcBorders>
              <w:top w:val="single" w:color="auto" w:sz="4" w:space="0"/>
              <w:left w:val="single" w:color="auto" w:sz="4" w:space="0"/>
              <w:bottom w:val="single" w:color="auto" w:sz="4" w:space="0"/>
              <w:right w:val="single" w:color="auto" w:sz="4" w:space="0"/>
            </w:tcBorders>
            <w:noWrap/>
            <w:vAlign w:val="center"/>
          </w:tcPr>
          <w:p w14:paraId="05C211F4">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54.46</w:t>
            </w:r>
          </w:p>
        </w:tc>
        <w:tc>
          <w:tcPr>
            <w:tcW w:w="803" w:type="dxa"/>
            <w:tcBorders>
              <w:top w:val="single" w:color="auto" w:sz="4" w:space="0"/>
              <w:left w:val="single" w:color="auto" w:sz="4" w:space="0"/>
              <w:bottom w:val="single" w:color="auto" w:sz="4" w:space="0"/>
              <w:right w:val="single" w:color="auto" w:sz="4" w:space="0"/>
            </w:tcBorders>
            <w:noWrap/>
            <w:vAlign w:val="center"/>
          </w:tcPr>
          <w:p w14:paraId="7B2D6EE1">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减少</w:t>
            </w:r>
          </w:p>
        </w:tc>
      </w:tr>
      <w:tr w14:paraId="4EA9D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0" w:type="dxa"/>
            <w:tcBorders>
              <w:top w:val="single" w:color="auto" w:sz="4" w:space="0"/>
              <w:left w:val="single" w:color="auto" w:sz="4" w:space="0"/>
              <w:bottom w:val="single" w:color="auto" w:sz="4" w:space="0"/>
              <w:right w:val="single" w:color="auto" w:sz="4" w:space="0"/>
            </w:tcBorders>
            <w:noWrap/>
            <w:vAlign w:val="center"/>
          </w:tcPr>
          <w:p w14:paraId="686BAC75">
            <w:pPr>
              <w:keepNext w:val="0"/>
              <w:keepLines w:val="0"/>
              <w:pageBreakBefore w:val="0"/>
              <w:widowControl w:val="0"/>
              <w:kinsoku/>
              <w:wordWrap/>
              <w:overflowPunct/>
              <w:topLinePunct w:val="0"/>
              <w:autoSpaceDE/>
              <w:autoSpaceDN/>
              <w:bidi w:val="0"/>
              <w:adjustRightInd w:val="0"/>
              <w:snapToGrid w:val="0"/>
              <w:spacing w:line="480" w:lineRule="exact"/>
              <w:ind w:left="0" w:firstLine="0"/>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7</w:t>
            </w:r>
          </w:p>
        </w:tc>
        <w:tc>
          <w:tcPr>
            <w:tcW w:w="1514" w:type="dxa"/>
            <w:tcBorders>
              <w:top w:val="single" w:color="auto" w:sz="4" w:space="0"/>
              <w:left w:val="single" w:color="auto" w:sz="4" w:space="0"/>
              <w:bottom w:val="single" w:color="auto" w:sz="4" w:space="0"/>
              <w:right w:val="single" w:color="auto" w:sz="4" w:space="0"/>
            </w:tcBorders>
            <w:noWrap/>
            <w:vAlign w:val="center"/>
          </w:tcPr>
          <w:p w14:paraId="4351D02B">
            <w:pPr>
              <w:keepNext w:val="0"/>
              <w:keepLines w:val="0"/>
              <w:pageBreakBefore w:val="0"/>
              <w:widowControl w:val="0"/>
              <w:kinsoku/>
              <w:wordWrap/>
              <w:overflowPunct/>
              <w:topLinePunct w:val="0"/>
              <w:autoSpaceDE/>
              <w:autoSpaceDN/>
              <w:bidi w:val="0"/>
              <w:adjustRightInd w:val="0"/>
              <w:snapToGrid w:val="0"/>
              <w:spacing w:line="480" w:lineRule="exact"/>
              <w:ind w:left="0" w:firstLine="0"/>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信息网络及软件购置更新经费</w:t>
            </w:r>
          </w:p>
        </w:tc>
        <w:tc>
          <w:tcPr>
            <w:tcW w:w="1299" w:type="dxa"/>
            <w:tcBorders>
              <w:top w:val="single" w:color="auto" w:sz="4" w:space="0"/>
              <w:left w:val="single" w:color="auto" w:sz="4" w:space="0"/>
              <w:bottom w:val="single" w:color="auto" w:sz="4" w:space="0"/>
              <w:right w:val="single" w:color="auto" w:sz="4" w:space="0"/>
            </w:tcBorders>
            <w:noWrap/>
            <w:vAlign w:val="center"/>
          </w:tcPr>
          <w:p w14:paraId="7225BDB6">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200</w:t>
            </w:r>
          </w:p>
        </w:tc>
        <w:tc>
          <w:tcPr>
            <w:tcW w:w="1305" w:type="dxa"/>
            <w:tcBorders>
              <w:top w:val="single" w:color="auto" w:sz="4" w:space="0"/>
              <w:left w:val="single" w:color="auto" w:sz="4" w:space="0"/>
              <w:bottom w:val="single" w:color="auto" w:sz="4" w:space="0"/>
              <w:right w:val="single" w:color="auto" w:sz="4" w:space="0"/>
            </w:tcBorders>
            <w:noWrap/>
            <w:vAlign w:val="center"/>
          </w:tcPr>
          <w:p w14:paraId="462C560F">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0.75</w:t>
            </w:r>
          </w:p>
        </w:tc>
        <w:tc>
          <w:tcPr>
            <w:tcW w:w="794" w:type="dxa"/>
            <w:tcBorders>
              <w:top w:val="single" w:color="auto" w:sz="4" w:space="0"/>
              <w:left w:val="single" w:color="auto" w:sz="4" w:space="0"/>
              <w:bottom w:val="single" w:color="auto" w:sz="4" w:space="0"/>
              <w:right w:val="single" w:color="auto" w:sz="4" w:space="0"/>
            </w:tcBorders>
            <w:noWrap/>
            <w:vAlign w:val="center"/>
          </w:tcPr>
          <w:p w14:paraId="56917CD8">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减少</w:t>
            </w:r>
          </w:p>
        </w:tc>
        <w:tc>
          <w:tcPr>
            <w:tcW w:w="1298" w:type="dxa"/>
            <w:tcBorders>
              <w:top w:val="single" w:color="auto" w:sz="4" w:space="0"/>
              <w:left w:val="single" w:color="auto" w:sz="4" w:space="0"/>
              <w:bottom w:val="single" w:color="auto" w:sz="4" w:space="0"/>
              <w:right w:val="single" w:color="auto" w:sz="4" w:space="0"/>
            </w:tcBorders>
            <w:noWrap/>
            <w:vAlign w:val="center"/>
          </w:tcPr>
          <w:p w14:paraId="20EE0177">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200</w:t>
            </w:r>
          </w:p>
        </w:tc>
        <w:tc>
          <w:tcPr>
            <w:tcW w:w="1298" w:type="dxa"/>
            <w:tcBorders>
              <w:top w:val="single" w:color="auto" w:sz="4" w:space="0"/>
              <w:left w:val="single" w:color="auto" w:sz="4" w:space="0"/>
              <w:bottom w:val="single" w:color="auto" w:sz="4" w:space="0"/>
              <w:right w:val="single" w:color="auto" w:sz="4" w:space="0"/>
            </w:tcBorders>
            <w:noWrap/>
            <w:vAlign w:val="center"/>
          </w:tcPr>
          <w:p w14:paraId="6DCD884A">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0.75</w:t>
            </w:r>
          </w:p>
        </w:tc>
        <w:tc>
          <w:tcPr>
            <w:tcW w:w="803" w:type="dxa"/>
            <w:tcBorders>
              <w:top w:val="single" w:color="auto" w:sz="4" w:space="0"/>
              <w:left w:val="single" w:color="auto" w:sz="4" w:space="0"/>
              <w:bottom w:val="single" w:color="auto" w:sz="4" w:space="0"/>
              <w:right w:val="single" w:color="auto" w:sz="4" w:space="0"/>
            </w:tcBorders>
            <w:noWrap/>
            <w:vAlign w:val="center"/>
          </w:tcPr>
          <w:p w14:paraId="3D2CAD9A">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减少</w:t>
            </w:r>
          </w:p>
        </w:tc>
      </w:tr>
      <w:tr w14:paraId="5D9E6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0" w:type="dxa"/>
            <w:tcBorders>
              <w:top w:val="single" w:color="auto" w:sz="4" w:space="0"/>
              <w:left w:val="single" w:color="auto" w:sz="4" w:space="0"/>
              <w:bottom w:val="single" w:color="auto" w:sz="4" w:space="0"/>
              <w:right w:val="single" w:color="auto" w:sz="4" w:space="0"/>
            </w:tcBorders>
            <w:noWrap/>
            <w:vAlign w:val="center"/>
          </w:tcPr>
          <w:p w14:paraId="2F32EC21">
            <w:pPr>
              <w:keepNext w:val="0"/>
              <w:keepLines w:val="0"/>
              <w:pageBreakBefore w:val="0"/>
              <w:widowControl w:val="0"/>
              <w:kinsoku/>
              <w:wordWrap/>
              <w:overflowPunct/>
              <w:topLinePunct w:val="0"/>
              <w:autoSpaceDE/>
              <w:autoSpaceDN/>
              <w:bidi w:val="0"/>
              <w:adjustRightInd w:val="0"/>
              <w:snapToGrid w:val="0"/>
              <w:spacing w:line="480" w:lineRule="exact"/>
              <w:ind w:left="0" w:firstLine="0"/>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8</w:t>
            </w:r>
          </w:p>
        </w:tc>
        <w:tc>
          <w:tcPr>
            <w:tcW w:w="1514" w:type="dxa"/>
            <w:tcBorders>
              <w:top w:val="single" w:color="auto" w:sz="4" w:space="0"/>
              <w:left w:val="single" w:color="auto" w:sz="4" w:space="0"/>
              <w:bottom w:val="single" w:color="auto" w:sz="4" w:space="0"/>
              <w:right w:val="single" w:color="auto" w:sz="4" w:space="0"/>
            </w:tcBorders>
            <w:noWrap/>
            <w:vAlign w:val="center"/>
          </w:tcPr>
          <w:p w14:paraId="45E4FEDF">
            <w:pPr>
              <w:keepNext w:val="0"/>
              <w:keepLines w:val="0"/>
              <w:pageBreakBefore w:val="0"/>
              <w:widowControl w:val="0"/>
              <w:kinsoku/>
              <w:wordWrap/>
              <w:overflowPunct/>
              <w:topLinePunct w:val="0"/>
              <w:autoSpaceDE/>
              <w:autoSpaceDN/>
              <w:bidi w:val="0"/>
              <w:adjustRightInd w:val="0"/>
              <w:snapToGrid w:val="0"/>
              <w:spacing w:line="480" w:lineRule="exact"/>
              <w:ind w:left="0" w:firstLine="0"/>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课题经费</w:t>
            </w:r>
          </w:p>
        </w:tc>
        <w:tc>
          <w:tcPr>
            <w:tcW w:w="1299" w:type="dxa"/>
            <w:tcBorders>
              <w:top w:val="single" w:color="auto" w:sz="4" w:space="0"/>
              <w:left w:val="single" w:color="auto" w:sz="4" w:space="0"/>
              <w:bottom w:val="single" w:color="auto" w:sz="4" w:space="0"/>
              <w:right w:val="single" w:color="auto" w:sz="4" w:space="0"/>
            </w:tcBorders>
            <w:noWrap/>
            <w:vAlign w:val="center"/>
          </w:tcPr>
          <w:p w14:paraId="4B6C3532">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0</w:t>
            </w:r>
          </w:p>
        </w:tc>
        <w:tc>
          <w:tcPr>
            <w:tcW w:w="1305" w:type="dxa"/>
            <w:tcBorders>
              <w:top w:val="single" w:color="auto" w:sz="4" w:space="0"/>
              <w:left w:val="single" w:color="auto" w:sz="4" w:space="0"/>
              <w:bottom w:val="single" w:color="auto" w:sz="4" w:space="0"/>
              <w:right w:val="single" w:color="auto" w:sz="4" w:space="0"/>
            </w:tcBorders>
            <w:noWrap/>
            <w:vAlign w:val="center"/>
          </w:tcPr>
          <w:p w14:paraId="54294A00">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0</w:t>
            </w:r>
          </w:p>
        </w:tc>
        <w:tc>
          <w:tcPr>
            <w:tcW w:w="794" w:type="dxa"/>
            <w:tcBorders>
              <w:top w:val="single" w:color="auto" w:sz="4" w:space="0"/>
              <w:left w:val="single" w:color="auto" w:sz="4" w:space="0"/>
              <w:bottom w:val="single" w:color="auto" w:sz="4" w:space="0"/>
              <w:right w:val="single" w:color="auto" w:sz="4" w:space="0"/>
            </w:tcBorders>
            <w:noWrap/>
            <w:vAlign w:val="center"/>
          </w:tcPr>
          <w:p w14:paraId="76CF0628">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持平</w:t>
            </w:r>
          </w:p>
        </w:tc>
        <w:tc>
          <w:tcPr>
            <w:tcW w:w="1298" w:type="dxa"/>
            <w:tcBorders>
              <w:top w:val="single" w:color="auto" w:sz="4" w:space="0"/>
              <w:left w:val="single" w:color="auto" w:sz="4" w:space="0"/>
              <w:bottom w:val="single" w:color="auto" w:sz="4" w:space="0"/>
              <w:right w:val="single" w:color="auto" w:sz="4" w:space="0"/>
            </w:tcBorders>
            <w:noWrap/>
            <w:vAlign w:val="center"/>
          </w:tcPr>
          <w:p w14:paraId="17C6902D">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0</w:t>
            </w:r>
          </w:p>
        </w:tc>
        <w:tc>
          <w:tcPr>
            <w:tcW w:w="1298" w:type="dxa"/>
            <w:tcBorders>
              <w:top w:val="single" w:color="auto" w:sz="4" w:space="0"/>
              <w:left w:val="single" w:color="auto" w:sz="4" w:space="0"/>
              <w:bottom w:val="single" w:color="auto" w:sz="4" w:space="0"/>
              <w:right w:val="single" w:color="auto" w:sz="4" w:space="0"/>
            </w:tcBorders>
            <w:noWrap/>
            <w:vAlign w:val="center"/>
          </w:tcPr>
          <w:p w14:paraId="7DAFE36F">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0</w:t>
            </w:r>
          </w:p>
        </w:tc>
        <w:tc>
          <w:tcPr>
            <w:tcW w:w="803" w:type="dxa"/>
            <w:tcBorders>
              <w:top w:val="single" w:color="auto" w:sz="4" w:space="0"/>
              <w:left w:val="single" w:color="auto" w:sz="4" w:space="0"/>
              <w:bottom w:val="single" w:color="auto" w:sz="4" w:space="0"/>
              <w:right w:val="single" w:color="auto" w:sz="4" w:space="0"/>
            </w:tcBorders>
            <w:noWrap/>
            <w:vAlign w:val="center"/>
          </w:tcPr>
          <w:p w14:paraId="5AA1B5B5">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持平</w:t>
            </w:r>
          </w:p>
        </w:tc>
      </w:tr>
      <w:tr w14:paraId="5291A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50" w:type="dxa"/>
            <w:tcBorders>
              <w:top w:val="single" w:color="auto" w:sz="4" w:space="0"/>
              <w:left w:val="single" w:color="auto" w:sz="4" w:space="0"/>
              <w:bottom w:val="single" w:color="auto" w:sz="4" w:space="0"/>
              <w:right w:val="single" w:color="auto" w:sz="4" w:space="0"/>
            </w:tcBorders>
            <w:noWrap/>
            <w:vAlign w:val="center"/>
          </w:tcPr>
          <w:p w14:paraId="691B07C1">
            <w:pPr>
              <w:keepNext w:val="0"/>
              <w:keepLines w:val="0"/>
              <w:pageBreakBefore w:val="0"/>
              <w:widowControl w:val="0"/>
              <w:kinsoku/>
              <w:wordWrap/>
              <w:overflowPunct/>
              <w:topLinePunct w:val="0"/>
              <w:autoSpaceDE/>
              <w:autoSpaceDN/>
              <w:bidi w:val="0"/>
              <w:adjustRightInd w:val="0"/>
              <w:snapToGrid w:val="0"/>
              <w:spacing w:line="480" w:lineRule="exact"/>
              <w:ind w:left="0" w:firstLine="0"/>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9</w:t>
            </w:r>
          </w:p>
        </w:tc>
        <w:tc>
          <w:tcPr>
            <w:tcW w:w="1514" w:type="dxa"/>
            <w:tcBorders>
              <w:top w:val="single" w:color="auto" w:sz="4" w:space="0"/>
              <w:left w:val="single" w:color="auto" w:sz="4" w:space="0"/>
              <w:bottom w:val="single" w:color="auto" w:sz="4" w:space="0"/>
              <w:right w:val="single" w:color="auto" w:sz="4" w:space="0"/>
            </w:tcBorders>
            <w:noWrap/>
            <w:vAlign w:val="center"/>
          </w:tcPr>
          <w:p w14:paraId="6099C3C9">
            <w:pPr>
              <w:keepNext w:val="0"/>
              <w:keepLines w:val="0"/>
              <w:pageBreakBefore w:val="0"/>
              <w:widowControl w:val="0"/>
              <w:kinsoku/>
              <w:wordWrap/>
              <w:overflowPunct/>
              <w:topLinePunct w:val="0"/>
              <w:autoSpaceDE/>
              <w:autoSpaceDN/>
              <w:bidi w:val="0"/>
              <w:adjustRightInd w:val="0"/>
              <w:snapToGrid w:val="0"/>
              <w:spacing w:line="480" w:lineRule="exact"/>
              <w:ind w:left="0" w:firstLine="0"/>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合计</w:t>
            </w:r>
          </w:p>
        </w:tc>
        <w:tc>
          <w:tcPr>
            <w:tcW w:w="1299" w:type="dxa"/>
            <w:tcBorders>
              <w:top w:val="single" w:color="auto" w:sz="4" w:space="0"/>
              <w:left w:val="single" w:color="auto" w:sz="4" w:space="0"/>
              <w:bottom w:val="single" w:color="auto" w:sz="4" w:space="0"/>
              <w:right w:val="single" w:color="auto" w:sz="4" w:space="0"/>
            </w:tcBorders>
            <w:noWrap/>
            <w:vAlign w:val="center"/>
          </w:tcPr>
          <w:p w14:paraId="4A2E1E4F">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fldChar w:fldCharType="begin"/>
            </w: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instrText xml:space="preserve"> = sum(C3:C10) \* MERGEFORMAT </w:instrText>
            </w: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fldChar w:fldCharType="separate"/>
            </w: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1215.66</w:t>
            </w: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fldChar w:fldCharType="end"/>
            </w:r>
          </w:p>
        </w:tc>
        <w:tc>
          <w:tcPr>
            <w:tcW w:w="1305" w:type="dxa"/>
            <w:tcBorders>
              <w:top w:val="single" w:color="auto" w:sz="4" w:space="0"/>
              <w:left w:val="single" w:color="auto" w:sz="4" w:space="0"/>
              <w:bottom w:val="single" w:color="auto" w:sz="4" w:space="0"/>
              <w:right w:val="single" w:color="auto" w:sz="4" w:space="0"/>
            </w:tcBorders>
            <w:noWrap/>
            <w:vAlign w:val="center"/>
          </w:tcPr>
          <w:p w14:paraId="4DECEAE7">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fldChar w:fldCharType="begin"/>
            </w: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instrText xml:space="preserve"> = sum(D3:D10) \* MERGEFORMAT </w:instrText>
            </w: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fldChar w:fldCharType="separate"/>
            </w: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1703.</w:t>
            </w: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8</w:t>
            </w: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fldChar w:fldCharType="end"/>
            </w: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8</w:t>
            </w:r>
          </w:p>
        </w:tc>
        <w:tc>
          <w:tcPr>
            <w:tcW w:w="794" w:type="dxa"/>
            <w:tcBorders>
              <w:top w:val="single" w:color="auto" w:sz="4" w:space="0"/>
              <w:left w:val="single" w:color="auto" w:sz="4" w:space="0"/>
              <w:bottom w:val="single" w:color="auto" w:sz="4" w:space="0"/>
              <w:right w:val="single" w:color="auto" w:sz="4" w:space="0"/>
            </w:tcBorders>
            <w:noWrap/>
            <w:vAlign w:val="center"/>
          </w:tcPr>
          <w:p w14:paraId="3A981849">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增加</w:t>
            </w:r>
          </w:p>
        </w:tc>
        <w:tc>
          <w:tcPr>
            <w:tcW w:w="1298" w:type="dxa"/>
            <w:tcBorders>
              <w:top w:val="single" w:color="auto" w:sz="4" w:space="0"/>
              <w:left w:val="single" w:color="auto" w:sz="4" w:space="0"/>
              <w:bottom w:val="single" w:color="auto" w:sz="4" w:space="0"/>
              <w:right w:val="single" w:color="auto" w:sz="4" w:space="0"/>
            </w:tcBorders>
            <w:noWrap/>
            <w:vAlign w:val="center"/>
          </w:tcPr>
          <w:p w14:paraId="2F9A45AA">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fldChar w:fldCharType="begin"/>
            </w: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instrText xml:space="preserve"> = sum(F3:F10) \* MERGEFORMAT </w:instrText>
            </w: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fldChar w:fldCharType="separate"/>
            </w: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t>1249.68</w:t>
            </w:r>
            <w:r>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fldChar w:fldCharType="end"/>
            </w:r>
          </w:p>
        </w:tc>
        <w:tc>
          <w:tcPr>
            <w:tcW w:w="1298" w:type="dxa"/>
            <w:tcBorders>
              <w:top w:val="single" w:color="auto" w:sz="4" w:space="0"/>
              <w:left w:val="single" w:color="auto" w:sz="4" w:space="0"/>
              <w:bottom w:val="single" w:color="auto" w:sz="4" w:space="0"/>
              <w:right w:val="single" w:color="auto" w:sz="4" w:space="0"/>
            </w:tcBorders>
            <w:noWrap/>
            <w:vAlign w:val="center"/>
          </w:tcPr>
          <w:p w14:paraId="1BCA4CB4">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fldChar w:fldCharType="begin"/>
            </w: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instrText xml:space="preserve"> = sum(G3:G10) \* MERGEFORMAT </w:instrText>
            </w: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fldChar w:fldCharType="separate"/>
            </w: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1640.75</w:t>
            </w: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fldChar w:fldCharType="end"/>
            </w:r>
          </w:p>
        </w:tc>
        <w:tc>
          <w:tcPr>
            <w:tcW w:w="803" w:type="dxa"/>
            <w:tcBorders>
              <w:top w:val="single" w:color="auto" w:sz="4" w:space="0"/>
              <w:left w:val="single" w:color="auto" w:sz="4" w:space="0"/>
              <w:bottom w:val="single" w:color="auto" w:sz="4" w:space="0"/>
              <w:right w:val="single" w:color="auto" w:sz="4" w:space="0"/>
            </w:tcBorders>
            <w:noWrap/>
            <w:vAlign w:val="center"/>
          </w:tcPr>
          <w:p w14:paraId="6594BE2F">
            <w:pPr>
              <w:keepNext w:val="0"/>
              <w:keepLines w:val="0"/>
              <w:pageBreakBefore w:val="0"/>
              <w:widowControl w:val="0"/>
              <w:kinsoku/>
              <w:wordWrap/>
              <w:overflowPunct/>
              <w:topLinePunct w:val="0"/>
              <w:autoSpaceDE/>
              <w:autoSpaceDN/>
              <w:bidi w:val="0"/>
              <w:adjustRightInd w:val="0"/>
              <w:snapToGrid w:val="0"/>
              <w:spacing w:line="480" w:lineRule="exact"/>
              <w:contextualSpacing/>
              <w:jc w:val="center"/>
              <w:textAlignment w:val="auto"/>
              <w:outlineLvl w:val="9"/>
              <w:rPr>
                <w:rFonts w:hint="default" w:ascii="Times New Roman" w:hAnsi="Times New Roman" w:eastAsia="仿宋_GB2312" w:cs="Times New Roman"/>
                <w:color w:val="000000"/>
                <w:spacing w:val="6"/>
                <w:kern w:val="0"/>
                <w:sz w:val="21"/>
                <w:szCs w:val="21"/>
                <w:highlight w:val="none"/>
                <w:shd w:val="clear" w:color="auto" w:fill="FFFFFF"/>
                <w:vertAlign w:val="baseline"/>
                <w:lang w:val="en-US" w:eastAsia="zh-CN" w:bidi="ar-SA"/>
              </w:rPr>
            </w:pPr>
            <w:r>
              <w:rPr>
                <w:rFonts w:hint="eastAsia" w:ascii="Times New Roman" w:hAnsi="Times New Roman" w:cs="Times New Roman"/>
                <w:color w:val="000000"/>
                <w:spacing w:val="6"/>
                <w:kern w:val="0"/>
                <w:sz w:val="21"/>
                <w:szCs w:val="21"/>
                <w:highlight w:val="none"/>
                <w:shd w:val="clear" w:color="auto" w:fill="FFFFFF"/>
                <w:vertAlign w:val="baseline"/>
                <w:lang w:val="en-US" w:eastAsia="zh-CN" w:bidi="ar-SA"/>
              </w:rPr>
              <w:t>增加</w:t>
            </w:r>
          </w:p>
        </w:tc>
      </w:tr>
    </w:tbl>
    <w:p w14:paraId="36029D87">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Times New Roman" w:hAnsi="Times New Roman" w:eastAsia="仿宋_GB2312" w:cs="Times New Roman"/>
          <w:sz w:val="32"/>
          <w:szCs w:val="32"/>
          <w:lang w:val="zh-CN" w:eastAsia="zh-CN"/>
        </w:rPr>
        <w:t>综上，我部门2023年一般性支出财政拨款预算增加，财政拨款执行数增加，一般性支出压减效果不显著，指标得0分。</w:t>
      </w:r>
    </w:p>
    <w:p w14:paraId="3DCE14F0">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楷体_GB2312" w:hAnsi="楷体_GB2312" w:eastAsia="楷体_GB2312" w:cs="楷体_GB2312"/>
          <w:color w:val="000000"/>
          <w:kern w:val="0"/>
          <w:sz w:val="32"/>
          <w:szCs w:val="32"/>
          <w:highlight w:val="none"/>
          <w:shd w:val="clear" w:color="auto" w:fill="FFFFFF"/>
          <w:lang w:val="en-US" w:eastAsia="zh-CN"/>
        </w:rPr>
        <w:t>3.</w:t>
      </w:r>
      <w:r>
        <w:rPr>
          <w:rFonts w:hint="default" w:ascii="楷体_GB2312" w:hAnsi="楷体_GB2312" w:eastAsia="楷体_GB2312" w:cs="楷体_GB2312"/>
          <w:color w:val="000000"/>
          <w:kern w:val="0"/>
          <w:sz w:val="32"/>
          <w:szCs w:val="32"/>
          <w:highlight w:val="none"/>
          <w:shd w:val="clear" w:color="auto" w:fill="FFFFFF"/>
          <w:lang w:val="zh-CN"/>
        </w:rPr>
        <w:t>财务管理</w:t>
      </w:r>
      <w:r>
        <w:rPr>
          <w:rFonts w:hint="eastAsia" w:ascii="楷体_GB2312" w:hAnsi="楷体_GB2312" w:eastAsia="楷体_GB2312" w:cs="楷体_GB2312"/>
          <w:color w:val="000000"/>
          <w:kern w:val="0"/>
          <w:sz w:val="32"/>
          <w:szCs w:val="32"/>
          <w:highlight w:val="none"/>
          <w:shd w:val="clear" w:color="auto" w:fill="FFFFFF"/>
          <w:lang w:val="zh-CN"/>
        </w:rPr>
        <w:t>。</w:t>
      </w:r>
    </w:p>
    <w:p w14:paraId="6B3F164F">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Times New Roman" w:hAnsi="Times New Roman" w:eastAsia="仿宋_GB2312" w:cs="Times New Roman"/>
          <w:sz w:val="32"/>
          <w:szCs w:val="32"/>
          <w:lang w:val="zh-CN" w:eastAsia="zh-CN"/>
        </w:rPr>
        <w:t>为规范我部门财务工作管理，我部门制定了《阿坝州公路管理局财务管理暂行办法》，对我部门预算、收入、支出、费用报</w:t>
      </w:r>
      <w:r>
        <w:rPr>
          <w:rFonts w:hint="eastAsia" w:eastAsia="仿宋_GB2312" w:cs="Times New Roman"/>
          <w:sz w:val="32"/>
          <w:szCs w:val="32"/>
          <w:lang w:val="zh-CN" w:eastAsia="zh-CN"/>
        </w:rPr>
        <w:t>销和</w:t>
      </w:r>
      <w:r>
        <w:rPr>
          <w:rFonts w:hint="eastAsia" w:ascii="Times New Roman" w:hAnsi="Times New Roman" w:eastAsia="仿宋_GB2312" w:cs="Times New Roman"/>
          <w:sz w:val="32"/>
          <w:szCs w:val="32"/>
          <w:lang w:val="zh-CN" w:eastAsia="zh-CN"/>
        </w:rPr>
        <w:t>资金支付、资产、票据和银行账户管理方面做出规定，相关管理制度建立健全。我部门设有财务岗位对部门财务进行管理，部门资金使用规范，无违规支出。故财务管理得10分。</w:t>
      </w:r>
    </w:p>
    <w:p w14:paraId="27578601">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楷体_GB2312" w:hAnsi="楷体_GB2312" w:eastAsia="楷体_GB2312" w:cs="楷体_GB2312"/>
          <w:color w:val="000000"/>
          <w:kern w:val="0"/>
          <w:sz w:val="32"/>
          <w:szCs w:val="32"/>
          <w:highlight w:val="none"/>
          <w:shd w:val="clear" w:color="auto" w:fill="FFFFFF"/>
          <w:lang w:val="en-US" w:eastAsia="zh-CN"/>
        </w:rPr>
        <w:t>4.</w:t>
      </w:r>
      <w:r>
        <w:rPr>
          <w:rFonts w:hint="default" w:ascii="楷体_GB2312" w:hAnsi="楷体_GB2312" w:eastAsia="楷体_GB2312" w:cs="楷体_GB2312"/>
          <w:color w:val="000000"/>
          <w:kern w:val="0"/>
          <w:sz w:val="32"/>
          <w:szCs w:val="32"/>
          <w:highlight w:val="none"/>
          <w:shd w:val="clear" w:color="auto" w:fill="FFFFFF"/>
          <w:lang w:val="zh-CN"/>
        </w:rPr>
        <w:t>资产管理</w:t>
      </w:r>
      <w:r>
        <w:rPr>
          <w:rFonts w:hint="eastAsia" w:ascii="楷体_GB2312" w:hAnsi="楷体_GB2312" w:eastAsia="楷体_GB2312" w:cs="楷体_GB2312"/>
          <w:color w:val="000000"/>
          <w:kern w:val="0"/>
          <w:sz w:val="32"/>
          <w:szCs w:val="32"/>
          <w:highlight w:val="none"/>
          <w:shd w:val="clear" w:color="auto" w:fill="FFFFFF"/>
          <w:lang w:val="zh-CN"/>
        </w:rPr>
        <w:t>。</w:t>
      </w:r>
    </w:p>
    <w:p w14:paraId="63A8135C">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Times New Roman" w:hAnsi="Times New Roman" w:eastAsia="仿宋_GB2312" w:cs="Times New Roman"/>
          <w:sz w:val="32"/>
          <w:szCs w:val="32"/>
          <w:lang w:val="zh-CN" w:eastAsia="zh-CN"/>
        </w:rPr>
        <w:t>2022年年末我部门固定资产总额为29355.78万元，在职人员1842人，人均资产为15.93万元/人；2023我部门固定资产总额38487.24万元，在职人员1751人，人均资产为21.98万元/人。人均资产变化率为3</w:t>
      </w:r>
      <w:r>
        <w:rPr>
          <w:rFonts w:hint="eastAsia" w:eastAsia="仿宋_GB2312" w:cs="Times New Roman"/>
          <w:sz w:val="32"/>
          <w:szCs w:val="32"/>
          <w:lang w:val="en-US" w:eastAsia="zh-CN"/>
        </w:rPr>
        <w:t>8</w:t>
      </w:r>
      <w:r>
        <w:rPr>
          <w:rFonts w:hint="eastAsia" w:ascii="Times New Roman" w:hAnsi="Times New Roman" w:eastAsia="仿宋_GB2312" w:cs="Times New Roman"/>
          <w:sz w:val="32"/>
          <w:szCs w:val="32"/>
          <w:lang w:val="zh-CN" w:eastAsia="zh-CN"/>
        </w:rPr>
        <w:t>%，大于2023年州直行政事业单位人均资产变化率-</w:t>
      </w:r>
      <w:r>
        <w:rPr>
          <w:rFonts w:hint="eastAsia" w:eastAsia="仿宋_GB2312" w:cs="Times New Roman"/>
          <w:sz w:val="32"/>
          <w:szCs w:val="32"/>
          <w:lang w:val="en-US" w:eastAsia="zh-CN"/>
        </w:rPr>
        <w:t>4</w:t>
      </w:r>
      <w:r>
        <w:rPr>
          <w:rFonts w:hint="eastAsia" w:ascii="Times New Roman" w:hAnsi="Times New Roman" w:eastAsia="仿宋_GB2312" w:cs="Times New Roman"/>
          <w:sz w:val="32"/>
          <w:szCs w:val="32"/>
          <w:lang w:val="zh-CN" w:eastAsia="zh-CN"/>
        </w:rPr>
        <w:t>%，得0分。人均资产增长率为3</w:t>
      </w:r>
      <w:r>
        <w:rPr>
          <w:rFonts w:hint="eastAsia" w:eastAsia="仿宋_GB2312" w:cs="Times New Roman"/>
          <w:sz w:val="32"/>
          <w:szCs w:val="32"/>
          <w:lang w:val="en-US" w:eastAsia="zh-CN"/>
        </w:rPr>
        <w:t>8</w:t>
      </w:r>
      <w:r>
        <w:rPr>
          <w:rFonts w:hint="eastAsia" w:ascii="Times New Roman" w:hAnsi="Times New Roman" w:eastAsia="仿宋_GB2312" w:cs="Times New Roman"/>
          <w:sz w:val="32"/>
          <w:szCs w:val="32"/>
          <w:lang w:val="zh-CN" w:eastAsia="zh-CN"/>
        </w:rPr>
        <w:t>%，小于2023同期州级财政收入增长率54.2%，得0.9分。2023年我部门资产均处于在用状态，无资产闲置的情况。故资产管理得6.9分。</w:t>
      </w:r>
    </w:p>
    <w:p w14:paraId="4392C11B">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楷体_GB2312" w:hAnsi="楷体_GB2312" w:eastAsia="楷体_GB2312" w:cs="楷体_GB2312"/>
          <w:color w:val="000000"/>
          <w:kern w:val="0"/>
          <w:sz w:val="32"/>
          <w:szCs w:val="32"/>
          <w:highlight w:val="none"/>
          <w:shd w:val="clear" w:color="auto" w:fill="FFFFFF"/>
          <w:lang w:val="en-US" w:eastAsia="zh-CN"/>
        </w:rPr>
        <w:t>5.</w:t>
      </w:r>
      <w:r>
        <w:rPr>
          <w:rFonts w:hint="default" w:ascii="楷体_GB2312" w:hAnsi="楷体_GB2312" w:eastAsia="楷体_GB2312" w:cs="楷体_GB2312"/>
          <w:color w:val="000000"/>
          <w:kern w:val="0"/>
          <w:sz w:val="32"/>
          <w:szCs w:val="32"/>
          <w:highlight w:val="none"/>
          <w:shd w:val="clear" w:color="auto" w:fill="FFFFFF"/>
          <w:lang w:val="zh-CN"/>
        </w:rPr>
        <w:t>采购管理</w:t>
      </w:r>
      <w:r>
        <w:rPr>
          <w:rFonts w:hint="eastAsia" w:ascii="楷体_GB2312" w:hAnsi="楷体_GB2312" w:eastAsia="楷体_GB2312" w:cs="楷体_GB2312"/>
          <w:color w:val="000000"/>
          <w:kern w:val="0"/>
          <w:sz w:val="32"/>
          <w:szCs w:val="32"/>
          <w:highlight w:val="none"/>
          <w:shd w:val="clear" w:color="auto" w:fill="FFFFFF"/>
          <w:lang w:val="zh-CN"/>
        </w:rPr>
        <w:t>。</w:t>
      </w:r>
    </w:p>
    <w:p w14:paraId="21C8B17D">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（1）支持中小企业发展</w:t>
      </w:r>
    </w:p>
    <w:p w14:paraId="682B3846">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我部门严格执行政府采购促进中小企业发展相关管理办法，对适宜由中小企业提供的采购项目和采购包，预留了采购份额专门面向中小企业采购，并在采购预算中单独列示，2023年我部门执行政府采购累计金额4192.11万元，政府采购授予中小企业合同金额为4192.11万元，占比为100%。该指标得3分</w:t>
      </w:r>
    </w:p>
    <w:p w14:paraId="3058F130">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（2）政府采购执行率</w:t>
      </w:r>
    </w:p>
    <w:p w14:paraId="11B27048">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我局2023年度的政府采购总预算数为4361.38万元，当年政府采购预算执行数为4192.11万元，已完成采购项目节约金额为169.27万元，故采购执行率=当年政府采购实际支付总金额÷（当年政府采购总预算数-当年已完成采购项目节约金额）×100%=4192.11÷（4361.38-169.27）×100%=100%。</w:t>
      </w:r>
    </w:p>
    <w:p w14:paraId="31F6E7C4">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Times New Roman" w:hAnsi="Times New Roman" w:eastAsia="仿宋_GB2312" w:cs="Times New Roman"/>
          <w:sz w:val="32"/>
          <w:szCs w:val="32"/>
          <w:lang w:val="zh-CN" w:eastAsia="zh-CN"/>
        </w:rPr>
        <w:t>根据评分标准，该项指标得3分。</w:t>
      </w:r>
    </w:p>
    <w:p w14:paraId="0026111B">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rPr>
      </w:pPr>
      <w:r>
        <w:rPr>
          <w:rFonts w:hint="default" w:ascii="Times New Roman" w:hAnsi="Times New Roman" w:eastAsia="楷体_GB2312" w:cs="Times New Roman"/>
          <w:b/>
          <w:bCs/>
          <w:color w:val="000000"/>
          <w:kern w:val="0"/>
          <w:sz w:val="32"/>
          <w:szCs w:val="32"/>
          <w:highlight w:val="none"/>
          <w:shd w:val="clear" w:color="auto" w:fill="FFFFFF"/>
          <w:lang w:val="zh-CN"/>
        </w:rPr>
        <w:t>（二）部门预算项目绩效分析。</w:t>
      </w:r>
    </w:p>
    <w:p w14:paraId="4D6498DA">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zh-CN" w:eastAsia="zh-CN"/>
        </w:rPr>
        <w:t>人员类项目分析。该类项目总数17个，涉及预算总金额42681.99万元，实际执行42681.99万元，1—12月预算执行总体进度为100%，其中：预算结余率大于10%的项目共计0个。</w:t>
      </w:r>
    </w:p>
    <w:p w14:paraId="19076447">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zh-CN" w:eastAsia="zh-CN"/>
        </w:rPr>
        <w:t>公用经费类（运转类）项目分析。该类项目总数3个，涉及项目预算总金额3558.09万元，实际执行3536.56万元，1—12月预算执行总体进度为99.39%，其中：预算结余率大于10%的项目共计0个。</w:t>
      </w:r>
    </w:p>
    <w:p w14:paraId="59454CB0">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zh-CN" w:eastAsia="zh-CN"/>
        </w:rPr>
        <w:t>特定目标类项目分析。该类项目总数169个，涉及预算总金额50738.7万元，实际执行金额45288.45万元，1—12月预算执行总体进度为89.</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zh-CN" w:eastAsia="zh-CN"/>
        </w:rPr>
        <w:t>%，其中：预算结余率大于10%的项目共计1个，为“阿坝公路分局2022省级交通专项国省道交通易发路段整治工程”项目。</w:t>
      </w:r>
    </w:p>
    <w:p w14:paraId="20508209">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zh-CN" w:eastAsia="zh-CN"/>
        </w:rPr>
        <w:t>转移类项目绩效分析。该类项目总数1个，涉及预算总金额178.22万元，实际执行178.22万元，1—12月预算执行总体进度为100%，其中：预算结余率大于10%的项目共计0个。</w:t>
      </w:r>
    </w:p>
    <w:p w14:paraId="6E178E50">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楷体_GB2312" w:hAnsi="楷体_GB2312" w:eastAsia="楷体_GB2312" w:cs="楷体_GB2312"/>
          <w:color w:val="000000"/>
          <w:kern w:val="0"/>
          <w:sz w:val="32"/>
          <w:szCs w:val="32"/>
          <w:highlight w:val="none"/>
          <w:shd w:val="clear" w:color="auto" w:fill="FFFFFF"/>
          <w:lang w:val="en-US" w:eastAsia="zh-CN"/>
        </w:rPr>
        <w:t>1.</w:t>
      </w:r>
      <w:r>
        <w:rPr>
          <w:rFonts w:hint="eastAsia" w:ascii="楷体_GB2312" w:hAnsi="楷体_GB2312" w:eastAsia="楷体_GB2312" w:cs="楷体_GB2312"/>
          <w:color w:val="000000"/>
          <w:kern w:val="0"/>
          <w:sz w:val="32"/>
          <w:szCs w:val="32"/>
          <w:highlight w:val="none"/>
          <w:shd w:val="clear" w:color="auto" w:fill="FFFFFF"/>
          <w:lang w:val="zh-CN"/>
        </w:rPr>
        <w:t>项目决策。</w:t>
      </w:r>
    </w:p>
    <w:p w14:paraId="5451DBF5">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（1）决策程序</w:t>
      </w:r>
    </w:p>
    <w:p w14:paraId="36349945">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为保障我部门各项工作顺利开展，在编制部门年初预算时，我部门围绕年度重点工作和以往年度工作开展情况，初步确定了我部门预算项目，并通过我局党组会议审议，审核通过后根据财政要求填报了《项目支出绩效目标申报表》，并得到财政批复。我部门项目决策程序合规，故该指标得4分。</w:t>
      </w:r>
    </w:p>
    <w:p w14:paraId="294E9D18">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（2）目标设置</w:t>
      </w:r>
    </w:p>
    <w:p w14:paraId="3FC2A125">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在目标设置方面，我部门根据年度工作计划，为部门拟开展</w:t>
      </w:r>
      <w:r>
        <w:rPr>
          <w:rFonts w:hint="eastAsia" w:eastAsia="仿宋_GB2312" w:cs="Times New Roman"/>
          <w:sz w:val="32"/>
          <w:szCs w:val="32"/>
          <w:lang w:val="zh-CN" w:eastAsia="zh-CN"/>
        </w:rPr>
        <w:t>的</w:t>
      </w:r>
      <w:r>
        <w:rPr>
          <w:rFonts w:hint="eastAsia" w:ascii="Times New Roman" w:hAnsi="Times New Roman" w:eastAsia="仿宋_GB2312" w:cs="Times New Roman"/>
          <w:sz w:val="32"/>
          <w:szCs w:val="32"/>
          <w:lang w:val="zh-CN" w:eastAsia="zh-CN"/>
        </w:rPr>
        <w:t>项目设定了绩效目标，并通过具体的绩效指标对绩效目标进行细化量化，绩效指标设置与预算安排的资金量匹配，绩效目标设置科学合理。故目标设置得4分。</w:t>
      </w:r>
    </w:p>
    <w:p w14:paraId="7D2620E4">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（3）项目入库</w:t>
      </w:r>
    </w:p>
    <w:p w14:paraId="25D7D0C2">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Times New Roman" w:hAnsi="Times New Roman" w:eastAsia="仿宋_GB2312" w:cs="Times New Roman"/>
          <w:sz w:val="32"/>
          <w:szCs w:val="32"/>
          <w:lang w:val="zh-CN" w:eastAsia="zh-CN"/>
        </w:rPr>
        <w:t>对于年初编报的预算项目，我部门根据州财政局有关要求，认真梳理2023年预算项目，并在财政部门规定时间</w:t>
      </w:r>
      <w:r>
        <w:rPr>
          <w:rFonts w:hint="eastAsia" w:eastAsia="仿宋_GB2312" w:cs="Times New Roman"/>
          <w:sz w:val="32"/>
          <w:szCs w:val="32"/>
          <w:lang w:val="zh-CN" w:eastAsia="zh-CN"/>
        </w:rPr>
        <w:t>内</w:t>
      </w:r>
      <w:r>
        <w:rPr>
          <w:rFonts w:hint="eastAsia" w:ascii="Times New Roman" w:hAnsi="Times New Roman" w:eastAsia="仿宋_GB2312" w:cs="Times New Roman"/>
          <w:sz w:val="32"/>
          <w:szCs w:val="32"/>
          <w:lang w:val="zh-CN" w:eastAsia="zh-CN"/>
        </w:rPr>
        <w:t>完成了项目入库工作。故该指标得4分。</w:t>
      </w:r>
    </w:p>
    <w:p w14:paraId="70ABE788">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楷体_GB2312" w:hAnsi="楷体_GB2312" w:eastAsia="楷体_GB2312" w:cs="楷体_GB2312"/>
          <w:color w:val="000000"/>
          <w:kern w:val="0"/>
          <w:sz w:val="32"/>
          <w:szCs w:val="32"/>
          <w:highlight w:val="none"/>
          <w:shd w:val="clear" w:color="auto" w:fill="FFFFFF"/>
          <w:lang w:val="en-US" w:eastAsia="zh-CN"/>
        </w:rPr>
        <w:t>2.项目执行</w:t>
      </w:r>
      <w:r>
        <w:rPr>
          <w:rFonts w:hint="eastAsia" w:ascii="楷体_GB2312" w:hAnsi="楷体_GB2312" w:eastAsia="楷体_GB2312" w:cs="楷体_GB2312"/>
          <w:color w:val="000000"/>
          <w:kern w:val="0"/>
          <w:sz w:val="32"/>
          <w:szCs w:val="32"/>
          <w:highlight w:val="none"/>
          <w:shd w:val="clear" w:color="auto" w:fill="FFFFFF"/>
          <w:lang w:val="zh-CN"/>
        </w:rPr>
        <w:t>。</w:t>
      </w:r>
    </w:p>
    <w:p w14:paraId="13C065BC">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（1）执行同向</w:t>
      </w:r>
    </w:p>
    <w:p w14:paraId="4BE3FA4E">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我部门2023年全年执行项目共190个，各项目严格按照财政批复的用途使用项目资金，预算资金支出方向与项目年度目标一致，不存在挪用、挤占和虚列项目资金的情况。故该指标得4分。</w:t>
      </w:r>
    </w:p>
    <w:p w14:paraId="7DC36FFF">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（2）项目调整</w:t>
      </w:r>
    </w:p>
    <w:p w14:paraId="062F7D6E">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我部门2023年严格按照州财政要求，对部门1-6月和1-9月项目预算执行情况进行开展绩效监控，及时分析资金支出情况。2023年通过强化落实绩效运行监控结果应用，通过梳理整体预算绩效预计完成情况、资金支出情况，对71个预算项目提出了预算收回的处置意见并向州财政局申请预算调减，涉及金额15417.17万元。我部门未出现“应采取未采取收回预算、调整目标等处置措施的部门预算阶段项目”，故该指标得4分。</w:t>
      </w:r>
    </w:p>
    <w:p w14:paraId="2325A134">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（3）执行结果</w:t>
      </w:r>
    </w:p>
    <w:p w14:paraId="307C3F1A">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Times New Roman" w:hAnsi="Times New Roman" w:eastAsia="仿宋_GB2312" w:cs="Times New Roman"/>
          <w:sz w:val="32"/>
          <w:szCs w:val="32"/>
          <w:lang w:val="zh-CN" w:eastAsia="zh-CN"/>
        </w:rPr>
        <w:t>我部门全年执行项目共计190个，涉及项目资金97157万元，其中2023年仅存在1个项目预算结余率＞10%，具体为“阿坝公路分局2022省级交通专项国省道交通易发路段整治工程”项目。故根据评分标准，该指标得3.99分。</w:t>
      </w:r>
    </w:p>
    <w:p w14:paraId="784AEFBC">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 w:val="32"/>
          <w:szCs w:val="32"/>
          <w:highlight w:val="none"/>
          <w:shd w:val="clear" w:color="auto" w:fill="FFFFFF"/>
          <w:lang w:val="zh-CN"/>
        </w:rPr>
      </w:pPr>
      <w:r>
        <w:rPr>
          <w:rFonts w:hint="eastAsia" w:ascii="楷体_GB2312" w:hAnsi="楷体_GB2312" w:eastAsia="楷体_GB2312" w:cs="楷体_GB2312"/>
          <w:color w:val="000000"/>
          <w:kern w:val="0"/>
          <w:sz w:val="32"/>
          <w:szCs w:val="32"/>
          <w:highlight w:val="none"/>
          <w:shd w:val="clear" w:color="auto" w:fill="FFFFFF"/>
          <w:lang w:val="en-US" w:eastAsia="zh-CN"/>
        </w:rPr>
        <w:t>3.</w:t>
      </w:r>
      <w:r>
        <w:rPr>
          <w:rFonts w:hint="eastAsia" w:ascii="楷体_GB2312" w:hAnsi="楷体_GB2312" w:eastAsia="楷体_GB2312" w:cs="楷体_GB2312"/>
          <w:color w:val="000000"/>
          <w:kern w:val="0"/>
          <w:sz w:val="32"/>
          <w:szCs w:val="32"/>
          <w:highlight w:val="none"/>
          <w:shd w:val="clear" w:color="auto" w:fill="FFFFFF"/>
          <w:lang w:val="zh-CN"/>
        </w:rPr>
        <w:t>目标实现。</w:t>
      </w:r>
    </w:p>
    <w:p w14:paraId="5472F5E7">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（1）目标完成</w:t>
      </w:r>
    </w:p>
    <w:p w14:paraId="471A9C37">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我部门2023年年初共申报项目20个，项目涉及数量指标20条。截至2023年12月，累计完成20条。通过项目执行，我部门在职人员工资发放、社保缴纳和办公用品保障率100%，保障了我部门各项工作正常开展，确保全州道路交通安全畅通。部门各项目标均已完成，故该指标得4分。</w:t>
      </w:r>
    </w:p>
    <w:p w14:paraId="57EF3366">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（2）目标偏离</w:t>
      </w:r>
    </w:p>
    <w:p w14:paraId="07CDC553">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我部门2023年年初共为20个项目设定了绩效目标，共设置绩效指标40余条，通过对部门工作进行自评，2023年我部门各项目绩效指标完成偏离度均小于30%。故该指标得4分。</w:t>
      </w:r>
    </w:p>
    <w:p w14:paraId="1E1DC120">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Times New Roman" w:hAnsi="Times New Roman" w:eastAsia="仿宋_GB2312" w:cs="Times New Roman"/>
          <w:sz w:val="32"/>
          <w:szCs w:val="32"/>
          <w:lang w:val="zh-CN" w:eastAsia="zh-CN"/>
        </w:rPr>
        <w:t>（3）实现效果</w:t>
      </w:r>
    </w:p>
    <w:p w14:paraId="1A92F71C">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楷体_GB2312" w:cs="Times New Roman"/>
          <w:color w:val="333333"/>
          <w:sz w:val="32"/>
          <w:szCs w:val="32"/>
          <w:highlight w:val="none"/>
          <w:u w:val="none"/>
          <w:shd w:val="clear" w:color="auto" w:fill="auto"/>
          <w:lang w:bidi="ar"/>
        </w:rPr>
      </w:pPr>
      <w:r>
        <w:rPr>
          <w:rFonts w:hint="eastAsia" w:ascii="Times New Roman" w:hAnsi="Times New Roman" w:eastAsia="仿宋_GB2312" w:cs="Times New Roman"/>
          <w:sz w:val="32"/>
          <w:szCs w:val="32"/>
          <w:lang w:val="zh-CN" w:eastAsia="zh-CN"/>
        </w:rPr>
        <w:t>2023年我部门共执行项目190个，共设置效益指标190余条。2023年我部门通过对全州道路、桥梁和隧道等设施进行维护管理，提升了道路通行能力，延长了道路使用寿命，保障了全区道路安全畅通。部门履职效益显著，故该指标得4分。</w:t>
      </w:r>
    </w:p>
    <w:p w14:paraId="68B1CBDE">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eastAsia="zh-CN"/>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三</w:t>
      </w: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default" w:ascii="Times New Roman" w:hAnsi="Times New Roman" w:eastAsia="楷体_GB2312" w:cs="Times New Roman"/>
          <w:b/>
          <w:bCs/>
          <w:color w:val="000000"/>
          <w:kern w:val="0"/>
          <w:sz w:val="32"/>
          <w:szCs w:val="32"/>
          <w:highlight w:val="none"/>
          <w:shd w:val="clear" w:color="auto" w:fill="FFFFFF"/>
          <w:lang w:val="zh-CN" w:eastAsia="zh-CN"/>
        </w:rPr>
        <w:t>重点领域</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r>
        <w:rPr>
          <w:rFonts w:hint="default" w:ascii="Times New Roman" w:hAnsi="Times New Roman" w:eastAsia="楷体_GB2312" w:cs="Times New Roman"/>
          <w:b/>
          <w:bCs/>
          <w:color w:val="000000"/>
          <w:kern w:val="0"/>
          <w:sz w:val="32"/>
          <w:szCs w:val="32"/>
          <w:highlight w:val="none"/>
          <w:shd w:val="clear" w:color="auto" w:fill="FFFFFF"/>
          <w:lang w:val="zh-CN" w:eastAsia="zh-CN"/>
        </w:rPr>
        <w:t>。</w:t>
      </w:r>
    </w:p>
    <w:p w14:paraId="2D205EFC">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eastAsia" w:ascii="Times New Roman" w:hAnsi="Times New Roman" w:eastAsia="仿宋_GB2312" w:cs="Times New Roman"/>
          <w:sz w:val="32"/>
          <w:szCs w:val="32"/>
          <w:highlight w:val="none"/>
          <w:u w:val="none"/>
          <w:lang w:val="zh-CN" w:eastAsia="zh-CN" w:bidi="ar"/>
        </w:rPr>
        <w:t>我部门2023年执行政府采购预算4361.38万元，涉及采购项目14个；采购过程中我部门严格按照单位《阿坝州公路管理局政府采购管理暂行办法》及《阿坝州公路管理局内部采购管理暂行办法》等文件开展采购工作，所购服务和货物均达到质量要求，采购流程遵循相关规定，采购程序合理合规。采购实施后，一方面通过对全州辖区道路开展养护工作，提升了全州道路畅通能力。另一方面，通过采购一些公务用车、工作制服等物资采购，提升了我部门工作开展的便利性，同时也提升了我部门工作人员的形象</w:t>
      </w:r>
      <w:r>
        <w:rPr>
          <w:rFonts w:hint="eastAsia" w:ascii="Times New Roman" w:hAnsi="Times New Roman" w:cs="Times New Roman"/>
          <w:sz w:val="32"/>
          <w:szCs w:val="32"/>
          <w:highlight w:val="none"/>
          <w:u w:val="none"/>
          <w:lang w:eastAsia="zh-CN" w:bidi="ar"/>
        </w:rPr>
        <w:t>。</w:t>
      </w:r>
    </w:p>
    <w:p w14:paraId="0E97BA31">
      <w:pPr>
        <w:keepNext w:val="0"/>
        <w:keepLines w:val="0"/>
        <w:pageBreakBefore w:val="0"/>
        <w:widowControl w:val="0"/>
        <w:kinsoku/>
        <w:wordWrap/>
        <w:overflowPunct/>
        <w:topLinePunct w:val="0"/>
        <w:autoSpaceDE/>
        <w:autoSpaceDN/>
        <w:bidi w:val="0"/>
        <w:snapToGrid w:val="0"/>
        <w:spacing w:line="600" w:lineRule="exact"/>
        <w:ind w:firstLine="643" w:firstLineChars="200"/>
        <w:textAlignment w:val="auto"/>
        <w:rPr>
          <w:rFonts w:hint="eastAsia" w:ascii="Times New Roman" w:hAnsi="Times New Roman" w:eastAsia="楷体_GB2312" w:cs="Times New Roman"/>
          <w:b/>
          <w:bCs/>
          <w:color w:val="000000"/>
          <w:kern w:val="0"/>
          <w:sz w:val="32"/>
          <w:szCs w:val="32"/>
          <w:highlight w:val="none"/>
          <w:shd w:val="clear" w:color="auto" w:fill="FFFFFF"/>
          <w:lang w:val="zh-CN" w:eastAsia="zh-CN"/>
        </w:rPr>
      </w:pPr>
      <w:r>
        <w:rPr>
          <w:rFonts w:hint="default" w:ascii="Times New Roman" w:hAnsi="Times New Roman" w:eastAsia="楷体_GB2312" w:cs="Times New Roman"/>
          <w:b/>
          <w:bCs/>
          <w:color w:val="000000"/>
          <w:kern w:val="0"/>
          <w:sz w:val="32"/>
          <w:szCs w:val="32"/>
          <w:highlight w:val="none"/>
          <w:shd w:val="clear" w:color="auto" w:fill="FFFFFF"/>
          <w:lang w:val="zh-CN" w:eastAsia="zh-CN"/>
        </w:rPr>
        <w:t>（四）绩效结果应用情况</w:t>
      </w: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p>
    <w:p w14:paraId="083145A7">
      <w:pPr>
        <w:keepNext w:val="0"/>
        <w:keepLines w:val="0"/>
        <w:pageBreakBefore w:val="0"/>
        <w:widowControl w:val="0"/>
        <w:kinsoku/>
        <w:wordWrap/>
        <w:overflowPunct/>
        <w:topLinePunct w:val="0"/>
        <w:autoSpaceDE/>
        <w:autoSpaceDN/>
        <w:bidi w:val="0"/>
        <w:snapToGrid w:val="0"/>
        <w:spacing w:line="600" w:lineRule="exact"/>
        <w:ind w:firstLine="640" w:firstLineChars="200"/>
        <w:textAlignment w:val="auto"/>
        <w:rPr>
          <w:rFonts w:hint="eastAsia" w:ascii="Times New Roman" w:hAnsi="Times New Roman" w:eastAsia="仿宋_GB2312" w:cs="Times New Roman"/>
          <w:sz w:val="32"/>
          <w:szCs w:val="32"/>
          <w:highlight w:val="none"/>
          <w:u w:val="none"/>
          <w:lang w:val="zh-CN" w:eastAsia="zh-CN" w:bidi="ar"/>
        </w:rPr>
      </w:pPr>
      <w:r>
        <w:rPr>
          <w:rFonts w:hint="eastAsia" w:ascii="Times New Roman" w:hAnsi="Times New Roman" w:eastAsia="仿宋_GB2312" w:cs="Times New Roman"/>
          <w:sz w:val="32"/>
          <w:szCs w:val="32"/>
          <w:highlight w:val="none"/>
          <w:u w:val="none"/>
          <w:lang w:val="zh-CN" w:eastAsia="zh-CN" w:bidi="ar"/>
        </w:rPr>
        <w:t>一是通过本次绩效自评工作，我部门将进一步加强部门预算绩效管理知识学习，加强部门预算编制的科学性和合理性，并加强项目资金管理，提高资金使用效益，保障各项工作顺利开展。</w:t>
      </w:r>
    </w:p>
    <w:p w14:paraId="3F1E4196">
      <w:pPr>
        <w:keepNext w:val="0"/>
        <w:keepLines w:val="0"/>
        <w:pageBreakBefore w:val="0"/>
        <w:widowControl w:val="0"/>
        <w:kinsoku/>
        <w:wordWrap/>
        <w:overflowPunct/>
        <w:topLinePunct w:val="0"/>
        <w:autoSpaceDE/>
        <w:autoSpaceDN/>
        <w:bidi w:val="0"/>
        <w:snapToGrid w:val="0"/>
        <w:spacing w:line="600" w:lineRule="exact"/>
        <w:ind w:firstLine="640" w:firstLineChars="200"/>
        <w:textAlignment w:val="auto"/>
        <w:rPr>
          <w:rFonts w:hint="default" w:ascii="Times New Roman" w:hAnsi="Times New Roman" w:eastAsia="仿宋_GB2312" w:cs="Times New Roman"/>
          <w:sz w:val="32"/>
          <w:szCs w:val="32"/>
          <w:highlight w:val="none"/>
          <w:u w:val="none"/>
          <w:lang w:bidi="ar"/>
        </w:rPr>
      </w:pPr>
      <w:r>
        <w:rPr>
          <w:rFonts w:hint="eastAsia" w:ascii="Times New Roman" w:hAnsi="Times New Roman" w:eastAsia="仿宋_GB2312" w:cs="Times New Roman"/>
          <w:sz w:val="32"/>
          <w:szCs w:val="32"/>
          <w:highlight w:val="none"/>
          <w:u w:val="none"/>
          <w:lang w:val="zh-CN" w:eastAsia="zh-CN" w:bidi="ar"/>
        </w:rPr>
        <w:t>二是严格按照州财政局有关要求公开。</w:t>
      </w:r>
    </w:p>
    <w:p w14:paraId="39658F2D">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1"/>
        <w:rPr>
          <w:rFonts w:hint="default" w:eastAsia="黑体" w:cs="Times New Roman"/>
          <w:color w:val="000000"/>
          <w:kern w:val="0"/>
          <w:sz w:val="32"/>
          <w:szCs w:val="32"/>
          <w:highlight w:val="none"/>
          <w:shd w:val="clear" w:color="auto" w:fill="FFFFFF"/>
          <w:lang w:val="zh-CN"/>
        </w:rPr>
      </w:pPr>
      <w:bookmarkStart w:id="74" w:name="_Toc9762"/>
      <w:r>
        <w:rPr>
          <w:rFonts w:hint="default" w:eastAsia="黑体" w:cs="Times New Roman"/>
          <w:color w:val="000000"/>
          <w:kern w:val="0"/>
          <w:sz w:val="32"/>
          <w:szCs w:val="32"/>
          <w:highlight w:val="none"/>
          <w:shd w:val="clear" w:color="auto" w:fill="FFFFFF"/>
          <w:lang w:val="zh-CN" w:eastAsia="zh-CN"/>
        </w:rPr>
        <w:t>四、</w:t>
      </w:r>
      <w:r>
        <w:rPr>
          <w:rFonts w:hint="default" w:eastAsia="黑体" w:cs="Times New Roman"/>
          <w:color w:val="000000"/>
          <w:kern w:val="0"/>
          <w:sz w:val="32"/>
          <w:szCs w:val="32"/>
          <w:highlight w:val="none"/>
          <w:shd w:val="clear" w:color="auto" w:fill="FFFFFF"/>
          <w:lang w:val="zh-CN"/>
        </w:rPr>
        <w:t>评价结论及建议</w:t>
      </w:r>
      <w:bookmarkEnd w:id="74"/>
    </w:p>
    <w:p w14:paraId="3CCD07EE">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rPr>
      </w:pPr>
      <w:r>
        <w:rPr>
          <w:rFonts w:hint="default" w:ascii="Times New Roman" w:hAnsi="Times New Roman" w:eastAsia="楷体_GB2312" w:cs="Times New Roman"/>
          <w:b/>
          <w:bCs/>
          <w:color w:val="000000"/>
          <w:kern w:val="0"/>
          <w:sz w:val="32"/>
          <w:szCs w:val="32"/>
          <w:highlight w:val="none"/>
          <w:shd w:val="clear" w:color="auto" w:fill="FFFFFF"/>
          <w:lang w:val="zh-CN"/>
        </w:rPr>
        <w:t>（一）评价结论。</w:t>
      </w:r>
    </w:p>
    <w:p w14:paraId="097349BD">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仿宋_GB2312" w:cs="Times New Roman"/>
          <w:sz w:val="32"/>
          <w:szCs w:val="32"/>
          <w:u w:val="none"/>
          <w:lang w:val="en-US" w:eastAsia="zh-CN" w:bidi="ar"/>
        </w:rPr>
      </w:pPr>
      <w:r>
        <w:rPr>
          <w:rFonts w:hint="eastAsia" w:ascii="Times New Roman" w:hAnsi="Times New Roman" w:eastAsia="仿宋_GB2312" w:cs="Times New Roman"/>
          <w:sz w:val="32"/>
          <w:szCs w:val="32"/>
          <w:u w:val="none"/>
          <w:lang w:val="en-US" w:eastAsia="zh-CN" w:bidi="ar"/>
        </w:rPr>
        <w:t>2023年我部门较好</w:t>
      </w:r>
      <w:r>
        <w:rPr>
          <w:rFonts w:hint="eastAsia" w:eastAsia="仿宋_GB2312" w:cs="Times New Roman"/>
          <w:sz w:val="32"/>
          <w:szCs w:val="32"/>
          <w:u w:val="none"/>
          <w:lang w:val="en-US" w:eastAsia="zh-CN" w:bidi="ar"/>
        </w:rPr>
        <w:t>地</w:t>
      </w:r>
      <w:r>
        <w:rPr>
          <w:rFonts w:hint="eastAsia" w:ascii="Times New Roman" w:hAnsi="Times New Roman" w:eastAsia="仿宋_GB2312" w:cs="Times New Roman"/>
          <w:sz w:val="32"/>
          <w:szCs w:val="32"/>
          <w:u w:val="none"/>
          <w:lang w:val="en-US" w:eastAsia="zh-CN" w:bidi="ar"/>
        </w:rPr>
        <w:t>完成了各项工作，经过对我部门总体工作进行自评，最终自评分数为85.75分，自评等级为“良”。</w:t>
      </w:r>
    </w:p>
    <w:p w14:paraId="36E5B853">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rPr>
      </w:pPr>
      <w:r>
        <w:rPr>
          <w:rFonts w:hint="default" w:ascii="Times New Roman" w:hAnsi="Times New Roman" w:eastAsia="楷体_GB2312" w:cs="Times New Roman"/>
          <w:b/>
          <w:bCs/>
          <w:color w:val="000000"/>
          <w:kern w:val="0"/>
          <w:sz w:val="32"/>
          <w:szCs w:val="32"/>
          <w:highlight w:val="none"/>
          <w:shd w:val="clear" w:color="auto" w:fill="FFFFFF"/>
          <w:lang w:val="zh-CN"/>
        </w:rPr>
        <w:t>（二）存在问题。</w:t>
      </w:r>
    </w:p>
    <w:p w14:paraId="0A85DE07">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u w:val="none"/>
          <w:lang w:val="en-US" w:eastAsia="zh-CN" w:bidi="ar"/>
        </w:rPr>
      </w:pPr>
      <w:r>
        <w:rPr>
          <w:rFonts w:hint="eastAsia" w:ascii="Times New Roman" w:hAnsi="Times New Roman" w:eastAsia="仿宋_GB2312" w:cs="Times New Roman"/>
          <w:sz w:val="32"/>
          <w:szCs w:val="32"/>
          <w:u w:val="none"/>
          <w:lang w:val="en-US" w:eastAsia="zh-CN" w:bidi="ar"/>
        </w:rPr>
        <w:t>1.预算编制准确性有待进一步提高。</w:t>
      </w:r>
    </w:p>
    <w:p w14:paraId="5A8F57E8">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u w:val="none"/>
          <w:lang w:val="en-US" w:eastAsia="zh-CN" w:bidi="ar"/>
        </w:rPr>
      </w:pPr>
      <w:r>
        <w:rPr>
          <w:rFonts w:hint="eastAsia" w:ascii="Times New Roman" w:hAnsi="Times New Roman" w:eastAsia="仿宋_GB2312" w:cs="Times New Roman"/>
          <w:sz w:val="32"/>
          <w:szCs w:val="32"/>
          <w:u w:val="none"/>
          <w:lang w:val="en-US" w:eastAsia="zh-CN" w:bidi="ar"/>
        </w:rPr>
        <w:t>部门年初预算与全年预算数存在较大差异，预算编制长远性谋划不足，对部门预算执行进度考核和部门整体绩效评价有一定影响。</w:t>
      </w:r>
    </w:p>
    <w:p w14:paraId="1257F7FC">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u w:val="none"/>
          <w:lang w:val="en-US" w:eastAsia="zh-CN" w:bidi="ar"/>
        </w:rPr>
      </w:pPr>
      <w:r>
        <w:rPr>
          <w:rFonts w:hint="eastAsia" w:ascii="Times New Roman" w:hAnsi="Times New Roman" w:eastAsia="仿宋_GB2312" w:cs="Times New Roman"/>
          <w:sz w:val="32"/>
          <w:szCs w:val="32"/>
          <w:u w:val="none"/>
          <w:lang w:val="en-US" w:eastAsia="zh-CN" w:bidi="ar"/>
        </w:rPr>
        <w:t>2.一般性支出压减力度不够。</w:t>
      </w:r>
    </w:p>
    <w:p w14:paraId="4C9A7F8E">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u w:val="none"/>
          <w:lang w:val="en-US" w:eastAsia="zh-CN" w:bidi="ar"/>
        </w:rPr>
      </w:pPr>
      <w:r>
        <w:rPr>
          <w:rFonts w:hint="eastAsia" w:ascii="Times New Roman" w:hAnsi="Times New Roman" w:eastAsia="仿宋_GB2312" w:cs="Times New Roman"/>
          <w:sz w:val="32"/>
          <w:szCs w:val="32"/>
          <w:u w:val="none"/>
          <w:lang w:val="en-US" w:eastAsia="zh-CN" w:bidi="ar"/>
        </w:rPr>
        <w:t>2023年一般性支出中，部门“三公经费”“差旅经费”和“培训经费”年初预算较上年未实现压减，“差旅经费”和“培训经费”预算执行较上年未实现压减，主要原因系：一是我州需要养护公路里程数增加，道路养护需开展的培训费用增加；二是我部门2023年追加的工程类项目较多，频繁往返项目点检查工作导致差旅费增加。</w:t>
      </w:r>
    </w:p>
    <w:p w14:paraId="43053493">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eastAsia="zh-CN"/>
        </w:rPr>
      </w:pPr>
      <w:r>
        <w:rPr>
          <w:rFonts w:hint="default" w:ascii="Times New Roman" w:hAnsi="Times New Roman" w:eastAsia="楷体_GB2312" w:cs="Times New Roman"/>
          <w:b/>
          <w:bCs/>
          <w:color w:val="000000"/>
          <w:kern w:val="0"/>
          <w:sz w:val="32"/>
          <w:szCs w:val="32"/>
          <w:highlight w:val="none"/>
          <w:shd w:val="clear" w:color="auto" w:fill="FFFFFF"/>
          <w:lang w:val="zh-CN" w:eastAsia="zh-CN"/>
        </w:rPr>
        <w:t>（三）改进建议。</w:t>
      </w:r>
    </w:p>
    <w:p w14:paraId="125A5B26">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u w:val="none"/>
          <w:lang w:val="en-US" w:eastAsia="zh-CN" w:bidi="ar"/>
        </w:rPr>
      </w:pPr>
      <w:bookmarkStart w:id="75" w:name="_Hlk110546638"/>
      <w:r>
        <w:rPr>
          <w:rFonts w:hint="eastAsia" w:ascii="Times New Roman" w:hAnsi="Times New Roman" w:eastAsia="仿宋_GB2312" w:cs="Times New Roman"/>
          <w:sz w:val="32"/>
          <w:szCs w:val="32"/>
          <w:u w:val="none"/>
          <w:lang w:val="en-US" w:eastAsia="zh-CN" w:bidi="ar"/>
        </w:rPr>
        <w:t>1.合理进行预算测算，提高预算编制准确性。</w:t>
      </w:r>
    </w:p>
    <w:p w14:paraId="6C81681F">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u w:val="none"/>
          <w:lang w:val="en-US" w:eastAsia="zh-CN" w:bidi="ar"/>
        </w:rPr>
      </w:pPr>
      <w:r>
        <w:rPr>
          <w:rFonts w:hint="eastAsia" w:ascii="Times New Roman" w:hAnsi="Times New Roman" w:eastAsia="仿宋_GB2312" w:cs="Times New Roman"/>
          <w:sz w:val="32"/>
          <w:szCs w:val="32"/>
          <w:u w:val="none"/>
          <w:lang w:val="en-US" w:eastAsia="zh-CN" w:bidi="ar"/>
        </w:rPr>
        <w:t>加强研究分析，夯实预算编制工作的基础，在编制部门预算时，深入调研和分析各部门的实际需求，根据事业发展规划、年度工作计划和履职需要，科学合理地预测未来一年的资产配置需求、政府采购规模和方向，并充分考虑市场变化、政策调整等因素对计划的影响，增强预算的计划性、前瞻性，提高预算编制的科学性、准确性。</w:t>
      </w:r>
    </w:p>
    <w:p w14:paraId="1A14E473">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u w:val="none"/>
          <w:lang w:val="en-US" w:eastAsia="zh-CN" w:bidi="ar"/>
        </w:rPr>
      </w:pPr>
      <w:r>
        <w:rPr>
          <w:rFonts w:hint="eastAsia" w:ascii="Times New Roman" w:hAnsi="Times New Roman" w:eastAsia="仿宋_GB2312" w:cs="Times New Roman"/>
          <w:sz w:val="32"/>
          <w:szCs w:val="32"/>
          <w:u w:val="none"/>
          <w:lang w:val="en-US" w:eastAsia="zh-CN" w:bidi="ar"/>
        </w:rPr>
        <w:t>2.厉行勤俭节约，压减一般性支出。</w:t>
      </w:r>
    </w:p>
    <w:p w14:paraId="4024468F">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eastAsia="仿宋_GB2312" w:cs="Times New Roman"/>
          <w:sz w:val="32"/>
          <w:szCs w:val="32"/>
          <w:u w:val="none"/>
          <w:lang w:val="en" w:eastAsia="zh-CN" w:bidi="ar"/>
        </w:rPr>
      </w:pPr>
      <w:r>
        <w:rPr>
          <w:rFonts w:hint="eastAsia" w:ascii="Times New Roman" w:hAnsi="Times New Roman" w:eastAsia="仿宋_GB2312" w:cs="Times New Roman"/>
          <w:sz w:val="32"/>
          <w:szCs w:val="32"/>
          <w:u w:val="none"/>
          <w:lang w:val="en-US" w:eastAsia="zh-CN" w:bidi="ar"/>
        </w:rPr>
        <w:t>牢固树立过紧日子思想，坚持严预算、提绩效，压缩非急需非刚性支出，严格控制“三公”经费支出，重点保障民生、工资、运转等重点领域支出，进一步提高资金配置效率，全面提高财政资金使用效益。</w:t>
      </w:r>
    </w:p>
    <w:bookmarkEnd w:id="75"/>
    <w:p w14:paraId="1DA918A7">
      <w:pPr>
        <w:rPr>
          <w:rFonts w:hint="eastAsia" w:hAnsi="Times New Roman" w:cs="Times New Roman"/>
          <w:color w:val="auto"/>
          <w:sz w:val="32"/>
          <w:szCs w:val="32"/>
          <w:highlight w:val="none"/>
          <w:lang w:val="zh-CN" w:eastAsia="zh-CN"/>
        </w:rPr>
      </w:pPr>
      <w:r>
        <w:rPr>
          <w:rFonts w:hint="eastAsia" w:hAnsi="Times New Roman" w:cs="Times New Roman"/>
          <w:color w:val="auto"/>
          <w:sz w:val="32"/>
          <w:szCs w:val="32"/>
          <w:highlight w:val="none"/>
          <w:lang w:val="zh-CN" w:eastAsia="zh-CN"/>
        </w:rPr>
        <w:br w:type="page"/>
      </w:r>
    </w:p>
    <w:p w14:paraId="632AC51E">
      <w:pPr>
        <w:pStyle w:val="10"/>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hAnsi="Times New Roman" w:cs="Times New Roman"/>
          <w:color w:val="auto"/>
          <w:sz w:val="32"/>
          <w:szCs w:val="32"/>
          <w:highlight w:val="none"/>
          <w:lang w:val="zh-CN" w:eastAsia="zh-CN"/>
        </w:rPr>
      </w:pPr>
      <w:r>
        <w:rPr>
          <w:rFonts w:hint="eastAsia" w:hAnsi="Times New Roman" w:cs="Times New Roman"/>
          <w:color w:val="auto"/>
          <w:sz w:val="32"/>
          <w:szCs w:val="32"/>
          <w:highlight w:val="none"/>
          <w:lang w:val="zh-CN" w:eastAsia="zh-CN"/>
        </w:rPr>
        <w:t>附表：</w:t>
      </w:r>
      <w:r>
        <w:rPr>
          <w:rFonts w:hint="eastAsia" w:hAnsi="Times New Roman" w:cs="Times New Roman"/>
          <w:color w:val="auto"/>
          <w:sz w:val="32"/>
          <w:szCs w:val="32"/>
          <w:highlight w:val="none"/>
          <w:lang w:val="en-US" w:eastAsia="zh-CN"/>
        </w:rPr>
        <w:t>部门预算项目支出绩效自评表（202</w:t>
      </w:r>
      <w:r>
        <w:rPr>
          <w:rFonts w:hint="eastAsia" w:cs="Times New Roman"/>
          <w:color w:val="auto"/>
          <w:sz w:val="32"/>
          <w:szCs w:val="32"/>
          <w:highlight w:val="none"/>
          <w:lang w:val="en-US" w:eastAsia="zh-CN"/>
        </w:rPr>
        <w:t>3</w:t>
      </w:r>
      <w:r>
        <w:rPr>
          <w:rFonts w:hint="eastAsia" w:hAnsi="Times New Roman" w:cs="Times New Roman"/>
          <w:color w:val="auto"/>
          <w:sz w:val="32"/>
          <w:szCs w:val="32"/>
          <w:highlight w:val="none"/>
          <w:lang w:val="en-US" w:eastAsia="zh-CN"/>
        </w:rPr>
        <w:t>年度）</w:t>
      </w:r>
    </w:p>
    <w:p w14:paraId="5AF5E4A4">
      <w:pPr>
        <w:pStyle w:val="10"/>
        <w:keepNext w:val="0"/>
        <w:keepLines w:val="0"/>
        <w:pageBreakBefore w:val="0"/>
        <w:numPr>
          <w:ilvl w:val="0"/>
          <w:numId w:val="0"/>
        </w:numPr>
        <w:kinsoku/>
        <w:wordWrap/>
        <w:overflowPunct/>
        <w:topLinePunct w:val="0"/>
        <w:autoSpaceDE/>
        <w:autoSpaceDN/>
        <w:bidi w:val="0"/>
        <w:spacing w:after="0" w:line="240" w:lineRule="auto"/>
        <w:ind w:firstLine="0" w:firstLineChars="0"/>
        <w:textAlignment w:val="auto"/>
        <w:rPr>
          <w:rFonts w:hint="default" w:ascii="仿宋_GB2312" w:hAnsi="仿宋_GB2312" w:eastAsia="仿宋_GB2312" w:cs="仿宋_GB2312"/>
          <w:b w:val="0"/>
          <w:bCs w:val="0"/>
          <w:kern w:val="0"/>
          <w:positio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object>
          <v:shape id="_x0000_i1025" o:spt="75" type="#_x0000_t75" style="height:482.05pt;width:414.7pt;" o:ole="t" filled="f" o:preferrelative="t" stroked="f" coordsize="21600,21600">
            <v:path/>
            <v:fill on="f" focussize="0,0"/>
            <v:stroke on="f"/>
            <v:imagedata r:id="rId16" o:title=""/>
            <o:lock v:ext="edit" aspectratio="f"/>
            <w10:wrap type="none"/>
            <w10:anchorlock/>
          </v:shape>
          <o:OLEObject Type="Embed" ProgID="Excel.Sheet.12" ShapeID="_x0000_i1025" DrawAspect="Content" ObjectID="_1468075725" r:id="rId15">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26" o:spt="75" type="#_x0000_t75" style="height:444.4pt;width:414.7pt;" o:ole="t" filled="f" o:preferrelative="t" stroked="f" coordsize="21600,21600">
            <v:path/>
            <v:fill on="f" focussize="0,0"/>
            <v:stroke on="f"/>
            <v:imagedata r:id="rId18" o:title=""/>
            <o:lock v:ext="edit" aspectratio="f"/>
            <w10:wrap type="none"/>
            <w10:anchorlock/>
          </v:shape>
          <o:OLEObject Type="Embed" ProgID="Excel.Sheet.12" ShapeID="_x0000_i1026" DrawAspect="Content" ObjectID="_1468075726" r:id="rId17">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27" o:spt="75" type="#_x0000_t75" style="height:420.3pt;width:414.7pt;" o:ole="t" filled="f" o:preferrelative="t" stroked="f" coordsize="21600,21600">
            <v:path/>
            <v:fill on="f" focussize="0,0"/>
            <v:stroke on="f"/>
            <v:imagedata r:id="rId20" o:title=""/>
            <o:lock v:ext="edit" aspectratio="f"/>
            <w10:wrap type="none"/>
            <w10:anchorlock/>
          </v:shape>
          <o:OLEObject Type="Embed" ProgID="Excel.Sheet.12" ShapeID="_x0000_i1027" DrawAspect="Content" ObjectID="_1468075727" r:id="rId19">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28" o:spt="75" type="#_x0000_t75" style="height:460.4pt;width:414.7pt;" o:ole="t" filled="f" o:preferrelative="t" stroked="f" coordsize="21600,21600">
            <v:path/>
            <v:fill on="f" focussize="0,0"/>
            <v:stroke on="f"/>
            <v:imagedata r:id="rId22" o:title=""/>
            <o:lock v:ext="edit" aspectratio="f"/>
            <w10:wrap type="none"/>
            <w10:anchorlock/>
          </v:shape>
          <o:OLEObject Type="Embed" ProgID="Excel.Sheet.12" ShapeID="_x0000_i1028" DrawAspect="Content" ObjectID="_1468075728" r:id="rId21">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29" o:spt="75" type="#_x0000_t75" style="height:472.85pt;width:414.7pt;" o:ole="t" filled="f" o:preferrelative="t" stroked="f" coordsize="21600,21600">
            <v:path/>
            <v:fill on="f" focussize="0,0"/>
            <v:stroke on="f"/>
            <v:imagedata r:id="rId24" o:title=""/>
            <o:lock v:ext="edit" aspectratio="f"/>
            <w10:wrap type="none"/>
            <w10:anchorlock/>
          </v:shape>
          <o:OLEObject Type="Embed" ProgID="Excel.Sheet.12" ShapeID="_x0000_i1029" DrawAspect="Content" ObjectID="_1468075729" r:id="rId23">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30" o:spt="75" type="#_x0000_t75" style="height:416.75pt;width:414.7pt;" o:ole="t" filled="f" o:preferrelative="t" stroked="f" coordsize="21600,21600">
            <v:path/>
            <v:fill on="f" focussize="0,0"/>
            <v:stroke on="f"/>
            <v:imagedata r:id="rId26" o:title=""/>
            <o:lock v:ext="edit" aspectratio="f"/>
            <w10:wrap type="none"/>
            <w10:anchorlock/>
          </v:shape>
          <o:OLEObject Type="Embed" ProgID="Excel.Sheet.12" ShapeID="_x0000_i1030" DrawAspect="Content" ObjectID="_1468075730" r:id="rId25">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31" o:spt="75" type="#_x0000_t75" style="height:425.15pt;width:414.7pt;" o:ole="t" filled="f" o:preferrelative="t" stroked="f" coordsize="21600,21600">
            <v:path/>
            <v:fill on="f" focussize="0,0"/>
            <v:stroke on="f"/>
            <v:imagedata r:id="rId28" o:title=""/>
            <o:lock v:ext="edit" aspectratio="f"/>
            <w10:wrap type="none"/>
            <w10:anchorlock/>
          </v:shape>
          <o:OLEObject Type="Embed" ProgID="Excel.Sheet.12" ShapeID="_x0000_i1031" DrawAspect="Content" ObjectID="_1468075731" r:id="rId27">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32" o:spt="75" type="#_x0000_t75" style="height:474.45pt;width:414.7pt;" o:ole="t" filled="f" o:preferrelative="t" stroked="f" coordsize="21600,21600">
            <v:path/>
            <v:fill on="f" focussize="0,0"/>
            <v:stroke on="f"/>
            <v:imagedata r:id="rId30" o:title=""/>
            <o:lock v:ext="edit" aspectratio="f"/>
            <w10:wrap type="none"/>
            <w10:anchorlock/>
          </v:shape>
          <o:OLEObject Type="Embed" ProgID="Excel.Sheet.12" ShapeID="_x0000_i1032" DrawAspect="Content" ObjectID="_1468075732" r:id="rId29">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33" o:spt="75" type="#_x0000_t75" style="height:399.55pt;width:415.2pt;" o:ole="t" filled="f" o:preferrelative="t" stroked="f" coordsize="21600,21600">
            <v:path/>
            <v:fill on="f" focussize="0,0"/>
            <v:stroke on="f"/>
            <v:imagedata r:id="rId32" o:title=""/>
            <o:lock v:ext="edit" aspectratio="f"/>
            <w10:wrap type="none"/>
            <w10:anchorlock/>
          </v:shape>
          <o:OLEObject Type="Embed" ProgID="Excel.Sheet.12" ShapeID="_x0000_i1033" DrawAspect="Content" ObjectID="_1468075733" r:id="rId31">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34" o:spt="75" type="#_x0000_t75" style="height:568.2pt;width:415.2pt;" o:ole="t" filled="f" o:preferrelative="t" stroked="f" coordsize="21600,21600">
            <v:path/>
            <v:fill on="f" focussize="0,0"/>
            <v:stroke on="f"/>
            <v:imagedata r:id="rId34" o:title=""/>
            <o:lock v:ext="edit" aspectratio="f"/>
            <w10:wrap type="none"/>
            <w10:anchorlock/>
          </v:shape>
          <o:OLEObject Type="Embed" ProgID="Excel.Sheet.12" ShapeID="_x0000_i1034" DrawAspect="Content" ObjectID="_1468075734" r:id="rId33">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35" o:spt="75" type="#_x0000_t75" style="height:452.75pt;width:415.2pt;" o:ole="t" filled="f" o:preferrelative="t" stroked="f" coordsize="21600,21600">
            <v:path/>
            <v:fill on="f" focussize="0,0"/>
            <v:stroke on="f"/>
            <v:imagedata r:id="rId36" o:title=""/>
            <o:lock v:ext="edit" aspectratio="f"/>
            <w10:wrap type="none"/>
            <w10:anchorlock/>
          </v:shape>
          <o:OLEObject Type="Embed" ProgID="Excel.Sheet.12" ShapeID="_x0000_i1035" DrawAspect="Content" ObjectID="_1468075735" r:id="rId35">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36" o:spt="75" type="#_x0000_t75" style="height:479.75pt;width:415.2pt;" o:ole="t" filled="f" o:preferrelative="t" stroked="f" coordsize="21600,21600">
            <v:path/>
            <v:fill on="f" focussize="0,0"/>
            <v:stroke on="f"/>
            <v:imagedata r:id="rId38" o:title=""/>
            <o:lock v:ext="edit" aspectratio="f"/>
            <w10:wrap type="none"/>
            <w10:anchorlock/>
          </v:shape>
          <o:OLEObject Type="Embed" ProgID="Excel.Sheet.12" ShapeID="_x0000_i1036" DrawAspect="Content" ObjectID="_1468075736" r:id="rId37">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37" o:spt="75" type="#_x0000_t75" style="height:633.75pt;width:415.05pt;" o:ole="t" filled="f" o:preferrelative="t" stroked="f" coordsize="21600,21600">
            <v:path/>
            <v:fill on="f" focussize="0,0"/>
            <v:stroke on="f"/>
            <v:imagedata r:id="rId40" o:title=""/>
            <o:lock v:ext="edit" aspectratio="f"/>
            <w10:wrap type="none"/>
            <w10:anchorlock/>
          </v:shape>
          <o:OLEObject Type="Embed" ProgID="Excel.Sheet.12" ShapeID="_x0000_i1037" DrawAspect="Content" ObjectID="_1468075737" r:id="rId39">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38" o:spt="75" type="#_x0000_t75" style="height:459.35pt;width:415.05pt;" o:ole="t" filled="f" o:preferrelative="t" stroked="f" coordsize="21600,21600">
            <v:path/>
            <v:fill on="f" focussize="0,0"/>
            <v:stroke on="f"/>
            <v:imagedata r:id="rId42" o:title=""/>
            <o:lock v:ext="edit" aspectratio="f"/>
            <w10:wrap type="none"/>
            <w10:anchorlock/>
          </v:shape>
          <o:OLEObject Type="Embed" ProgID="Excel.Sheet.12" ShapeID="_x0000_i1038" DrawAspect="Content" ObjectID="_1468075738" r:id="rId41">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39" o:spt="75" type="#_x0000_t75" style="height:500.5pt;width:415.05pt;" o:ole="t" filled="f" o:preferrelative="t" stroked="f" coordsize="21600,21600">
            <v:path/>
            <v:fill on="f" focussize="0,0"/>
            <v:stroke on="f"/>
            <v:imagedata r:id="rId44" o:title=""/>
            <o:lock v:ext="edit" aspectratio="f"/>
            <w10:wrap type="none"/>
            <w10:anchorlock/>
          </v:shape>
          <o:OLEObject Type="Embed" ProgID="Excel.Sheet.12" ShapeID="_x0000_i1039" DrawAspect="Content" ObjectID="_1468075739" r:id="rId43">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40" o:spt="75" type="#_x0000_t75" style="height:632.55pt;width:415.05pt;" o:ole="t" filled="f" o:preferrelative="t" stroked="f" coordsize="21600,21600">
            <v:path/>
            <v:fill on="f" focussize="0,0"/>
            <v:stroke on="f"/>
            <v:imagedata r:id="rId46" o:title=""/>
            <o:lock v:ext="edit" aspectratio="f"/>
            <w10:wrap type="none"/>
            <w10:anchorlock/>
          </v:shape>
          <o:OLEObject Type="Embed" ProgID="Excel.Sheet.12" ShapeID="_x0000_i1040" DrawAspect="Content" ObjectID="_1468075740" r:id="rId45">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41" o:spt="75" type="#_x0000_t75" style="height:495.4pt;width:415.05pt;" o:ole="t" filled="f" o:preferrelative="t" stroked="f" coordsize="21600,21600">
            <v:path/>
            <v:fill on="f" focussize="0,0"/>
            <v:stroke on="f"/>
            <v:imagedata r:id="rId48" o:title=""/>
            <o:lock v:ext="edit" aspectratio="f"/>
            <w10:wrap type="none"/>
            <w10:anchorlock/>
          </v:shape>
          <o:OLEObject Type="Embed" ProgID="Excel.Sheet.12" ShapeID="_x0000_i1041" DrawAspect="Content" ObjectID="_1468075741" r:id="rId47">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42" o:spt="75" type="#_x0000_t75" style="height:525.2pt;width:415.05pt;" o:ole="t" filled="f" o:preferrelative="t" stroked="f" coordsize="21600,21600">
            <v:path/>
            <v:fill on="f" focussize="0,0"/>
            <v:stroke on="f"/>
            <v:imagedata r:id="rId50" o:title=""/>
            <o:lock v:ext="edit" aspectratio="f"/>
            <w10:wrap type="none"/>
            <w10:anchorlock/>
          </v:shape>
          <o:OLEObject Type="Embed" ProgID="Excel.Sheet.12" ShapeID="_x0000_i1042" DrawAspect="Content" ObjectID="_1468075742" r:id="rId49">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43" o:spt="75" type="#_x0000_t75" style="height:540.45pt;width:415.05pt;" o:ole="t" filled="f" o:preferrelative="t" stroked="f" coordsize="21600,21600">
            <v:path/>
            <v:fill on="f" focussize="0,0"/>
            <v:stroke on="f"/>
            <v:imagedata r:id="rId52" o:title=""/>
            <o:lock v:ext="edit" aspectratio="f"/>
            <w10:wrap type="none"/>
            <w10:anchorlock/>
          </v:shape>
          <o:OLEObject Type="Embed" ProgID="Excel.Sheet.12" ShapeID="_x0000_i1043" DrawAspect="Content" ObjectID="_1468075743" r:id="rId51">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44" o:spt="75" type="#_x0000_t75" style="height:444.45pt;width:415.05pt;" o:ole="t" filled="f" o:preferrelative="t" stroked="f" coordsize="21600,21600">
            <v:path/>
            <v:fill on="f" focussize="0,0"/>
            <v:stroke on="f"/>
            <v:imagedata r:id="rId54" o:title=""/>
            <o:lock v:ext="edit" aspectratio="f"/>
            <w10:wrap type="none"/>
            <w10:anchorlock/>
          </v:shape>
          <o:OLEObject Type="Embed" ProgID="Excel.Sheet.12" ShapeID="_x0000_i1044" DrawAspect="Content" ObjectID="_1468075744" r:id="rId53">
            <o:LockedField>false</o:LockedField>
          </o:OLEObject>
        </w:object>
      </w:r>
      <w:r>
        <w:rPr>
          <w:rFonts w:hint="eastAsia" w:ascii="仿宋_GB2312" w:hAnsi="Calibri" w:eastAsia="仿宋_GB2312" w:cs="仿宋"/>
          <w:color w:val="auto"/>
          <w:kern w:val="0"/>
          <w:sz w:val="32"/>
          <w:szCs w:val="32"/>
          <w:highlight w:val="none"/>
          <w:lang w:val="en-US" w:eastAsia="zh-CN" w:bidi="ar-SA"/>
        </w:rPr>
        <w:object>
          <v:shape id="_x0000_i1045" o:spt="75" type="#_x0000_t75" style="height:454.25pt;width:415.05pt;" o:ole="t" filled="f" o:preferrelative="t" stroked="f" coordsize="21600,21600">
            <v:path/>
            <v:fill on="f" focussize="0,0"/>
            <v:stroke on="f"/>
            <v:imagedata r:id="rId56" o:title=""/>
            <o:lock v:ext="edit" aspectratio="f"/>
            <w10:wrap type="none"/>
            <w10:anchorlock/>
          </v:shape>
          <o:OLEObject Type="Embed" ProgID="Excel.Sheet.12" ShapeID="_x0000_i1045" DrawAspect="Content" ObjectID="_1468075745" r:id="rId55">
            <o:LockedField>false</o:LockedField>
          </o:OLEObject>
        </w:object>
      </w:r>
    </w:p>
    <w:p w14:paraId="03C7D874">
      <w:pPr>
        <w:pStyle w:val="10"/>
        <w:keepNext w:val="0"/>
        <w:keepLines w:val="0"/>
        <w:pageBreakBefore w:val="0"/>
        <w:numPr>
          <w:ilvl w:val="0"/>
          <w:numId w:val="0"/>
        </w:numPr>
        <w:kinsoku/>
        <w:wordWrap/>
        <w:overflowPunct/>
        <w:topLinePunct w:val="0"/>
        <w:autoSpaceDE/>
        <w:autoSpaceDN/>
        <w:bidi w:val="0"/>
        <w:spacing w:line="560" w:lineRule="exact"/>
        <w:textAlignment w:val="auto"/>
        <w:rPr>
          <w:rFonts w:hint="eastAsia" w:hAnsi="Times New Roman" w:cs="Times New Roman"/>
          <w:sz w:val="32"/>
          <w:szCs w:val="32"/>
          <w:highlight w:val="yellow"/>
          <w:lang w:val="zh-CN" w:eastAsia="zh-CN"/>
        </w:rPr>
      </w:pPr>
    </w:p>
    <w:p w14:paraId="757A2F78">
      <w:pPr>
        <w:pStyle w:val="8"/>
        <w:rPr>
          <w:rFonts w:hint="eastAsia" w:hAnsi="宋体" w:cs="宋体"/>
          <w:color w:val="FF0000"/>
          <w:kern w:val="0"/>
          <w:sz w:val="32"/>
          <w:szCs w:val="32"/>
          <w:highlight w:val="yellow"/>
          <w:shd w:val="clear" w:color="auto" w:fill="FFFFFF"/>
          <w:lang w:val="zh-CN"/>
        </w:rPr>
      </w:pPr>
    </w:p>
    <w:p w14:paraId="6649DF61">
      <w:pPr>
        <w:rPr>
          <w:rFonts w:hint="eastAsia" w:ascii="黑体" w:hAnsi="黑体" w:eastAsia="黑体" w:cs="黑体"/>
          <w:color w:val="auto"/>
          <w:kern w:val="0"/>
          <w:sz w:val="32"/>
          <w:szCs w:val="32"/>
          <w:highlight w:val="none"/>
          <w:shd w:val="clear" w:color="auto" w:fill="FFFFFF"/>
          <w:lang w:val="zh-CN"/>
        </w:rPr>
      </w:pPr>
      <w:r>
        <w:rPr>
          <w:rFonts w:hint="eastAsia" w:ascii="黑体" w:hAnsi="黑体" w:eastAsia="黑体" w:cs="黑体"/>
          <w:color w:val="auto"/>
          <w:kern w:val="0"/>
          <w:sz w:val="32"/>
          <w:szCs w:val="32"/>
          <w:highlight w:val="none"/>
          <w:shd w:val="clear" w:color="auto" w:fill="FFFFFF"/>
          <w:lang w:val="zh-CN"/>
        </w:rPr>
        <w:br w:type="page"/>
      </w:r>
    </w:p>
    <w:p w14:paraId="00ABFBE5">
      <w:pPr>
        <w:pStyle w:val="8"/>
        <w:outlineLvl w:val="1"/>
        <w:rPr>
          <w:rFonts w:hint="eastAsia" w:ascii="黑体" w:hAnsi="黑体" w:eastAsia="黑体" w:cs="黑体"/>
          <w:color w:val="auto"/>
          <w:sz w:val="32"/>
          <w:szCs w:val="32"/>
          <w:highlight w:val="none"/>
          <w:lang w:val="en-US" w:eastAsia="zh-CN"/>
        </w:rPr>
      </w:pPr>
      <w:bookmarkStart w:id="76" w:name="_Toc25992"/>
      <w:r>
        <w:rPr>
          <w:rFonts w:hint="eastAsia" w:ascii="黑体" w:hAnsi="黑体" w:eastAsia="黑体" w:cs="黑体"/>
          <w:color w:val="auto"/>
          <w:kern w:val="0"/>
          <w:sz w:val="32"/>
          <w:szCs w:val="32"/>
          <w:highlight w:val="none"/>
          <w:shd w:val="clear" w:color="auto" w:fill="FFFFFF"/>
          <w:lang w:val="zh-CN"/>
        </w:rPr>
        <w:t>附件</w:t>
      </w:r>
      <w:r>
        <w:rPr>
          <w:rFonts w:hint="eastAsia" w:ascii="黑体" w:hAnsi="黑体" w:eastAsia="黑体" w:cs="黑体"/>
          <w:color w:val="auto"/>
          <w:kern w:val="0"/>
          <w:sz w:val="32"/>
          <w:szCs w:val="32"/>
          <w:highlight w:val="none"/>
          <w:shd w:val="clear" w:color="auto" w:fill="FFFFFF"/>
          <w:lang w:val="en-US" w:eastAsia="zh-CN"/>
        </w:rPr>
        <w:t>2</w:t>
      </w:r>
      <w:bookmarkEnd w:id="76"/>
    </w:p>
    <w:p w14:paraId="196D73A2">
      <w:pPr>
        <w:pStyle w:val="38"/>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国道317线金川至壤塘段灾害防治工程</w:t>
      </w:r>
    </w:p>
    <w:p w14:paraId="0C4B4D1E">
      <w:pPr>
        <w:pStyle w:val="38"/>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专项预算项目绩效评价报告</w:t>
      </w:r>
    </w:p>
    <w:p w14:paraId="50CE6ABF">
      <w:pPr>
        <w:pStyle w:val="38"/>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color w:val="auto"/>
          <w:kern w:val="2"/>
          <w:sz w:val="32"/>
          <w:szCs w:val="32"/>
          <w:highlight w:val="none"/>
        </w:rPr>
      </w:pPr>
    </w:p>
    <w:p w14:paraId="23317625">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1"/>
        <w:rPr>
          <w:rFonts w:ascii="黑体" w:hAnsi="宋体" w:eastAsia="黑体"/>
          <w:sz w:val="32"/>
          <w:szCs w:val="32"/>
          <w:highlight w:val="none"/>
          <w:lang w:val="zh-CN"/>
        </w:rPr>
      </w:pPr>
      <w:bookmarkStart w:id="77" w:name="_Toc4420"/>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bookmarkEnd w:id="77"/>
    </w:p>
    <w:p w14:paraId="740AC1E2">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14:paraId="20E9539B">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仿宋_GB2312" w:hAnsi="仿宋_GB2312" w:eastAsia="仿宋_GB2312" w:cs="仿宋_GB2312"/>
          <w:color w:val="auto"/>
          <w:kern w:val="0"/>
          <w:sz w:val="32"/>
          <w:szCs w:val="32"/>
          <w:highlight w:val="none"/>
          <w:u w:val="none"/>
          <w:shd w:val="clear" w:color="auto" w:fill="FFFFFF"/>
          <w:lang w:val="zh-CN"/>
        </w:rPr>
        <w:t>1.设立背景。国道G317线纵向贯穿阿坝州全境，沿线分布以藏族、羌族、回族为主的少数民族聚居区，社会人文环境类别多样化。G317线是四川省十二条出省通道之一，也是四川省二级公路网络规划的重要公路骨架之一，它兼有省州之间辐射线和进藏通道的重要作用，是连接川藏的重要枢纽，在促进地区经济发展、维护国家统一、加强民族团结等方面占着重要地位，是四川汉藏羌回等民族政治、经济、文化交往的重要内陆通道，为改善少数民族地区社会经济落后面貌发挥着积极作用。病害整治可降低断道次数、减少车祸、提高行车舒适性，道路安全畅通将会为促进民族团结、维护社会政治稳定提供重要的交通支持和保障。</w:t>
      </w:r>
    </w:p>
    <w:p w14:paraId="26297BF3">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仿宋_GB2312" w:hAnsi="仿宋_GB2312" w:eastAsia="仿宋_GB2312" w:cs="仿宋_GB2312"/>
          <w:color w:val="auto"/>
          <w:kern w:val="0"/>
          <w:sz w:val="32"/>
          <w:szCs w:val="32"/>
          <w:highlight w:val="none"/>
          <w:u w:val="none"/>
          <w:shd w:val="clear" w:color="auto" w:fill="FFFFFF"/>
          <w:lang w:val="zh-CN"/>
        </w:rPr>
        <w:t>2.项目立项、资金申报的依据。2020年5月31日，国务院办公厅发布了《关于开展第一次全国自然灾害综合风险普查的通知》，指出通过开展普查，摸清全国自然灾害风险隐患底数，查明重点地区抗灾能力，客观认识全国和各地区自然灾害综合风险水平，为中央和地方各级人民政府有效开展自然灾害防治工作、切实保障经济社会可持续发展提供权威的灾害风险信息和科学决策依据。本项目资金申报由主管部门申报。2023年4月12日阿坝州发展和改革委员会《关于国道317线阿坝州金川至壤塘段灾害防治工程可行性研究报告的批复》（阿州发改行审〔2023〕9号）文件对项目工可予以批复，项目估算总投资为9252.22万元，申请交通运输和地方自筹。两阶段施工图设计批复由阿坝州交通运输局以阿州交建〔2023〕706号文批复，批复预算总金额5187.2941万元，本项目不存在预算调整，资金的申报符合资金管理办法等相关规定。</w:t>
      </w:r>
    </w:p>
    <w:p w14:paraId="6DC0510E">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仿宋_GB2312" w:hAnsi="仿宋_GB2312" w:eastAsia="仿宋_GB2312" w:cs="仿宋_GB2312"/>
          <w:color w:val="auto"/>
          <w:kern w:val="0"/>
          <w:sz w:val="32"/>
          <w:szCs w:val="32"/>
          <w:highlight w:val="none"/>
          <w:u w:val="none"/>
          <w:shd w:val="clear" w:color="auto" w:fill="FFFFFF"/>
          <w:lang w:val="zh-CN"/>
        </w:rPr>
        <w:t>3.项目基本情况及主管部门。项目业主为阿坝藏族羌族自治州公路管理局壤塘公路管理分局，项目采用设计施工总承包模式，通过公开招标方式确定由西安中交岩土工程有限责任公司为该项目设计、施工联合体实施。该项目于2023年8月13日开工建设，计划完工时间为2024年12月。</w:t>
      </w:r>
    </w:p>
    <w:p w14:paraId="14391ABF">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p>
    <w:p w14:paraId="5D959787">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1.地灾治理。病害整治可降低断道次数、减少车祸、提高行车舒适性，道路安全畅通将会为促进民族团结、维护社会政治稳定提供重要的交通支持和保障。</w:t>
      </w:r>
    </w:p>
    <w:p w14:paraId="56ED9855">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2.旅游发展。无。</w:t>
      </w:r>
    </w:p>
    <w:p w14:paraId="38362B7B">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p>
    <w:p w14:paraId="0B93449F">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我分局严格按照中华人民共和国财政部《关于提前下达2023年车辆购置税收入补助地方资金预算（第一批）的通知》财建〔2022〕396号文件要求，建设项目，按项目实施进度拨付资金。资金分配：该项目总投资为9252.22万元，申请交通运输部补助资金7099.02万元，到位资金：4858万元，不足部分地方自筹。</w:t>
      </w:r>
    </w:p>
    <w:p w14:paraId="4E295AC3">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截至目前已完成生产投资4317.6039万元，实际支付3190.469406万元，主要是前期费，施工第一期进度款，监理进度款，设计等费用。</w:t>
      </w:r>
    </w:p>
    <w:p w14:paraId="1329C5AF">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eastAsia="zh-CN"/>
        </w:rPr>
        <w:t>（四）项目绩效目标设置。</w:t>
      </w:r>
    </w:p>
    <w:p w14:paraId="3197F576">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1.项目主要内容。国道317线阿坝州金川至壤塘段灾害防治工程，共有灾害处治工点21处，其中崩塌7处，滑坡14处，涉及整治里程3.23公里，及防灾减灾样板打造。</w:t>
      </w:r>
    </w:p>
    <w:p w14:paraId="6BF9A510">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default"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2.项目应实现的具体绩效目标。一是按计划如期完成国道317线阿坝州金川至壤塘段灾害防治工程建设目标，相关技术指标达到设计要求，验收合格投入运营。二是持续推进灾害防治工程的样板工程打造工作，通过样板打造工作提升阿坝州防灾减灾水平，总体上提升阿坝州交通自然灾害风险防控能力，提高交通指挥安全水平，为推动公路交通自然灾害防控提供经验示范。</w:t>
      </w:r>
    </w:p>
    <w:p w14:paraId="085A16F7">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1"/>
        <w:rPr>
          <w:rFonts w:hint="eastAsia" w:ascii="黑体" w:hAnsi="宋体" w:eastAsia="黑体"/>
          <w:sz w:val="32"/>
          <w:szCs w:val="32"/>
          <w:highlight w:val="none"/>
          <w:lang w:eastAsia="zh-CN"/>
        </w:rPr>
      </w:pPr>
      <w:bookmarkStart w:id="78" w:name="_Toc4091"/>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bookmarkEnd w:id="78"/>
    </w:p>
    <w:p w14:paraId="4FCFB2F9">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（一）评价目的。</w:t>
      </w:r>
    </w:p>
    <w:p w14:paraId="69EFE728">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通过国道317线阿坝州金川至壤塘段地灾的整治，提升国道317线阿坝州金川至壤塘段防灾减灾水平，提升国道自然灾害防控能力，提高安全通行水平，对经济社会发展，构建和谐社会、加强民族团结、维护社会稳定、促进民族地区经济建设、改善发展环境、开发旅游资源、打造防灾样板均具有重要意义。</w:t>
      </w:r>
    </w:p>
    <w:p w14:paraId="4A273D8D">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（二）预设问题及评价重点。</w:t>
      </w:r>
    </w:p>
    <w:p w14:paraId="1E2E2AA9">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0" w:firstLineChars="20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在项目实施过程中，严格按照相关管理规定组织实施，项目资金由州财政局下拨至壤塘公路分局预算一体化平台，资金支付全部严格按照合同文件的约定，实行计量支付管理，由壤塘公路分局预算一体化平台零余账户支付。在项目资金支付过程中，先由施工单位提供审核无误并有各相关负责人签字确认后确定的计量支付资料，再由监理单位按照施工单位提供的资料报项目办审批，项目办报阿坝州公路管理局，签字确认后，计量资料交付壤塘公路分局财务股，由财务股报州财政局审核签字后申请资金支付，待州财政局批准后由壤塘公路分局财务股将计量工程款直接支付到各施工单位账户，项目办作拨出款项处理账务。项目资金严格执行资金管理办法和财务管理制度等、资金拨付账务处理及时、会计核算规范。</w:t>
      </w:r>
    </w:p>
    <w:p w14:paraId="1C2D7762">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（三）评价选点。</w:t>
      </w:r>
    </w:p>
    <w:p w14:paraId="0336BCC5">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0" w:firstLineChars="20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国道317线K465+900（滑坡），该隐患点存在山体滑坡和落石，现场采用挡墙+植被混凝土喷射进行处治。截至目前已完成对该处处治，完成度100%。</w:t>
      </w:r>
    </w:p>
    <w:p w14:paraId="79B3B6CB">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（四）评价方法。</w:t>
      </w:r>
    </w:p>
    <w:p w14:paraId="65A013C8">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根据项目管理实际情况，分局成立评价小组，对2024年国道317线阿坝州金川至壤塘段灾害防治工程项目开展实地勘察工作。</w:t>
      </w:r>
    </w:p>
    <w:p w14:paraId="328215F4">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1.收集与分析资料。收集项目有关数据和资料，进行审核与分析。资料包括：项目基本情况、资金来源、项目参与建设的单位，项目立项文件、会议纪要、相关管理制度、资金拨付有关资料、相关合同、支付凭证等。</w:t>
      </w:r>
    </w:p>
    <w:p w14:paraId="1E26E8B0">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2.现场评价。评价小组工作组对项目业务及财务管理制度、政策文件、年度考核材料等进行查阅，对项目经费使用的会计资料进行了检查，对项目绩效目标的实现程度进行了全面分析。</w:t>
      </w:r>
    </w:p>
    <w:p w14:paraId="32E92E95">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3.撰写报告。评价小组根据要求规定的报告格式及内容撰写绩效评价报告。</w:t>
      </w:r>
    </w:p>
    <w:p w14:paraId="0B7D1A75">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（五）评价组织。</w:t>
      </w:r>
    </w:p>
    <w:p w14:paraId="0E037822">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lang w:eastAsia="zh-CN"/>
        </w:rPr>
      </w:pPr>
      <w:r>
        <w:rPr>
          <w:rFonts w:hint="eastAsia" w:ascii="仿宋_GB2312" w:hAnsi="仿宋_GB2312" w:eastAsia="仿宋_GB2312" w:cs="仿宋_GB2312"/>
          <w:b w:val="0"/>
          <w:bCs w:val="0"/>
          <w:kern w:val="0"/>
          <w:position w:val="0"/>
          <w:sz w:val="32"/>
          <w:szCs w:val="32"/>
          <w:highlight w:val="none"/>
          <w:lang w:val="zh-CN" w:eastAsia="zh-CN" w:bidi="ar-SA"/>
        </w:rPr>
        <w:t>分局成立了以局长为组长、分管领导为副组长，相关股室负责人为成员的自评领导小组。通过查阅施工资料和现场调查对项目完成情况和满意度进行自评。</w:t>
      </w:r>
    </w:p>
    <w:p w14:paraId="4219B302">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outlineLvl w:val="1"/>
        <w:rPr>
          <w:rFonts w:ascii="仿宋_GB2312" w:hAnsi="宋体"/>
          <w:color w:val="auto"/>
          <w:sz w:val="32"/>
          <w:szCs w:val="32"/>
          <w:highlight w:val="none"/>
          <w:u w:val="none"/>
          <w:lang w:val="zh-CN"/>
        </w:rPr>
      </w:pPr>
      <w:bookmarkStart w:id="79" w:name="_Toc3843"/>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bookmarkEnd w:id="79"/>
      <w:r>
        <w:rPr>
          <w:rFonts w:hint="eastAsia" w:ascii="仿宋_GB2312" w:hAnsi="宋体"/>
          <w:color w:val="auto"/>
          <w:sz w:val="32"/>
          <w:szCs w:val="32"/>
          <w:highlight w:val="none"/>
          <w:u w:val="none"/>
          <w:lang w:val="zh-CN"/>
        </w:rPr>
        <w:tab/>
      </w:r>
    </w:p>
    <w:p w14:paraId="39A687D3">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b w:val="0"/>
          <w:bCs w:val="0"/>
          <w:kern w:val="0"/>
          <w:position w:val="0"/>
          <w:sz w:val="32"/>
          <w:szCs w:val="32"/>
          <w:highlight w:val="none"/>
          <w:lang w:val="en-US" w:eastAsia="zh-CN" w:bidi="ar-SA"/>
        </w:rPr>
      </w:pPr>
      <w:r>
        <w:rPr>
          <w:rFonts w:hint="default" w:ascii="仿宋_GB2312" w:hAnsi="仿宋_GB2312" w:eastAsia="仿宋_GB2312" w:cs="仿宋_GB2312"/>
          <w:b w:val="0"/>
          <w:bCs w:val="0"/>
          <w:kern w:val="0"/>
          <w:position w:val="0"/>
          <w:sz w:val="32"/>
          <w:szCs w:val="32"/>
          <w:highlight w:val="none"/>
          <w:lang w:val="zh-CN" w:eastAsia="zh-CN" w:bidi="ar-SA"/>
        </w:rPr>
        <w:t>根据</w:t>
      </w:r>
      <w:r>
        <w:rPr>
          <w:rFonts w:hint="eastAsia" w:ascii="仿宋_GB2312" w:hAnsi="仿宋_GB2312" w:eastAsia="仿宋_GB2312" w:cs="仿宋_GB2312"/>
          <w:b w:val="0"/>
          <w:bCs w:val="0"/>
          <w:kern w:val="0"/>
          <w:position w:val="0"/>
          <w:sz w:val="32"/>
          <w:szCs w:val="32"/>
          <w:highlight w:val="none"/>
          <w:lang w:val="zh-CN" w:eastAsia="zh-CN" w:bidi="ar-SA"/>
        </w:rPr>
        <w:t>项目</w:t>
      </w:r>
      <w:r>
        <w:rPr>
          <w:rFonts w:hint="default" w:ascii="仿宋_GB2312" w:hAnsi="仿宋_GB2312" w:eastAsia="仿宋_GB2312" w:cs="仿宋_GB2312"/>
          <w:b w:val="0"/>
          <w:bCs w:val="0"/>
          <w:kern w:val="0"/>
          <w:position w:val="0"/>
          <w:sz w:val="32"/>
          <w:szCs w:val="32"/>
          <w:highlight w:val="none"/>
          <w:lang w:val="zh-CN" w:eastAsia="zh-CN" w:bidi="ar-SA"/>
        </w:rPr>
        <w:t>预算绩效评价指标体系“</w:t>
      </w:r>
      <w:r>
        <w:rPr>
          <w:rFonts w:hint="eastAsia" w:ascii="仿宋_GB2312" w:hAnsi="仿宋_GB2312" w:eastAsia="仿宋_GB2312" w:cs="仿宋_GB2312"/>
          <w:b w:val="0"/>
          <w:bCs w:val="0"/>
          <w:kern w:val="0"/>
          <w:position w:val="0"/>
          <w:sz w:val="32"/>
          <w:szCs w:val="32"/>
          <w:highlight w:val="none"/>
          <w:lang w:val="zh-CN" w:eastAsia="zh-CN" w:bidi="ar-SA"/>
        </w:rPr>
        <w:t>通用指标</w:t>
      </w:r>
      <w:r>
        <w:rPr>
          <w:rFonts w:hint="default" w:ascii="仿宋_GB2312" w:hAnsi="仿宋_GB2312" w:eastAsia="仿宋_GB2312" w:cs="仿宋_GB2312"/>
          <w:b w:val="0"/>
          <w:bCs w:val="0"/>
          <w:kern w:val="0"/>
          <w:position w:val="0"/>
          <w:sz w:val="32"/>
          <w:szCs w:val="32"/>
          <w:highlight w:val="none"/>
          <w:lang w:val="zh-CN" w:eastAsia="zh-CN" w:bidi="ar-SA"/>
        </w:rPr>
        <w:t>”</w:t>
      </w:r>
      <w:r>
        <w:rPr>
          <w:rFonts w:hint="eastAsia" w:ascii="仿宋_GB2312" w:hAnsi="仿宋_GB2312" w:eastAsia="仿宋_GB2312" w:cs="仿宋_GB2312"/>
          <w:b w:val="0"/>
          <w:bCs w:val="0"/>
          <w:kern w:val="0"/>
          <w:position w:val="0"/>
          <w:sz w:val="32"/>
          <w:szCs w:val="32"/>
          <w:highlight w:val="none"/>
          <w:lang w:val="zh-CN" w:eastAsia="zh-CN" w:bidi="ar-SA"/>
        </w:rPr>
        <w:t>“专用指标”“个性指标”</w:t>
      </w:r>
      <w:r>
        <w:rPr>
          <w:rFonts w:hint="default" w:ascii="仿宋_GB2312" w:hAnsi="仿宋_GB2312" w:eastAsia="仿宋_GB2312" w:cs="仿宋_GB2312"/>
          <w:b w:val="0"/>
          <w:bCs w:val="0"/>
          <w:kern w:val="0"/>
          <w:position w:val="0"/>
          <w:sz w:val="32"/>
          <w:szCs w:val="32"/>
          <w:highlight w:val="none"/>
          <w:lang w:val="zh-CN" w:eastAsia="zh-CN" w:bidi="ar-SA"/>
        </w:rPr>
        <w:t>涉及</w:t>
      </w:r>
      <w:r>
        <w:rPr>
          <w:rFonts w:hint="eastAsia" w:ascii="仿宋_GB2312" w:hAnsi="仿宋_GB2312" w:eastAsia="仿宋_GB2312" w:cs="仿宋_GB2312"/>
          <w:b w:val="0"/>
          <w:bCs w:val="0"/>
          <w:kern w:val="0"/>
          <w:position w:val="0"/>
          <w:sz w:val="32"/>
          <w:szCs w:val="32"/>
          <w:highlight w:val="none"/>
          <w:lang w:val="zh-CN" w:eastAsia="zh-CN" w:bidi="ar-SA"/>
        </w:rPr>
        <w:t>二、三级</w:t>
      </w:r>
      <w:r>
        <w:rPr>
          <w:rFonts w:hint="default" w:ascii="仿宋_GB2312" w:hAnsi="仿宋_GB2312" w:eastAsia="仿宋_GB2312" w:cs="仿宋_GB2312"/>
          <w:b w:val="0"/>
          <w:bCs w:val="0"/>
          <w:kern w:val="0"/>
          <w:position w:val="0"/>
          <w:sz w:val="32"/>
          <w:szCs w:val="32"/>
          <w:highlight w:val="none"/>
          <w:lang w:val="zh-CN" w:eastAsia="zh-CN" w:bidi="ar-SA"/>
        </w:rPr>
        <w:t>指标进行</w:t>
      </w:r>
      <w:r>
        <w:rPr>
          <w:rFonts w:hint="eastAsia" w:ascii="仿宋_GB2312" w:hAnsi="仿宋_GB2312" w:eastAsia="仿宋_GB2312" w:cs="仿宋_GB2312"/>
          <w:b w:val="0"/>
          <w:bCs w:val="0"/>
          <w:kern w:val="0"/>
          <w:position w:val="0"/>
          <w:sz w:val="32"/>
          <w:szCs w:val="32"/>
          <w:highlight w:val="none"/>
          <w:lang w:val="zh-CN" w:eastAsia="zh-CN" w:bidi="ar-SA"/>
        </w:rPr>
        <w:t>逐项</w:t>
      </w:r>
      <w:r>
        <w:rPr>
          <w:rFonts w:hint="default" w:ascii="仿宋_GB2312" w:hAnsi="仿宋_GB2312" w:eastAsia="仿宋_GB2312" w:cs="仿宋_GB2312"/>
          <w:b w:val="0"/>
          <w:bCs w:val="0"/>
          <w:kern w:val="0"/>
          <w:position w:val="0"/>
          <w:sz w:val="32"/>
          <w:szCs w:val="32"/>
          <w:highlight w:val="none"/>
          <w:lang w:val="zh-CN" w:eastAsia="zh-CN" w:bidi="ar-SA"/>
        </w:rPr>
        <w:t>绩效分析</w:t>
      </w:r>
      <w:r>
        <w:rPr>
          <w:rFonts w:hint="eastAsia" w:ascii="仿宋_GB2312" w:hAnsi="仿宋_GB2312" w:eastAsia="仿宋_GB2312" w:cs="仿宋_GB2312"/>
          <w:b w:val="0"/>
          <w:bCs w:val="0"/>
          <w:kern w:val="0"/>
          <w:position w:val="0"/>
          <w:sz w:val="32"/>
          <w:szCs w:val="32"/>
          <w:highlight w:val="none"/>
          <w:lang w:val="zh-CN" w:eastAsia="zh-CN" w:bidi="ar-SA"/>
        </w:rPr>
        <w:t>并评分</w:t>
      </w:r>
      <w:r>
        <w:rPr>
          <w:rFonts w:hint="eastAsia" w:ascii="仿宋_GB2312" w:hAnsi="仿宋_GB2312" w:eastAsia="仿宋_GB2312" w:cs="仿宋_GB2312"/>
          <w:b w:val="0"/>
          <w:bCs w:val="0"/>
          <w:kern w:val="0"/>
          <w:position w:val="0"/>
          <w:sz w:val="32"/>
          <w:szCs w:val="32"/>
          <w:highlight w:val="none"/>
          <w:lang w:val="en-US" w:eastAsia="zh-CN" w:bidi="ar-SA"/>
        </w:rPr>
        <w:t>。</w:t>
      </w:r>
    </w:p>
    <w:p w14:paraId="3600E745">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14:paraId="02481237">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p>
    <w:p w14:paraId="71E6C8A9">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项目决策程序严密，项目规划论证符合要求，项目绩效目标设置科学合理，项目资金与项目总体规划相匹配，聚焦重大任务、重点领域、重点环节和重点项目。</w:t>
      </w:r>
    </w:p>
    <w:p w14:paraId="01E55152">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p>
    <w:p w14:paraId="5CA781E8">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项目制度办法体系健全、要素完备，项目资金合理、权重设置、区域分布，项目管理、审批符合管理要求。</w:t>
      </w:r>
    </w:p>
    <w:p w14:paraId="0BE884B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3.项目实施。</w:t>
      </w:r>
    </w:p>
    <w:p w14:paraId="1D041E7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项目资金拨付、单位执行到位，资金使用拨付、项目实施符合规定。</w:t>
      </w:r>
    </w:p>
    <w:p w14:paraId="7BD1945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4.项目结果。</w:t>
      </w:r>
    </w:p>
    <w:p w14:paraId="406B451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项目完成预期目标，实施结果与绩效目标相匹配，反映目标实现程度，项目实际完成时间与计划完成时间一致。</w:t>
      </w:r>
    </w:p>
    <w:p w14:paraId="4D36A4A5">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14:paraId="10F13F5F">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楷体_GB2312" w:hAnsi="楷体_GB2312" w:eastAsia="楷体_GB2312" w:cs="楷体_GB2312"/>
          <w:color w:val="auto"/>
          <w:sz w:val="32"/>
          <w:szCs w:val="32"/>
          <w:lang w:val="zh-CN" w:eastAsia="zh-CN"/>
        </w:rPr>
      </w:pPr>
      <w:r>
        <w:rPr>
          <w:rFonts w:hint="eastAsia" w:ascii="楷体_GB2312" w:hAnsi="楷体_GB2312" w:eastAsia="楷体_GB2312" w:cs="楷体_GB2312"/>
          <w:color w:val="auto"/>
          <w:sz w:val="32"/>
          <w:szCs w:val="32"/>
          <w:lang w:val="zh-CN" w:eastAsia="zh-CN"/>
        </w:rPr>
        <w:t>1.民生保障。</w:t>
      </w:r>
    </w:p>
    <w:p w14:paraId="0DE1F3E4">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项目的建设使国道317线金川至壤塘段交通状况得到极大的改善，使车辆行驶顺畅提高安全性，减少车辆的拥堵现象，使单车排放量降低，改善了区域的大气环境，对提高道路抗灾能力，保障国道安全、畅通、加快旅游经济的发展，振兴阿坝州少数民族地区经济具有极大的社会、经济效益，群众的满意度为100%。</w:t>
      </w:r>
    </w:p>
    <w:p w14:paraId="2D59A10B">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楷体_GB2312" w:hAnsi="楷体_GB2312" w:eastAsia="楷体_GB2312" w:cs="楷体_GB2312"/>
          <w:color w:val="auto"/>
          <w:sz w:val="32"/>
          <w:szCs w:val="32"/>
          <w:lang w:val="zh-CN" w:eastAsia="zh-CN"/>
        </w:rPr>
      </w:pPr>
      <w:r>
        <w:rPr>
          <w:rFonts w:hint="eastAsia" w:ascii="楷体_GB2312" w:hAnsi="楷体_GB2312" w:eastAsia="楷体_GB2312" w:cs="楷体_GB2312"/>
          <w:color w:val="auto"/>
          <w:sz w:val="32"/>
          <w:szCs w:val="32"/>
          <w:lang w:val="zh-CN" w:eastAsia="zh-CN"/>
        </w:rPr>
        <w:t>2.基础设施。</w:t>
      </w:r>
    </w:p>
    <w:p w14:paraId="491FDEAA">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2024年年度计划完成处治地质灾害影响点共21处，累计完成总工程量的100%。资金拨付情况：截至目前，共计已支付3190.469406万元。</w:t>
      </w:r>
    </w:p>
    <w:p w14:paraId="6945E19B">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（三）</w:t>
      </w: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14:paraId="52A28CA7">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完成情况汇报。每月对项目进度、资金使用情况等进行情况汇总并上报。</w:t>
      </w:r>
    </w:p>
    <w:p w14:paraId="00DE8E8D">
      <w:pPr>
        <w:pStyle w:val="8"/>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outlineLvl w:val="1"/>
        <w:rPr>
          <w:rFonts w:hint="eastAsia" w:ascii="黑体" w:hAnsi="宋体" w:eastAsia="黑体"/>
          <w:color w:val="auto"/>
          <w:sz w:val="32"/>
          <w:szCs w:val="32"/>
          <w:highlight w:val="none"/>
          <w:u w:val="none"/>
        </w:rPr>
      </w:pPr>
      <w:bookmarkStart w:id="80" w:name="_Toc23953"/>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bookmarkEnd w:id="80"/>
    </w:p>
    <w:p w14:paraId="54522922">
      <w:pPr>
        <w:pStyle w:val="8"/>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2024年度结束后严格执行绩效评价，比对各个指标结果进行总结、分析，将各个指标反馈相应业务股室。最终自评得分96分，自评结果为“优”。针对绩效自评结果，拟通过以下措施强化绩效自评结果的运用</w:t>
      </w:r>
      <w:r>
        <w:rPr>
          <w:rFonts w:hint="eastAsia" w:hAnsi="仿宋_GB2312" w:cs="仿宋_GB2312"/>
          <w:b w:val="0"/>
          <w:bCs w:val="0"/>
          <w:kern w:val="0"/>
          <w:position w:val="0"/>
          <w:sz w:val="32"/>
          <w:szCs w:val="32"/>
          <w:highlight w:val="none"/>
          <w:lang w:val="zh-CN" w:eastAsia="zh-CN" w:bidi="ar-SA"/>
        </w:rPr>
        <w:t>：</w:t>
      </w:r>
      <w:r>
        <w:rPr>
          <w:rFonts w:hint="eastAsia" w:ascii="仿宋_GB2312" w:hAnsi="仿宋_GB2312" w:eastAsia="仿宋_GB2312" w:cs="仿宋_GB2312"/>
          <w:b w:val="0"/>
          <w:bCs w:val="0"/>
          <w:kern w:val="0"/>
          <w:position w:val="0"/>
          <w:sz w:val="32"/>
          <w:szCs w:val="32"/>
          <w:highlight w:val="none"/>
          <w:lang w:val="zh-CN" w:eastAsia="zh-CN" w:bidi="ar-SA"/>
        </w:rPr>
        <w:t>一是利用绩效自评成果改进下一年度绩效自评指标及时总结经验，改进管理措施，从而完善项目自评机制，有效提高资金管理水平和使用效率，确保项目按要求完成，及时发挥财政资金效能</w:t>
      </w:r>
      <w:r>
        <w:rPr>
          <w:rFonts w:hint="eastAsia" w:hAnsi="仿宋_GB2312" w:cs="仿宋_GB2312"/>
          <w:b w:val="0"/>
          <w:bCs w:val="0"/>
          <w:kern w:val="0"/>
          <w:position w:val="0"/>
          <w:sz w:val="32"/>
          <w:szCs w:val="32"/>
          <w:highlight w:val="none"/>
          <w:lang w:val="zh-CN" w:eastAsia="zh-CN" w:bidi="ar-SA"/>
        </w:rPr>
        <w:t>；</w:t>
      </w:r>
      <w:r>
        <w:rPr>
          <w:rFonts w:hint="eastAsia" w:ascii="仿宋_GB2312" w:hAnsi="仿宋_GB2312" w:eastAsia="仿宋_GB2312" w:cs="仿宋_GB2312"/>
          <w:b w:val="0"/>
          <w:bCs w:val="0"/>
          <w:kern w:val="0"/>
          <w:position w:val="0"/>
          <w:sz w:val="32"/>
          <w:szCs w:val="32"/>
          <w:highlight w:val="none"/>
          <w:lang w:val="zh-CN" w:eastAsia="zh-CN" w:bidi="ar-SA"/>
        </w:rPr>
        <w:t>二是与下一年度预算安排结合，本次自评结果作为下一年度预算的重要依据，对于合理安排下一年度预算起到关键作用。</w:t>
      </w:r>
    </w:p>
    <w:p w14:paraId="2D2C4D5A">
      <w:pPr>
        <w:pStyle w:val="8"/>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outlineLvl w:val="1"/>
        <w:rPr>
          <w:rFonts w:hint="eastAsia" w:ascii="黑体" w:hAnsi="宋体" w:eastAsia="黑体" w:cs="Times New Roman"/>
          <w:color w:val="auto"/>
          <w:sz w:val="32"/>
          <w:szCs w:val="32"/>
          <w:highlight w:val="none"/>
          <w:u w:val="none"/>
          <w:lang w:eastAsia="zh-CN"/>
        </w:rPr>
      </w:pPr>
      <w:bookmarkStart w:id="81" w:name="_Toc5987"/>
      <w:r>
        <w:rPr>
          <w:rFonts w:hint="eastAsia" w:ascii="黑体" w:hAnsi="宋体" w:eastAsia="黑体" w:cs="Times New Roman"/>
          <w:color w:val="auto"/>
          <w:sz w:val="32"/>
          <w:szCs w:val="32"/>
          <w:highlight w:val="none"/>
          <w:u w:val="none"/>
          <w:lang w:eastAsia="zh-CN"/>
        </w:rPr>
        <w:t>五、存在主要问题</w:t>
      </w:r>
      <w:bookmarkEnd w:id="81"/>
    </w:p>
    <w:p w14:paraId="41AE0464">
      <w:pPr>
        <w:pStyle w:val="8"/>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黑体" w:hAnsi="黑体" w:cs="黑体"/>
          <w:b w:val="0"/>
          <w:bCs w:val="0"/>
          <w:kern w:val="2"/>
          <w:position w:val="0"/>
          <w:sz w:val="32"/>
          <w:szCs w:val="32"/>
          <w:highlight w:val="none"/>
          <w:lang w:val="en-US" w:eastAsia="zh-CN" w:bidi="ar-SA"/>
        </w:rPr>
      </w:pPr>
      <w:r>
        <w:rPr>
          <w:rFonts w:hint="eastAsia" w:hAnsi="仿宋_GB2312" w:cs="仿宋_GB2312"/>
          <w:b w:val="0"/>
          <w:bCs w:val="0"/>
          <w:kern w:val="0"/>
          <w:position w:val="0"/>
          <w:sz w:val="32"/>
          <w:szCs w:val="32"/>
          <w:highlight w:val="none"/>
          <w:lang w:val="en-US" w:eastAsia="zh-CN" w:bidi="ar-SA"/>
        </w:rPr>
        <w:t>无</w:t>
      </w:r>
      <w:r>
        <w:rPr>
          <w:rFonts w:hint="eastAsia" w:ascii="仿宋_GB2312" w:hAnsi="仿宋_GB2312" w:eastAsia="仿宋_GB2312" w:cs="仿宋_GB2312"/>
          <w:b w:val="0"/>
          <w:bCs w:val="0"/>
          <w:kern w:val="0"/>
          <w:position w:val="0"/>
          <w:sz w:val="32"/>
          <w:szCs w:val="32"/>
          <w:highlight w:val="none"/>
          <w:lang w:val="en-US" w:eastAsia="zh-CN" w:bidi="ar-SA"/>
        </w:rPr>
        <w:t>。</w:t>
      </w:r>
    </w:p>
    <w:p w14:paraId="78D10609">
      <w:pPr>
        <w:pStyle w:val="8"/>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outlineLvl w:val="1"/>
        <w:rPr>
          <w:rFonts w:hint="eastAsia" w:ascii="黑体" w:hAnsi="宋体" w:eastAsia="黑体" w:cs="Times New Roman"/>
          <w:color w:val="auto"/>
          <w:kern w:val="0"/>
          <w:position w:val="3"/>
          <w:sz w:val="32"/>
          <w:szCs w:val="32"/>
          <w:highlight w:val="none"/>
          <w:u w:val="none"/>
          <w:lang w:val="zh-CN" w:eastAsia="zh-CN" w:bidi="ar-SA"/>
        </w:rPr>
      </w:pPr>
      <w:bookmarkStart w:id="82" w:name="_Toc8239"/>
      <w:r>
        <w:rPr>
          <w:rFonts w:hint="eastAsia" w:ascii="黑体" w:hAnsi="宋体" w:eastAsia="黑体" w:cs="Times New Roman"/>
          <w:color w:val="auto"/>
          <w:kern w:val="0"/>
          <w:position w:val="3"/>
          <w:sz w:val="32"/>
          <w:szCs w:val="32"/>
          <w:highlight w:val="none"/>
          <w:u w:val="none"/>
          <w:lang w:val="zh-CN" w:eastAsia="zh-CN" w:bidi="ar-SA"/>
        </w:rPr>
        <w:t>六、改进建议</w:t>
      </w:r>
      <w:bookmarkEnd w:id="82"/>
    </w:p>
    <w:p w14:paraId="1FCC1D1E">
      <w:pPr>
        <w:tabs>
          <w:tab w:val="left" w:pos="1911"/>
        </w:tabs>
        <w:jc w:val="left"/>
        <w:rPr>
          <w:rFonts w:hint="eastAsia" w:ascii="仿宋_GB2312" w:hAnsi="仿宋_GB2312" w:eastAsia="仿宋_GB2312" w:cs="仿宋_GB2312"/>
          <w:b w:val="0"/>
          <w:bCs w:val="0"/>
          <w:kern w:val="0"/>
          <w:position w:val="0"/>
          <w:sz w:val="32"/>
          <w:szCs w:val="32"/>
          <w:highlight w:val="none"/>
          <w:lang w:val="e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 xml:space="preserve"> </w:t>
      </w:r>
      <w:r>
        <w:rPr>
          <w:rFonts w:hint="eastAsia" w:ascii="仿宋_GB2312" w:hAnsi="仿宋_GB2312" w:eastAsia="仿宋_GB2312" w:cs="仿宋_GB2312"/>
          <w:b w:val="0"/>
          <w:bCs w:val="0"/>
          <w:kern w:val="0"/>
          <w:position w:val="0"/>
          <w:sz w:val="32"/>
          <w:szCs w:val="32"/>
          <w:highlight w:val="none"/>
          <w:lang w:val="en-US" w:eastAsia="zh-CN" w:bidi="ar-SA"/>
        </w:rPr>
        <w:t xml:space="preserve">   无。</w:t>
      </w:r>
    </w:p>
    <w:p w14:paraId="7FF9BE3C">
      <w:pPr>
        <w:keepNext w:val="0"/>
        <w:keepLines w:val="0"/>
        <w:pageBreakBefore w:val="0"/>
        <w:kinsoku/>
        <w:wordWrap/>
        <w:overflowPunct/>
        <w:topLinePunct w:val="0"/>
        <w:autoSpaceDE/>
        <w:autoSpaceDN/>
        <w:bidi w:val="0"/>
        <w:adjustRightInd/>
        <w:snapToGrid w:val="0"/>
        <w:spacing w:line="578" w:lineRule="exact"/>
        <w:ind w:left="0" w:leftChars="0" w:firstLine="420" w:firstLineChars="200"/>
        <w:textAlignment w:val="auto"/>
        <w:outlineLvl w:val="9"/>
        <w:rPr>
          <w:rFonts w:hint="eastAsia" w:ascii="Times New Roman" w:hAnsi="Times New Roman" w:cs="Times New Roman"/>
          <w:color w:val="000000"/>
          <w:kern w:val="0"/>
          <w:szCs w:val="32"/>
          <w:highlight w:val="none"/>
          <w:shd w:val="clear" w:color="auto" w:fill="FFFFFF"/>
          <w:lang w:val="zh-CN" w:eastAsia="zh-CN"/>
        </w:rPr>
      </w:pPr>
    </w:p>
    <w:p w14:paraId="375C16F8">
      <w:pPr>
        <w:rPr>
          <w:rFonts w:ascii="仿宋" w:hAnsi="仿宋" w:eastAsia="仿宋"/>
          <w:b/>
          <w:bCs w:val="0"/>
          <w:color w:val="auto"/>
          <w:sz w:val="32"/>
          <w:szCs w:val="32"/>
          <w:highlight w:val="none"/>
        </w:rPr>
      </w:pPr>
      <w:r>
        <w:rPr>
          <w:rFonts w:ascii="仿宋" w:hAnsi="仿宋" w:eastAsia="仿宋"/>
          <w:b/>
          <w:bCs w:val="0"/>
          <w:color w:val="auto"/>
          <w:sz w:val="32"/>
          <w:szCs w:val="32"/>
          <w:highlight w:val="none"/>
        </w:rPr>
        <w:br w:type="page"/>
      </w:r>
    </w:p>
    <w:p w14:paraId="3D5FD3F6">
      <w:pPr>
        <w:pStyle w:val="38"/>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国道317线阿坝州理县段灾害防治工程</w:t>
      </w:r>
    </w:p>
    <w:p w14:paraId="0B542CEE">
      <w:pPr>
        <w:pStyle w:val="38"/>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专项预算项目绩效评价报告</w:t>
      </w:r>
    </w:p>
    <w:p w14:paraId="41BDEE2E">
      <w:pPr>
        <w:pStyle w:val="38"/>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color w:val="auto"/>
          <w:kern w:val="2"/>
          <w:sz w:val="32"/>
          <w:szCs w:val="32"/>
          <w:highlight w:val="none"/>
        </w:rPr>
      </w:pPr>
    </w:p>
    <w:p w14:paraId="6F2CB2F0">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1"/>
        <w:rPr>
          <w:rFonts w:ascii="黑体" w:hAnsi="宋体" w:eastAsia="黑体"/>
          <w:sz w:val="32"/>
          <w:szCs w:val="32"/>
          <w:highlight w:val="none"/>
          <w:lang w:val="zh-CN"/>
        </w:rPr>
      </w:pPr>
      <w:bookmarkStart w:id="83" w:name="_Toc12018"/>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bookmarkEnd w:id="83"/>
    </w:p>
    <w:p w14:paraId="158107C3">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14:paraId="016AEFFB">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仿宋_GB2312" w:hAnsi="仿宋_GB2312" w:eastAsia="仿宋_GB2312" w:cs="仿宋_GB2312"/>
          <w:color w:val="auto"/>
          <w:kern w:val="0"/>
          <w:sz w:val="32"/>
          <w:szCs w:val="32"/>
          <w:highlight w:val="none"/>
          <w:u w:val="none"/>
          <w:shd w:val="clear" w:color="auto" w:fill="FFFFFF"/>
          <w:lang w:val="zh-CN"/>
        </w:rPr>
        <w:t>1.设立背景。国道G317线纵向贯穿阿坝州全境，沿线分布以藏族、羌族、回族为主的少数民族聚居区，社会人文环境类别多样化。G317线是四川省十二条出省通道之一，也是四川省二级公路网络规划的重要公路骨架之一，它兼有省州之间辐射线和进藏通道的重要作用，是连接川藏的重要枢纽，在促进地区经济发展、维护国家统一、加强民族团结等方面占着重要地位，是四川汉藏羌回等民族政治、经济、文化交往的重要内陆通道，为改善少数民族地区社会经济落后面貌发挥着积极作用。病害整治可降低断道次数、减少车祸、提高行车舒适性，道路安全畅通将会为促进民族团结、维护社会政治稳定提供重要的交通支持和保障。</w:t>
      </w:r>
    </w:p>
    <w:p w14:paraId="7729813E">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仿宋_GB2312" w:hAnsi="仿宋_GB2312" w:eastAsia="仿宋_GB2312" w:cs="仿宋_GB2312"/>
          <w:color w:val="auto"/>
          <w:kern w:val="0"/>
          <w:sz w:val="32"/>
          <w:szCs w:val="32"/>
          <w:highlight w:val="none"/>
          <w:u w:val="none"/>
          <w:shd w:val="clear" w:color="auto" w:fill="FFFFFF"/>
          <w:lang w:val="zh-CN"/>
        </w:rPr>
        <w:t>2.项目立项、资金申报的依据。2020年5月31日，国务院办公厅发布了《关于开展第一次全国自然灾害综合风险普查的通知》，指出通过开展普查，摸清全国自然灾害风险隐患底数，查明重点地区抗灾能力，客观认识全国和各地区自然灾害综合风险水平，为中央和地方各级人民政府有效开展自然灾害防治工作、切实保障经济社会可持续发展提供权威的灾害风险信息和科学决策依据。本项目资金申报由主管部门申报。2023年4月12日阿坝州发展和改革委员会《关于国道317线阿坝州理县段灾害防治工程可行性研究报告的批复》（阿州发改行审〔2023〕19号）文件对项目工可予以批复，项目估算总投资16041.91万元，资金来源：申请交通运输部补助资金12600万元，不足部分地方自筹。两阶段施工图批复由阿坝州交通运输局以阿州交建〔2024〕224号文批复，批复预算总金额10256.1767万元，本项目不存在预算调整，资金的申报符合资金管理办法等相关规定。</w:t>
      </w:r>
    </w:p>
    <w:p w14:paraId="3C9A90F3">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仿宋_GB2312" w:hAnsi="仿宋_GB2312" w:eastAsia="仿宋_GB2312" w:cs="仿宋_GB2312"/>
          <w:color w:val="auto"/>
          <w:kern w:val="0"/>
          <w:sz w:val="32"/>
          <w:szCs w:val="32"/>
          <w:highlight w:val="none"/>
          <w:u w:val="none"/>
          <w:shd w:val="clear" w:color="auto" w:fill="FFFFFF"/>
          <w:lang w:val="zh-CN"/>
        </w:rPr>
        <w:t>3.项目基本情况及主管部门。项目业主为阿坝藏族羌族自治州公路管理局理县公路管理分局，项目采用设计施工总承包模式，通过公开招标方式确定由中交第一公路勘察设计研究院有限公司、西安中交公路岩土工程有限责任公司组成的联合体实施。该项目于2023年10月开工建设，计划完工时间为2024年12月。</w:t>
      </w:r>
    </w:p>
    <w:p w14:paraId="1D998120">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p>
    <w:p w14:paraId="1BD32766">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1.地灾治理。病害整治可降低断道次数、减少车祸、提高行车舒适性，道路安全畅通将会为促进民族团结、维护社会政治稳定提供重要的交通支持和保障。</w:t>
      </w:r>
    </w:p>
    <w:p w14:paraId="1F39D3D2">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2.旅游发展。国道317线风光独特，有米亚罗景区、毕棚沟景区、鹧鸪山景区及古尔沟、朴头等当地旅游资源。地灾整治可提高公路抗灾通行能力，进而对促进阿坝州的资源开发、振兴阿坝州少数民族地区经济具有极大的社会、经济效益。</w:t>
      </w:r>
    </w:p>
    <w:p w14:paraId="08E28BCC">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p>
    <w:p w14:paraId="4FD9271C">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我分局严格按照中华人民共和国财政部《关于提前下达2023年车辆购置税收入补助地方资金预算（第一批）的通知》财建〔2022〕396号文件要求，建设项目，按项目实施进度拨付资金。资金分配：该项目总投资为16041.91万元，申请交通运输部补助资金12600万元，不足部分地方自筹。目前交通运输部补助资金已到位6000万元。</w:t>
      </w:r>
    </w:p>
    <w:p w14:paraId="6C50C6CA">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截至目前已完成生产投资5215万元，实际支付1086.052721万元，主要是前期文件报告、施工、监理开工预付款等费用。</w:t>
      </w:r>
    </w:p>
    <w:p w14:paraId="4F577491">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eastAsia="zh-CN"/>
        </w:rPr>
        <w:t>（四）项目绩效目标设置。</w:t>
      </w:r>
    </w:p>
    <w:p w14:paraId="5AA8D70F">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1.项目主要内容。国道317线阿坝州理县段灾害防治工程，共有灾害处治工点16处，其中，崩塌10处、泥石流4处、滑坡2处，打造防灾减灾样板工程。</w:t>
      </w:r>
    </w:p>
    <w:p w14:paraId="07FAD675">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default"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2.项目应实现的具体绩效目标。一是按计划如期完成国道317线阿坝州理县段灾害防治工程建设目标，相关技术指标达到设计要求，验收合格投入运营。二是持续推进灾害防治工程的样板工程打造工作，通过样板打造工作提升阿坝州防灾减灾水平，总体上提升阿坝州交通自然灾害风险防控能力，提高交通指挥安全水平，为推动公路交通自然灾害防控提供经验示范。</w:t>
      </w:r>
    </w:p>
    <w:p w14:paraId="18479C83">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1"/>
        <w:rPr>
          <w:rFonts w:hint="eastAsia" w:ascii="黑体" w:hAnsi="宋体" w:eastAsia="黑体"/>
          <w:sz w:val="32"/>
          <w:szCs w:val="32"/>
          <w:highlight w:val="none"/>
          <w:lang w:eastAsia="zh-CN"/>
        </w:rPr>
      </w:pPr>
      <w:bookmarkStart w:id="84" w:name="_Toc25438"/>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bookmarkEnd w:id="84"/>
    </w:p>
    <w:p w14:paraId="4D62763A">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（一）评价目的。</w:t>
      </w:r>
    </w:p>
    <w:p w14:paraId="144574B1">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通过国道317线阿坝州理县段地灾的整治，提升国道317线阿坝州理县段防灾减灾水平，提升国道自然灾害防控能力，提高安全通行水平，对经济社会发展，构建和谐社会、加强民族团结、维护社会稳定、促进民族地区经济建设、改善发展环境、开发旅游资源、打造防灾样板均具有重要意义。</w:t>
      </w:r>
    </w:p>
    <w:p w14:paraId="5E3DF3F4">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（二）预设问题及评价重点。</w:t>
      </w:r>
    </w:p>
    <w:p w14:paraId="0F30E6C9">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0" w:firstLineChars="20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在项目实施过程中，严格按照相关管理规定组织实施，项目资金由州财政局下拨至理县公路分局预算一体化平台，资金支付全部严格按照合同文件的约定，实行计量支付管理，由理县公路分局预算一体化平台零余账户支付。在项目资金支付过程中，先由施工单位提供审核无误并有各相关负责人签字确认后确定的计量支付资料，再由监理单位按照施工单位提供的资料报项目办审批，项目办报阿坝州公路管理局，签字确认后，计量资料交付理县公路分局财务股，由财务股报州财政局审核签字后申请资金支付，待州财政局批准后由理县公路分局财务股将计量工程款直接支付到各施工单位账户，项目办做拨出款项处理账务。项目资金严格执行资金管理办法和财务管理制度等、资金拨付账务处理及时、会计核算规范。</w:t>
      </w:r>
    </w:p>
    <w:p w14:paraId="597475D6">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（三）评价选点。</w:t>
      </w:r>
    </w:p>
    <w:p w14:paraId="599B4227">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0" w:firstLineChars="20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国道317线K225+075（崩塌），该隐患点存在山体崩塌和落石，现场采用拦石墙+被动网+监测进行处置。截至目前已完成对该处处治，完成度100%。</w:t>
      </w:r>
    </w:p>
    <w:p w14:paraId="46953DEB">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（四）评价方法。</w:t>
      </w:r>
    </w:p>
    <w:p w14:paraId="097C76E5">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根据项目管理实际情况，分局成立评价小组，对2024年国道317线阿坝州理县段灾害防治工程项目开展实地勘察工作。</w:t>
      </w:r>
    </w:p>
    <w:p w14:paraId="67179237">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1.收集与分析资料。收集项目有关数据和资料，进行审核与分析。资料包括：项目基本情况、资金来源、项目参与建设的单位，项目立项文件、会议纪要、相关管理制度、资金拨付有关资料、相关合同、支付凭证等。</w:t>
      </w:r>
    </w:p>
    <w:p w14:paraId="44F9D789">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2.现场评价。评价小组工作组对项目业务及财务管理制度、政策文件、年度考核材料等进行查阅，对项目经费使用的会计资料进行了检查，对项目绩效目标的实现程度进行了全面分析。</w:t>
      </w:r>
    </w:p>
    <w:p w14:paraId="5094BE94">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3.撰写报告。评价小组根据要求规定的报告格式及内容撰写绩效评价报告。</w:t>
      </w:r>
    </w:p>
    <w:p w14:paraId="4DED105C">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（五）评价组织。</w:t>
      </w:r>
    </w:p>
    <w:p w14:paraId="60047683">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lang w:eastAsia="zh-CN"/>
        </w:rPr>
      </w:pPr>
      <w:r>
        <w:rPr>
          <w:rFonts w:hint="eastAsia" w:ascii="仿宋_GB2312" w:hAnsi="仿宋_GB2312" w:eastAsia="仿宋_GB2312" w:cs="仿宋_GB2312"/>
          <w:b w:val="0"/>
          <w:bCs w:val="0"/>
          <w:kern w:val="0"/>
          <w:position w:val="0"/>
          <w:sz w:val="32"/>
          <w:szCs w:val="32"/>
          <w:highlight w:val="none"/>
          <w:lang w:val="zh-CN" w:eastAsia="zh-CN" w:bidi="ar-SA"/>
        </w:rPr>
        <w:t>分局成立了以局长为组长、分管领导为副组长，相关股室负责人为成员的自评领导小组。通过查阅施工资料和现场调查对项目完成情况和满意度进行自评。</w:t>
      </w:r>
    </w:p>
    <w:p w14:paraId="5182FB97">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outlineLvl w:val="1"/>
        <w:rPr>
          <w:rFonts w:ascii="仿宋_GB2312" w:hAnsi="宋体"/>
          <w:color w:val="auto"/>
          <w:sz w:val="32"/>
          <w:szCs w:val="32"/>
          <w:highlight w:val="none"/>
          <w:u w:val="none"/>
          <w:lang w:val="zh-CN"/>
        </w:rPr>
      </w:pPr>
      <w:bookmarkStart w:id="85" w:name="_Toc20336"/>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bookmarkEnd w:id="85"/>
      <w:r>
        <w:rPr>
          <w:rFonts w:hint="eastAsia" w:ascii="仿宋_GB2312" w:hAnsi="宋体"/>
          <w:color w:val="auto"/>
          <w:sz w:val="32"/>
          <w:szCs w:val="32"/>
          <w:highlight w:val="none"/>
          <w:u w:val="none"/>
          <w:lang w:val="zh-CN"/>
        </w:rPr>
        <w:tab/>
      </w:r>
    </w:p>
    <w:p w14:paraId="3549F46E">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14:paraId="43647A63">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p>
    <w:p w14:paraId="16FEC52B">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项目决策程序严密，项目规划论证符合要求，项目绩效目标设置科学合理，项目资金与项目总体规划相匹配，聚焦重大任务、重点领域、重点环节和重点项目</w:t>
      </w:r>
      <w:r>
        <w:rPr>
          <w:rFonts w:hint="eastAsia" w:ascii="仿宋_GB2312" w:hAnsi="仿宋_GB2312" w:eastAsia="仿宋_GB2312" w:cs="仿宋_GB2312"/>
          <w:b w:val="0"/>
          <w:bCs w:val="0"/>
          <w:kern w:val="0"/>
          <w:position w:val="0"/>
          <w:sz w:val="32"/>
          <w:szCs w:val="32"/>
          <w:highlight w:val="none"/>
          <w:lang w:val="en-US" w:eastAsia="zh-CN" w:bidi="ar-SA"/>
        </w:rPr>
        <w:tab/>
      </w:r>
      <w:r>
        <w:rPr>
          <w:rFonts w:hint="eastAsia" w:ascii="仿宋_GB2312" w:hAnsi="仿宋_GB2312" w:eastAsia="仿宋_GB2312" w:cs="仿宋_GB2312"/>
          <w:b w:val="0"/>
          <w:bCs w:val="0"/>
          <w:kern w:val="0"/>
          <w:position w:val="0"/>
          <w:sz w:val="32"/>
          <w:szCs w:val="32"/>
          <w:highlight w:val="none"/>
          <w:lang w:val="zh-CN" w:eastAsia="zh-CN" w:bidi="ar-SA"/>
        </w:rPr>
        <w:t>。</w:t>
      </w:r>
    </w:p>
    <w:p w14:paraId="3005EA0C">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p>
    <w:p w14:paraId="2B5D63B7">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项目制度办法体系健全、要素完备，项目资金合理、权重设置、区域分布，项目管理、审批符合管理要求。</w:t>
      </w:r>
    </w:p>
    <w:p w14:paraId="6DEC6AF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3.项目实施。</w:t>
      </w:r>
    </w:p>
    <w:p w14:paraId="6DE9D6C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项目资金拨付、单位执行到位，资金使用拨付、项目实施符合规定。</w:t>
      </w:r>
    </w:p>
    <w:p w14:paraId="457B9A2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4.项目结果。</w:t>
      </w:r>
    </w:p>
    <w:p w14:paraId="061C7E8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项目完成预期目标，实施结果与绩效目标相匹配，反映目标实现程度，项目实际完成时间与计划完成时间一致。</w:t>
      </w:r>
    </w:p>
    <w:p w14:paraId="71D1DB0B">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14:paraId="6296E29A">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楷体_GB2312" w:hAnsi="楷体_GB2312" w:eastAsia="楷体_GB2312" w:cs="楷体_GB2312"/>
          <w:color w:val="auto"/>
          <w:sz w:val="32"/>
          <w:szCs w:val="32"/>
          <w:lang w:val="zh-CN" w:eastAsia="zh-CN"/>
        </w:rPr>
      </w:pPr>
      <w:r>
        <w:rPr>
          <w:rFonts w:hint="eastAsia" w:ascii="楷体_GB2312" w:hAnsi="楷体_GB2312" w:eastAsia="楷体_GB2312" w:cs="楷体_GB2312"/>
          <w:color w:val="auto"/>
          <w:sz w:val="32"/>
          <w:szCs w:val="32"/>
          <w:lang w:val="zh-CN" w:eastAsia="zh-CN"/>
        </w:rPr>
        <w:t>1.民生保障。</w:t>
      </w:r>
    </w:p>
    <w:p w14:paraId="30DE3C78">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项目的建设使国道317线理县段交通状况得到极大的改善，使车辆行驶顺畅提高安全性，减少车辆的拥堵现象，使单车排放量降低，改善了区域的大气环境，对提高道路抗灾能力，保障国道安全、畅通、整合旅游资源，加快旅游经济的发展，振兴阿坝州少数民族地区经济具有极大的社会、经济效益，群众的满意度为100%。</w:t>
      </w:r>
    </w:p>
    <w:p w14:paraId="52429FED">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楷体_GB2312" w:hAnsi="楷体_GB2312" w:eastAsia="楷体_GB2312" w:cs="楷体_GB2312"/>
          <w:color w:val="auto"/>
          <w:sz w:val="32"/>
          <w:szCs w:val="32"/>
          <w:lang w:val="zh-CN" w:eastAsia="zh-CN"/>
        </w:rPr>
      </w:pPr>
      <w:r>
        <w:rPr>
          <w:rFonts w:hint="eastAsia" w:ascii="楷体_GB2312" w:hAnsi="楷体_GB2312" w:eastAsia="楷体_GB2312" w:cs="楷体_GB2312"/>
          <w:color w:val="auto"/>
          <w:sz w:val="32"/>
          <w:szCs w:val="32"/>
          <w:lang w:val="zh-CN" w:eastAsia="zh-CN"/>
        </w:rPr>
        <w:t>2.基础设施。</w:t>
      </w:r>
    </w:p>
    <w:p w14:paraId="570A0671">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2024年年度计划完成处治地质灾害影响点共16处，其中：崩塌10处、泥石流4处、滑坡2处。截至目前已完成地灾点4处（K163+000、K165+100、K225+075、K274+950），主体完工6处，累计完成总工程量的67%。资金拨付情况：截至目前，到位资金33.04万元，已支付33.04万元，执行力度100%。共计已支付1086.052721万元。</w:t>
      </w:r>
    </w:p>
    <w:p w14:paraId="4F29965F">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（三）</w:t>
      </w: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14:paraId="27787C37">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完成情况汇报。每月对项目进度、资金使用情况等进行情况汇总并上报。</w:t>
      </w:r>
    </w:p>
    <w:p w14:paraId="5543F084">
      <w:pPr>
        <w:pStyle w:val="8"/>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outlineLvl w:val="1"/>
        <w:rPr>
          <w:rFonts w:hint="eastAsia" w:ascii="黑体" w:hAnsi="宋体" w:eastAsia="黑体"/>
          <w:color w:val="auto"/>
          <w:sz w:val="32"/>
          <w:szCs w:val="32"/>
          <w:highlight w:val="none"/>
          <w:u w:val="none"/>
        </w:rPr>
      </w:pPr>
      <w:bookmarkStart w:id="86" w:name="_Toc11501"/>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bookmarkEnd w:id="86"/>
    </w:p>
    <w:p w14:paraId="7F08EFD3">
      <w:pPr>
        <w:pStyle w:val="8"/>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2024年度结束后严格执行绩效评价，比对各个指标结果进行总结、分析，将各个指标反馈相应业务股室。最终自评得分98分，自评结果为“优”。针对绩效自评结果，拟通过以下措施强化绩效自评结果的运用</w:t>
      </w:r>
      <w:r>
        <w:rPr>
          <w:rFonts w:hint="eastAsia" w:hAnsi="仿宋_GB2312" w:cs="仿宋_GB2312"/>
          <w:b w:val="0"/>
          <w:bCs w:val="0"/>
          <w:kern w:val="0"/>
          <w:position w:val="0"/>
          <w:sz w:val="32"/>
          <w:szCs w:val="32"/>
          <w:highlight w:val="none"/>
          <w:lang w:val="zh-CN" w:eastAsia="zh-CN" w:bidi="ar-SA"/>
        </w:rPr>
        <w:t>：</w:t>
      </w:r>
      <w:r>
        <w:rPr>
          <w:rFonts w:hint="eastAsia" w:ascii="仿宋_GB2312" w:hAnsi="仿宋_GB2312" w:eastAsia="仿宋_GB2312" w:cs="仿宋_GB2312"/>
          <w:b w:val="0"/>
          <w:bCs w:val="0"/>
          <w:kern w:val="0"/>
          <w:position w:val="0"/>
          <w:sz w:val="32"/>
          <w:szCs w:val="32"/>
          <w:highlight w:val="none"/>
          <w:lang w:val="zh-CN" w:eastAsia="zh-CN" w:bidi="ar-SA"/>
        </w:rPr>
        <w:t>一是利用绩效自评成果改进下一年度绩效自评指标及时总结经验，改进管理措施，从而完善项目自评机制，有效提高资金管理水平和使用效率，确保项目按要求完成，及时发挥财政资金效能</w:t>
      </w:r>
      <w:r>
        <w:rPr>
          <w:rFonts w:hint="eastAsia" w:hAnsi="仿宋_GB2312" w:cs="仿宋_GB2312"/>
          <w:b w:val="0"/>
          <w:bCs w:val="0"/>
          <w:kern w:val="0"/>
          <w:position w:val="0"/>
          <w:sz w:val="32"/>
          <w:szCs w:val="32"/>
          <w:highlight w:val="none"/>
          <w:lang w:val="zh-CN" w:eastAsia="zh-CN" w:bidi="ar-SA"/>
        </w:rPr>
        <w:t>；</w:t>
      </w:r>
      <w:r>
        <w:rPr>
          <w:rFonts w:hint="eastAsia" w:ascii="仿宋_GB2312" w:hAnsi="仿宋_GB2312" w:eastAsia="仿宋_GB2312" w:cs="仿宋_GB2312"/>
          <w:b w:val="0"/>
          <w:bCs w:val="0"/>
          <w:kern w:val="0"/>
          <w:position w:val="0"/>
          <w:sz w:val="32"/>
          <w:szCs w:val="32"/>
          <w:highlight w:val="none"/>
          <w:lang w:val="zh-CN" w:eastAsia="zh-CN" w:bidi="ar-SA"/>
        </w:rPr>
        <w:t>二是与下一年度预算安排结合，本次自评结果作为下一年度预算的重要依据，对于合理安排下一年度预算起到关键作用。</w:t>
      </w:r>
    </w:p>
    <w:p w14:paraId="7D0B5B1E">
      <w:pPr>
        <w:pStyle w:val="8"/>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outlineLvl w:val="1"/>
        <w:rPr>
          <w:rFonts w:hint="eastAsia" w:ascii="黑体" w:hAnsi="宋体" w:eastAsia="黑体" w:cs="Times New Roman"/>
          <w:color w:val="auto"/>
          <w:sz w:val="32"/>
          <w:szCs w:val="32"/>
          <w:highlight w:val="none"/>
          <w:u w:val="none"/>
          <w:lang w:eastAsia="zh-CN"/>
        </w:rPr>
      </w:pPr>
      <w:bookmarkStart w:id="87" w:name="_Toc13895"/>
      <w:r>
        <w:rPr>
          <w:rFonts w:hint="eastAsia" w:ascii="黑体" w:hAnsi="宋体" w:eastAsia="黑体" w:cs="Times New Roman"/>
          <w:color w:val="auto"/>
          <w:sz w:val="32"/>
          <w:szCs w:val="32"/>
          <w:highlight w:val="none"/>
          <w:u w:val="none"/>
          <w:lang w:eastAsia="zh-CN"/>
        </w:rPr>
        <w:t>五、存在主要问题</w:t>
      </w:r>
      <w:bookmarkEnd w:id="87"/>
    </w:p>
    <w:p w14:paraId="57A75662">
      <w:pPr>
        <w:pStyle w:val="8"/>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黑体" w:hAnsi="黑体" w:cs="黑体"/>
          <w:b w:val="0"/>
          <w:bCs w:val="0"/>
          <w:kern w:val="2"/>
          <w:position w:val="0"/>
          <w:sz w:val="32"/>
          <w:szCs w:val="32"/>
          <w:highlight w:val="none"/>
          <w:lang w:val="en-US" w:eastAsia="zh-CN" w:bidi="ar-SA"/>
        </w:rPr>
      </w:pPr>
      <w:r>
        <w:rPr>
          <w:rFonts w:hint="eastAsia" w:hAnsi="仿宋_GB2312" w:cs="仿宋_GB2312"/>
          <w:b w:val="0"/>
          <w:bCs w:val="0"/>
          <w:kern w:val="0"/>
          <w:position w:val="0"/>
          <w:sz w:val="32"/>
          <w:szCs w:val="32"/>
          <w:highlight w:val="none"/>
          <w:lang w:val="en-US" w:eastAsia="zh-CN" w:bidi="ar-SA"/>
        </w:rPr>
        <w:t>无</w:t>
      </w:r>
      <w:r>
        <w:rPr>
          <w:rFonts w:hint="eastAsia" w:ascii="仿宋_GB2312" w:hAnsi="仿宋_GB2312" w:eastAsia="仿宋_GB2312" w:cs="仿宋_GB2312"/>
          <w:b w:val="0"/>
          <w:bCs w:val="0"/>
          <w:kern w:val="0"/>
          <w:position w:val="0"/>
          <w:sz w:val="32"/>
          <w:szCs w:val="32"/>
          <w:highlight w:val="none"/>
          <w:lang w:val="en-US" w:eastAsia="zh-CN" w:bidi="ar-SA"/>
        </w:rPr>
        <w:t>。</w:t>
      </w:r>
    </w:p>
    <w:p w14:paraId="728D28E7">
      <w:pPr>
        <w:pStyle w:val="8"/>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outlineLvl w:val="1"/>
        <w:rPr>
          <w:rFonts w:hint="eastAsia" w:ascii="黑体" w:hAnsi="宋体" w:eastAsia="黑体" w:cs="Times New Roman"/>
          <w:color w:val="auto"/>
          <w:kern w:val="0"/>
          <w:position w:val="3"/>
          <w:sz w:val="32"/>
          <w:szCs w:val="32"/>
          <w:highlight w:val="none"/>
          <w:u w:val="none"/>
          <w:lang w:val="zh-CN" w:eastAsia="zh-CN" w:bidi="ar-SA"/>
        </w:rPr>
      </w:pPr>
      <w:bookmarkStart w:id="88" w:name="_Toc24568"/>
      <w:r>
        <w:rPr>
          <w:rFonts w:hint="eastAsia" w:ascii="黑体" w:hAnsi="宋体" w:eastAsia="黑体" w:cs="Times New Roman"/>
          <w:color w:val="auto"/>
          <w:kern w:val="0"/>
          <w:position w:val="3"/>
          <w:sz w:val="32"/>
          <w:szCs w:val="32"/>
          <w:highlight w:val="none"/>
          <w:u w:val="none"/>
          <w:lang w:val="zh-CN" w:eastAsia="zh-CN" w:bidi="ar-SA"/>
        </w:rPr>
        <w:t>六、改进建议</w:t>
      </w:r>
      <w:bookmarkEnd w:id="88"/>
    </w:p>
    <w:p w14:paraId="5F2EC8B0">
      <w:pPr>
        <w:pStyle w:val="2"/>
        <w:jc w:val="left"/>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 xml:space="preserve"> </w:t>
      </w:r>
      <w:r>
        <w:rPr>
          <w:rFonts w:hint="eastAsia" w:ascii="仿宋_GB2312" w:hAnsi="仿宋_GB2312" w:eastAsia="仿宋_GB2312" w:cs="仿宋_GB2312"/>
          <w:b w:val="0"/>
          <w:bCs w:val="0"/>
          <w:kern w:val="0"/>
          <w:position w:val="0"/>
          <w:sz w:val="32"/>
          <w:szCs w:val="32"/>
          <w:highlight w:val="none"/>
          <w:lang w:val="en-US" w:eastAsia="zh-CN" w:bidi="ar-SA"/>
        </w:rPr>
        <w:t xml:space="preserve">   </w:t>
      </w:r>
      <w:bookmarkStart w:id="89" w:name="_Toc20509"/>
      <w:r>
        <w:rPr>
          <w:rFonts w:hint="eastAsia" w:ascii="仿宋_GB2312" w:hAnsi="仿宋_GB2312" w:eastAsia="仿宋_GB2312" w:cs="仿宋_GB2312"/>
          <w:b w:val="0"/>
          <w:bCs w:val="0"/>
          <w:kern w:val="0"/>
          <w:position w:val="0"/>
          <w:sz w:val="32"/>
          <w:szCs w:val="32"/>
          <w:highlight w:val="none"/>
          <w:lang w:val="en-US" w:eastAsia="zh-CN" w:bidi="ar-SA"/>
        </w:rPr>
        <w:t>无。</w:t>
      </w:r>
      <w:bookmarkEnd w:id="89"/>
    </w:p>
    <w:p w14:paraId="6663C421">
      <w:pPr>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en-US" w:eastAsia="zh-CN" w:bidi="ar-SA"/>
        </w:rPr>
        <w:br w:type="page"/>
      </w:r>
    </w:p>
    <w:p w14:paraId="7FB379BD">
      <w:pPr>
        <w:pStyle w:val="38"/>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国省干线公路养护工程</w:t>
      </w:r>
    </w:p>
    <w:p w14:paraId="0A5658F3">
      <w:pPr>
        <w:pStyle w:val="38"/>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专项预算项目绩效评价报告</w:t>
      </w:r>
    </w:p>
    <w:p w14:paraId="0204CE0C">
      <w:pPr>
        <w:pStyle w:val="38"/>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color w:val="auto"/>
          <w:kern w:val="2"/>
          <w:sz w:val="32"/>
          <w:szCs w:val="32"/>
          <w:highlight w:val="none"/>
        </w:rPr>
      </w:pPr>
    </w:p>
    <w:p w14:paraId="24D1D7D2">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1"/>
        <w:rPr>
          <w:rFonts w:ascii="黑体" w:hAnsi="宋体" w:eastAsia="黑体"/>
          <w:sz w:val="32"/>
          <w:szCs w:val="32"/>
          <w:highlight w:val="none"/>
          <w:lang w:val="zh-CN"/>
        </w:rPr>
      </w:pPr>
      <w:bookmarkStart w:id="90" w:name="_Toc15536"/>
      <w:r>
        <w:rPr>
          <w:rFonts w:hint="eastAsia" w:ascii="黑体" w:hAnsi="宋体" w:eastAsia="黑体"/>
          <w:sz w:val="32"/>
          <w:szCs w:val="32"/>
          <w:highlight w:val="none"/>
        </w:rPr>
        <w:t>一、</w:t>
      </w:r>
      <w:r>
        <w:rPr>
          <w:rFonts w:hint="eastAsia" w:ascii="黑体" w:hAnsi="宋体" w:eastAsia="黑体"/>
          <w:sz w:val="32"/>
          <w:szCs w:val="32"/>
          <w:highlight w:val="none"/>
          <w:lang w:val="zh-CN"/>
        </w:rPr>
        <w:t>项目概况</w:t>
      </w:r>
      <w:bookmarkEnd w:id="90"/>
    </w:p>
    <w:p w14:paraId="0CB3B22B">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（一）设立背景及基本情况。</w:t>
      </w:r>
    </w:p>
    <w:p w14:paraId="53B08833">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ascii="仿宋_GB2312" w:hAnsi="仿宋_GB2312" w:eastAsia="仿宋_GB2312" w:cs="仿宋_GB2312"/>
          <w:color w:val="auto"/>
          <w:kern w:val="0"/>
          <w:sz w:val="32"/>
          <w:szCs w:val="32"/>
          <w:highlight w:val="none"/>
          <w:u w:val="none"/>
          <w:shd w:val="clear" w:color="auto" w:fill="FFFFFF"/>
          <w:lang w:val="zh-CN"/>
        </w:rPr>
        <w:t>根据《四川省交通运输厅关于下达2023年度第一批交通专项资金投资计划的通知》（川交函〔2023〕76号）文件要求，2023年我局实施养护工程324.435公里（包括：大修28.532公里，中修208.914公里，预防性养护86.898公里）。资金来源为省级补助资金共计2.6673亿元。项目由《四川省交通运输厅关于G248红原县塘日村至达俄村段等10个中修工程一阶段施工图设计的批复》（川交许可公路〔2023〕155号）、《四川省交通运输厅关于G248线红原县刷经寺镇上壤口村查针梁子至花海段中修养护工程等四个项目一阶段施工图设计有关情况的通知》（川交公路便〔2024〕364号）、《四川省交通运输厅关于G248红原县机场至查甘塘段等10个大中修工程一阶段施工图设计的批复》（川交许可公路〔2023〕244号）、《四川省交通运输厅关于G347阿坝县查理乡阿依拉山至查理加油站段等10个大中修工程一阶段施工图设计的批复》（川交许可公路〔2023〕211号）、《阿坝州交通运输局关于G347阿坝县海子山至查理乡等10个预防性养护工程一阶段施工图设计的批复》（阿州交建〔2023〕597号），按照《阿坝州人民政府办公室关于印发阿坝州普通国省干线公路大中修工程实施管理办法的通知》（阿府办发〔2021〕5号）由各县市公路管理分局采用自主实施方式进行施工。州局对各项目进行监督管理。</w:t>
      </w:r>
    </w:p>
    <w:p w14:paraId="77A72C5D">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p>
    <w:p w14:paraId="347ABE49">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按照《阿坝州人民政府办公室关于印发阿坝州普通国省干线公路大中修工程 实施管理办法的通知》（阿府办发〔2021〕5号 ）成立以州公路管理局局领导班子为组长，局机关各科室负责人及局属各分局局长为成员的养护工程领导小组。对项目进度及资金动向进行监督。以实现当年任务、当年完成为目标，共同推进省厅下达的2023年阿坝州国省干线公路养护工程项目进度。局属各分局成立养护工程领导小组具体对各项目质量、进度、资金进行管理工作。</w:t>
      </w:r>
    </w:p>
    <w:p w14:paraId="17B8CB19">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p>
    <w:p w14:paraId="2788CEA9">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根据《四川省交通运输厅关于下达 2023 年度第一批交通专项资金投资计划的通知》（川交函〔2023〕76号）文件要求，2023年我局实施养护工程324.435公里（包括：大修28.532公里，中修208.914公里，预防性养护86.898公里）。资金来源为省级补助资金共计2.6673亿元。无地方配套资金。</w:t>
      </w:r>
    </w:p>
    <w:p w14:paraId="0AD714AD">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eastAsia="zh-CN"/>
        </w:rPr>
        <w:t>（四）项目绩效目标设置。</w:t>
      </w:r>
    </w:p>
    <w:p w14:paraId="4FB9CF11">
      <w:pPr>
        <w:keepNext w:val="0"/>
        <w:keepLines w:val="0"/>
        <w:pageBreakBefore w:val="0"/>
        <w:kinsoku/>
        <w:wordWrap/>
        <w:overflowPunct/>
        <w:topLinePunct w:val="0"/>
        <w:autoSpaceDE/>
        <w:autoSpaceDN/>
        <w:bidi w:val="0"/>
        <w:adjustRightInd w:val="0"/>
        <w:snapToGrid w:val="0"/>
        <w:spacing w:line="578" w:lineRule="exact"/>
        <w:ind w:left="0" w:leftChars="0" w:firstLine="640" w:firstLineChars="200"/>
        <w:textAlignment w:val="auto"/>
        <w:rPr>
          <w:rFonts w:hint="default"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保质保量完成2023年国省干线公路养护工程324.435公里（包括：大修28.532公里，中修208.914公里，预防性养护86.898公里）。</w:t>
      </w:r>
    </w:p>
    <w:p w14:paraId="3EB3C265">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1"/>
        <w:rPr>
          <w:rFonts w:hint="eastAsia" w:ascii="黑体" w:hAnsi="宋体" w:eastAsia="黑体"/>
          <w:sz w:val="32"/>
          <w:szCs w:val="32"/>
          <w:highlight w:val="none"/>
          <w:lang w:eastAsia="zh-CN"/>
        </w:rPr>
      </w:pPr>
      <w:bookmarkStart w:id="91" w:name="_Toc29148"/>
      <w:r>
        <w:rPr>
          <w:rFonts w:hint="eastAsia" w:ascii="黑体" w:hAnsi="宋体" w:eastAsia="黑体"/>
          <w:sz w:val="32"/>
          <w:szCs w:val="32"/>
          <w:highlight w:val="none"/>
        </w:rPr>
        <w:t>二、</w:t>
      </w:r>
      <w:r>
        <w:rPr>
          <w:rFonts w:hint="eastAsia" w:ascii="黑体" w:hAnsi="宋体" w:eastAsia="黑体"/>
          <w:sz w:val="32"/>
          <w:szCs w:val="32"/>
          <w:highlight w:val="none"/>
          <w:lang w:eastAsia="zh-CN"/>
        </w:rPr>
        <w:t>评价实施</w:t>
      </w:r>
      <w:bookmarkEnd w:id="91"/>
    </w:p>
    <w:p w14:paraId="2C6BCD70">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（一）评价目的。</w:t>
      </w:r>
    </w:p>
    <w:p w14:paraId="04CA542A">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通过项目绩效自评实现了精细化资金管理。</w:t>
      </w:r>
    </w:p>
    <w:p w14:paraId="6006ACE2">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（二）预设问题及评价重点。</w:t>
      </w:r>
    </w:p>
    <w:p w14:paraId="36B9FB9E">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0" w:firstLineChars="20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按照绩效评价指标体系，对资金支出使用全过程及其实施效果进行综合评价和判断。</w:t>
      </w:r>
    </w:p>
    <w:p w14:paraId="0120C0CD">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（三）评价选点。</w:t>
      </w:r>
    </w:p>
    <w:p w14:paraId="6493245F">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0" w:firstLineChars="20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G347县阿坝县查理乡至查理加油站中修养护工程，K2923+000-K2932+000，中修里程9公里，截至目前已完成，完成度100%。</w:t>
      </w:r>
    </w:p>
    <w:p w14:paraId="2B09937C">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（四）评价方法。</w:t>
      </w:r>
    </w:p>
    <w:p w14:paraId="5FAC4E29">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结合项目情况采取了采用成本效益分析法、单位自评法等方法进行了测评。</w:t>
      </w:r>
    </w:p>
    <w:p w14:paraId="2E94E77D">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（五）评价组织。</w:t>
      </w:r>
    </w:p>
    <w:p w14:paraId="7400E0B6">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bCs/>
          <w:lang w:eastAsia="zh-CN"/>
        </w:rPr>
      </w:pPr>
      <w:r>
        <w:rPr>
          <w:rFonts w:hint="eastAsia" w:ascii="仿宋_GB2312" w:hAnsi="仿宋_GB2312" w:eastAsia="仿宋_GB2312" w:cs="仿宋_GB2312"/>
          <w:b w:val="0"/>
          <w:bCs w:val="0"/>
          <w:kern w:val="0"/>
          <w:position w:val="0"/>
          <w:sz w:val="32"/>
          <w:szCs w:val="32"/>
          <w:highlight w:val="none"/>
          <w:lang w:val="zh-CN" w:eastAsia="zh-CN" w:bidi="ar-SA"/>
        </w:rPr>
        <w:t>分局成立了以局长为组长、分管领导为副组长，相关股室负责人为成员的自评领导小组。通过查阅施工资料和现场调查对项目完成情况和满意度进行自评。</w:t>
      </w:r>
    </w:p>
    <w:p w14:paraId="0A84E6D7">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outlineLvl w:val="1"/>
        <w:rPr>
          <w:rFonts w:ascii="仿宋_GB2312" w:hAnsi="宋体"/>
          <w:color w:val="auto"/>
          <w:sz w:val="32"/>
          <w:szCs w:val="32"/>
          <w:highlight w:val="none"/>
          <w:u w:val="none"/>
          <w:lang w:val="zh-CN"/>
        </w:rPr>
      </w:pPr>
      <w:bookmarkStart w:id="92" w:name="_Toc3034"/>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bookmarkEnd w:id="92"/>
      <w:r>
        <w:rPr>
          <w:rFonts w:hint="eastAsia" w:ascii="仿宋_GB2312" w:hAnsi="宋体"/>
          <w:color w:val="auto"/>
          <w:sz w:val="32"/>
          <w:szCs w:val="32"/>
          <w:highlight w:val="none"/>
          <w:u w:val="none"/>
          <w:lang w:val="zh-CN"/>
        </w:rPr>
        <w:tab/>
      </w:r>
    </w:p>
    <w:p w14:paraId="798BB621">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14:paraId="7055141B">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p>
    <w:p w14:paraId="18FD8CD7">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按照《阿坝州人民政府办公室关于印发阿坝州普通国省干线公路大中修工程实施管理办法的通知》（阿府办发〔2021〕5号）成立以州公路管理局局领导班子为组长，局机关各科室负责人及局属各分局局长为成员的养护工程领导小组。对项目重大涉及资金、项目进度及变更进行研究决定。</w:t>
      </w:r>
    </w:p>
    <w:p w14:paraId="4288CE13">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p>
    <w:p w14:paraId="5B8A8EA6">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按照《阿坝州人民政府办公室关于印发阿坝州普通国省干线公路大中修工程实施管理办法的通知》（阿府办发〔2021〕5号），能够有效地完成省厅下达的计划任务，取得既定目标，过程中对围绕制度办法、分配管理、绩效监管进行绩效分析。</w:t>
      </w:r>
    </w:p>
    <w:p w14:paraId="62E1C1D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3.项目实施。</w:t>
      </w:r>
    </w:p>
    <w:p w14:paraId="21D2D20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项目实施过程中严格按照实地收方的方式对各类计量方量进行精准计量，并经分局审核、州局审核、州交通运输局审核的方式，确定各类资料支付的程序合法合规性。</w:t>
      </w:r>
    </w:p>
    <w:p w14:paraId="679E419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4.项目结果。</w:t>
      </w:r>
    </w:p>
    <w:p w14:paraId="7EA970A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圆满完简要阐述专项预算项目绩效自评总体结论，包含评价总分、项目实施情况。按照省厅下达324.435公里养护工程计划任务。</w:t>
      </w:r>
    </w:p>
    <w:p w14:paraId="6E73500D">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outlineLvl w:val="9"/>
        <w:rPr>
          <w:rFonts w:hint="eastAsia" w:ascii="仿宋_GB2312" w:hAnsi="仿宋_GB2312" w:eastAsia="仿宋_GB2312" w:cs="仿宋_GB2312"/>
          <w:b w:val="0"/>
          <w:bCs w:val="0"/>
          <w:kern w:val="0"/>
          <w:position w:val="0"/>
          <w:sz w:val="32"/>
          <w:szCs w:val="32"/>
          <w:highlight w:val="none"/>
          <w:lang w:val="zh-CN" w:eastAsia="zh-CN" w:bidi="ar-SA"/>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14:paraId="4B73832F">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1.产业发展。</w:t>
      </w:r>
    </w:p>
    <w:p w14:paraId="01FEB1F5">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en-US" w:eastAsia="zh-CN" w:bidi="ar-SA"/>
        </w:rPr>
        <w:t>项目的实施，对阿坝州各县的经济增长起到了很大的提高。</w:t>
      </w:r>
    </w:p>
    <w:p w14:paraId="27DFE0A2">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楷体_GB2312" w:hAnsi="楷体_GB2312" w:eastAsia="楷体_GB2312" w:cs="楷体_GB2312"/>
          <w:color w:val="auto"/>
          <w:sz w:val="32"/>
          <w:szCs w:val="32"/>
          <w:lang w:val="zh-CN"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val="zh-CN" w:eastAsia="zh-CN"/>
        </w:rPr>
        <w:t>民生保障。</w:t>
      </w:r>
    </w:p>
    <w:p w14:paraId="4FBDDC54">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en-US" w:eastAsia="zh-CN" w:bidi="ar-SA"/>
        </w:rPr>
        <w:t>项目施工过程中解决了多达500类岗位。并确保施工期间不扰民、不形成大型堵车情况。</w:t>
      </w:r>
    </w:p>
    <w:p w14:paraId="2E0B0677">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3.基础设施。</w:t>
      </w:r>
    </w:p>
    <w:p w14:paraId="7E3F251C">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仿宋_GB2312" w:hAnsi="仿宋_GB2312" w:eastAsia="仿宋_GB2312" w:cs="仿宋_GB2312"/>
          <w:b w:val="0"/>
          <w:bCs w:val="0"/>
          <w:kern w:val="0"/>
          <w:position w:val="0"/>
          <w:sz w:val="32"/>
          <w:szCs w:val="32"/>
          <w:highlight w:val="none"/>
          <w:lang w:val="zh-CN" w:eastAsia="zh-CN" w:bidi="ar-SA"/>
        </w:rPr>
        <w:t>项目完工后，大幅提升了阿坝州国省干线道路状况，提升了出行安全性和舒适性。</w:t>
      </w:r>
    </w:p>
    <w:p w14:paraId="27B1930E">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楷体_GB2312" w:hAnsi="楷体_GB2312" w:eastAsia="楷体_GB2312" w:cs="楷体_GB2312"/>
          <w:color w:val="auto"/>
          <w:sz w:val="32"/>
          <w:szCs w:val="32"/>
          <w:lang w:val="zh-CN" w:eastAsia="zh-CN"/>
        </w:rPr>
      </w:pPr>
      <w:r>
        <w:rPr>
          <w:rFonts w:hint="eastAsia" w:ascii="楷体_GB2312" w:hAnsi="楷体_GB2312" w:eastAsia="楷体_GB2312" w:cs="楷体_GB2312"/>
          <w:color w:val="auto"/>
          <w:sz w:val="32"/>
          <w:szCs w:val="32"/>
          <w:lang w:val="en-US" w:eastAsia="zh-CN"/>
        </w:rPr>
        <w:t>4.</w:t>
      </w:r>
      <w:r>
        <w:rPr>
          <w:rFonts w:hint="eastAsia" w:ascii="楷体_GB2312" w:hAnsi="楷体_GB2312" w:eastAsia="楷体_GB2312" w:cs="楷体_GB2312"/>
          <w:color w:val="auto"/>
          <w:sz w:val="32"/>
          <w:szCs w:val="32"/>
          <w:lang w:val="zh-CN" w:eastAsia="zh-CN"/>
        </w:rPr>
        <w:t>行政运转。</w:t>
      </w:r>
    </w:p>
    <w:p w14:paraId="310DF609">
      <w:pPr>
        <w:keepNext w:val="0"/>
        <w:keepLines w:val="0"/>
        <w:pageBreakBefore w:val="0"/>
        <w:widowControl w:val="0"/>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zh-CN" w:eastAsia="zh-CN" w:bidi="ar-SA"/>
        </w:rPr>
        <w:t>项目实施过程中严格按照相关法律法规及规范严格施工。确保项目的合规性、程序合规性、标准合规性。</w:t>
      </w:r>
    </w:p>
    <w:p w14:paraId="588225A3">
      <w:pPr>
        <w:pStyle w:val="8"/>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outlineLvl w:val="1"/>
        <w:rPr>
          <w:rFonts w:hint="eastAsia" w:ascii="黑体" w:hAnsi="宋体" w:eastAsia="黑体"/>
          <w:color w:val="auto"/>
          <w:sz w:val="32"/>
          <w:szCs w:val="32"/>
          <w:highlight w:val="none"/>
          <w:u w:val="none"/>
        </w:rPr>
      </w:pPr>
      <w:bookmarkStart w:id="93" w:name="_Toc21195"/>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bookmarkEnd w:id="93"/>
    </w:p>
    <w:p w14:paraId="1CBE6B60">
      <w:pPr>
        <w:pStyle w:val="8"/>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eastAsia="仿宋_GB2312" w:cs="仿宋_GB2312"/>
          <w:kern w:val="0"/>
          <w:position w:val="0"/>
          <w:sz w:val="32"/>
          <w:szCs w:val="32"/>
          <w:highlight w:val="none"/>
          <w:lang w:val="en-US" w:eastAsia="zh-CN" w:bidi="ar-SA"/>
        </w:rPr>
        <w:t>20223年阿坝州国省干线公路养护工程的实施，</w:t>
      </w:r>
      <w:r>
        <w:rPr>
          <w:rFonts w:hint="eastAsia" w:cs="仿宋_GB2312"/>
          <w:kern w:val="0"/>
          <w:position w:val="0"/>
          <w:sz w:val="32"/>
          <w:szCs w:val="32"/>
          <w:highlight w:val="none"/>
          <w:lang w:val="en-US" w:eastAsia="zh-CN" w:bidi="ar-SA"/>
        </w:rPr>
        <w:t>大幅</w:t>
      </w:r>
      <w:r>
        <w:rPr>
          <w:rFonts w:hint="eastAsia" w:ascii="仿宋_GB2312" w:eastAsia="仿宋_GB2312" w:cs="仿宋_GB2312"/>
          <w:kern w:val="0"/>
          <w:position w:val="0"/>
          <w:sz w:val="32"/>
          <w:szCs w:val="32"/>
          <w:highlight w:val="none"/>
          <w:lang w:val="en-US" w:eastAsia="zh-CN" w:bidi="ar-SA"/>
        </w:rPr>
        <w:t>提升了州内道路状况，提高了出行安全性</w:t>
      </w:r>
      <w:r>
        <w:rPr>
          <w:rFonts w:hint="eastAsia" w:cs="仿宋_GB2312"/>
          <w:kern w:val="0"/>
          <w:position w:val="0"/>
          <w:sz w:val="32"/>
          <w:szCs w:val="32"/>
          <w:highlight w:val="none"/>
          <w:lang w:val="en-US" w:eastAsia="zh-CN" w:bidi="ar-SA"/>
        </w:rPr>
        <w:t>和舒适性</w:t>
      </w:r>
      <w:r>
        <w:rPr>
          <w:rFonts w:hint="eastAsia" w:ascii="仿宋_GB2312" w:hAnsi="仿宋_GB2312" w:eastAsia="仿宋_GB2312" w:cs="仿宋_GB2312"/>
          <w:b w:val="0"/>
          <w:bCs w:val="0"/>
          <w:kern w:val="0"/>
          <w:position w:val="0"/>
          <w:sz w:val="32"/>
          <w:szCs w:val="32"/>
          <w:highlight w:val="none"/>
          <w:lang w:val="zh-CN" w:eastAsia="zh-CN" w:bidi="ar-SA"/>
        </w:rPr>
        <w:t>。</w:t>
      </w:r>
    </w:p>
    <w:p w14:paraId="5047442A">
      <w:pPr>
        <w:pStyle w:val="8"/>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outlineLvl w:val="1"/>
        <w:rPr>
          <w:rFonts w:hint="eastAsia" w:ascii="黑体" w:hAnsi="宋体" w:eastAsia="黑体" w:cs="Times New Roman"/>
          <w:color w:val="auto"/>
          <w:sz w:val="32"/>
          <w:szCs w:val="32"/>
          <w:highlight w:val="none"/>
          <w:u w:val="none"/>
          <w:lang w:eastAsia="zh-CN"/>
        </w:rPr>
      </w:pPr>
      <w:bookmarkStart w:id="94" w:name="_Toc15079"/>
      <w:r>
        <w:rPr>
          <w:rFonts w:hint="eastAsia" w:ascii="黑体" w:hAnsi="宋体" w:eastAsia="黑体" w:cs="Times New Roman"/>
          <w:color w:val="auto"/>
          <w:sz w:val="32"/>
          <w:szCs w:val="32"/>
          <w:highlight w:val="none"/>
          <w:u w:val="none"/>
          <w:lang w:eastAsia="zh-CN"/>
        </w:rPr>
        <w:t>五、存在主要问题</w:t>
      </w:r>
      <w:bookmarkEnd w:id="94"/>
    </w:p>
    <w:p w14:paraId="3BD9C77C">
      <w:pPr>
        <w:pStyle w:val="8"/>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rPr>
          <w:rFonts w:hint="eastAsia" w:ascii="黑体" w:hAnsi="黑体" w:cs="黑体"/>
          <w:b w:val="0"/>
          <w:bCs w:val="0"/>
          <w:kern w:val="2"/>
          <w:position w:val="0"/>
          <w:sz w:val="32"/>
          <w:szCs w:val="32"/>
          <w:highlight w:val="none"/>
          <w:lang w:val="en-US" w:eastAsia="zh-CN" w:bidi="ar-SA"/>
        </w:rPr>
      </w:pPr>
      <w:r>
        <w:rPr>
          <w:rFonts w:hint="eastAsia" w:hAnsi="仿宋_GB2312" w:cs="仿宋_GB2312"/>
          <w:b w:val="0"/>
          <w:bCs w:val="0"/>
          <w:kern w:val="0"/>
          <w:position w:val="0"/>
          <w:sz w:val="32"/>
          <w:szCs w:val="32"/>
          <w:highlight w:val="none"/>
          <w:lang w:val="en-US" w:eastAsia="zh-CN" w:bidi="ar-SA"/>
        </w:rPr>
        <w:t>无</w:t>
      </w:r>
      <w:r>
        <w:rPr>
          <w:rFonts w:hint="eastAsia" w:ascii="仿宋_GB2312" w:hAnsi="仿宋_GB2312" w:eastAsia="仿宋_GB2312" w:cs="仿宋_GB2312"/>
          <w:b w:val="0"/>
          <w:bCs w:val="0"/>
          <w:kern w:val="0"/>
          <w:position w:val="0"/>
          <w:sz w:val="32"/>
          <w:szCs w:val="32"/>
          <w:highlight w:val="none"/>
          <w:lang w:val="en-US" w:eastAsia="zh-CN" w:bidi="ar-SA"/>
        </w:rPr>
        <w:t>。</w:t>
      </w:r>
    </w:p>
    <w:p w14:paraId="5548CC75">
      <w:pPr>
        <w:pStyle w:val="8"/>
        <w:pageBreakBefore w:val="0"/>
        <w:numPr>
          <w:ilvl w:val="0"/>
          <w:numId w:val="0"/>
        </w:numPr>
        <w:tabs>
          <w:tab w:val="left" w:pos="2160"/>
        </w:tabs>
        <w:kinsoku/>
        <w:wordWrap/>
        <w:overflowPunct/>
        <w:topLinePunct w:val="0"/>
        <w:autoSpaceDE/>
        <w:autoSpaceDN/>
        <w:bidi w:val="0"/>
        <w:adjustRightInd/>
        <w:spacing w:line="600" w:lineRule="exact"/>
        <w:ind w:firstLine="640" w:firstLineChars="200"/>
        <w:textAlignment w:val="auto"/>
        <w:outlineLvl w:val="1"/>
        <w:rPr>
          <w:rFonts w:hint="eastAsia" w:ascii="黑体" w:hAnsi="宋体" w:eastAsia="黑体" w:cs="Times New Roman"/>
          <w:color w:val="auto"/>
          <w:kern w:val="0"/>
          <w:position w:val="3"/>
          <w:sz w:val="32"/>
          <w:szCs w:val="32"/>
          <w:highlight w:val="none"/>
          <w:u w:val="none"/>
          <w:lang w:val="zh-CN" w:eastAsia="zh-CN" w:bidi="ar-SA"/>
        </w:rPr>
      </w:pPr>
      <w:bookmarkStart w:id="95" w:name="_Toc6329"/>
      <w:r>
        <w:rPr>
          <w:rFonts w:hint="eastAsia" w:ascii="黑体" w:hAnsi="宋体" w:eastAsia="黑体" w:cs="Times New Roman"/>
          <w:color w:val="auto"/>
          <w:kern w:val="0"/>
          <w:position w:val="3"/>
          <w:sz w:val="32"/>
          <w:szCs w:val="32"/>
          <w:highlight w:val="none"/>
          <w:u w:val="none"/>
          <w:lang w:val="zh-CN" w:eastAsia="zh-CN" w:bidi="ar-SA"/>
        </w:rPr>
        <w:t>六、改进建议</w:t>
      </w:r>
      <w:bookmarkEnd w:id="95"/>
    </w:p>
    <w:p w14:paraId="7C8D6230">
      <w:r>
        <w:rPr>
          <w:rFonts w:hint="eastAsia" w:ascii="仿宋_GB2312" w:hAnsi="仿宋_GB2312" w:eastAsia="仿宋_GB2312" w:cs="仿宋_GB2312"/>
          <w:b w:val="0"/>
          <w:bCs w:val="0"/>
          <w:kern w:val="0"/>
          <w:position w:val="0"/>
          <w:sz w:val="32"/>
          <w:szCs w:val="32"/>
          <w:highlight w:val="none"/>
          <w:lang w:val="zh-CN" w:eastAsia="zh-CN" w:bidi="ar-SA"/>
        </w:rPr>
        <w:t xml:space="preserve"> </w:t>
      </w:r>
      <w:r>
        <w:rPr>
          <w:rFonts w:hint="eastAsia" w:ascii="仿宋_GB2312" w:hAnsi="仿宋_GB2312" w:eastAsia="仿宋_GB2312" w:cs="仿宋_GB2312"/>
          <w:b w:val="0"/>
          <w:bCs w:val="0"/>
          <w:kern w:val="0"/>
          <w:position w:val="0"/>
          <w:sz w:val="32"/>
          <w:szCs w:val="32"/>
          <w:highlight w:val="none"/>
          <w:lang w:val="en-US" w:eastAsia="zh-CN" w:bidi="ar-SA"/>
        </w:rPr>
        <w:t xml:space="preserve">   无。</w:t>
      </w:r>
    </w:p>
    <w:p w14:paraId="5BDE9D4E">
      <w:pPr>
        <w:spacing w:line="580" w:lineRule="exact"/>
        <w:rPr>
          <w:rStyle w:val="32"/>
          <w:rFonts w:ascii="黑体" w:hAnsi="黑体" w:eastAsia="黑体"/>
          <w:b w:val="0"/>
          <w:color w:val="auto"/>
          <w:highlight w:val="none"/>
        </w:rPr>
      </w:pPr>
    </w:p>
    <w:p w14:paraId="30B5A410">
      <w:pPr>
        <w:rPr>
          <w:rFonts w:hint="eastAsia" w:ascii="黑体" w:hAnsi="黑体" w:eastAsia="黑体"/>
          <w:color w:val="auto"/>
          <w:sz w:val="44"/>
          <w:szCs w:val="44"/>
          <w:highlight w:val="none"/>
        </w:rPr>
      </w:pPr>
      <w:bookmarkStart w:id="96" w:name="_Toc15396618"/>
      <w:r>
        <w:rPr>
          <w:rFonts w:hint="eastAsia" w:ascii="黑体" w:hAnsi="黑体" w:eastAsia="黑体"/>
          <w:color w:val="auto"/>
          <w:sz w:val="44"/>
          <w:szCs w:val="44"/>
          <w:highlight w:val="none"/>
        </w:rPr>
        <w:br w:type="page"/>
      </w:r>
    </w:p>
    <w:p w14:paraId="6332DB33">
      <w:pPr>
        <w:widowControl/>
        <w:jc w:val="center"/>
        <w:outlineLvl w:val="0"/>
        <w:rPr>
          <w:rFonts w:hint="eastAsia" w:ascii="仿宋" w:hAnsi="仿宋" w:eastAsia="仿宋"/>
          <w:b w:val="0"/>
          <w:color w:val="auto"/>
          <w:highlight w:val="none"/>
        </w:rPr>
      </w:pPr>
      <w:bookmarkStart w:id="97" w:name="_Toc5636"/>
      <w:r>
        <w:rPr>
          <w:rFonts w:hint="eastAsia" w:ascii="黑体" w:hAnsi="黑体" w:eastAsia="黑体"/>
          <w:color w:val="auto"/>
          <w:sz w:val="44"/>
          <w:szCs w:val="44"/>
          <w:highlight w:val="none"/>
        </w:rPr>
        <w:t>第</w:t>
      </w:r>
      <w:r>
        <w:rPr>
          <w:rStyle w:val="32"/>
          <w:rFonts w:hint="eastAsia" w:ascii="黑体" w:hAnsi="黑体" w:eastAsia="黑体"/>
          <w:b w:val="0"/>
          <w:color w:val="auto"/>
          <w:highlight w:val="none"/>
        </w:rPr>
        <w:t>五部分 附表</w:t>
      </w:r>
      <w:bookmarkEnd w:id="66"/>
      <w:bookmarkEnd w:id="96"/>
      <w:bookmarkEnd w:id="97"/>
      <w:bookmarkStart w:id="98" w:name="_Toc15396619"/>
    </w:p>
    <w:p w14:paraId="5EEADF18">
      <w:pPr>
        <w:pStyle w:val="4"/>
        <w:rPr>
          <w:rFonts w:ascii="仿宋" w:hAnsi="仿宋" w:eastAsia="仿宋"/>
          <w:color w:val="auto"/>
          <w:highlight w:val="none"/>
        </w:rPr>
      </w:pPr>
      <w:bookmarkStart w:id="99" w:name="_Toc3662"/>
      <w:r>
        <w:rPr>
          <w:rFonts w:hint="eastAsia" w:ascii="仿宋" w:hAnsi="仿宋" w:eastAsia="仿宋"/>
          <w:b w:val="0"/>
          <w:color w:val="auto"/>
          <w:highlight w:val="none"/>
        </w:rPr>
        <w:t>一、收</w:t>
      </w:r>
      <w:r>
        <w:rPr>
          <w:rStyle w:val="33"/>
          <w:rFonts w:hint="eastAsia" w:ascii="仿宋" w:hAnsi="仿宋" w:eastAsia="仿宋"/>
          <w:b w:val="0"/>
          <w:bCs w:val="0"/>
          <w:color w:val="auto"/>
          <w:highlight w:val="none"/>
        </w:rPr>
        <w:t>入支出决算总表</w:t>
      </w:r>
      <w:bookmarkEnd w:id="98"/>
      <w:bookmarkEnd w:id="99"/>
    </w:p>
    <w:p w14:paraId="73952D79">
      <w:pPr>
        <w:pStyle w:val="4"/>
        <w:rPr>
          <w:rFonts w:ascii="仿宋" w:hAnsi="仿宋" w:eastAsia="仿宋"/>
          <w:color w:val="auto"/>
          <w:highlight w:val="none"/>
        </w:rPr>
      </w:pPr>
      <w:bookmarkStart w:id="100" w:name="_Toc15396620"/>
      <w:bookmarkStart w:id="101" w:name="_Toc30628"/>
      <w:r>
        <w:rPr>
          <w:rFonts w:hint="eastAsia" w:ascii="仿宋" w:hAnsi="仿宋" w:eastAsia="仿宋"/>
          <w:b w:val="0"/>
          <w:color w:val="auto"/>
          <w:highlight w:val="none"/>
        </w:rPr>
        <w:t>二、收</w:t>
      </w:r>
      <w:r>
        <w:rPr>
          <w:rStyle w:val="33"/>
          <w:rFonts w:hint="eastAsia" w:ascii="仿宋" w:hAnsi="仿宋" w:eastAsia="仿宋"/>
          <w:b w:val="0"/>
          <w:bCs w:val="0"/>
          <w:color w:val="auto"/>
          <w:highlight w:val="none"/>
        </w:rPr>
        <w:t>入决算表</w:t>
      </w:r>
      <w:bookmarkEnd w:id="100"/>
      <w:bookmarkEnd w:id="101"/>
    </w:p>
    <w:p w14:paraId="19C214DF">
      <w:pPr>
        <w:pStyle w:val="4"/>
        <w:rPr>
          <w:rFonts w:ascii="仿宋" w:hAnsi="仿宋" w:eastAsia="仿宋"/>
          <w:color w:val="auto"/>
          <w:highlight w:val="none"/>
        </w:rPr>
      </w:pPr>
      <w:bookmarkStart w:id="102" w:name="_Toc7409"/>
      <w:bookmarkStart w:id="103" w:name="_Toc15396621"/>
      <w:r>
        <w:rPr>
          <w:rStyle w:val="33"/>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3"/>
          <w:rFonts w:hint="eastAsia" w:ascii="仿宋" w:hAnsi="仿宋" w:eastAsia="仿宋"/>
          <w:b w:val="0"/>
          <w:bCs w:val="0"/>
          <w:color w:val="auto"/>
          <w:highlight w:val="none"/>
        </w:rPr>
        <w:t>出决算表</w:t>
      </w:r>
      <w:bookmarkEnd w:id="102"/>
      <w:bookmarkEnd w:id="103"/>
    </w:p>
    <w:p w14:paraId="6639D178">
      <w:pPr>
        <w:pStyle w:val="4"/>
        <w:rPr>
          <w:rFonts w:ascii="仿宋" w:hAnsi="仿宋" w:eastAsia="仿宋"/>
          <w:b w:val="0"/>
          <w:color w:val="auto"/>
          <w:highlight w:val="none"/>
        </w:rPr>
      </w:pPr>
      <w:bookmarkStart w:id="104" w:name="_Toc15396622"/>
      <w:bookmarkStart w:id="105" w:name="_Toc16715"/>
      <w:r>
        <w:rPr>
          <w:rStyle w:val="33"/>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3"/>
          <w:rFonts w:hint="eastAsia" w:ascii="仿宋" w:hAnsi="仿宋" w:eastAsia="仿宋"/>
          <w:b w:val="0"/>
          <w:bCs w:val="0"/>
          <w:color w:val="auto"/>
          <w:highlight w:val="none"/>
        </w:rPr>
        <w:t>政拨款收入支出决算总表</w:t>
      </w:r>
      <w:bookmarkEnd w:id="104"/>
      <w:bookmarkEnd w:id="105"/>
    </w:p>
    <w:p w14:paraId="38152625">
      <w:pPr>
        <w:pStyle w:val="4"/>
        <w:rPr>
          <w:rStyle w:val="33"/>
          <w:rFonts w:ascii="仿宋" w:hAnsi="仿宋" w:eastAsia="仿宋"/>
          <w:b w:val="0"/>
          <w:bCs w:val="0"/>
          <w:color w:val="auto"/>
          <w:highlight w:val="none"/>
        </w:rPr>
      </w:pPr>
      <w:bookmarkStart w:id="106" w:name="_Toc12016"/>
      <w:bookmarkStart w:id="107" w:name="_Toc15396623"/>
      <w:r>
        <w:rPr>
          <w:rStyle w:val="33"/>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3"/>
          <w:rFonts w:hint="eastAsia" w:ascii="仿宋" w:hAnsi="仿宋" w:eastAsia="仿宋"/>
          <w:b w:val="0"/>
          <w:bCs w:val="0"/>
          <w:color w:val="auto"/>
          <w:highlight w:val="none"/>
        </w:rPr>
        <w:t>政拨款支出决算明细表</w:t>
      </w:r>
      <w:bookmarkEnd w:id="106"/>
      <w:bookmarkEnd w:id="107"/>
      <w:bookmarkStart w:id="108" w:name="_Toc15396624"/>
    </w:p>
    <w:p w14:paraId="42078BEF">
      <w:pPr>
        <w:pStyle w:val="4"/>
        <w:rPr>
          <w:rFonts w:ascii="仿宋" w:hAnsi="仿宋" w:eastAsia="仿宋"/>
          <w:color w:val="auto"/>
          <w:highlight w:val="none"/>
        </w:rPr>
      </w:pPr>
      <w:bookmarkStart w:id="109" w:name="_Toc20376"/>
      <w:r>
        <w:rPr>
          <w:rStyle w:val="33"/>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3"/>
          <w:rFonts w:hint="eastAsia" w:ascii="仿宋" w:hAnsi="仿宋" w:eastAsia="仿宋"/>
          <w:b w:val="0"/>
          <w:bCs w:val="0"/>
          <w:color w:val="auto"/>
          <w:highlight w:val="none"/>
        </w:rPr>
        <w:t>般公共预算财政拨款支出决算表</w:t>
      </w:r>
      <w:bookmarkEnd w:id="108"/>
      <w:bookmarkEnd w:id="109"/>
    </w:p>
    <w:p w14:paraId="3C6C29E9">
      <w:pPr>
        <w:pStyle w:val="4"/>
        <w:rPr>
          <w:rFonts w:ascii="仿宋" w:hAnsi="仿宋" w:eastAsia="仿宋"/>
          <w:color w:val="auto"/>
          <w:highlight w:val="none"/>
        </w:rPr>
      </w:pPr>
      <w:bookmarkStart w:id="110" w:name="_Toc967"/>
      <w:bookmarkStart w:id="111" w:name="_Toc15396625"/>
      <w:r>
        <w:rPr>
          <w:rStyle w:val="33"/>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3"/>
          <w:rFonts w:hint="eastAsia" w:ascii="仿宋" w:hAnsi="仿宋" w:eastAsia="仿宋"/>
          <w:b w:val="0"/>
          <w:bCs w:val="0"/>
          <w:color w:val="auto"/>
          <w:highlight w:val="none"/>
        </w:rPr>
        <w:t>般公共预算财政拨款支出决算明细表</w:t>
      </w:r>
      <w:bookmarkEnd w:id="110"/>
      <w:bookmarkEnd w:id="111"/>
    </w:p>
    <w:p w14:paraId="2533F395">
      <w:pPr>
        <w:pStyle w:val="4"/>
        <w:rPr>
          <w:rFonts w:ascii="仿宋" w:hAnsi="仿宋" w:eastAsia="仿宋"/>
          <w:color w:val="auto"/>
          <w:highlight w:val="none"/>
        </w:rPr>
      </w:pPr>
      <w:bookmarkStart w:id="112" w:name="_Toc27635"/>
      <w:bookmarkStart w:id="113" w:name="_Toc15396626"/>
      <w:r>
        <w:rPr>
          <w:rStyle w:val="33"/>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3"/>
          <w:rFonts w:hint="eastAsia" w:ascii="仿宋" w:hAnsi="仿宋" w:eastAsia="仿宋"/>
          <w:b w:val="0"/>
          <w:bCs w:val="0"/>
          <w:color w:val="auto"/>
          <w:highlight w:val="none"/>
        </w:rPr>
        <w:t>般公共预算财政拨款基本支出决算表</w:t>
      </w:r>
      <w:bookmarkEnd w:id="112"/>
      <w:bookmarkEnd w:id="113"/>
    </w:p>
    <w:p w14:paraId="1B7EFBA0">
      <w:pPr>
        <w:pStyle w:val="4"/>
        <w:rPr>
          <w:rFonts w:ascii="仿宋" w:hAnsi="仿宋" w:eastAsia="仿宋"/>
          <w:color w:val="auto"/>
          <w:highlight w:val="none"/>
        </w:rPr>
      </w:pPr>
      <w:bookmarkStart w:id="114" w:name="_Toc15396627"/>
      <w:bookmarkStart w:id="115" w:name="_Toc4024"/>
      <w:r>
        <w:rPr>
          <w:rStyle w:val="33"/>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3"/>
          <w:rFonts w:hint="eastAsia" w:ascii="仿宋" w:hAnsi="仿宋" w:eastAsia="仿宋"/>
          <w:b w:val="0"/>
          <w:bCs w:val="0"/>
          <w:color w:val="auto"/>
          <w:highlight w:val="none"/>
        </w:rPr>
        <w:t>般公共预算财政拨款项目支出决算表</w:t>
      </w:r>
      <w:bookmarkEnd w:id="114"/>
      <w:bookmarkEnd w:id="115"/>
    </w:p>
    <w:p w14:paraId="751659AB">
      <w:pPr>
        <w:pStyle w:val="4"/>
        <w:rPr>
          <w:rFonts w:ascii="仿宋" w:hAnsi="仿宋" w:eastAsia="仿宋"/>
          <w:color w:val="auto"/>
          <w:highlight w:val="none"/>
        </w:rPr>
      </w:pPr>
      <w:bookmarkStart w:id="116" w:name="_Toc15396628"/>
      <w:bookmarkStart w:id="117" w:name="_Toc4159"/>
      <w:r>
        <w:rPr>
          <w:rStyle w:val="33"/>
          <w:rFonts w:hint="eastAsia" w:ascii="仿宋" w:hAnsi="仿宋" w:eastAsia="仿宋"/>
          <w:b w:val="0"/>
          <w:bCs w:val="0"/>
          <w:color w:val="auto"/>
          <w:highlight w:val="none"/>
        </w:rPr>
        <w:t>十、</w:t>
      </w:r>
      <w:bookmarkEnd w:id="116"/>
      <w:r>
        <w:rPr>
          <w:rFonts w:hint="eastAsia" w:ascii="仿宋" w:hAnsi="仿宋" w:eastAsia="仿宋"/>
          <w:b w:val="0"/>
          <w:color w:val="auto"/>
          <w:highlight w:val="none"/>
        </w:rPr>
        <w:t>政</w:t>
      </w:r>
      <w:r>
        <w:rPr>
          <w:rStyle w:val="33"/>
          <w:rFonts w:hint="eastAsia" w:ascii="仿宋" w:hAnsi="仿宋" w:eastAsia="仿宋"/>
          <w:b w:val="0"/>
          <w:bCs w:val="0"/>
          <w:color w:val="auto"/>
          <w:highlight w:val="none"/>
        </w:rPr>
        <w:t>府性基金预算财政拨款收入支出决算表</w:t>
      </w:r>
      <w:bookmarkEnd w:id="117"/>
    </w:p>
    <w:p w14:paraId="775BF470">
      <w:pPr>
        <w:pStyle w:val="4"/>
        <w:rPr>
          <w:rFonts w:ascii="仿宋" w:hAnsi="仿宋" w:eastAsia="仿宋"/>
          <w:color w:val="auto"/>
          <w:highlight w:val="none"/>
        </w:rPr>
      </w:pPr>
      <w:bookmarkStart w:id="118" w:name="_Toc15396629"/>
      <w:bookmarkStart w:id="119" w:name="_Toc2325"/>
      <w:r>
        <w:rPr>
          <w:rStyle w:val="33"/>
          <w:rFonts w:hint="eastAsia" w:ascii="仿宋" w:hAnsi="仿宋" w:eastAsia="仿宋"/>
          <w:b w:val="0"/>
          <w:bCs w:val="0"/>
          <w:color w:val="auto"/>
          <w:highlight w:val="none"/>
        </w:rPr>
        <w:t>十一、</w:t>
      </w:r>
      <w:bookmarkEnd w:id="118"/>
      <w:r>
        <w:rPr>
          <w:rFonts w:hint="eastAsia" w:ascii="仿宋" w:hAnsi="仿宋" w:eastAsia="仿宋"/>
          <w:b w:val="0"/>
          <w:color w:val="auto"/>
          <w:highlight w:val="none"/>
        </w:rPr>
        <w:t>国</w:t>
      </w:r>
      <w:r>
        <w:rPr>
          <w:rStyle w:val="33"/>
          <w:rFonts w:hint="eastAsia" w:ascii="仿宋" w:hAnsi="仿宋" w:eastAsia="仿宋"/>
          <w:b w:val="0"/>
          <w:bCs w:val="0"/>
          <w:color w:val="auto"/>
          <w:highlight w:val="none"/>
        </w:rPr>
        <w:t>有资本经营预算</w:t>
      </w:r>
      <w:r>
        <w:rPr>
          <w:rStyle w:val="33"/>
          <w:rFonts w:hint="eastAsia" w:ascii="仿宋" w:hAnsi="仿宋" w:eastAsia="仿宋"/>
          <w:b w:val="0"/>
          <w:bCs w:val="0"/>
          <w:color w:val="auto"/>
          <w:highlight w:val="none"/>
          <w:lang w:eastAsia="zh-CN"/>
        </w:rPr>
        <w:t>财政拨款收入</w:t>
      </w:r>
      <w:r>
        <w:rPr>
          <w:rStyle w:val="33"/>
          <w:rFonts w:hint="eastAsia" w:ascii="仿宋" w:hAnsi="仿宋" w:eastAsia="仿宋"/>
          <w:b w:val="0"/>
          <w:bCs w:val="0"/>
          <w:color w:val="auto"/>
          <w:highlight w:val="none"/>
        </w:rPr>
        <w:t>支出决算表</w:t>
      </w:r>
      <w:bookmarkEnd w:id="119"/>
    </w:p>
    <w:p w14:paraId="2F36DF51">
      <w:pPr>
        <w:pStyle w:val="4"/>
        <w:rPr>
          <w:rFonts w:ascii="仿宋" w:hAnsi="仿宋" w:eastAsia="仿宋"/>
          <w:color w:val="auto"/>
          <w:highlight w:val="none"/>
        </w:rPr>
      </w:pPr>
      <w:bookmarkStart w:id="120" w:name="_Toc15396630"/>
      <w:bookmarkStart w:id="121" w:name="_Toc13695"/>
      <w:r>
        <w:rPr>
          <w:rStyle w:val="33"/>
          <w:rFonts w:hint="eastAsia" w:ascii="仿宋" w:hAnsi="仿宋" w:eastAsia="仿宋"/>
          <w:b w:val="0"/>
          <w:bCs w:val="0"/>
          <w:color w:val="auto"/>
          <w:highlight w:val="none"/>
        </w:rPr>
        <w:t>十二、</w:t>
      </w:r>
      <w:bookmarkEnd w:id="120"/>
      <w:r>
        <w:rPr>
          <w:rStyle w:val="33"/>
          <w:rFonts w:hint="eastAsia" w:ascii="仿宋" w:hAnsi="仿宋" w:eastAsia="仿宋"/>
          <w:b w:val="0"/>
          <w:bCs w:val="0"/>
          <w:color w:val="auto"/>
          <w:highlight w:val="none"/>
          <w:lang w:eastAsia="zh-CN"/>
        </w:rPr>
        <w:t>国有资本经营预算财政拨款支出决算表</w:t>
      </w:r>
      <w:bookmarkEnd w:id="121"/>
    </w:p>
    <w:p w14:paraId="1E8C24BB">
      <w:pPr>
        <w:pStyle w:val="4"/>
        <w:rPr>
          <w:rStyle w:val="33"/>
          <w:rFonts w:hint="eastAsia" w:ascii="仿宋" w:hAnsi="仿宋" w:eastAsia="仿宋"/>
          <w:b w:val="0"/>
          <w:bCs w:val="0"/>
          <w:color w:val="auto"/>
          <w:highlight w:val="none"/>
          <w:lang w:eastAsia="zh-CN"/>
        </w:rPr>
      </w:pPr>
      <w:bookmarkStart w:id="122" w:name="_Toc15396631"/>
      <w:bookmarkStart w:id="123" w:name="_Toc6380"/>
      <w:r>
        <w:rPr>
          <w:rStyle w:val="33"/>
          <w:rFonts w:hint="eastAsia" w:ascii="仿宋" w:hAnsi="仿宋" w:eastAsia="仿宋"/>
          <w:b w:val="0"/>
          <w:bCs w:val="0"/>
          <w:color w:val="auto"/>
          <w:highlight w:val="none"/>
        </w:rPr>
        <w:t>十三、</w:t>
      </w:r>
      <w:bookmarkEnd w:id="122"/>
      <w:r>
        <w:rPr>
          <w:rStyle w:val="33"/>
          <w:rFonts w:hint="eastAsia" w:ascii="仿宋" w:hAnsi="仿宋" w:eastAsia="仿宋"/>
          <w:b w:val="0"/>
          <w:bCs w:val="0"/>
          <w:color w:val="auto"/>
          <w:highlight w:val="none"/>
          <w:lang w:eastAsia="zh-CN"/>
        </w:rPr>
        <w:t>财政拨款“三公”经费支出决算表</w:t>
      </w:r>
      <w:bookmarkEnd w:id="123"/>
    </w:p>
    <w:p w14:paraId="4AD05091">
      <w:pPr>
        <w:rPr>
          <w:rFonts w:hint="eastAsia"/>
          <w:lang w:eastAsia="zh-CN"/>
        </w:rPr>
      </w:pPr>
    </w:p>
    <w:sectPr>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黑体"/>
    <w:panose1 w:val="03000509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A0C28">
    <w:pPr>
      <w:pStyle w:val="13"/>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14:paraId="7022A259">
                              <w:pPr>
                                <w:pStyle w:val="13"/>
                                <w:jc w:val="center"/>
                              </w:pPr>
                              <w:r>
                                <w:fldChar w:fldCharType="begin"/>
                              </w:r>
                              <w:r>
                                <w:instrText xml:space="preserve">PAGE   \* MERGEFORMAT</w:instrText>
                              </w:r>
                              <w:r>
                                <w:fldChar w:fldCharType="separate"/>
                              </w:r>
                              <w:r>
                                <w:rPr>
                                  <w:lang w:val="zh-CN"/>
                                </w:rPr>
                                <w:t>8</w:t>
                              </w:r>
                              <w:r>
                                <w:fldChar w:fldCharType="end"/>
                              </w:r>
                            </w:p>
                          </w:sdtContent>
                        </w:sdt>
                        <w:p w14:paraId="18F1C574">
                          <w:pPr>
                            <w:pStyle w:val="16"/>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1994781956"/>
                    </w:sdtPr>
                    <w:sdtContent>
                      <w:p w14:paraId="7022A259">
                        <w:pPr>
                          <w:pStyle w:val="13"/>
                          <w:jc w:val="center"/>
                        </w:pPr>
                        <w:r>
                          <w:fldChar w:fldCharType="begin"/>
                        </w:r>
                        <w:r>
                          <w:instrText xml:space="preserve">PAGE   \* MERGEFORMAT</w:instrText>
                        </w:r>
                        <w:r>
                          <w:fldChar w:fldCharType="separate"/>
                        </w:r>
                        <w:r>
                          <w:rPr>
                            <w:lang w:val="zh-CN"/>
                          </w:rPr>
                          <w:t>8</w:t>
                        </w:r>
                        <w:r>
                          <w:fldChar w:fldCharType="end"/>
                        </w:r>
                      </w:p>
                    </w:sdtContent>
                  </w:sdt>
                  <w:p w14:paraId="18F1C574">
                    <w:pPr>
                      <w:pStyle w:val="16"/>
                    </w:pPr>
                  </w:p>
                </w:txbxContent>
              </v:textbox>
            </v:shape>
          </w:pict>
        </mc:Fallback>
      </mc:AlternateContent>
    </w:r>
  </w:p>
  <w:p w14:paraId="27FDA241">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E79C0">
    <w:pPr>
      <w:pStyle w:val="1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0141"/>
                          </w:sdtPr>
                          <w:sdtContent>
                            <w:p w14:paraId="31CF4533">
                              <w:pPr>
                                <w:pStyle w:val="13"/>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28208BB3">
                          <w:pPr>
                            <w:pStyle w:val="16"/>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70141"/>
                    </w:sdtPr>
                    <w:sdtContent>
                      <w:p w14:paraId="31CF4533">
                        <w:pPr>
                          <w:pStyle w:val="13"/>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28208BB3">
                    <w:pPr>
                      <w:pStyle w:val="16"/>
                    </w:pPr>
                  </w:p>
                </w:txbxContent>
              </v:textbox>
            </v:shape>
          </w:pict>
        </mc:Fallback>
      </mc:AlternateContent>
    </w:r>
  </w:p>
  <w:p w14:paraId="44FBADCD">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EF694">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-16510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BAFF90">
                          <w:pPr>
                            <w:pStyle w:val="13"/>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3pt;height:144pt;width:144pt;mso-position-horizontal:center;mso-position-horizontal-relative:margin;mso-wrap-style:none;z-index:251660288;mso-width-relative:page;mso-height-relative:page;" filled="f" stroked="f" coordsize="21600,21600" o:gfxdata="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0DSR9UAAAAHAQAADwAAAAAAAAABACAAAAAiAAAAZHJzL2Rvd25yZXYueG1sUEsB&#10;AhQAFAAAAAgAh07iQCSCRrQxAgAAYQQAAA4AAAAAAAAAAQAgAAAAJAEAAGRycy9lMm9Eb2MueG1s&#10;UEsFBgAAAAAGAAYAWQEAAMcFAAAAAA==&#10;">
              <v:fill on="f" focussize="0,0"/>
              <v:stroke on="f" weight="0.5pt"/>
              <v:imagedata o:title=""/>
              <o:lock v:ext="edit" aspectratio="f"/>
              <v:textbox inset="0mm,0mm,0mm,0mm" style="mso-fit-shape-to-text:t;">
                <w:txbxContent>
                  <w:p w14:paraId="3DBAFF90">
                    <w:pPr>
                      <w:pStyle w:val="13"/>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66E23">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kNzljNTA0OTNkNzczZjA0NTNiODM0N2U0N2VjM2Y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5975B8"/>
    <w:rsid w:val="024C190C"/>
    <w:rsid w:val="02FEBE30"/>
    <w:rsid w:val="061E35DE"/>
    <w:rsid w:val="066E0107"/>
    <w:rsid w:val="07005A0C"/>
    <w:rsid w:val="07996F6E"/>
    <w:rsid w:val="07DFD8BA"/>
    <w:rsid w:val="08344B05"/>
    <w:rsid w:val="089E6732"/>
    <w:rsid w:val="0A2032A3"/>
    <w:rsid w:val="0BC72462"/>
    <w:rsid w:val="0D35B1ED"/>
    <w:rsid w:val="0DCC18B3"/>
    <w:rsid w:val="0E4C3727"/>
    <w:rsid w:val="0F98263C"/>
    <w:rsid w:val="0FED474E"/>
    <w:rsid w:val="101860EC"/>
    <w:rsid w:val="10C055FF"/>
    <w:rsid w:val="118107EC"/>
    <w:rsid w:val="11D1624A"/>
    <w:rsid w:val="122946DB"/>
    <w:rsid w:val="13654E02"/>
    <w:rsid w:val="13D50BC4"/>
    <w:rsid w:val="16BB723D"/>
    <w:rsid w:val="186504BB"/>
    <w:rsid w:val="18DB6B3D"/>
    <w:rsid w:val="18F3507E"/>
    <w:rsid w:val="1973304D"/>
    <w:rsid w:val="19C02B62"/>
    <w:rsid w:val="1BE8440E"/>
    <w:rsid w:val="1D155CEE"/>
    <w:rsid w:val="1E740ACF"/>
    <w:rsid w:val="1EE61241"/>
    <w:rsid w:val="1FB35111"/>
    <w:rsid w:val="1FF35744"/>
    <w:rsid w:val="1FF6BC77"/>
    <w:rsid w:val="22733806"/>
    <w:rsid w:val="2357078B"/>
    <w:rsid w:val="23860B96"/>
    <w:rsid w:val="23A203FB"/>
    <w:rsid w:val="240371BF"/>
    <w:rsid w:val="264E6F2D"/>
    <w:rsid w:val="281408E2"/>
    <w:rsid w:val="29FD04D3"/>
    <w:rsid w:val="2BCD4872"/>
    <w:rsid w:val="2BFF7BC6"/>
    <w:rsid w:val="2C8A61B5"/>
    <w:rsid w:val="2DF04E50"/>
    <w:rsid w:val="2F040D46"/>
    <w:rsid w:val="2FAE5751"/>
    <w:rsid w:val="2FB1A395"/>
    <w:rsid w:val="2FD9A7D8"/>
    <w:rsid w:val="319F7F4E"/>
    <w:rsid w:val="3304709D"/>
    <w:rsid w:val="33B05ADC"/>
    <w:rsid w:val="349D6851"/>
    <w:rsid w:val="35D15229"/>
    <w:rsid w:val="36AA5135"/>
    <w:rsid w:val="36BE0DA7"/>
    <w:rsid w:val="376B6AA6"/>
    <w:rsid w:val="376D39B2"/>
    <w:rsid w:val="37E16F03"/>
    <w:rsid w:val="37F53A3B"/>
    <w:rsid w:val="38802E42"/>
    <w:rsid w:val="389B6C89"/>
    <w:rsid w:val="38D469F0"/>
    <w:rsid w:val="397BAF1F"/>
    <w:rsid w:val="3A705B70"/>
    <w:rsid w:val="3AB79AF3"/>
    <w:rsid w:val="3ACF398B"/>
    <w:rsid w:val="3B7EF35A"/>
    <w:rsid w:val="3B9FDB6C"/>
    <w:rsid w:val="3BF5BC2F"/>
    <w:rsid w:val="3CEBA265"/>
    <w:rsid w:val="3D98207C"/>
    <w:rsid w:val="3E636D6A"/>
    <w:rsid w:val="3E78745D"/>
    <w:rsid w:val="3F47037C"/>
    <w:rsid w:val="3F4802E2"/>
    <w:rsid w:val="3FF4CAE0"/>
    <w:rsid w:val="3FF7B227"/>
    <w:rsid w:val="42D9273C"/>
    <w:rsid w:val="430D07E5"/>
    <w:rsid w:val="446B764F"/>
    <w:rsid w:val="44E268DA"/>
    <w:rsid w:val="48087ABB"/>
    <w:rsid w:val="49535B70"/>
    <w:rsid w:val="4A627F82"/>
    <w:rsid w:val="4AFC4424"/>
    <w:rsid w:val="4B0E749A"/>
    <w:rsid w:val="4B4F25DA"/>
    <w:rsid w:val="4BE068DB"/>
    <w:rsid w:val="4D577224"/>
    <w:rsid w:val="4DBF1CEB"/>
    <w:rsid w:val="4EAB630A"/>
    <w:rsid w:val="4ECE2238"/>
    <w:rsid w:val="4FE9BD67"/>
    <w:rsid w:val="4FFB052F"/>
    <w:rsid w:val="513A7953"/>
    <w:rsid w:val="52C23F57"/>
    <w:rsid w:val="53327A8E"/>
    <w:rsid w:val="537E6D0A"/>
    <w:rsid w:val="53F74C96"/>
    <w:rsid w:val="53FA37B7"/>
    <w:rsid w:val="55EB2205"/>
    <w:rsid w:val="56661B4F"/>
    <w:rsid w:val="56B860D6"/>
    <w:rsid w:val="56E47B74"/>
    <w:rsid w:val="57BD3DD4"/>
    <w:rsid w:val="58C75E36"/>
    <w:rsid w:val="591B3341"/>
    <w:rsid w:val="5AF92295"/>
    <w:rsid w:val="5B7E2B2B"/>
    <w:rsid w:val="5BDD79E6"/>
    <w:rsid w:val="5BFF5DFC"/>
    <w:rsid w:val="5CD71FC4"/>
    <w:rsid w:val="5D1F11B5"/>
    <w:rsid w:val="5DAE1B18"/>
    <w:rsid w:val="5DE7D9E5"/>
    <w:rsid w:val="5E6160E7"/>
    <w:rsid w:val="5ECEC941"/>
    <w:rsid w:val="5F073334"/>
    <w:rsid w:val="5FBF9FF3"/>
    <w:rsid w:val="5FCD4E2C"/>
    <w:rsid w:val="5FEF394A"/>
    <w:rsid w:val="5FF67715"/>
    <w:rsid w:val="61EE40B9"/>
    <w:rsid w:val="62BF3928"/>
    <w:rsid w:val="63E85179"/>
    <w:rsid w:val="647F5392"/>
    <w:rsid w:val="668B029F"/>
    <w:rsid w:val="67205C40"/>
    <w:rsid w:val="6B105EB6"/>
    <w:rsid w:val="6BEC459F"/>
    <w:rsid w:val="6C4A05C8"/>
    <w:rsid w:val="6C4E0DC0"/>
    <w:rsid w:val="6C8742B8"/>
    <w:rsid w:val="6D6353C0"/>
    <w:rsid w:val="6DBF5E93"/>
    <w:rsid w:val="6DFF077E"/>
    <w:rsid w:val="6E7E3605"/>
    <w:rsid w:val="6E7FDCC7"/>
    <w:rsid w:val="6ED6A62E"/>
    <w:rsid w:val="6EE00B15"/>
    <w:rsid w:val="6F6FB3EB"/>
    <w:rsid w:val="6F8731EA"/>
    <w:rsid w:val="6FCE6052"/>
    <w:rsid w:val="6FD57C00"/>
    <w:rsid w:val="6FEFFFD8"/>
    <w:rsid w:val="6FF5CC65"/>
    <w:rsid w:val="6FFB47EC"/>
    <w:rsid w:val="6FFF034A"/>
    <w:rsid w:val="712A28F1"/>
    <w:rsid w:val="714E5FA0"/>
    <w:rsid w:val="715C0E4B"/>
    <w:rsid w:val="72227D09"/>
    <w:rsid w:val="72233669"/>
    <w:rsid w:val="72734D90"/>
    <w:rsid w:val="7332FE48"/>
    <w:rsid w:val="73AB61DA"/>
    <w:rsid w:val="73AD73D5"/>
    <w:rsid w:val="73B6EB34"/>
    <w:rsid w:val="73E865B9"/>
    <w:rsid w:val="73FA497D"/>
    <w:rsid w:val="74466952"/>
    <w:rsid w:val="744731E5"/>
    <w:rsid w:val="74BBD01D"/>
    <w:rsid w:val="74ED5379"/>
    <w:rsid w:val="75DEEEC2"/>
    <w:rsid w:val="7650222A"/>
    <w:rsid w:val="76E3355F"/>
    <w:rsid w:val="76FF5125"/>
    <w:rsid w:val="776F6FFA"/>
    <w:rsid w:val="7775458B"/>
    <w:rsid w:val="778769C8"/>
    <w:rsid w:val="77DC22F5"/>
    <w:rsid w:val="79D7FD79"/>
    <w:rsid w:val="79EE5BA4"/>
    <w:rsid w:val="7A894339"/>
    <w:rsid w:val="7AD15A6B"/>
    <w:rsid w:val="7AFF7572"/>
    <w:rsid w:val="7B6C7DFB"/>
    <w:rsid w:val="7B74701A"/>
    <w:rsid w:val="7BBFBED0"/>
    <w:rsid w:val="7BC3E394"/>
    <w:rsid w:val="7CBFC87B"/>
    <w:rsid w:val="7CFE0F48"/>
    <w:rsid w:val="7D7EC23E"/>
    <w:rsid w:val="7DCA4F70"/>
    <w:rsid w:val="7E8ADEBF"/>
    <w:rsid w:val="7EEF11D3"/>
    <w:rsid w:val="7F122D08"/>
    <w:rsid w:val="7F3F679B"/>
    <w:rsid w:val="7F4FC4EF"/>
    <w:rsid w:val="7F5E4D54"/>
    <w:rsid w:val="7FA30C79"/>
    <w:rsid w:val="7FAF8ABF"/>
    <w:rsid w:val="7FB7269E"/>
    <w:rsid w:val="7FC96657"/>
    <w:rsid w:val="7FDA9588"/>
    <w:rsid w:val="7FDF220F"/>
    <w:rsid w:val="7FEDC5F7"/>
    <w:rsid w:val="7FEDD9DE"/>
    <w:rsid w:val="7FF5890D"/>
    <w:rsid w:val="7FF93490"/>
    <w:rsid w:val="99FF2014"/>
    <w:rsid w:val="A6DD0D7F"/>
    <w:rsid w:val="ADC6F725"/>
    <w:rsid w:val="B7CF06AB"/>
    <w:rsid w:val="B7CFA926"/>
    <w:rsid w:val="B7F8786B"/>
    <w:rsid w:val="BABB6AA1"/>
    <w:rsid w:val="BB2F4199"/>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FFA9E8"/>
    <w:rsid w:val="E5F4E9DC"/>
    <w:rsid w:val="E70FE695"/>
    <w:rsid w:val="ECFED1BC"/>
    <w:rsid w:val="ED1D69BB"/>
    <w:rsid w:val="ED7FD312"/>
    <w:rsid w:val="EF53993F"/>
    <w:rsid w:val="EFBFB2F4"/>
    <w:rsid w:val="EFBFFA21"/>
    <w:rsid w:val="F2BEBCB8"/>
    <w:rsid w:val="F36FB518"/>
    <w:rsid w:val="F3DE1A04"/>
    <w:rsid w:val="F3F722E5"/>
    <w:rsid w:val="FA5F1E70"/>
    <w:rsid w:val="FA5FDB97"/>
    <w:rsid w:val="FB7F486A"/>
    <w:rsid w:val="FBFF5B2E"/>
    <w:rsid w:val="FD7FFE2B"/>
    <w:rsid w:val="FDEE196B"/>
    <w:rsid w:val="FDFE6575"/>
    <w:rsid w:val="FEDFDDC2"/>
    <w:rsid w:val="FEED32F6"/>
    <w:rsid w:val="FEF781DD"/>
    <w:rsid w:val="FF3F7E3F"/>
    <w:rsid w:val="FFBA12D7"/>
    <w:rsid w:val="FFDFFAEE"/>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2"/>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6"/>
    <w:unhideWhenUsed/>
    <w:qFormat/>
    <w:uiPriority w:val="9"/>
    <w:pPr>
      <w:keepNext/>
      <w:keepLines/>
      <w:spacing w:before="260" w:after="260" w:line="416" w:lineRule="auto"/>
      <w:outlineLvl w:val="2"/>
    </w:pPr>
    <w:rPr>
      <w:b/>
      <w:bCs/>
      <w:sz w:val="32"/>
      <w:szCs w:val="32"/>
    </w:rPr>
  </w:style>
  <w:style w:type="character" w:default="1" w:styleId="20">
    <w:name w:val="Default Paragraph Font"/>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Title"/>
    <w:next w:val="1"/>
    <w:qFormat/>
    <w:uiPriority w:val="0"/>
    <w:pPr>
      <w:widowControl w:val="0"/>
      <w:spacing w:before="240" w:after="60" w:line="276" w:lineRule="auto"/>
      <w:jc w:val="center"/>
      <w:outlineLvl w:val="0"/>
    </w:pPr>
    <w:rPr>
      <w:rFonts w:ascii="Arial" w:hAnsi="Arial" w:eastAsia="宋体" w:cs="Times New Roman"/>
      <w:b/>
      <w:kern w:val="2"/>
      <w:sz w:val="32"/>
      <w:szCs w:val="24"/>
      <w:lang w:val="en-US" w:eastAsia="zh-CN" w:bidi="ar-SA"/>
    </w:rPr>
  </w:style>
  <w:style w:type="paragraph" w:styleId="6">
    <w:name w:val="index 5"/>
    <w:basedOn w:val="1"/>
    <w:next w:val="1"/>
    <w:qFormat/>
    <w:uiPriority w:val="0"/>
    <w:pPr>
      <w:ind w:left="1680"/>
      <w:jc w:val="right"/>
    </w:pPr>
  </w:style>
  <w:style w:type="paragraph" w:styleId="7">
    <w:name w:val="annotation text"/>
    <w:basedOn w:val="1"/>
    <w:semiHidden/>
    <w:unhideWhenUsed/>
    <w:qFormat/>
    <w:uiPriority w:val="99"/>
    <w:pPr>
      <w:jc w:val="left"/>
    </w:pPr>
  </w:style>
  <w:style w:type="paragraph" w:styleId="8">
    <w:name w:val="Body Text"/>
    <w:basedOn w:val="1"/>
    <w:next w:val="1"/>
    <w:link w:val="29"/>
    <w:qFormat/>
    <w:uiPriority w:val="99"/>
    <w:pPr>
      <w:spacing w:beforeLines="30"/>
    </w:pPr>
    <w:rPr>
      <w:rFonts w:ascii="仿宋_GB2312" w:eastAsia="仿宋_GB2312"/>
      <w:kern w:val="0"/>
      <w:sz w:val="30"/>
    </w:rPr>
  </w:style>
  <w:style w:type="paragraph" w:styleId="9">
    <w:name w:val="Body Text Indent"/>
    <w:basedOn w:val="1"/>
    <w:next w:val="10"/>
    <w:qFormat/>
    <w:uiPriority w:val="0"/>
    <w:pPr>
      <w:spacing w:after="120"/>
      <w:ind w:leftChars="200"/>
    </w:pPr>
    <w:rPr>
      <w:rFonts w:ascii="仿宋_GB2312"/>
      <w:szCs w:val="32"/>
    </w:rPr>
  </w:style>
  <w:style w:type="paragraph" w:styleId="10">
    <w:name w:val="Body Text First Indent 2"/>
    <w:basedOn w:val="9"/>
    <w:unhideWhenUsed/>
    <w:qFormat/>
    <w:uiPriority w:val="99"/>
    <w:pPr>
      <w:ind w:firstLine="420" w:firstLineChars="200"/>
    </w:pPr>
  </w:style>
  <w:style w:type="paragraph" w:styleId="11">
    <w:name w:val="toc 3"/>
    <w:basedOn w:val="1"/>
    <w:next w:val="1"/>
    <w:unhideWhenUsed/>
    <w:qFormat/>
    <w:uiPriority w:val="39"/>
    <w:pPr>
      <w:tabs>
        <w:tab w:val="right" w:leader="dot" w:pos="8296"/>
      </w:tabs>
      <w:ind w:left="840" w:leftChars="400"/>
    </w:pPr>
  </w:style>
  <w:style w:type="paragraph" w:styleId="12">
    <w:name w:val="Balloon Text"/>
    <w:basedOn w:val="1"/>
    <w:link w:val="35"/>
    <w:semiHidden/>
    <w:unhideWhenUsed/>
    <w:qFormat/>
    <w:uiPriority w:val="99"/>
    <w:rPr>
      <w:sz w:val="18"/>
      <w:szCs w:val="18"/>
    </w:rPr>
  </w:style>
  <w:style w:type="paragraph" w:styleId="13">
    <w:name w:val="footer"/>
    <w:basedOn w:val="1"/>
    <w:link w:val="27"/>
    <w:qFormat/>
    <w:uiPriority w:val="99"/>
    <w:pPr>
      <w:tabs>
        <w:tab w:val="center" w:pos="4153"/>
        <w:tab w:val="right" w:pos="8306"/>
      </w:tabs>
      <w:snapToGrid w:val="0"/>
      <w:jc w:val="left"/>
    </w:pPr>
    <w:rPr>
      <w:rFonts w:ascii="Calibri" w:hAnsi="Calibri"/>
      <w:kern w:val="0"/>
      <w:sz w:val="18"/>
      <w:szCs w:val="18"/>
    </w:rPr>
  </w:style>
  <w:style w:type="paragraph" w:styleId="14">
    <w:name w:val="header"/>
    <w:basedOn w:val="1"/>
    <w:link w:val="25"/>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5">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6">
    <w:name w:val="footnote text"/>
    <w:basedOn w:val="1"/>
    <w:next w:val="10"/>
    <w:semiHidden/>
    <w:qFormat/>
    <w:uiPriority w:val="0"/>
    <w:pPr>
      <w:snapToGrid w:val="0"/>
      <w:jc w:val="left"/>
    </w:pPr>
    <w:rPr>
      <w:sz w:val="18"/>
      <w:szCs w:val="18"/>
    </w:rPr>
  </w:style>
  <w:style w:type="paragraph" w:styleId="17">
    <w:name w:val="toc 2"/>
    <w:basedOn w:val="1"/>
    <w:next w:val="1"/>
    <w:unhideWhenUsed/>
    <w:qFormat/>
    <w:uiPriority w:val="39"/>
    <w:pPr>
      <w:tabs>
        <w:tab w:val="right" w:leader="dot" w:pos="8296"/>
      </w:tabs>
      <w:ind w:left="420" w:leftChars="200"/>
    </w:pPr>
  </w:style>
  <w:style w:type="paragraph" w:styleId="18">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21">
    <w:name w:val="Strong"/>
    <w:basedOn w:val="20"/>
    <w:qFormat/>
    <w:uiPriority w:val="99"/>
    <w:rPr>
      <w:b/>
    </w:rPr>
  </w:style>
  <w:style w:type="character" w:styleId="22">
    <w:name w:val="Hyperlink"/>
    <w:basedOn w:val="20"/>
    <w:unhideWhenUsed/>
    <w:qFormat/>
    <w:uiPriority w:val="99"/>
    <w:rPr>
      <w:color w:val="0000FF" w:themeColor="hyperlink"/>
      <w:u w:val="single"/>
      <w14:textFill>
        <w14:solidFill>
          <w14:schemeClr w14:val="hlink"/>
        </w14:solidFill>
      </w14:textFill>
    </w:rPr>
  </w:style>
  <w:style w:type="paragraph" w:customStyle="1" w:styleId="23">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4">
    <w:name w:val="Header Char"/>
    <w:basedOn w:val="20"/>
    <w:semiHidden/>
    <w:qFormat/>
    <w:uiPriority w:val="99"/>
    <w:rPr>
      <w:rFonts w:ascii="Times New Roman" w:hAnsi="Times New Roman"/>
      <w:sz w:val="18"/>
      <w:szCs w:val="18"/>
    </w:rPr>
  </w:style>
  <w:style w:type="character" w:customStyle="1" w:styleId="25">
    <w:name w:val="页眉 Char"/>
    <w:link w:val="14"/>
    <w:semiHidden/>
    <w:qFormat/>
    <w:locked/>
    <w:uiPriority w:val="99"/>
    <w:rPr>
      <w:sz w:val="18"/>
    </w:rPr>
  </w:style>
  <w:style w:type="character" w:customStyle="1" w:styleId="26">
    <w:name w:val="Footer Char"/>
    <w:basedOn w:val="20"/>
    <w:semiHidden/>
    <w:qFormat/>
    <w:uiPriority w:val="99"/>
    <w:rPr>
      <w:rFonts w:ascii="Times New Roman" w:hAnsi="Times New Roman"/>
      <w:sz w:val="18"/>
      <w:szCs w:val="18"/>
    </w:rPr>
  </w:style>
  <w:style w:type="character" w:customStyle="1" w:styleId="27">
    <w:name w:val="页脚 Char"/>
    <w:link w:val="13"/>
    <w:qFormat/>
    <w:locked/>
    <w:uiPriority w:val="99"/>
    <w:rPr>
      <w:sz w:val="18"/>
    </w:rPr>
  </w:style>
  <w:style w:type="character" w:customStyle="1" w:styleId="28">
    <w:name w:val="Body Text Char"/>
    <w:basedOn w:val="20"/>
    <w:semiHidden/>
    <w:qFormat/>
    <w:uiPriority w:val="99"/>
    <w:rPr>
      <w:rFonts w:ascii="Times New Roman" w:hAnsi="Times New Roman"/>
      <w:szCs w:val="24"/>
    </w:rPr>
  </w:style>
  <w:style w:type="character" w:customStyle="1" w:styleId="29">
    <w:name w:val="正文文本 Char"/>
    <w:link w:val="8"/>
    <w:qFormat/>
    <w:locked/>
    <w:uiPriority w:val="99"/>
    <w:rPr>
      <w:rFonts w:ascii="仿宋_GB2312" w:hAnsi="Times New Roman" w:eastAsia="仿宋_GB2312"/>
      <w:sz w:val="24"/>
    </w:rPr>
  </w:style>
  <w:style w:type="paragraph" w:customStyle="1" w:styleId="30">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1">
    <w:name w:val="List Paragraph"/>
    <w:basedOn w:val="1"/>
    <w:qFormat/>
    <w:uiPriority w:val="34"/>
    <w:pPr>
      <w:ind w:firstLine="420" w:firstLineChars="200"/>
    </w:pPr>
  </w:style>
  <w:style w:type="character" w:customStyle="1" w:styleId="32">
    <w:name w:val="标题 1 Char"/>
    <w:basedOn w:val="20"/>
    <w:link w:val="3"/>
    <w:qFormat/>
    <w:uiPriority w:val="9"/>
    <w:rPr>
      <w:rFonts w:ascii="Times New Roman" w:hAnsi="Times New Roman"/>
      <w:b/>
      <w:bCs/>
      <w:kern w:val="44"/>
      <w:sz w:val="44"/>
      <w:szCs w:val="44"/>
    </w:rPr>
  </w:style>
  <w:style w:type="character" w:customStyle="1" w:styleId="33">
    <w:name w:val="标题 2 Char"/>
    <w:basedOn w:val="20"/>
    <w:link w:val="4"/>
    <w:qFormat/>
    <w:uiPriority w:val="9"/>
    <w:rPr>
      <w:rFonts w:asciiTheme="majorHAnsi" w:hAnsiTheme="majorHAnsi" w:eastAsiaTheme="majorEastAsia" w:cstheme="majorBidi"/>
      <w:b/>
      <w:bCs/>
      <w:kern w:val="2"/>
      <w:sz w:val="32"/>
      <w:szCs w:val="32"/>
    </w:rPr>
  </w:style>
  <w:style w:type="paragraph" w:customStyle="1" w:styleId="34">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批注框文本 Char"/>
    <w:basedOn w:val="20"/>
    <w:link w:val="12"/>
    <w:semiHidden/>
    <w:qFormat/>
    <w:uiPriority w:val="99"/>
    <w:rPr>
      <w:rFonts w:ascii="Times New Roman" w:hAnsi="Times New Roman"/>
      <w:kern w:val="2"/>
      <w:sz w:val="18"/>
      <w:szCs w:val="18"/>
    </w:rPr>
  </w:style>
  <w:style w:type="character" w:customStyle="1" w:styleId="36">
    <w:name w:val="标题 3 Char"/>
    <w:basedOn w:val="20"/>
    <w:link w:val="5"/>
    <w:qFormat/>
    <w:uiPriority w:val="9"/>
    <w:rPr>
      <w:rFonts w:ascii="Times New Roman" w:hAnsi="Times New Roman"/>
      <w:b/>
      <w:bCs/>
      <w:kern w:val="2"/>
      <w:sz w:val="32"/>
      <w:szCs w:val="32"/>
    </w:rPr>
  </w:style>
  <w:style w:type="paragraph" w:customStyle="1" w:styleId="37">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8">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9">
    <w:name w:val="WPSOffice手动目录 1"/>
    <w:qFormat/>
    <w:uiPriority w:val="0"/>
    <w:pPr>
      <w:ind w:leftChars="0"/>
    </w:pPr>
    <w:rPr>
      <w:rFonts w:ascii="Times New Roman" w:hAnsi="Times New Roman" w:eastAsia="宋体" w:cs="Times New Roman"/>
      <w:sz w:val="20"/>
      <w:szCs w:val="20"/>
    </w:rPr>
  </w:style>
  <w:style w:type="paragraph" w:customStyle="1" w:styleId="40">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3.xml"/><Relationship Id="rId59" Type="http://schemas.openxmlformats.org/officeDocument/2006/relationships/fontTable" Target="fontTable.xml"/><Relationship Id="rId58" Type="http://schemas.openxmlformats.org/officeDocument/2006/relationships/numbering" Target="numbering.xml"/><Relationship Id="rId57" Type="http://schemas.openxmlformats.org/officeDocument/2006/relationships/customXml" Target="../customXml/item1.xml"/><Relationship Id="rId56" Type="http://schemas.openxmlformats.org/officeDocument/2006/relationships/image" Target="media/image21.emf"/><Relationship Id="rId55" Type="http://schemas.openxmlformats.org/officeDocument/2006/relationships/oleObject" Target="embeddings/oleObject21.bin"/><Relationship Id="rId54" Type="http://schemas.openxmlformats.org/officeDocument/2006/relationships/image" Target="media/image20.emf"/><Relationship Id="rId53" Type="http://schemas.openxmlformats.org/officeDocument/2006/relationships/oleObject" Target="embeddings/oleObject20.bin"/><Relationship Id="rId52" Type="http://schemas.openxmlformats.org/officeDocument/2006/relationships/image" Target="media/image19.emf"/><Relationship Id="rId51" Type="http://schemas.openxmlformats.org/officeDocument/2006/relationships/oleObject" Target="embeddings/oleObject19.bin"/><Relationship Id="rId50" Type="http://schemas.openxmlformats.org/officeDocument/2006/relationships/image" Target="media/image18.emf"/><Relationship Id="rId5" Type="http://schemas.openxmlformats.org/officeDocument/2006/relationships/footer" Target="footer2.xml"/><Relationship Id="rId49" Type="http://schemas.openxmlformats.org/officeDocument/2006/relationships/oleObject" Target="embeddings/oleObject18.bin"/><Relationship Id="rId48" Type="http://schemas.openxmlformats.org/officeDocument/2006/relationships/image" Target="media/image17.emf"/><Relationship Id="rId47" Type="http://schemas.openxmlformats.org/officeDocument/2006/relationships/oleObject" Target="embeddings/oleObject17.bin"/><Relationship Id="rId46" Type="http://schemas.openxmlformats.org/officeDocument/2006/relationships/image" Target="media/image16.emf"/><Relationship Id="rId45" Type="http://schemas.openxmlformats.org/officeDocument/2006/relationships/oleObject" Target="embeddings/oleObject16.bin"/><Relationship Id="rId44" Type="http://schemas.openxmlformats.org/officeDocument/2006/relationships/image" Target="media/image15.emf"/><Relationship Id="rId43" Type="http://schemas.openxmlformats.org/officeDocument/2006/relationships/oleObject" Target="embeddings/oleObject15.bin"/><Relationship Id="rId42" Type="http://schemas.openxmlformats.org/officeDocument/2006/relationships/image" Target="media/image14.emf"/><Relationship Id="rId41" Type="http://schemas.openxmlformats.org/officeDocument/2006/relationships/oleObject" Target="embeddings/oleObject14.bin"/><Relationship Id="rId40" Type="http://schemas.openxmlformats.org/officeDocument/2006/relationships/image" Target="media/image13.emf"/><Relationship Id="rId4" Type="http://schemas.openxmlformats.org/officeDocument/2006/relationships/footer" Target="footer1.xml"/><Relationship Id="rId39" Type="http://schemas.openxmlformats.org/officeDocument/2006/relationships/oleObject" Target="embeddings/oleObject13.bin"/><Relationship Id="rId38" Type="http://schemas.openxmlformats.org/officeDocument/2006/relationships/image" Target="media/image12.emf"/><Relationship Id="rId37" Type="http://schemas.openxmlformats.org/officeDocument/2006/relationships/oleObject" Target="embeddings/oleObject12.bin"/><Relationship Id="rId36" Type="http://schemas.openxmlformats.org/officeDocument/2006/relationships/image" Target="media/image11.emf"/><Relationship Id="rId35" Type="http://schemas.openxmlformats.org/officeDocument/2006/relationships/oleObject" Target="embeddings/oleObject11.bin"/><Relationship Id="rId34" Type="http://schemas.openxmlformats.org/officeDocument/2006/relationships/image" Target="media/image10.emf"/><Relationship Id="rId33" Type="http://schemas.openxmlformats.org/officeDocument/2006/relationships/oleObject" Target="embeddings/oleObject10.bin"/><Relationship Id="rId32" Type="http://schemas.openxmlformats.org/officeDocument/2006/relationships/image" Target="media/image9.emf"/><Relationship Id="rId31" Type="http://schemas.openxmlformats.org/officeDocument/2006/relationships/oleObject" Target="embeddings/oleObject9.bin"/><Relationship Id="rId30" Type="http://schemas.openxmlformats.org/officeDocument/2006/relationships/image" Target="media/image8.emf"/><Relationship Id="rId3" Type="http://schemas.openxmlformats.org/officeDocument/2006/relationships/header" Target="header1.xml"/><Relationship Id="rId29" Type="http://schemas.openxmlformats.org/officeDocument/2006/relationships/oleObject" Target="embeddings/oleObject8.bin"/><Relationship Id="rId28" Type="http://schemas.openxmlformats.org/officeDocument/2006/relationships/image" Target="media/image7.emf"/><Relationship Id="rId27" Type="http://schemas.openxmlformats.org/officeDocument/2006/relationships/oleObject" Target="embeddings/oleObject7.bin"/><Relationship Id="rId26" Type="http://schemas.openxmlformats.org/officeDocument/2006/relationships/image" Target="media/image6.emf"/><Relationship Id="rId25" Type="http://schemas.openxmlformats.org/officeDocument/2006/relationships/oleObject" Target="embeddings/oleObject6.bin"/><Relationship Id="rId24" Type="http://schemas.openxmlformats.org/officeDocument/2006/relationships/image" Target="media/image5.emf"/><Relationship Id="rId23" Type="http://schemas.openxmlformats.org/officeDocument/2006/relationships/oleObject" Target="embeddings/oleObject5.bin"/><Relationship Id="rId22" Type="http://schemas.openxmlformats.org/officeDocument/2006/relationships/image" Target="media/image4.emf"/><Relationship Id="rId21" Type="http://schemas.openxmlformats.org/officeDocument/2006/relationships/oleObject" Target="embeddings/oleObject4.bin"/><Relationship Id="rId20" Type="http://schemas.openxmlformats.org/officeDocument/2006/relationships/image" Target="media/image3.e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2.emf"/><Relationship Id="rId17" Type="http://schemas.openxmlformats.org/officeDocument/2006/relationships/oleObject" Target="embeddings/oleObject2.bin"/><Relationship Id="rId16" Type="http://schemas.openxmlformats.org/officeDocument/2006/relationships/image" Target="media/image1.emf"/><Relationship Id="rId15" Type="http://schemas.openxmlformats.org/officeDocument/2006/relationships/oleObject" Target="embeddings/oleObject1.bin"/><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2.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7.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_ * #,##0.00_ ;_ * \-#,##0.00_ ;_ * "-"??_ ;_ @_ </c:formatCode>
                <c:ptCount val="2"/>
                <c:pt idx="0">
                  <c:v>91061.394248</c:v>
                </c:pt>
                <c:pt idx="1">
                  <c:v>91061.394248</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_ * #,##0.00_ ;_ * \-#,##0.00_ ;_ * "-"??_ ;_ @_ </c:formatCode>
                <c:ptCount val="2"/>
                <c:pt idx="0">
                  <c:v>68341.9148</c:v>
                </c:pt>
                <c:pt idx="1">
                  <c:v>68341.9148</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a:t>
            </a:r>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1</a:t>
                    </a:r>
                    <a:r>
                      <a:rPr lang="en-US" altLang="zh-CN"/>
                      <a:t>00%</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altLang="en-US"/>
              <a:t>支出决算结构图</a:t>
            </a:r>
            <a:endParaRPr lang="en-US" altLang="zh-CN"/>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51.</a:t>
                    </a:r>
                    <a:r>
                      <a:rPr lang="en-US" altLang="zh-CN"/>
                      <a:t>6</a:t>
                    </a:r>
                    <a:r>
                      <a:t>%</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48.4%</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0.5157</c:v>
                </c:pt>
                <c:pt idx="1">
                  <c:v>0.4843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Sheet1!$B$2:$B$3</c:f>
              <c:numCache>
                <c:formatCode>General</c:formatCode>
                <c:ptCount val="2"/>
                <c:pt idx="0">
                  <c:v>91050.12</c:v>
                </c:pt>
                <c:pt idx="1">
                  <c:v>91050.12</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Sheet1!$C$2:$C$3</c:f>
              <c:numCache>
                <c:formatCode>_ * #,##0.00_ ;_ * \-#,##0.00_ ;_ * "-"??_ ;_ @_ </c:formatCode>
                <c:ptCount val="2"/>
                <c:pt idx="0">
                  <c:v>68341.9148</c:v>
                </c:pt>
                <c:pt idx="1">
                  <c:v>68341.9148</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Sheet1!$A$2:$A$3</c15:sqref>
                  </c15:fullRef>
                </c:ext>
              </c:extLst>
              <c:f>Sheet1!$A$3</c:f>
              <c:strCache>
                <c:ptCount val="1"/>
                <c:pt idx="0">
                  <c:v>一般公共预算财政拨款支出支出</c:v>
                </c:pt>
              </c:strCache>
            </c:strRef>
          </c:cat>
          <c:val>
            <c:numRef>
              <c:extLst>
                <c:ext xmlns:c15="http://schemas.microsoft.com/office/drawing/2012/chart" uri="{02D57815-91ED-43cb-92C2-25804820EDAC}">
                  <c15:fullRef>
                    <c15:sqref>Sheet1!$B$2:$B$3</c15:sqref>
                  </c15:fullRef>
                </c:ext>
              </c:extLst>
              <c:f>Sheet1!$B$3</c:f>
              <c:numCache>
                <c:formatCode>_ * #,##0.00_ ;_ * \-#,##0.00_ ;_ * "-"??_ ;_ @_ </c:formatCode>
                <c:ptCount val="1"/>
                <c:pt idx="0">
                  <c:v>90908.014484</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Sheet1!$A$2:$A$3</c15:sqref>
                  </c15:fullRef>
                </c:ext>
              </c:extLst>
              <c:f>Sheet1!$A$3</c:f>
              <c:strCache>
                <c:ptCount val="1"/>
                <c:pt idx="0">
                  <c:v>一般公共预算财政拨款支出支出</c:v>
                </c:pt>
              </c:strCache>
            </c:strRef>
          </c:cat>
          <c:val>
            <c:numRef>
              <c:extLst>
                <c:ext xmlns:c15="http://schemas.microsoft.com/office/drawing/2012/chart" uri="{02D57815-91ED-43cb-92C2-25804820EDAC}">
                  <c15:fullRef>
                    <c15:sqref>Sheet1!$C$2:$C$3</c15:sqref>
                  </c15:fullRef>
                </c:ext>
              </c:extLst>
              <c:f>Sheet1!$C$3</c:f>
              <c:numCache>
                <c:formatCode>_ * #,##0.00_ ;_ * \-#,##0.00_ ;_ * "-"??_ ;_ @_ </c:formatCode>
                <c:ptCount val="1"/>
                <c:pt idx="0">
                  <c:v>68341.9148</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5.</a:t>
                    </a:r>
                    <a:r>
                      <a:rPr lang="en-US" altLang="zh-CN"/>
                      <a:t>6</a:t>
                    </a:r>
                    <a:r>
                      <a:t>%</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2.</a:t>
                    </a:r>
                    <a:r>
                      <a:rPr lang="en-US" altLang="zh-CN"/>
                      <a:t>6</a:t>
                    </a:r>
                    <a:r>
                      <a:t>%</a:t>
                    </a:r>
                  </a:p>
                </c:rich>
              </c:tx>
              <c:dLblPos val="outEnd"/>
              <c:showLegendKey val="0"/>
              <c:showVal val="1"/>
              <c:showCatName val="0"/>
              <c:showSerName val="0"/>
              <c:showPercent val="0"/>
              <c:showBubbleSize val="0"/>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88.</a:t>
                    </a:r>
                    <a:r>
                      <a:rPr lang="en-US" altLang="zh-CN"/>
                      <a:t>8</a:t>
                    </a:r>
                    <a:r>
                      <a:t>%</a:t>
                    </a:r>
                  </a:p>
                </c:rich>
              </c:tx>
              <c:dLblPos val="outEnd"/>
              <c:showLegendKey val="0"/>
              <c:showVal val="1"/>
              <c:showCatName val="0"/>
              <c:showSerName val="0"/>
              <c:showPercent val="0"/>
              <c:showBubbleSize val="0"/>
              <c:extLst>
                <c:ext xmlns:c15="http://schemas.microsoft.com/office/drawing/2012/chart" uri="{CE6537A1-D6FC-4f65-9D91-7224C49458BB}"/>
              </c:extLst>
            </c:dLbl>
            <c:dLbl>
              <c:idx val="3"/>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3.</a:t>
                    </a:r>
                    <a:r>
                      <a:rPr lang="en-US" altLang="zh-CN"/>
                      <a:t>1</a:t>
                    </a:r>
                    <a:r>
                      <a:t>%</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c:v>
                </c:pt>
                <c:pt idx="1">
                  <c:v>卫生健康支出</c:v>
                </c:pt>
                <c:pt idx="2">
                  <c:v>交通运输支出</c:v>
                </c:pt>
                <c:pt idx="3">
                  <c:v>住房保障支出</c:v>
                </c:pt>
              </c:strCache>
            </c:strRef>
          </c:cat>
          <c:val>
            <c:numRef>
              <c:f>Sheet1!$B$2:$B$5</c:f>
              <c:numCache>
                <c:formatCode>0.00%</c:formatCode>
                <c:ptCount val="4"/>
                <c:pt idx="0">
                  <c:v>0.0556</c:v>
                </c:pt>
                <c:pt idx="1">
                  <c:v>0.0259</c:v>
                </c:pt>
                <c:pt idx="2">
                  <c:v>0.8878</c:v>
                </c:pt>
                <c:pt idx="3">
                  <c:v>0.0307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287267455907224"/>
          <c:y val="0.0284742881427964"/>
        </c:manualLayout>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0"/>
              <c:layout>
                <c:manualLayout>
                  <c:x val="-0.0588306354191834"/>
                  <c:y val="0"/>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0</a:t>
                    </a:r>
                    <a:r>
                      <a:rPr lang="en-US" altLang="zh-CN"/>
                      <a:t>%</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99.5%</a:t>
                    </a:r>
                  </a:p>
                </c:rich>
              </c:tx>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0.0705484416525731"/>
                  <c:y val="0.00297492562685933"/>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0.</a:t>
                    </a:r>
                    <a:r>
                      <a:rPr lang="en-US" altLang="zh-CN"/>
                      <a:t>5</a:t>
                    </a:r>
                    <a:r>
                      <a:t>%</a:t>
                    </a:r>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formatCode="0.00%">
                  <c:v>0.9953</c:v>
                </c:pt>
                <c:pt idx="2" c:formatCode="0.00%">
                  <c:v>0.0047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75</Pages>
  <Words>20086</Words>
  <Characters>22339</Characters>
  <Lines>61</Lines>
  <Paragraphs>17</Paragraphs>
  <TotalTime>0</TotalTime>
  <ScaleCrop>false</ScaleCrop>
  <LinksUpToDate>false</LinksUpToDate>
  <CharactersWithSpaces>22539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2020-08-08T09:49:00Z</dcterms:created>
  <dc:creator>曹颖</dc:creator>
  <cp:lastModifiedBy>小颖</cp:lastModifiedBy>
  <cp:lastPrinted>2024-08-05T01:44:00Z</cp:lastPrinted>
  <dcterms:modified xsi:type="dcterms:W3CDTF">2024-09-18T03:18:27Z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A95EF30BE1454218865BEC5FB9D08C16_13</vt:lpwstr>
  </property>
</Properties>
</file>