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Times New Roman" w:hAnsi="Times New Roman" w:eastAsia="方正小标宋_GBK" w:cs="Times New Roman"/>
          <w:b/>
          <w:bCs/>
          <w:sz w:val="52"/>
          <w:szCs w:val="52"/>
        </w:rPr>
      </w:pPr>
    </w:p>
    <w:p>
      <w:pPr>
        <w:jc w:val="center"/>
        <w:rPr>
          <w:rFonts w:ascii="Times New Roman" w:hAnsi="Times New Roman" w:eastAsia="方正小标宋_GBK" w:cs="Times New Roman"/>
          <w:b/>
          <w:bCs/>
          <w:sz w:val="52"/>
          <w:szCs w:val="52"/>
        </w:rPr>
      </w:pPr>
      <w:r>
        <w:rPr>
          <w:rFonts w:ascii="Times New Roman" w:hAnsi="Times New Roman" w:eastAsia="方正小标宋_GBK" w:cs="Times New Roman"/>
          <w:b/>
          <w:bCs/>
          <w:sz w:val="52"/>
          <w:szCs w:val="52"/>
        </w:rPr>
        <w:t>壤塘县国民经济和社会发展</w:t>
      </w:r>
    </w:p>
    <w:p>
      <w:pPr>
        <w:jc w:val="center"/>
        <w:rPr>
          <w:rFonts w:ascii="Times New Roman" w:hAnsi="Times New Roman" w:eastAsia="方正小标宋_GBK" w:cs="Times New Roman"/>
          <w:b/>
          <w:bCs/>
          <w:sz w:val="52"/>
          <w:szCs w:val="52"/>
        </w:rPr>
      </w:pPr>
      <w:r>
        <w:rPr>
          <w:rFonts w:ascii="Times New Roman" w:hAnsi="Times New Roman" w:eastAsia="方正小标宋_GBK" w:cs="Times New Roman"/>
          <w:b/>
          <w:bCs/>
          <w:sz w:val="52"/>
          <w:szCs w:val="52"/>
        </w:rPr>
        <w:t>第十四个五年规划和二</w:t>
      </w:r>
      <w:r>
        <w:rPr>
          <w:rFonts w:hint="eastAsia" w:ascii="Times New Roman" w:hAnsi="Times New Roman" w:eastAsia="方正小标宋_GBK" w:cs="Times New Roman"/>
          <w:b/>
          <w:bCs/>
          <w:sz w:val="52"/>
          <w:szCs w:val="52"/>
        </w:rPr>
        <w:t>〇</w:t>
      </w:r>
      <w:r>
        <w:rPr>
          <w:rFonts w:ascii="Times New Roman" w:hAnsi="Times New Roman" w:eastAsia="方正小标宋_GBK" w:cs="Times New Roman"/>
          <w:b/>
          <w:bCs/>
          <w:sz w:val="52"/>
          <w:szCs w:val="52"/>
        </w:rPr>
        <w:t>三五年</w:t>
      </w:r>
    </w:p>
    <w:p>
      <w:pPr>
        <w:jc w:val="center"/>
        <w:rPr>
          <w:rFonts w:ascii="Times New Roman" w:hAnsi="Times New Roman" w:eastAsia="方正小标宋_GBK" w:cs="Times New Roman"/>
          <w:b/>
          <w:bCs/>
          <w:sz w:val="52"/>
          <w:szCs w:val="52"/>
        </w:rPr>
      </w:pPr>
      <w:r>
        <w:rPr>
          <w:rFonts w:ascii="Times New Roman" w:hAnsi="Times New Roman" w:eastAsia="方正小标宋_GBK" w:cs="Times New Roman"/>
          <w:b/>
          <w:bCs/>
          <w:sz w:val="52"/>
          <w:szCs w:val="52"/>
        </w:rPr>
        <w:t>远景目标纲要</w:t>
      </w:r>
    </w:p>
    <w:p>
      <w:pPr>
        <w:jc w:val="both"/>
        <w:rPr>
          <w:rFonts w:ascii="Times New Roman" w:hAnsi="Times New Roman" w:eastAsia="方正小标宋_GBK" w:cs="Times New Roman"/>
          <w:b/>
          <w:bCs/>
          <w:sz w:val="52"/>
          <w:szCs w:val="52"/>
        </w:rPr>
      </w:pPr>
    </w:p>
    <w:p>
      <w:pPr>
        <w:pStyle w:val="23"/>
        <w:keepNext w:val="0"/>
        <w:keepLines w:val="0"/>
        <w:pageBreakBefore w:val="0"/>
        <w:widowControl/>
        <w:kinsoku/>
        <w:wordWrap/>
        <w:overflowPunct/>
        <w:topLinePunct w:val="0"/>
        <w:autoSpaceDE/>
        <w:autoSpaceDN/>
        <w:bidi w:val="0"/>
        <w:adjustRightInd/>
        <w:snapToGrid/>
        <w:spacing w:beforeAutospacing="0" w:afterAutospacing="0" w:line="400" w:lineRule="exact"/>
        <w:ind w:left="0"/>
        <w:jc w:val="center"/>
        <w:textAlignment w:val="bottom"/>
        <w:rPr>
          <w:rFonts w:hint="default" w:ascii="Times New Roman" w:hAnsi="Times New Roman" w:eastAsia="楷体_GB2312" w:cs="Times New Roman"/>
          <w:b/>
          <w:bCs w:val="0"/>
          <w:color w:val="000000"/>
          <w:w w:val="75"/>
          <w:sz w:val="32"/>
          <w:szCs w:val="32"/>
          <w:lang w:val="en-US"/>
        </w:rPr>
      </w:pPr>
      <w:r>
        <w:rPr>
          <w:rFonts w:hint="eastAsia" w:ascii="楷体_GB2312" w:hAnsi="仿宋_GB2312" w:eastAsia="楷体_GB2312"/>
          <w:b/>
          <w:w w:val="78"/>
          <w:sz w:val="32"/>
          <w:szCs w:val="32"/>
        </w:rPr>
        <w:t>20</w:t>
      </w:r>
      <w:r>
        <w:rPr>
          <w:rFonts w:ascii="楷体_GB2312" w:hAnsi="仿宋_GB2312" w:eastAsia="楷体_GB2312"/>
          <w:b/>
          <w:w w:val="78"/>
          <w:sz w:val="32"/>
          <w:szCs w:val="32"/>
        </w:rPr>
        <w:t>21</w:t>
      </w:r>
      <w:r>
        <w:rPr>
          <w:rFonts w:hint="eastAsia" w:ascii="楷体_GB2312" w:hAnsi="仿宋_GB2312" w:eastAsia="楷体_GB2312"/>
          <w:b/>
          <w:w w:val="78"/>
          <w:sz w:val="32"/>
          <w:szCs w:val="32"/>
        </w:rPr>
        <w:t>年</w:t>
      </w:r>
      <w:r>
        <w:rPr>
          <w:rFonts w:hint="eastAsia" w:ascii="楷体_GB2312" w:hAnsi="仿宋_GB2312" w:eastAsia="楷体_GB2312"/>
          <w:b/>
          <w:w w:val="78"/>
          <w:sz w:val="32"/>
          <w:szCs w:val="32"/>
          <w:lang w:val="en-US" w:eastAsia="zh-CN"/>
        </w:rPr>
        <w:t>3</w:t>
      </w:r>
      <w:r>
        <w:rPr>
          <w:rFonts w:hint="eastAsia" w:ascii="楷体_GB2312" w:hAnsi="仿宋_GB2312" w:eastAsia="楷体_GB2312"/>
          <w:b/>
          <w:w w:val="78"/>
          <w:sz w:val="32"/>
          <w:szCs w:val="32"/>
        </w:rPr>
        <w:t>月</w:t>
      </w:r>
      <w:r>
        <w:rPr>
          <w:rFonts w:hint="eastAsia" w:ascii="楷体_GB2312" w:hAnsi="仿宋_GB2312" w:eastAsia="楷体_GB2312"/>
          <w:b/>
          <w:color w:val="auto"/>
          <w:w w:val="78"/>
          <w:sz w:val="32"/>
          <w:szCs w:val="32"/>
          <w:lang w:val="en-US" w:eastAsia="zh-CN"/>
        </w:rPr>
        <w:t>31</w:t>
      </w:r>
      <w:r>
        <w:rPr>
          <w:rFonts w:hint="eastAsia" w:ascii="楷体_GB2312" w:hAnsi="仿宋_GB2312" w:eastAsia="楷体_GB2312"/>
          <w:b/>
          <w:w w:val="78"/>
          <w:sz w:val="32"/>
          <w:szCs w:val="32"/>
        </w:rPr>
        <w:t>日壤塘县第十四届人民代表大会第五次会议通过</w:t>
      </w:r>
    </w:p>
    <w:p>
      <w:pPr>
        <w:jc w:val="center"/>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0" w:firstLineChars="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jc w:val="center"/>
        <w:rPr>
          <w:rFonts w:ascii="Times New Roman" w:hAnsi="Times New Roman" w:eastAsia="楷体_GB2312" w:cs="Times New Roman"/>
          <w:b/>
          <w:bCs/>
          <w:sz w:val="44"/>
          <w:szCs w:val="44"/>
        </w:rPr>
      </w:pPr>
      <w:r>
        <w:rPr>
          <w:rFonts w:ascii="Times New Roman" w:hAnsi="Times New Roman" w:eastAsia="楷体_GB2312" w:cs="Times New Roman"/>
          <w:b/>
          <w:bCs/>
          <w:sz w:val="44"/>
          <w:szCs w:val="44"/>
        </w:rPr>
        <w:t>壤塘县</w:t>
      </w:r>
      <w:r>
        <w:rPr>
          <w:rFonts w:hint="eastAsia" w:ascii="Times New Roman" w:hAnsi="Times New Roman" w:eastAsia="楷体_GB2312" w:cs="Times New Roman"/>
          <w:b/>
          <w:bCs/>
          <w:sz w:val="44"/>
          <w:szCs w:val="44"/>
        </w:rPr>
        <w:t>人民政府</w:t>
      </w:r>
    </w:p>
    <w:p>
      <w:pPr>
        <w:spacing w:line="560" w:lineRule="exact"/>
        <w:jc w:val="center"/>
        <w:rPr>
          <w:rFonts w:ascii="Times New Roman" w:hAnsi="Times New Roman" w:eastAsia="楷体_GB2312" w:cs="Times New Roman"/>
          <w:b/>
          <w:bCs/>
          <w:sz w:val="44"/>
          <w:szCs w:val="44"/>
        </w:rPr>
      </w:pPr>
      <w:r>
        <w:rPr>
          <w:rFonts w:ascii="Times New Roman" w:hAnsi="Times New Roman" w:eastAsia="楷体_GB2312" w:cs="Times New Roman"/>
          <w:b/>
          <w:bCs/>
          <w:sz w:val="44"/>
          <w:szCs w:val="44"/>
        </w:rPr>
        <w:t>2021年3月</w:t>
      </w:r>
    </w:p>
    <w:p>
      <w:pPr>
        <w:widowControl/>
        <w:jc w:val="left"/>
        <w:rPr>
          <w:rFonts w:ascii="Times New Roman" w:hAnsi="Times New Roman" w:eastAsia="楷体_GB2312" w:cs="Times New Roman"/>
          <w:b/>
          <w:bCs/>
          <w:sz w:val="44"/>
          <w:szCs w:val="44"/>
        </w:rPr>
      </w:pPr>
      <w:r>
        <w:rPr>
          <w:rFonts w:ascii="Times New Roman" w:hAnsi="Times New Roman" w:eastAsia="楷体_GB2312" w:cs="Times New Roman"/>
          <w:b/>
          <w:bCs/>
          <w:sz w:val="44"/>
          <w:szCs w:val="44"/>
        </w:rPr>
        <w:br w:type="page"/>
      </w:r>
    </w:p>
    <w:p>
      <w:pPr>
        <w:jc w:val="center"/>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 xml:space="preserve">目 </w:t>
      </w:r>
      <w:r>
        <w:rPr>
          <w:rFonts w:ascii="Times New Roman" w:hAnsi="Times New Roman" w:eastAsia="方正小标宋_GBK" w:cs="Times New Roman"/>
          <w:sz w:val="44"/>
          <w:szCs w:val="44"/>
        </w:rPr>
        <w:t xml:space="preserve"> </w:t>
      </w:r>
      <w:r>
        <w:rPr>
          <w:rFonts w:hint="eastAsia" w:ascii="Times New Roman" w:hAnsi="Times New Roman" w:eastAsia="方正小标宋_GBK" w:cs="Times New Roman"/>
          <w:sz w:val="44"/>
          <w:szCs w:val="44"/>
        </w:rPr>
        <w:t>录</w:t>
      </w:r>
    </w:p>
    <w:p>
      <w:pPr>
        <w:jc w:val="left"/>
        <w:rPr>
          <w:rFonts w:ascii="Times New Roman" w:hAnsi="Times New Roman" w:eastAsia="黑体" w:cs="Times New Roman"/>
          <w:sz w:val="44"/>
          <w:szCs w:val="44"/>
        </w:rPr>
      </w:pPr>
    </w:p>
    <w:p>
      <w:pPr>
        <w:pStyle w:val="9"/>
        <w:tabs>
          <w:tab w:val="right" w:leader="dot" w:pos="8845"/>
          <w:tab w:val="clear" w:pos="8835"/>
        </w:tabs>
      </w:pPr>
      <w:r>
        <w:fldChar w:fldCharType="begin"/>
      </w:r>
      <w:r>
        <w:instrText xml:space="preserve"> </w:instrText>
      </w:r>
      <w:r>
        <w:rPr>
          <w:rFonts w:hint="eastAsia"/>
        </w:rPr>
        <w:instrText xml:space="preserve">TOC \o "1-2" \h \z \u</w:instrText>
      </w:r>
      <w:r>
        <w:instrText xml:space="preserve"> </w:instrText>
      </w:r>
      <w:r>
        <w:fldChar w:fldCharType="separate"/>
      </w:r>
      <w:r>
        <w:fldChar w:fldCharType="begin"/>
      </w:r>
      <w:r>
        <w:instrText xml:space="preserve"> HYPERLINK \l _Toc19823 </w:instrText>
      </w:r>
      <w:r>
        <w:fldChar w:fldCharType="separate"/>
      </w:r>
      <w:r>
        <w:rPr>
          <w:rFonts w:hint="eastAsia" w:ascii="Times New Roman" w:hAnsi="Times New Roman" w:eastAsia="方正小标宋_GBK" w:cs="Times New Roman"/>
          <w:szCs w:val="44"/>
          <w:lang w:val="en-US" w:eastAsia="zh-CN"/>
        </w:rPr>
        <w:t>壤塘县第十四届人民代表大会第五次会议关于壤塘县国民经济和社会发展第十四个五年规划和二〇三五年远景目标纲要的决议</w:t>
      </w:r>
      <w:r>
        <w:tab/>
      </w:r>
      <w:r>
        <w:fldChar w:fldCharType="begin"/>
      </w:r>
      <w:r>
        <w:instrText xml:space="preserve"> PAGEREF _Toc19823 \h </w:instrText>
      </w:r>
      <w:r>
        <w:fldChar w:fldCharType="separate"/>
      </w:r>
      <w:r>
        <w:t>1</w:t>
      </w:r>
      <w:r>
        <w:fldChar w:fldCharType="end"/>
      </w:r>
      <w: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_Toc9840 </w:instrText>
      </w:r>
      <w:r>
        <w:rPr>
          <w:rFonts w:ascii="Times New Roman" w:hAnsi="Times New Roman" w:eastAsia="方正小标宋_GBK" w:cs="Times New Roman"/>
          <w:bCs/>
          <w:szCs w:val="30"/>
        </w:rPr>
        <w:fldChar w:fldCharType="separate"/>
      </w:r>
      <w:r>
        <w:rPr>
          <w:rFonts w:hint="eastAsia" w:ascii="Times New Roman" w:hAnsi="Times New Roman" w:eastAsia="方正小标宋_GBK" w:cs="Times New Roman"/>
          <w:szCs w:val="44"/>
          <w:lang w:val="en-US" w:eastAsia="zh-CN"/>
        </w:rPr>
        <w:t>阿坝州发展和改革委员会关于对《壤塘县国民经济和社会发展第十四个五年规划和二〇三五年远景目标纲要草案》的审查意见</w:t>
      </w:r>
      <w:r>
        <w:tab/>
      </w:r>
      <w:r>
        <w:fldChar w:fldCharType="begin"/>
      </w:r>
      <w:r>
        <w:instrText xml:space="preserve"> PAGEREF _Toc9840 \h </w:instrText>
      </w:r>
      <w:r>
        <w:fldChar w:fldCharType="separate"/>
      </w:r>
      <w:r>
        <w:t>3</w:t>
      </w:r>
      <w:r>
        <w:fldChar w:fldCharType="end"/>
      </w:r>
      <w:r>
        <w:rPr>
          <w:rFonts w:ascii="Times New Roman" w:hAnsi="Times New Roman" w:eastAsia="方正小标宋_GBK" w:cs="Times New Roman"/>
          <w:bCs/>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_Toc31823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序  言</w:t>
      </w:r>
      <w:r>
        <w:tab/>
      </w:r>
      <w:r>
        <w:fldChar w:fldCharType="begin"/>
      </w:r>
      <w:r>
        <w:instrText xml:space="preserve"> PAGEREF _Toc31823 \h </w:instrText>
      </w:r>
      <w:r>
        <w:fldChar w:fldCharType="separate"/>
      </w:r>
      <w:r>
        <w:t>6</w:t>
      </w:r>
      <w:r>
        <w:fldChar w:fldCharType="end"/>
      </w:r>
      <w:r>
        <w:rPr>
          <w:rFonts w:ascii="Times New Roman" w:hAnsi="Times New Roman" w:eastAsia="方正小标宋_GBK" w:cs="Times New Roman"/>
          <w:bCs/>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_Toc3837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第一章  脱贫攻坚和全面小康胜利</w:t>
      </w:r>
      <w:r>
        <w:rPr>
          <w:rFonts w:hint="eastAsia" w:ascii="Times New Roman" w:hAnsi="Times New Roman" w:eastAsia="方正小标宋_GBK" w:cs="Times New Roman"/>
          <w:szCs w:val="44"/>
        </w:rPr>
        <w:t>在望</w:t>
      </w:r>
      <w:r>
        <w:rPr>
          <w:rFonts w:ascii="Times New Roman" w:hAnsi="Times New Roman" w:eastAsia="方正小标宋_GBK" w:cs="Times New Roman"/>
          <w:szCs w:val="44"/>
        </w:rPr>
        <w:t>，</w:t>
      </w:r>
      <w:r>
        <w:rPr>
          <w:rFonts w:hint="eastAsia" w:ascii="Times New Roman" w:hAnsi="Times New Roman" w:eastAsia="方正小标宋_GBK" w:cs="Times New Roman"/>
          <w:szCs w:val="44"/>
        </w:rPr>
        <w:t>开启建设新征程</w:t>
      </w:r>
      <w:r>
        <w:tab/>
      </w:r>
      <w:r>
        <w:fldChar w:fldCharType="begin"/>
      </w:r>
      <w:r>
        <w:instrText xml:space="preserve"> PAGEREF _Toc3837 \h </w:instrText>
      </w:r>
      <w:r>
        <w:fldChar w:fldCharType="separate"/>
      </w:r>
      <w:r>
        <w:t>8</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_Toc13629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发展基础</w:t>
      </w:r>
      <w:r>
        <w:rPr>
          <w:b w:val="0"/>
          <w:bCs w:val="0"/>
        </w:rPr>
        <w:tab/>
      </w:r>
      <w:r>
        <w:rPr>
          <w:b w:val="0"/>
          <w:bCs w:val="0"/>
        </w:rPr>
        <w:fldChar w:fldCharType="begin"/>
      </w:r>
      <w:r>
        <w:rPr>
          <w:b w:val="0"/>
          <w:bCs w:val="0"/>
        </w:rPr>
        <w:instrText xml:space="preserve"> PAGEREF _Toc13629 \h </w:instrText>
      </w:r>
      <w:r>
        <w:rPr>
          <w:b w:val="0"/>
          <w:bCs w:val="0"/>
        </w:rPr>
        <w:fldChar w:fldCharType="separate"/>
      </w:r>
      <w:r>
        <w:rPr>
          <w:b w:val="0"/>
          <w:bCs w:val="0"/>
        </w:rPr>
        <w:t>8</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_Toc5652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发展环境</w:t>
      </w:r>
      <w:r>
        <w:rPr>
          <w:b w:val="0"/>
          <w:bCs w:val="0"/>
        </w:rPr>
        <w:tab/>
      </w:r>
      <w:r>
        <w:rPr>
          <w:b w:val="0"/>
          <w:bCs w:val="0"/>
        </w:rPr>
        <w:fldChar w:fldCharType="begin"/>
      </w:r>
      <w:r>
        <w:rPr>
          <w:b w:val="0"/>
          <w:bCs w:val="0"/>
        </w:rPr>
        <w:instrText xml:space="preserve"> PAGEREF _Toc5652 \h </w:instrText>
      </w:r>
      <w:r>
        <w:rPr>
          <w:b w:val="0"/>
          <w:bCs w:val="0"/>
        </w:rPr>
        <w:fldChar w:fldCharType="separate"/>
      </w:r>
      <w:r>
        <w:rPr>
          <w:b w:val="0"/>
          <w:bCs w:val="0"/>
        </w:rPr>
        <w:t>13</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_Toc28028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第二章  科学谋划“145”发展战略，合力建设“川甘青结合部区域强县”</w:t>
      </w:r>
      <w:r>
        <w:tab/>
      </w:r>
      <w:r>
        <w:fldChar w:fldCharType="begin"/>
      </w:r>
      <w:r>
        <w:instrText xml:space="preserve"> PAGEREF _Toc28028 \h </w:instrText>
      </w:r>
      <w:r>
        <w:fldChar w:fldCharType="separate"/>
      </w:r>
      <w:r>
        <w:t>18</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_Toc23397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指导思想</w:t>
      </w:r>
      <w:r>
        <w:rPr>
          <w:b w:val="0"/>
          <w:bCs w:val="0"/>
        </w:rPr>
        <w:tab/>
      </w:r>
      <w:r>
        <w:rPr>
          <w:b w:val="0"/>
          <w:bCs w:val="0"/>
        </w:rPr>
        <w:fldChar w:fldCharType="begin"/>
      </w:r>
      <w:r>
        <w:rPr>
          <w:b w:val="0"/>
          <w:bCs w:val="0"/>
        </w:rPr>
        <w:instrText xml:space="preserve"> PAGEREF _Toc23397 \h </w:instrText>
      </w:r>
      <w:r>
        <w:rPr>
          <w:b w:val="0"/>
          <w:bCs w:val="0"/>
        </w:rPr>
        <w:fldChar w:fldCharType="separate"/>
      </w:r>
      <w:r>
        <w:rPr>
          <w:b w:val="0"/>
          <w:bCs w:val="0"/>
        </w:rPr>
        <w:t>18</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_Toc20345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基本原则</w:t>
      </w:r>
      <w:r>
        <w:rPr>
          <w:b w:val="0"/>
          <w:bCs w:val="0"/>
        </w:rPr>
        <w:tab/>
      </w:r>
      <w:r>
        <w:rPr>
          <w:b w:val="0"/>
          <w:bCs w:val="0"/>
        </w:rPr>
        <w:fldChar w:fldCharType="begin"/>
      </w:r>
      <w:r>
        <w:rPr>
          <w:b w:val="0"/>
          <w:bCs w:val="0"/>
        </w:rPr>
        <w:instrText xml:space="preserve"> PAGEREF _Toc20345 \h </w:instrText>
      </w:r>
      <w:r>
        <w:rPr>
          <w:b w:val="0"/>
          <w:bCs w:val="0"/>
        </w:rPr>
        <w:fldChar w:fldCharType="separate"/>
      </w:r>
      <w:r>
        <w:rPr>
          <w:b w:val="0"/>
          <w:bCs w:val="0"/>
        </w:rPr>
        <w:t>19</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_Toc11076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发展目标</w:t>
      </w:r>
      <w:r>
        <w:rPr>
          <w:b w:val="0"/>
          <w:bCs w:val="0"/>
        </w:rPr>
        <w:tab/>
      </w:r>
      <w:r>
        <w:rPr>
          <w:b w:val="0"/>
          <w:bCs w:val="0"/>
        </w:rPr>
        <w:fldChar w:fldCharType="begin"/>
      </w:r>
      <w:r>
        <w:rPr>
          <w:b w:val="0"/>
          <w:bCs w:val="0"/>
        </w:rPr>
        <w:instrText xml:space="preserve"> PAGEREF _Toc11076 \h </w:instrText>
      </w:r>
      <w:r>
        <w:rPr>
          <w:b w:val="0"/>
          <w:bCs w:val="0"/>
        </w:rPr>
        <w:fldChar w:fldCharType="separate"/>
      </w:r>
      <w:r>
        <w:rPr>
          <w:b w:val="0"/>
          <w:bCs w:val="0"/>
        </w:rPr>
        <w:t>21</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_Toc23422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第四节  空间布局</w:t>
      </w:r>
      <w:r>
        <w:rPr>
          <w:b w:val="0"/>
          <w:bCs w:val="0"/>
        </w:rPr>
        <w:tab/>
      </w:r>
      <w:r>
        <w:rPr>
          <w:b w:val="0"/>
          <w:bCs w:val="0"/>
        </w:rPr>
        <w:fldChar w:fldCharType="begin"/>
      </w:r>
      <w:r>
        <w:rPr>
          <w:b w:val="0"/>
          <w:bCs w:val="0"/>
        </w:rPr>
        <w:instrText xml:space="preserve"> PAGEREF _Toc23422 \h </w:instrText>
      </w:r>
      <w:r>
        <w:rPr>
          <w:b w:val="0"/>
          <w:bCs w:val="0"/>
        </w:rPr>
        <w:fldChar w:fldCharType="separate"/>
      </w:r>
      <w:r>
        <w:rPr>
          <w:b w:val="0"/>
          <w:bCs w:val="0"/>
        </w:rPr>
        <w:t>25</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_Toc31984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第三章  加大基础设施建设力度，增强经济社会发展支撑能力</w:t>
      </w:r>
      <w:r>
        <w:tab/>
      </w:r>
      <w:r>
        <w:fldChar w:fldCharType="begin"/>
      </w:r>
      <w:r>
        <w:instrText xml:space="preserve"> PAGEREF _Toc31984 \h </w:instrText>
      </w:r>
      <w:r>
        <w:fldChar w:fldCharType="separate"/>
      </w:r>
      <w:r>
        <w:t>28</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_Toc19304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加强交通基础设施建设</w:t>
      </w:r>
      <w:r>
        <w:rPr>
          <w:b w:val="0"/>
          <w:bCs w:val="0"/>
        </w:rPr>
        <w:tab/>
      </w:r>
      <w:r>
        <w:rPr>
          <w:b w:val="0"/>
          <w:bCs w:val="0"/>
        </w:rPr>
        <w:fldChar w:fldCharType="begin"/>
      </w:r>
      <w:r>
        <w:rPr>
          <w:b w:val="0"/>
          <w:bCs w:val="0"/>
        </w:rPr>
        <w:instrText xml:space="preserve"> PAGEREF _Toc19304 \h </w:instrText>
      </w:r>
      <w:r>
        <w:rPr>
          <w:b w:val="0"/>
          <w:bCs w:val="0"/>
        </w:rPr>
        <w:fldChar w:fldCharType="separate"/>
      </w:r>
      <w:r>
        <w:rPr>
          <w:b w:val="0"/>
          <w:bCs w:val="0"/>
        </w:rPr>
        <w:t>28</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_Toc11270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加强水利基础设施建设</w:t>
      </w:r>
      <w:r>
        <w:rPr>
          <w:b w:val="0"/>
          <w:bCs w:val="0"/>
        </w:rPr>
        <w:tab/>
      </w:r>
      <w:r>
        <w:rPr>
          <w:b w:val="0"/>
          <w:bCs w:val="0"/>
        </w:rPr>
        <w:fldChar w:fldCharType="begin"/>
      </w:r>
      <w:r>
        <w:rPr>
          <w:b w:val="0"/>
          <w:bCs w:val="0"/>
        </w:rPr>
        <w:instrText xml:space="preserve"> PAGEREF _Toc11270 \h </w:instrText>
      </w:r>
      <w:r>
        <w:rPr>
          <w:b w:val="0"/>
          <w:bCs w:val="0"/>
        </w:rPr>
        <w:fldChar w:fldCharType="separate"/>
      </w:r>
      <w:r>
        <w:rPr>
          <w:b w:val="0"/>
          <w:bCs w:val="0"/>
        </w:rPr>
        <w:t>32</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_Toc14540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加强能源基础设施建设</w:t>
      </w:r>
      <w:r>
        <w:rPr>
          <w:b w:val="0"/>
          <w:bCs w:val="0"/>
        </w:rPr>
        <w:tab/>
      </w:r>
      <w:r>
        <w:rPr>
          <w:b w:val="0"/>
          <w:bCs w:val="0"/>
        </w:rPr>
        <w:fldChar w:fldCharType="begin"/>
      </w:r>
      <w:r>
        <w:rPr>
          <w:b w:val="0"/>
          <w:bCs w:val="0"/>
        </w:rPr>
        <w:instrText xml:space="preserve"> PAGEREF _Toc14540 \h </w:instrText>
      </w:r>
      <w:r>
        <w:rPr>
          <w:b w:val="0"/>
          <w:bCs w:val="0"/>
        </w:rPr>
        <w:fldChar w:fldCharType="separate"/>
      </w:r>
      <w:r>
        <w:rPr>
          <w:b w:val="0"/>
          <w:bCs w:val="0"/>
        </w:rPr>
        <w:t>35</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_Toc3718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第四节  加强数字信息基础设施建设</w:t>
      </w:r>
      <w:r>
        <w:rPr>
          <w:b w:val="0"/>
          <w:bCs w:val="0"/>
        </w:rPr>
        <w:tab/>
      </w:r>
      <w:r>
        <w:rPr>
          <w:b w:val="0"/>
          <w:bCs w:val="0"/>
        </w:rPr>
        <w:fldChar w:fldCharType="begin"/>
      </w:r>
      <w:r>
        <w:rPr>
          <w:b w:val="0"/>
          <w:bCs w:val="0"/>
        </w:rPr>
        <w:instrText xml:space="preserve"> PAGEREF _Toc3718 \h </w:instrText>
      </w:r>
      <w:r>
        <w:rPr>
          <w:b w:val="0"/>
          <w:bCs w:val="0"/>
        </w:rPr>
        <w:fldChar w:fldCharType="separate"/>
      </w:r>
      <w:r>
        <w:rPr>
          <w:b w:val="0"/>
          <w:bCs w:val="0"/>
        </w:rPr>
        <w:t>37</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_Toc16740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第四章  加强民族团结进步教育，创建“国家铸牢中华民族共同体意识示范县”</w:t>
      </w:r>
      <w:r>
        <w:tab/>
      </w:r>
      <w:r>
        <w:fldChar w:fldCharType="begin"/>
      </w:r>
      <w:r>
        <w:instrText xml:space="preserve"> PAGEREF _Toc16740 \h </w:instrText>
      </w:r>
      <w:r>
        <w:fldChar w:fldCharType="separate"/>
      </w:r>
      <w:r>
        <w:t>39</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_Toc21530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加强民族团结进步教育</w:t>
      </w:r>
      <w:r>
        <w:rPr>
          <w:b w:val="0"/>
          <w:bCs w:val="0"/>
        </w:rPr>
        <w:tab/>
      </w:r>
      <w:r>
        <w:rPr>
          <w:b w:val="0"/>
          <w:bCs w:val="0"/>
        </w:rPr>
        <w:fldChar w:fldCharType="begin"/>
      </w:r>
      <w:r>
        <w:rPr>
          <w:b w:val="0"/>
          <w:bCs w:val="0"/>
        </w:rPr>
        <w:instrText xml:space="preserve"> PAGEREF _Toc21530 \h </w:instrText>
      </w:r>
      <w:r>
        <w:rPr>
          <w:b w:val="0"/>
          <w:bCs w:val="0"/>
        </w:rPr>
        <w:fldChar w:fldCharType="separate"/>
      </w:r>
      <w:r>
        <w:rPr>
          <w:b w:val="0"/>
          <w:bCs w:val="0"/>
        </w:rPr>
        <w:t>39</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_Toc954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努力增强各民族文化认同</w:t>
      </w:r>
      <w:r>
        <w:rPr>
          <w:b w:val="0"/>
          <w:bCs w:val="0"/>
        </w:rPr>
        <w:tab/>
      </w:r>
      <w:r>
        <w:rPr>
          <w:b w:val="0"/>
          <w:bCs w:val="0"/>
        </w:rPr>
        <w:fldChar w:fldCharType="begin"/>
      </w:r>
      <w:r>
        <w:rPr>
          <w:b w:val="0"/>
          <w:bCs w:val="0"/>
        </w:rPr>
        <w:instrText xml:space="preserve"> PAGEREF _Toc954 \h </w:instrText>
      </w:r>
      <w:r>
        <w:rPr>
          <w:b w:val="0"/>
          <w:bCs w:val="0"/>
        </w:rPr>
        <w:fldChar w:fldCharType="separate"/>
      </w:r>
      <w:r>
        <w:rPr>
          <w:b w:val="0"/>
          <w:bCs w:val="0"/>
        </w:rPr>
        <w:t>41</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_Toc16511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完善共同体意识教育制度</w:t>
      </w:r>
      <w:r>
        <w:rPr>
          <w:b w:val="0"/>
          <w:bCs w:val="0"/>
        </w:rPr>
        <w:tab/>
      </w:r>
      <w:r>
        <w:rPr>
          <w:b w:val="0"/>
          <w:bCs w:val="0"/>
        </w:rPr>
        <w:fldChar w:fldCharType="begin"/>
      </w:r>
      <w:r>
        <w:rPr>
          <w:b w:val="0"/>
          <w:bCs w:val="0"/>
        </w:rPr>
        <w:instrText xml:space="preserve"> PAGEREF _Toc16511 \h </w:instrText>
      </w:r>
      <w:r>
        <w:rPr>
          <w:b w:val="0"/>
          <w:bCs w:val="0"/>
        </w:rPr>
        <w:fldChar w:fldCharType="separate"/>
      </w:r>
      <w:r>
        <w:rPr>
          <w:b w:val="0"/>
          <w:bCs w:val="0"/>
        </w:rPr>
        <w:t>43</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_Toc24179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第五章  实施生态优先发展战略，构建“川甘青结合部河源生态文明示范县”</w:t>
      </w:r>
      <w:r>
        <w:tab/>
      </w:r>
      <w:r>
        <w:fldChar w:fldCharType="begin"/>
      </w:r>
      <w:r>
        <w:instrText xml:space="preserve"> PAGEREF _Toc24179 \h </w:instrText>
      </w:r>
      <w:r>
        <w:fldChar w:fldCharType="separate"/>
      </w:r>
      <w:r>
        <w:t>45</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_Toc8763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优化国土空间布局</w:t>
      </w:r>
      <w:r>
        <w:rPr>
          <w:b w:val="0"/>
          <w:bCs w:val="0"/>
        </w:rPr>
        <w:tab/>
      </w:r>
      <w:r>
        <w:rPr>
          <w:b w:val="0"/>
          <w:bCs w:val="0"/>
        </w:rPr>
        <w:fldChar w:fldCharType="begin"/>
      </w:r>
      <w:r>
        <w:rPr>
          <w:b w:val="0"/>
          <w:bCs w:val="0"/>
        </w:rPr>
        <w:instrText xml:space="preserve"> PAGEREF _Toc8763 \h </w:instrText>
      </w:r>
      <w:r>
        <w:rPr>
          <w:b w:val="0"/>
          <w:bCs w:val="0"/>
        </w:rPr>
        <w:fldChar w:fldCharType="separate"/>
      </w:r>
      <w:r>
        <w:rPr>
          <w:b w:val="0"/>
          <w:bCs w:val="0"/>
        </w:rPr>
        <w:t>45</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_Toc28328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加强自然生态保护和治理</w:t>
      </w:r>
      <w:r>
        <w:rPr>
          <w:b w:val="0"/>
          <w:bCs w:val="0"/>
        </w:rPr>
        <w:tab/>
      </w:r>
      <w:r>
        <w:rPr>
          <w:b w:val="0"/>
          <w:bCs w:val="0"/>
        </w:rPr>
        <w:fldChar w:fldCharType="begin"/>
      </w:r>
      <w:r>
        <w:rPr>
          <w:b w:val="0"/>
          <w:bCs w:val="0"/>
        </w:rPr>
        <w:instrText xml:space="preserve"> PAGEREF _Toc28328 \h </w:instrText>
      </w:r>
      <w:r>
        <w:rPr>
          <w:b w:val="0"/>
          <w:bCs w:val="0"/>
        </w:rPr>
        <w:fldChar w:fldCharType="separate"/>
      </w:r>
      <w:r>
        <w:rPr>
          <w:b w:val="0"/>
          <w:bCs w:val="0"/>
        </w:rPr>
        <w:t>46</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_Toc12296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加强城乡环境综合治理</w:t>
      </w:r>
      <w:r>
        <w:rPr>
          <w:b w:val="0"/>
          <w:bCs w:val="0"/>
        </w:rPr>
        <w:tab/>
      </w:r>
      <w:r>
        <w:rPr>
          <w:b w:val="0"/>
          <w:bCs w:val="0"/>
        </w:rPr>
        <w:fldChar w:fldCharType="begin"/>
      </w:r>
      <w:r>
        <w:rPr>
          <w:b w:val="0"/>
          <w:bCs w:val="0"/>
        </w:rPr>
        <w:instrText xml:space="preserve"> PAGEREF _Toc12296 \h </w:instrText>
      </w:r>
      <w:r>
        <w:rPr>
          <w:b w:val="0"/>
          <w:bCs w:val="0"/>
        </w:rPr>
        <w:fldChar w:fldCharType="separate"/>
      </w:r>
      <w:r>
        <w:rPr>
          <w:b w:val="0"/>
          <w:bCs w:val="0"/>
        </w:rPr>
        <w:t>51</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_Toc28191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第六章  推动农牧业高质量发展，打造“壤巴拉现代农业产业园”</w:t>
      </w:r>
      <w:r>
        <w:tab/>
      </w:r>
      <w:r>
        <w:fldChar w:fldCharType="begin"/>
      </w:r>
      <w:r>
        <w:instrText xml:space="preserve"> PAGEREF _Toc28191 \h </w:instrText>
      </w:r>
      <w:r>
        <w:fldChar w:fldCharType="separate"/>
      </w:r>
      <w:r>
        <w:t>56</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_Toc2721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打造“两带三区”空间布局</w:t>
      </w:r>
      <w:r>
        <w:rPr>
          <w:b w:val="0"/>
          <w:bCs w:val="0"/>
        </w:rPr>
        <w:tab/>
      </w:r>
      <w:r>
        <w:rPr>
          <w:b w:val="0"/>
          <w:bCs w:val="0"/>
        </w:rPr>
        <w:fldChar w:fldCharType="begin"/>
      </w:r>
      <w:r>
        <w:rPr>
          <w:b w:val="0"/>
          <w:bCs w:val="0"/>
        </w:rPr>
        <w:instrText xml:space="preserve"> PAGEREF _Toc2721 \h </w:instrText>
      </w:r>
      <w:r>
        <w:rPr>
          <w:b w:val="0"/>
          <w:bCs w:val="0"/>
        </w:rPr>
        <w:fldChar w:fldCharType="separate"/>
      </w:r>
      <w:r>
        <w:rPr>
          <w:b w:val="0"/>
          <w:bCs w:val="0"/>
        </w:rPr>
        <w:t>56</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_Toc22649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夯实农牧业发展基础</w:t>
      </w:r>
      <w:r>
        <w:rPr>
          <w:b w:val="0"/>
          <w:bCs w:val="0"/>
        </w:rPr>
        <w:tab/>
      </w:r>
      <w:r>
        <w:rPr>
          <w:b w:val="0"/>
          <w:bCs w:val="0"/>
        </w:rPr>
        <w:fldChar w:fldCharType="begin"/>
      </w:r>
      <w:r>
        <w:rPr>
          <w:b w:val="0"/>
          <w:bCs w:val="0"/>
        </w:rPr>
        <w:instrText xml:space="preserve"> PAGEREF _Toc22649 \h </w:instrText>
      </w:r>
      <w:r>
        <w:rPr>
          <w:b w:val="0"/>
          <w:bCs w:val="0"/>
        </w:rPr>
        <w:fldChar w:fldCharType="separate"/>
      </w:r>
      <w:r>
        <w:rPr>
          <w:b w:val="0"/>
          <w:bCs w:val="0"/>
        </w:rPr>
        <w:t>59</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_Toc19913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构建“5+N”农业产业体系</w:t>
      </w:r>
      <w:r>
        <w:rPr>
          <w:b w:val="0"/>
          <w:bCs w:val="0"/>
        </w:rPr>
        <w:tab/>
      </w:r>
      <w:r>
        <w:rPr>
          <w:b w:val="0"/>
          <w:bCs w:val="0"/>
        </w:rPr>
        <w:fldChar w:fldCharType="begin"/>
      </w:r>
      <w:r>
        <w:rPr>
          <w:b w:val="0"/>
          <w:bCs w:val="0"/>
        </w:rPr>
        <w:instrText xml:space="preserve"> PAGEREF _Toc19913 \h </w:instrText>
      </w:r>
      <w:r>
        <w:rPr>
          <w:b w:val="0"/>
          <w:bCs w:val="0"/>
        </w:rPr>
        <w:fldChar w:fldCharType="separate"/>
      </w:r>
      <w:r>
        <w:rPr>
          <w:b w:val="0"/>
          <w:bCs w:val="0"/>
        </w:rPr>
        <w:t>62</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_Toc13954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第四节  构建新型农牧业经营体系</w:t>
      </w:r>
      <w:r>
        <w:rPr>
          <w:b w:val="0"/>
          <w:bCs w:val="0"/>
        </w:rPr>
        <w:tab/>
      </w:r>
      <w:r>
        <w:rPr>
          <w:b w:val="0"/>
          <w:bCs w:val="0"/>
        </w:rPr>
        <w:fldChar w:fldCharType="begin"/>
      </w:r>
      <w:r>
        <w:rPr>
          <w:b w:val="0"/>
          <w:bCs w:val="0"/>
        </w:rPr>
        <w:instrText xml:space="preserve"> PAGEREF _Toc13954 \h </w:instrText>
      </w:r>
      <w:r>
        <w:rPr>
          <w:b w:val="0"/>
          <w:bCs w:val="0"/>
        </w:rPr>
        <w:fldChar w:fldCharType="separate"/>
      </w:r>
      <w:r>
        <w:rPr>
          <w:b w:val="0"/>
          <w:bCs w:val="0"/>
        </w:rPr>
        <w:t>65</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_Toc13002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第五节  加强品牌质量建设</w:t>
      </w:r>
      <w:r>
        <w:rPr>
          <w:b w:val="0"/>
          <w:bCs w:val="0"/>
        </w:rPr>
        <w:tab/>
      </w:r>
      <w:r>
        <w:rPr>
          <w:b w:val="0"/>
          <w:bCs w:val="0"/>
        </w:rPr>
        <w:fldChar w:fldCharType="begin"/>
      </w:r>
      <w:r>
        <w:rPr>
          <w:b w:val="0"/>
          <w:bCs w:val="0"/>
        </w:rPr>
        <w:instrText xml:space="preserve"> PAGEREF _Toc13002 \h </w:instrText>
      </w:r>
      <w:r>
        <w:rPr>
          <w:b w:val="0"/>
          <w:bCs w:val="0"/>
        </w:rPr>
        <w:fldChar w:fldCharType="separate"/>
      </w:r>
      <w:r>
        <w:rPr>
          <w:b w:val="0"/>
          <w:bCs w:val="0"/>
        </w:rPr>
        <w:t>68</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_Toc10567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第六节  完善农牧业科技支撑体系</w:t>
      </w:r>
      <w:r>
        <w:rPr>
          <w:b w:val="0"/>
          <w:bCs w:val="0"/>
        </w:rPr>
        <w:tab/>
      </w:r>
      <w:r>
        <w:rPr>
          <w:b w:val="0"/>
          <w:bCs w:val="0"/>
        </w:rPr>
        <w:fldChar w:fldCharType="begin"/>
      </w:r>
      <w:r>
        <w:rPr>
          <w:b w:val="0"/>
          <w:bCs w:val="0"/>
        </w:rPr>
        <w:instrText xml:space="preserve"> PAGEREF _Toc10567 \h </w:instrText>
      </w:r>
      <w:r>
        <w:rPr>
          <w:b w:val="0"/>
          <w:bCs w:val="0"/>
        </w:rPr>
        <w:fldChar w:fldCharType="separate"/>
      </w:r>
      <w:r>
        <w:rPr>
          <w:b w:val="0"/>
          <w:bCs w:val="0"/>
        </w:rPr>
        <w:t>70</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_Toc6085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第七章  优化文化旅游发展格局，建设“川甘青结合部文旅融合发展示范县”</w:t>
      </w:r>
      <w:r>
        <w:tab/>
      </w:r>
      <w:r>
        <w:fldChar w:fldCharType="begin"/>
      </w:r>
      <w:r>
        <w:instrText xml:space="preserve"> PAGEREF _Toc6085 \h </w:instrText>
      </w:r>
      <w:r>
        <w:fldChar w:fldCharType="separate"/>
      </w:r>
      <w:r>
        <w:t>73</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_Toc23201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优化文化旅游发展格局</w:t>
      </w:r>
      <w:r>
        <w:rPr>
          <w:b w:val="0"/>
          <w:bCs w:val="0"/>
        </w:rPr>
        <w:tab/>
      </w:r>
      <w:r>
        <w:rPr>
          <w:b w:val="0"/>
          <w:bCs w:val="0"/>
        </w:rPr>
        <w:fldChar w:fldCharType="begin"/>
      </w:r>
      <w:r>
        <w:rPr>
          <w:b w:val="0"/>
          <w:bCs w:val="0"/>
        </w:rPr>
        <w:instrText xml:space="preserve"> PAGEREF _Toc23201 \h </w:instrText>
      </w:r>
      <w:r>
        <w:rPr>
          <w:b w:val="0"/>
          <w:bCs w:val="0"/>
        </w:rPr>
        <w:fldChar w:fldCharType="separate"/>
      </w:r>
      <w:r>
        <w:rPr>
          <w:b w:val="0"/>
          <w:bCs w:val="0"/>
        </w:rPr>
        <w:t>73</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_Toc6778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夯实文化旅游发展基础</w:t>
      </w:r>
      <w:r>
        <w:rPr>
          <w:b w:val="0"/>
          <w:bCs w:val="0"/>
        </w:rPr>
        <w:tab/>
      </w:r>
      <w:r>
        <w:rPr>
          <w:b w:val="0"/>
          <w:bCs w:val="0"/>
        </w:rPr>
        <w:fldChar w:fldCharType="begin"/>
      </w:r>
      <w:r>
        <w:rPr>
          <w:b w:val="0"/>
          <w:bCs w:val="0"/>
        </w:rPr>
        <w:instrText xml:space="preserve"> PAGEREF _Toc6778 \h </w:instrText>
      </w:r>
      <w:r>
        <w:rPr>
          <w:b w:val="0"/>
          <w:bCs w:val="0"/>
        </w:rPr>
        <w:fldChar w:fldCharType="separate"/>
      </w:r>
      <w:r>
        <w:rPr>
          <w:b w:val="0"/>
          <w:bCs w:val="0"/>
        </w:rPr>
        <w:t>76</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_Toc26452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创建多层次文旅品牌体系</w:t>
      </w:r>
      <w:r>
        <w:rPr>
          <w:b w:val="0"/>
          <w:bCs w:val="0"/>
        </w:rPr>
        <w:tab/>
      </w:r>
      <w:r>
        <w:rPr>
          <w:b w:val="0"/>
          <w:bCs w:val="0"/>
        </w:rPr>
        <w:fldChar w:fldCharType="begin"/>
      </w:r>
      <w:r>
        <w:rPr>
          <w:b w:val="0"/>
          <w:bCs w:val="0"/>
        </w:rPr>
        <w:instrText xml:space="preserve"> PAGEREF _Toc26452 \h </w:instrText>
      </w:r>
      <w:r>
        <w:rPr>
          <w:b w:val="0"/>
          <w:bCs w:val="0"/>
        </w:rPr>
        <w:fldChar w:fldCharType="separate"/>
      </w:r>
      <w:r>
        <w:rPr>
          <w:b w:val="0"/>
          <w:bCs w:val="0"/>
        </w:rPr>
        <w:t>78</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_Toc10881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第四节  推动“旅游+”多业态发展</w:t>
      </w:r>
      <w:r>
        <w:rPr>
          <w:b w:val="0"/>
          <w:bCs w:val="0"/>
        </w:rPr>
        <w:tab/>
      </w:r>
      <w:r>
        <w:rPr>
          <w:b w:val="0"/>
          <w:bCs w:val="0"/>
        </w:rPr>
        <w:fldChar w:fldCharType="begin"/>
      </w:r>
      <w:r>
        <w:rPr>
          <w:b w:val="0"/>
          <w:bCs w:val="0"/>
        </w:rPr>
        <w:instrText xml:space="preserve"> PAGEREF _Toc10881 \h </w:instrText>
      </w:r>
      <w:r>
        <w:rPr>
          <w:b w:val="0"/>
          <w:bCs w:val="0"/>
        </w:rPr>
        <w:fldChar w:fldCharType="separate"/>
      </w:r>
      <w:r>
        <w:rPr>
          <w:b w:val="0"/>
          <w:bCs w:val="0"/>
        </w:rPr>
        <w:t>79</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_Toc14075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第五节  塑造文化旅游特色形象</w:t>
      </w:r>
      <w:r>
        <w:rPr>
          <w:b w:val="0"/>
          <w:bCs w:val="0"/>
        </w:rPr>
        <w:tab/>
      </w:r>
      <w:r>
        <w:rPr>
          <w:b w:val="0"/>
          <w:bCs w:val="0"/>
        </w:rPr>
        <w:fldChar w:fldCharType="begin"/>
      </w:r>
      <w:r>
        <w:rPr>
          <w:b w:val="0"/>
          <w:bCs w:val="0"/>
        </w:rPr>
        <w:instrText xml:space="preserve"> PAGEREF _Toc14075 \h </w:instrText>
      </w:r>
      <w:r>
        <w:rPr>
          <w:b w:val="0"/>
          <w:bCs w:val="0"/>
        </w:rPr>
        <w:fldChar w:fldCharType="separate"/>
      </w:r>
      <w:r>
        <w:rPr>
          <w:b w:val="0"/>
          <w:bCs w:val="0"/>
        </w:rPr>
        <w:t>83</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_Toc22017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第八章  利用特色优势资源，加快建设“3+N”生态工业体系</w:t>
      </w:r>
      <w:r>
        <w:tab/>
      </w:r>
      <w:r>
        <w:fldChar w:fldCharType="begin"/>
      </w:r>
      <w:r>
        <w:instrText xml:space="preserve"> PAGEREF _Toc22017 \h </w:instrText>
      </w:r>
      <w:r>
        <w:fldChar w:fldCharType="separate"/>
      </w:r>
      <w:r>
        <w:t>85</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_Toc6212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加快发展绿色加工业</w:t>
      </w:r>
      <w:r>
        <w:rPr>
          <w:b w:val="0"/>
          <w:bCs w:val="0"/>
        </w:rPr>
        <w:tab/>
      </w:r>
      <w:r>
        <w:rPr>
          <w:b w:val="0"/>
          <w:bCs w:val="0"/>
        </w:rPr>
        <w:fldChar w:fldCharType="begin"/>
      </w:r>
      <w:r>
        <w:rPr>
          <w:b w:val="0"/>
          <w:bCs w:val="0"/>
        </w:rPr>
        <w:instrText xml:space="preserve"> PAGEREF _Toc6212 \h </w:instrText>
      </w:r>
      <w:r>
        <w:rPr>
          <w:b w:val="0"/>
          <w:bCs w:val="0"/>
        </w:rPr>
        <w:fldChar w:fldCharType="separate"/>
      </w:r>
      <w:r>
        <w:rPr>
          <w:b w:val="0"/>
          <w:bCs w:val="0"/>
        </w:rPr>
        <w:t>85</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_Toc28008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有序发展清洁能源业</w:t>
      </w:r>
      <w:r>
        <w:rPr>
          <w:b w:val="0"/>
          <w:bCs w:val="0"/>
        </w:rPr>
        <w:tab/>
      </w:r>
      <w:r>
        <w:rPr>
          <w:b w:val="0"/>
          <w:bCs w:val="0"/>
        </w:rPr>
        <w:fldChar w:fldCharType="begin"/>
      </w:r>
      <w:r>
        <w:rPr>
          <w:b w:val="0"/>
          <w:bCs w:val="0"/>
        </w:rPr>
        <w:instrText xml:space="preserve"> PAGEREF _Toc28008 \h </w:instrText>
      </w:r>
      <w:r>
        <w:rPr>
          <w:b w:val="0"/>
          <w:bCs w:val="0"/>
        </w:rPr>
        <w:fldChar w:fldCharType="separate"/>
      </w:r>
      <w:r>
        <w:rPr>
          <w:b w:val="0"/>
          <w:bCs w:val="0"/>
        </w:rPr>
        <w:t>88</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_Toc27745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繁荣发展民族工艺</w:t>
      </w:r>
      <w:r>
        <w:rPr>
          <w:b w:val="0"/>
          <w:bCs w:val="0"/>
        </w:rPr>
        <w:tab/>
      </w:r>
      <w:r>
        <w:rPr>
          <w:b w:val="0"/>
          <w:bCs w:val="0"/>
        </w:rPr>
        <w:fldChar w:fldCharType="begin"/>
      </w:r>
      <w:r>
        <w:rPr>
          <w:b w:val="0"/>
          <w:bCs w:val="0"/>
        </w:rPr>
        <w:instrText xml:space="preserve"> PAGEREF _Toc27745 \h </w:instrText>
      </w:r>
      <w:r>
        <w:rPr>
          <w:b w:val="0"/>
          <w:bCs w:val="0"/>
        </w:rPr>
        <w:fldChar w:fldCharType="separate"/>
      </w:r>
      <w:r>
        <w:rPr>
          <w:b w:val="0"/>
          <w:bCs w:val="0"/>
        </w:rPr>
        <w:t>90</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_Toc15804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第四节  积极发展新兴经济</w:t>
      </w:r>
      <w:r>
        <w:rPr>
          <w:b w:val="0"/>
          <w:bCs w:val="0"/>
        </w:rPr>
        <w:tab/>
      </w:r>
      <w:r>
        <w:rPr>
          <w:b w:val="0"/>
          <w:bCs w:val="0"/>
        </w:rPr>
        <w:fldChar w:fldCharType="begin"/>
      </w:r>
      <w:r>
        <w:rPr>
          <w:b w:val="0"/>
          <w:bCs w:val="0"/>
        </w:rPr>
        <w:instrText xml:space="preserve"> PAGEREF _Toc15804 \h </w:instrText>
      </w:r>
      <w:r>
        <w:rPr>
          <w:b w:val="0"/>
          <w:bCs w:val="0"/>
        </w:rPr>
        <w:fldChar w:fldCharType="separate"/>
      </w:r>
      <w:r>
        <w:rPr>
          <w:b w:val="0"/>
          <w:bCs w:val="0"/>
        </w:rPr>
        <w:t>95</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_Toc17034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第九章  加快发展现代服务业，构建“3+N”现代服务业体系</w:t>
      </w:r>
      <w:r>
        <w:tab/>
      </w:r>
      <w:r>
        <w:fldChar w:fldCharType="begin"/>
      </w:r>
      <w:r>
        <w:instrText xml:space="preserve"> PAGEREF _Toc17034 \h </w:instrText>
      </w:r>
      <w:r>
        <w:fldChar w:fldCharType="separate"/>
      </w:r>
      <w:r>
        <w:t>96</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_Toc24174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积极发展现代物流业</w:t>
      </w:r>
      <w:r>
        <w:rPr>
          <w:b w:val="0"/>
          <w:bCs w:val="0"/>
        </w:rPr>
        <w:tab/>
      </w:r>
      <w:r>
        <w:rPr>
          <w:b w:val="0"/>
          <w:bCs w:val="0"/>
        </w:rPr>
        <w:fldChar w:fldCharType="begin"/>
      </w:r>
      <w:r>
        <w:rPr>
          <w:b w:val="0"/>
          <w:bCs w:val="0"/>
        </w:rPr>
        <w:instrText xml:space="preserve"> PAGEREF _Toc24174 \h </w:instrText>
      </w:r>
      <w:r>
        <w:rPr>
          <w:b w:val="0"/>
          <w:bCs w:val="0"/>
        </w:rPr>
        <w:fldChar w:fldCharType="separate"/>
      </w:r>
      <w:r>
        <w:rPr>
          <w:b w:val="0"/>
          <w:bCs w:val="0"/>
        </w:rPr>
        <w:t>96</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_Toc3335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加快发展电子商务业</w:t>
      </w:r>
      <w:r>
        <w:rPr>
          <w:b w:val="0"/>
          <w:bCs w:val="0"/>
        </w:rPr>
        <w:tab/>
      </w:r>
      <w:r>
        <w:rPr>
          <w:b w:val="0"/>
          <w:bCs w:val="0"/>
        </w:rPr>
        <w:fldChar w:fldCharType="begin"/>
      </w:r>
      <w:r>
        <w:rPr>
          <w:b w:val="0"/>
          <w:bCs w:val="0"/>
        </w:rPr>
        <w:instrText xml:space="preserve"> PAGEREF _Toc3335 \h </w:instrText>
      </w:r>
      <w:r>
        <w:rPr>
          <w:b w:val="0"/>
          <w:bCs w:val="0"/>
        </w:rPr>
        <w:fldChar w:fldCharType="separate"/>
      </w:r>
      <w:r>
        <w:rPr>
          <w:b w:val="0"/>
          <w:bCs w:val="0"/>
        </w:rPr>
        <w:t>97</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_Toc14046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繁荣发展商贸流通业</w:t>
      </w:r>
      <w:r>
        <w:rPr>
          <w:b w:val="0"/>
          <w:bCs w:val="0"/>
        </w:rPr>
        <w:tab/>
      </w:r>
      <w:r>
        <w:rPr>
          <w:b w:val="0"/>
          <w:bCs w:val="0"/>
        </w:rPr>
        <w:fldChar w:fldCharType="begin"/>
      </w:r>
      <w:r>
        <w:rPr>
          <w:b w:val="0"/>
          <w:bCs w:val="0"/>
        </w:rPr>
        <w:instrText xml:space="preserve"> PAGEREF _Toc14046 \h </w:instrText>
      </w:r>
      <w:r>
        <w:rPr>
          <w:b w:val="0"/>
          <w:bCs w:val="0"/>
        </w:rPr>
        <w:fldChar w:fldCharType="separate"/>
      </w:r>
      <w:r>
        <w:rPr>
          <w:b w:val="0"/>
          <w:bCs w:val="0"/>
        </w:rPr>
        <w:t>97</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_Toc8993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第四节  重视发展其他服务业</w:t>
      </w:r>
      <w:r>
        <w:rPr>
          <w:b w:val="0"/>
          <w:bCs w:val="0"/>
        </w:rPr>
        <w:tab/>
      </w:r>
      <w:r>
        <w:rPr>
          <w:b w:val="0"/>
          <w:bCs w:val="0"/>
        </w:rPr>
        <w:fldChar w:fldCharType="begin"/>
      </w:r>
      <w:r>
        <w:rPr>
          <w:b w:val="0"/>
          <w:bCs w:val="0"/>
        </w:rPr>
        <w:instrText xml:space="preserve"> PAGEREF _Toc8993 \h </w:instrText>
      </w:r>
      <w:r>
        <w:rPr>
          <w:b w:val="0"/>
          <w:bCs w:val="0"/>
        </w:rPr>
        <w:fldChar w:fldCharType="separate"/>
      </w:r>
      <w:r>
        <w:rPr>
          <w:b w:val="0"/>
          <w:bCs w:val="0"/>
        </w:rPr>
        <w:t>98</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_Toc16628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第十章  统筹推进城镇化和乡村振兴</w:t>
      </w:r>
      <w:r>
        <w:rPr>
          <w:rFonts w:hint="eastAsia" w:ascii="Times New Roman" w:hAnsi="Times New Roman" w:eastAsia="方正小标宋_GBK" w:cs="Times New Roman"/>
          <w:szCs w:val="44"/>
          <w:lang w:eastAsia="zh-CN"/>
        </w:rPr>
        <w:t>，</w:t>
      </w:r>
      <w:r>
        <w:rPr>
          <w:rFonts w:ascii="Times New Roman" w:hAnsi="Times New Roman" w:eastAsia="方正小标宋_GBK" w:cs="Times New Roman"/>
          <w:szCs w:val="44"/>
        </w:rPr>
        <w:t>构建城乡融合发展新格局</w:t>
      </w:r>
      <w:r>
        <w:tab/>
      </w:r>
      <w:r>
        <w:fldChar w:fldCharType="begin"/>
      </w:r>
      <w:r>
        <w:instrText xml:space="preserve"> PAGEREF _Toc16628 \h </w:instrText>
      </w:r>
      <w:r>
        <w:fldChar w:fldCharType="separate"/>
      </w:r>
      <w:r>
        <w:t>100</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_Toc8156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w:t>
      </w:r>
      <w:r>
        <w:rPr>
          <w:rFonts w:hint="eastAsia" w:ascii="Times New Roman" w:hAnsi="Times New Roman" w:eastAsia="宋体" w:cs="Times New Roman"/>
          <w:b w:val="0"/>
          <w:bCs w:val="0"/>
          <w:szCs w:val="36"/>
        </w:rPr>
        <w:t>一</w:t>
      </w:r>
      <w:r>
        <w:rPr>
          <w:rFonts w:ascii="Times New Roman" w:hAnsi="Times New Roman" w:eastAsia="宋体" w:cs="Times New Roman"/>
          <w:b w:val="0"/>
          <w:bCs w:val="0"/>
          <w:szCs w:val="36"/>
        </w:rPr>
        <w:t>节  持续巩固脱贫攻坚成果</w:t>
      </w:r>
      <w:r>
        <w:rPr>
          <w:b w:val="0"/>
          <w:bCs w:val="0"/>
        </w:rPr>
        <w:tab/>
      </w:r>
      <w:r>
        <w:rPr>
          <w:b w:val="0"/>
          <w:bCs w:val="0"/>
        </w:rPr>
        <w:fldChar w:fldCharType="begin"/>
      </w:r>
      <w:r>
        <w:rPr>
          <w:b w:val="0"/>
          <w:bCs w:val="0"/>
        </w:rPr>
        <w:instrText xml:space="preserve"> PAGEREF _Toc8156 \h </w:instrText>
      </w:r>
      <w:r>
        <w:rPr>
          <w:b w:val="0"/>
          <w:bCs w:val="0"/>
        </w:rPr>
        <w:fldChar w:fldCharType="separate"/>
      </w:r>
      <w:r>
        <w:rPr>
          <w:b w:val="0"/>
          <w:bCs w:val="0"/>
        </w:rPr>
        <w:t>100</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_Toc31088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大力实施乡村振兴战略</w:t>
      </w:r>
      <w:r>
        <w:rPr>
          <w:b w:val="0"/>
          <w:bCs w:val="0"/>
        </w:rPr>
        <w:tab/>
      </w:r>
      <w:r>
        <w:rPr>
          <w:b w:val="0"/>
          <w:bCs w:val="0"/>
        </w:rPr>
        <w:fldChar w:fldCharType="begin"/>
      </w:r>
      <w:r>
        <w:rPr>
          <w:b w:val="0"/>
          <w:bCs w:val="0"/>
        </w:rPr>
        <w:instrText xml:space="preserve"> PAGEREF _Toc31088 \h </w:instrText>
      </w:r>
      <w:r>
        <w:rPr>
          <w:b w:val="0"/>
          <w:bCs w:val="0"/>
        </w:rPr>
        <w:fldChar w:fldCharType="separate"/>
      </w:r>
      <w:r>
        <w:rPr>
          <w:b w:val="0"/>
          <w:bCs w:val="0"/>
        </w:rPr>
        <w:t>102</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_Toc27516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w:t>
      </w:r>
      <w:r>
        <w:rPr>
          <w:rFonts w:hint="eastAsia" w:ascii="Times New Roman" w:hAnsi="Times New Roman" w:eastAsia="宋体" w:cs="Times New Roman"/>
          <w:b w:val="0"/>
          <w:bCs w:val="0"/>
          <w:szCs w:val="36"/>
        </w:rPr>
        <w:t>三</w:t>
      </w:r>
      <w:r>
        <w:rPr>
          <w:rFonts w:ascii="Times New Roman" w:hAnsi="Times New Roman" w:eastAsia="宋体" w:cs="Times New Roman"/>
          <w:b w:val="0"/>
          <w:bCs w:val="0"/>
          <w:szCs w:val="36"/>
        </w:rPr>
        <w:t>节  加强高原特色城镇化建设</w:t>
      </w:r>
      <w:r>
        <w:rPr>
          <w:b w:val="0"/>
          <w:bCs w:val="0"/>
        </w:rPr>
        <w:tab/>
      </w:r>
      <w:r>
        <w:rPr>
          <w:b w:val="0"/>
          <w:bCs w:val="0"/>
        </w:rPr>
        <w:fldChar w:fldCharType="begin"/>
      </w:r>
      <w:r>
        <w:rPr>
          <w:b w:val="0"/>
          <w:bCs w:val="0"/>
        </w:rPr>
        <w:instrText xml:space="preserve"> PAGEREF _Toc27516 \h </w:instrText>
      </w:r>
      <w:r>
        <w:rPr>
          <w:b w:val="0"/>
          <w:bCs w:val="0"/>
        </w:rPr>
        <w:fldChar w:fldCharType="separate"/>
      </w:r>
      <w:r>
        <w:rPr>
          <w:b w:val="0"/>
          <w:bCs w:val="0"/>
        </w:rPr>
        <w:t>105</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_Toc13291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w:t>
      </w:r>
      <w:r>
        <w:rPr>
          <w:rFonts w:hint="eastAsia" w:ascii="Times New Roman" w:hAnsi="Times New Roman" w:eastAsia="宋体" w:cs="Times New Roman"/>
          <w:b w:val="0"/>
          <w:bCs w:val="0"/>
          <w:szCs w:val="36"/>
        </w:rPr>
        <w:t>四</w:t>
      </w:r>
      <w:r>
        <w:rPr>
          <w:rFonts w:ascii="Times New Roman" w:hAnsi="Times New Roman" w:eastAsia="宋体" w:cs="Times New Roman"/>
          <w:b w:val="0"/>
          <w:bCs w:val="0"/>
          <w:szCs w:val="36"/>
        </w:rPr>
        <w:t>节  大力推进城乡融合发展</w:t>
      </w:r>
      <w:r>
        <w:rPr>
          <w:b w:val="0"/>
          <w:bCs w:val="0"/>
        </w:rPr>
        <w:tab/>
      </w:r>
      <w:r>
        <w:rPr>
          <w:b w:val="0"/>
          <w:bCs w:val="0"/>
        </w:rPr>
        <w:fldChar w:fldCharType="begin"/>
      </w:r>
      <w:r>
        <w:rPr>
          <w:b w:val="0"/>
          <w:bCs w:val="0"/>
        </w:rPr>
        <w:instrText xml:space="preserve"> PAGEREF _Toc13291 \h </w:instrText>
      </w:r>
      <w:r>
        <w:rPr>
          <w:b w:val="0"/>
          <w:bCs w:val="0"/>
        </w:rPr>
        <w:fldChar w:fldCharType="separate"/>
      </w:r>
      <w:r>
        <w:rPr>
          <w:b w:val="0"/>
          <w:bCs w:val="0"/>
        </w:rPr>
        <w:t>111</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_Toc28183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第十一章  推进基本公共服务均等化，全方位推进“幸福壤塘”建设</w:t>
      </w:r>
      <w:r>
        <w:tab/>
      </w:r>
      <w:r>
        <w:fldChar w:fldCharType="begin"/>
      </w:r>
      <w:r>
        <w:instrText xml:space="preserve"> PAGEREF _Toc28183 \h </w:instrText>
      </w:r>
      <w:r>
        <w:fldChar w:fldCharType="separate"/>
      </w:r>
      <w:r>
        <w:t>115</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_Toc30615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实施积极就业创业政策</w:t>
      </w:r>
      <w:r>
        <w:rPr>
          <w:b w:val="0"/>
          <w:bCs w:val="0"/>
        </w:rPr>
        <w:tab/>
      </w:r>
      <w:r>
        <w:rPr>
          <w:b w:val="0"/>
          <w:bCs w:val="0"/>
        </w:rPr>
        <w:fldChar w:fldCharType="begin"/>
      </w:r>
      <w:r>
        <w:rPr>
          <w:b w:val="0"/>
          <w:bCs w:val="0"/>
        </w:rPr>
        <w:instrText xml:space="preserve"> PAGEREF _Toc30615 \h </w:instrText>
      </w:r>
      <w:r>
        <w:rPr>
          <w:b w:val="0"/>
          <w:bCs w:val="0"/>
        </w:rPr>
        <w:fldChar w:fldCharType="separate"/>
      </w:r>
      <w:r>
        <w:rPr>
          <w:b w:val="0"/>
          <w:bCs w:val="0"/>
        </w:rPr>
        <w:t>115</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_Toc7103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实施教育优先发展战略</w:t>
      </w:r>
      <w:r>
        <w:rPr>
          <w:b w:val="0"/>
          <w:bCs w:val="0"/>
        </w:rPr>
        <w:tab/>
      </w:r>
      <w:r>
        <w:rPr>
          <w:b w:val="0"/>
          <w:bCs w:val="0"/>
        </w:rPr>
        <w:fldChar w:fldCharType="begin"/>
      </w:r>
      <w:r>
        <w:rPr>
          <w:b w:val="0"/>
          <w:bCs w:val="0"/>
        </w:rPr>
        <w:instrText xml:space="preserve"> PAGEREF _Toc7103 \h </w:instrText>
      </w:r>
      <w:r>
        <w:rPr>
          <w:b w:val="0"/>
          <w:bCs w:val="0"/>
        </w:rPr>
        <w:fldChar w:fldCharType="separate"/>
      </w:r>
      <w:r>
        <w:rPr>
          <w:b w:val="0"/>
          <w:bCs w:val="0"/>
        </w:rPr>
        <w:t>117</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_Toc29501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重视发展卫生健康事业</w:t>
      </w:r>
      <w:r>
        <w:rPr>
          <w:b w:val="0"/>
          <w:bCs w:val="0"/>
        </w:rPr>
        <w:tab/>
      </w:r>
      <w:r>
        <w:rPr>
          <w:b w:val="0"/>
          <w:bCs w:val="0"/>
        </w:rPr>
        <w:fldChar w:fldCharType="begin"/>
      </w:r>
      <w:r>
        <w:rPr>
          <w:b w:val="0"/>
          <w:bCs w:val="0"/>
        </w:rPr>
        <w:instrText xml:space="preserve"> PAGEREF _Toc29501 \h </w:instrText>
      </w:r>
      <w:r>
        <w:rPr>
          <w:b w:val="0"/>
          <w:bCs w:val="0"/>
        </w:rPr>
        <w:fldChar w:fldCharType="separate"/>
      </w:r>
      <w:r>
        <w:rPr>
          <w:b w:val="0"/>
          <w:bCs w:val="0"/>
        </w:rPr>
        <w:t>121</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_Toc20242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第四节  全面提高社会保障水平</w:t>
      </w:r>
      <w:r>
        <w:rPr>
          <w:b w:val="0"/>
          <w:bCs w:val="0"/>
        </w:rPr>
        <w:tab/>
      </w:r>
      <w:r>
        <w:rPr>
          <w:b w:val="0"/>
          <w:bCs w:val="0"/>
        </w:rPr>
        <w:fldChar w:fldCharType="begin"/>
      </w:r>
      <w:r>
        <w:rPr>
          <w:b w:val="0"/>
          <w:bCs w:val="0"/>
        </w:rPr>
        <w:instrText xml:space="preserve"> PAGEREF _Toc20242 \h </w:instrText>
      </w:r>
      <w:r>
        <w:rPr>
          <w:b w:val="0"/>
          <w:bCs w:val="0"/>
        </w:rPr>
        <w:fldChar w:fldCharType="separate"/>
      </w:r>
      <w:r>
        <w:rPr>
          <w:b w:val="0"/>
          <w:bCs w:val="0"/>
        </w:rPr>
        <w:t>124</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_Toc18966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第五节  完善公共文化服务体系</w:t>
      </w:r>
      <w:r>
        <w:rPr>
          <w:b w:val="0"/>
          <w:bCs w:val="0"/>
        </w:rPr>
        <w:tab/>
      </w:r>
      <w:r>
        <w:rPr>
          <w:b w:val="0"/>
          <w:bCs w:val="0"/>
        </w:rPr>
        <w:fldChar w:fldCharType="begin"/>
      </w:r>
      <w:r>
        <w:rPr>
          <w:b w:val="0"/>
          <w:bCs w:val="0"/>
        </w:rPr>
        <w:instrText xml:space="preserve"> PAGEREF _Toc18966 \h </w:instrText>
      </w:r>
      <w:r>
        <w:rPr>
          <w:b w:val="0"/>
          <w:bCs w:val="0"/>
        </w:rPr>
        <w:fldChar w:fldCharType="separate"/>
      </w:r>
      <w:r>
        <w:rPr>
          <w:b w:val="0"/>
          <w:bCs w:val="0"/>
        </w:rPr>
        <w:t>128</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_Toc19759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第十二章  推动治理体系和治理能力现代化，建设“川甘青结合部基层社会治理示范县”</w:t>
      </w:r>
      <w:r>
        <w:tab/>
      </w:r>
      <w:r>
        <w:fldChar w:fldCharType="begin"/>
      </w:r>
      <w:r>
        <w:instrText xml:space="preserve"> PAGEREF _Toc19759 \h </w:instrText>
      </w:r>
      <w:r>
        <w:fldChar w:fldCharType="separate"/>
      </w:r>
      <w:r>
        <w:t>131</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_Toc18536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加强基层政权建设</w:t>
      </w:r>
      <w:r>
        <w:rPr>
          <w:b w:val="0"/>
          <w:bCs w:val="0"/>
        </w:rPr>
        <w:tab/>
      </w:r>
      <w:r>
        <w:rPr>
          <w:b w:val="0"/>
          <w:bCs w:val="0"/>
        </w:rPr>
        <w:fldChar w:fldCharType="begin"/>
      </w:r>
      <w:r>
        <w:rPr>
          <w:b w:val="0"/>
          <w:bCs w:val="0"/>
        </w:rPr>
        <w:instrText xml:space="preserve"> PAGEREF _Toc18536 \h </w:instrText>
      </w:r>
      <w:r>
        <w:rPr>
          <w:b w:val="0"/>
          <w:bCs w:val="0"/>
        </w:rPr>
        <w:fldChar w:fldCharType="separate"/>
      </w:r>
      <w:r>
        <w:rPr>
          <w:b w:val="0"/>
          <w:bCs w:val="0"/>
        </w:rPr>
        <w:t>131</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_Toc26204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加强“法治壤塘”建设</w:t>
      </w:r>
      <w:r>
        <w:rPr>
          <w:b w:val="0"/>
          <w:bCs w:val="0"/>
        </w:rPr>
        <w:tab/>
      </w:r>
      <w:r>
        <w:rPr>
          <w:b w:val="0"/>
          <w:bCs w:val="0"/>
        </w:rPr>
        <w:fldChar w:fldCharType="begin"/>
      </w:r>
      <w:r>
        <w:rPr>
          <w:b w:val="0"/>
          <w:bCs w:val="0"/>
        </w:rPr>
        <w:instrText xml:space="preserve"> PAGEREF _Toc26204 \h </w:instrText>
      </w:r>
      <w:r>
        <w:rPr>
          <w:b w:val="0"/>
          <w:bCs w:val="0"/>
        </w:rPr>
        <w:fldChar w:fldCharType="separate"/>
      </w:r>
      <w:r>
        <w:rPr>
          <w:b w:val="0"/>
          <w:bCs w:val="0"/>
        </w:rPr>
        <w:t>134</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_Toc17939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健全公共安全体系</w:t>
      </w:r>
      <w:r>
        <w:rPr>
          <w:b w:val="0"/>
          <w:bCs w:val="0"/>
        </w:rPr>
        <w:tab/>
      </w:r>
      <w:r>
        <w:rPr>
          <w:b w:val="0"/>
          <w:bCs w:val="0"/>
        </w:rPr>
        <w:fldChar w:fldCharType="begin"/>
      </w:r>
      <w:r>
        <w:rPr>
          <w:b w:val="0"/>
          <w:bCs w:val="0"/>
        </w:rPr>
        <w:instrText xml:space="preserve"> PAGEREF _Toc17939 \h </w:instrText>
      </w:r>
      <w:r>
        <w:rPr>
          <w:b w:val="0"/>
          <w:bCs w:val="0"/>
        </w:rPr>
        <w:fldChar w:fldCharType="separate"/>
      </w:r>
      <w:r>
        <w:rPr>
          <w:b w:val="0"/>
          <w:bCs w:val="0"/>
        </w:rPr>
        <w:t>137</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_Toc231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 xml:space="preserve">第四节  </w:t>
      </w:r>
      <w:r>
        <w:rPr>
          <w:rFonts w:hint="eastAsia" w:ascii="Times New Roman" w:hAnsi="Times New Roman" w:eastAsia="宋体" w:cs="Times New Roman"/>
          <w:b w:val="0"/>
          <w:bCs w:val="0"/>
          <w:szCs w:val="36"/>
        </w:rPr>
        <w:t>依法加强宗教事务管理</w:t>
      </w:r>
      <w:r>
        <w:rPr>
          <w:b w:val="0"/>
          <w:bCs w:val="0"/>
        </w:rPr>
        <w:tab/>
      </w:r>
      <w:r>
        <w:rPr>
          <w:b w:val="0"/>
          <w:bCs w:val="0"/>
        </w:rPr>
        <w:fldChar w:fldCharType="begin"/>
      </w:r>
      <w:r>
        <w:rPr>
          <w:b w:val="0"/>
          <w:bCs w:val="0"/>
        </w:rPr>
        <w:instrText xml:space="preserve"> PAGEREF _Toc231 \h </w:instrText>
      </w:r>
      <w:r>
        <w:rPr>
          <w:b w:val="0"/>
          <w:bCs w:val="0"/>
        </w:rPr>
        <w:fldChar w:fldCharType="separate"/>
      </w:r>
      <w:r>
        <w:rPr>
          <w:b w:val="0"/>
          <w:bCs w:val="0"/>
        </w:rPr>
        <w:t>139</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_Toc28268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第五节  加强应急管理能力建设</w:t>
      </w:r>
      <w:r>
        <w:rPr>
          <w:b w:val="0"/>
          <w:bCs w:val="0"/>
        </w:rPr>
        <w:tab/>
      </w:r>
      <w:r>
        <w:rPr>
          <w:b w:val="0"/>
          <w:bCs w:val="0"/>
        </w:rPr>
        <w:fldChar w:fldCharType="begin"/>
      </w:r>
      <w:r>
        <w:rPr>
          <w:b w:val="0"/>
          <w:bCs w:val="0"/>
        </w:rPr>
        <w:instrText xml:space="preserve"> PAGEREF _Toc28268 \h </w:instrText>
      </w:r>
      <w:r>
        <w:rPr>
          <w:b w:val="0"/>
          <w:bCs w:val="0"/>
        </w:rPr>
        <w:fldChar w:fldCharType="separate"/>
      </w:r>
      <w:r>
        <w:rPr>
          <w:b w:val="0"/>
          <w:bCs w:val="0"/>
        </w:rPr>
        <w:t>141</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_Toc2058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第十三章  深化开放合作与改革创新，加快推进“开放壤塘”建设</w:t>
      </w:r>
      <w:r>
        <w:tab/>
      </w:r>
      <w:r>
        <w:fldChar w:fldCharType="begin"/>
      </w:r>
      <w:r>
        <w:instrText xml:space="preserve"> PAGEREF _Toc2058 \h </w:instrText>
      </w:r>
      <w:r>
        <w:fldChar w:fldCharType="separate"/>
      </w:r>
      <w:r>
        <w:t>145</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_Toc8222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加强对外开放和区域合作</w:t>
      </w:r>
      <w:r>
        <w:rPr>
          <w:b w:val="0"/>
          <w:bCs w:val="0"/>
        </w:rPr>
        <w:tab/>
      </w:r>
      <w:r>
        <w:rPr>
          <w:b w:val="0"/>
          <w:bCs w:val="0"/>
        </w:rPr>
        <w:fldChar w:fldCharType="begin"/>
      </w:r>
      <w:r>
        <w:rPr>
          <w:b w:val="0"/>
          <w:bCs w:val="0"/>
        </w:rPr>
        <w:instrText xml:space="preserve"> PAGEREF _Toc8222 \h </w:instrText>
      </w:r>
      <w:r>
        <w:rPr>
          <w:b w:val="0"/>
          <w:bCs w:val="0"/>
        </w:rPr>
        <w:fldChar w:fldCharType="separate"/>
      </w:r>
      <w:r>
        <w:rPr>
          <w:b w:val="0"/>
          <w:bCs w:val="0"/>
        </w:rPr>
        <w:t>145</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_Toc18126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纵深推进重点领域改革</w:t>
      </w:r>
      <w:r>
        <w:rPr>
          <w:b w:val="0"/>
          <w:bCs w:val="0"/>
        </w:rPr>
        <w:tab/>
      </w:r>
      <w:r>
        <w:rPr>
          <w:b w:val="0"/>
          <w:bCs w:val="0"/>
        </w:rPr>
        <w:fldChar w:fldCharType="begin"/>
      </w:r>
      <w:r>
        <w:rPr>
          <w:b w:val="0"/>
          <w:bCs w:val="0"/>
        </w:rPr>
        <w:instrText xml:space="preserve"> PAGEREF _Toc18126 \h </w:instrText>
      </w:r>
      <w:r>
        <w:rPr>
          <w:b w:val="0"/>
          <w:bCs w:val="0"/>
        </w:rPr>
        <w:fldChar w:fldCharType="separate"/>
      </w:r>
      <w:r>
        <w:rPr>
          <w:b w:val="0"/>
          <w:bCs w:val="0"/>
        </w:rPr>
        <w:t>147</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_Toc27880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第十四章  强化规划领导落实衔接，确保规划纲要顺利实施</w:t>
      </w:r>
      <w:r>
        <w:tab/>
      </w:r>
      <w:r>
        <w:fldChar w:fldCharType="begin"/>
      </w:r>
      <w:r>
        <w:instrText xml:space="preserve"> PAGEREF _Toc27880 \h </w:instrText>
      </w:r>
      <w:r>
        <w:fldChar w:fldCharType="separate"/>
      </w:r>
      <w:r>
        <w:t>149</w:t>
      </w:r>
      <w:r>
        <w:fldChar w:fldCharType="end"/>
      </w:r>
      <w:r>
        <w:rPr>
          <w:rFonts w:ascii="Times New Roman" w:hAnsi="Times New Roman" w:eastAsia="方正小标宋_GBK" w:cs="Times New Roman"/>
          <w:bCs/>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_Toc14157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第一节  健全制度保障</w:t>
      </w:r>
      <w:r>
        <w:rPr>
          <w:b w:val="0"/>
          <w:bCs w:val="0"/>
        </w:rPr>
        <w:tab/>
      </w:r>
      <w:r>
        <w:rPr>
          <w:b w:val="0"/>
          <w:bCs w:val="0"/>
        </w:rPr>
        <w:fldChar w:fldCharType="begin"/>
      </w:r>
      <w:r>
        <w:rPr>
          <w:b w:val="0"/>
          <w:bCs w:val="0"/>
        </w:rPr>
        <w:instrText xml:space="preserve"> PAGEREF _Toc14157 \h </w:instrText>
      </w:r>
      <w:r>
        <w:rPr>
          <w:b w:val="0"/>
          <w:bCs w:val="0"/>
        </w:rPr>
        <w:fldChar w:fldCharType="separate"/>
      </w:r>
      <w:r>
        <w:rPr>
          <w:b w:val="0"/>
          <w:bCs w:val="0"/>
        </w:rPr>
        <w:t>150</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_Toc16495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第二节  加强政策引导</w:t>
      </w:r>
      <w:r>
        <w:rPr>
          <w:b w:val="0"/>
          <w:bCs w:val="0"/>
        </w:rPr>
        <w:tab/>
      </w:r>
      <w:r>
        <w:rPr>
          <w:b w:val="0"/>
          <w:bCs w:val="0"/>
        </w:rPr>
        <w:fldChar w:fldCharType="begin"/>
      </w:r>
      <w:r>
        <w:rPr>
          <w:b w:val="0"/>
          <w:bCs w:val="0"/>
        </w:rPr>
        <w:instrText xml:space="preserve"> PAGEREF _Toc16495 \h </w:instrText>
      </w:r>
      <w:r>
        <w:rPr>
          <w:b w:val="0"/>
          <w:bCs w:val="0"/>
        </w:rPr>
        <w:fldChar w:fldCharType="separate"/>
      </w:r>
      <w:r>
        <w:rPr>
          <w:b w:val="0"/>
          <w:bCs w:val="0"/>
        </w:rPr>
        <w:t>150</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_Toc20677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第三节  狠抓项目带动</w:t>
      </w:r>
      <w:r>
        <w:rPr>
          <w:b w:val="0"/>
          <w:bCs w:val="0"/>
        </w:rPr>
        <w:tab/>
      </w:r>
      <w:r>
        <w:rPr>
          <w:b w:val="0"/>
          <w:bCs w:val="0"/>
        </w:rPr>
        <w:fldChar w:fldCharType="begin"/>
      </w:r>
      <w:r>
        <w:rPr>
          <w:b w:val="0"/>
          <w:bCs w:val="0"/>
        </w:rPr>
        <w:instrText xml:space="preserve"> PAGEREF _Toc20677 \h </w:instrText>
      </w:r>
      <w:r>
        <w:rPr>
          <w:b w:val="0"/>
          <w:bCs w:val="0"/>
        </w:rPr>
        <w:fldChar w:fldCharType="separate"/>
      </w:r>
      <w:r>
        <w:rPr>
          <w:b w:val="0"/>
          <w:bCs w:val="0"/>
        </w:rPr>
        <w:t>151</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_Toc11904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第四节  强化人才支撑</w:t>
      </w:r>
      <w:r>
        <w:rPr>
          <w:b w:val="0"/>
          <w:bCs w:val="0"/>
        </w:rPr>
        <w:tab/>
      </w:r>
      <w:r>
        <w:rPr>
          <w:b w:val="0"/>
          <w:bCs w:val="0"/>
        </w:rPr>
        <w:fldChar w:fldCharType="begin"/>
      </w:r>
      <w:r>
        <w:rPr>
          <w:b w:val="0"/>
          <w:bCs w:val="0"/>
        </w:rPr>
        <w:instrText xml:space="preserve"> PAGEREF _Toc11904 \h </w:instrText>
      </w:r>
      <w:r>
        <w:rPr>
          <w:b w:val="0"/>
          <w:bCs w:val="0"/>
        </w:rPr>
        <w:fldChar w:fldCharType="separate"/>
      </w:r>
      <w:r>
        <w:rPr>
          <w:b w:val="0"/>
          <w:bCs w:val="0"/>
        </w:rPr>
        <w:t>151</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rPr>
          <w:b w:val="0"/>
          <w:bCs w:val="0"/>
        </w:rPr>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_Toc29514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第五节  营造暖心环境</w:t>
      </w:r>
      <w:r>
        <w:rPr>
          <w:b w:val="0"/>
          <w:bCs w:val="0"/>
        </w:rPr>
        <w:tab/>
      </w:r>
      <w:r>
        <w:rPr>
          <w:b w:val="0"/>
          <w:bCs w:val="0"/>
        </w:rPr>
        <w:fldChar w:fldCharType="begin"/>
      </w:r>
      <w:r>
        <w:rPr>
          <w:b w:val="0"/>
          <w:bCs w:val="0"/>
        </w:rPr>
        <w:instrText xml:space="preserve"> PAGEREF _Toc29514 \h </w:instrText>
      </w:r>
      <w:r>
        <w:rPr>
          <w:b w:val="0"/>
          <w:bCs w:val="0"/>
        </w:rPr>
        <w:fldChar w:fldCharType="separate"/>
      </w:r>
      <w:r>
        <w:rPr>
          <w:b w:val="0"/>
          <w:bCs w:val="0"/>
        </w:rPr>
        <w:t>152</w:t>
      </w:r>
      <w:r>
        <w:rPr>
          <w:b w:val="0"/>
          <w:bCs w:val="0"/>
        </w:rPr>
        <w:fldChar w:fldCharType="end"/>
      </w:r>
      <w:r>
        <w:rPr>
          <w:rFonts w:ascii="Times New Roman" w:hAnsi="Times New Roman" w:eastAsia="方正小标宋_GBK" w:cs="Times New Roman"/>
          <w:b w:val="0"/>
          <w:bCs w:val="0"/>
          <w:szCs w:val="30"/>
        </w:rPr>
        <w:fldChar w:fldCharType="end"/>
      </w:r>
    </w:p>
    <w:p>
      <w:pPr>
        <w:pStyle w:val="10"/>
        <w:tabs>
          <w:tab w:val="right" w:leader="dot" w:pos="8845"/>
          <w:tab w:val="clear" w:pos="8835"/>
        </w:tabs>
      </w:pPr>
      <w:r>
        <w:rPr>
          <w:rFonts w:ascii="Times New Roman" w:hAnsi="Times New Roman" w:eastAsia="方正小标宋_GBK" w:cs="Times New Roman"/>
          <w:b w:val="0"/>
          <w:bCs w:val="0"/>
          <w:szCs w:val="30"/>
        </w:rPr>
        <w:fldChar w:fldCharType="begin"/>
      </w:r>
      <w:r>
        <w:rPr>
          <w:rFonts w:ascii="Times New Roman" w:hAnsi="Times New Roman" w:eastAsia="方正小标宋_GBK" w:cs="Times New Roman"/>
          <w:b w:val="0"/>
          <w:bCs w:val="0"/>
          <w:szCs w:val="30"/>
        </w:rPr>
        <w:instrText xml:space="preserve"> HYPERLINK \l _Toc11375 </w:instrText>
      </w:r>
      <w:r>
        <w:rPr>
          <w:rFonts w:ascii="Times New Roman" w:hAnsi="Times New Roman" w:eastAsia="方正小标宋_GBK" w:cs="Times New Roman"/>
          <w:b w:val="0"/>
          <w:bCs w:val="0"/>
          <w:szCs w:val="30"/>
        </w:rPr>
        <w:fldChar w:fldCharType="separate"/>
      </w:r>
      <w:r>
        <w:rPr>
          <w:rFonts w:ascii="Times New Roman" w:hAnsi="Times New Roman" w:eastAsia="宋体" w:cs="Times New Roman"/>
          <w:b w:val="0"/>
          <w:bCs w:val="0"/>
          <w:szCs w:val="36"/>
        </w:rPr>
        <w:t>第六节  注重规划衔接</w:t>
      </w:r>
      <w:r>
        <w:rPr>
          <w:b w:val="0"/>
          <w:bCs w:val="0"/>
        </w:rPr>
        <w:tab/>
      </w:r>
      <w:r>
        <w:rPr>
          <w:b w:val="0"/>
          <w:bCs w:val="0"/>
        </w:rPr>
        <w:fldChar w:fldCharType="begin"/>
      </w:r>
      <w:r>
        <w:rPr>
          <w:b w:val="0"/>
          <w:bCs w:val="0"/>
        </w:rPr>
        <w:instrText xml:space="preserve"> PAGEREF _Toc11375 \h </w:instrText>
      </w:r>
      <w:r>
        <w:rPr>
          <w:b w:val="0"/>
          <w:bCs w:val="0"/>
        </w:rPr>
        <w:fldChar w:fldCharType="separate"/>
      </w:r>
      <w:r>
        <w:rPr>
          <w:b w:val="0"/>
          <w:bCs w:val="0"/>
        </w:rPr>
        <w:t>153</w:t>
      </w:r>
      <w:r>
        <w:rPr>
          <w:b w:val="0"/>
          <w:bCs w:val="0"/>
        </w:rPr>
        <w:fldChar w:fldCharType="end"/>
      </w:r>
      <w:r>
        <w:rPr>
          <w:rFonts w:ascii="Times New Roman" w:hAnsi="Times New Roman" w:eastAsia="方正小标宋_GBK" w:cs="Times New Roman"/>
          <w:b w:val="0"/>
          <w:bCs w:val="0"/>
          <w:szCs w:val="30"/>
        </w:rPr>
        <w:fldChar w:fldCharType="end"/>
      </w:r>
    </w:p>
    <w:p>
      <w:pPr>
        <w:pStyle w:val="9"/>
        <w:tabs>
          <w:tab w:val="right" w:leader="dot" w:pos="8845"/>
          <w:tab w:val="clear" w:pos="8835"/>
        </w:tabs>
      </w:pPr>
      <w:r>
        <w:rPr>
          <w:rFonts w:ascii="Times New Roman" w:hAnsi="Times New Roman" w:eastAsia="方正小标宋_GBK" w:cs="Times New Roman"/>
          <w:bCs/>
          <w:szCs w:val="30"/>
        </w:rPr>
        <w:fldChar w:fldCharType="begin"/>
      </w:r>
      <w:r>
        <w:rPr>
          <w:rFonts w:ascii="Times New Roman" w:hAnsi="Times New Roman" w:eastAsia="方正小标宋_GBK" w:cs="Times New Roman"/>
          <w:bCs/>
          <w:szCs w:val="30"/>
        </w:rPr>
        <w:instrText xml:space="preserve"> HYPERLINK \l _Toc17957 </w:instrText>
      </w:r>
      <w:r>
        <w:rPr>
          <w:rFonts w:ascii="Times New Roman" w:hAnsi="Times New Roman" w:eastAsia="方正小标宋_GBK" w:cs="Times New Roman"/>
          <w:bCs/>
          <w:szCs w:val="30"/>
        </w:rPr>
        <w:fldChar w:fldCharType="separate"/>
      </w:r>
      <w:r>
        <w:rPr>
          <w:rFonts w:ascii="Times New Roman" w:hAnsi="Times New Roman" w:eastAsia="方正小标宋_GBK" w:cs="Times New Roman"/>
          <w:szCs w:val="44"/>
        </w:rPr>
        <w:t>名</w:t>
      </w:r>
      <w:r>
        <w:rPr>
          <w:rFonts w:hint="eastAsia" w:ascii="Times New Roman" w:hAnsi="Times New Roman" w:eastAsia="方正小标宋_GBK" w:cs="Times New Roman"/>
          <w:szCs w:val="44"/>
        </w:rPr>
        <w:t xml:space="preserve"> </w:t>
      </w:r>
      <w:r>
        <w:rPr>
          <w:rFonts w:ascii="Times New Roman" w:hAnsi="Times New Roman" w:eastAsia="方正小标宋_GBK" w:cs="Times New Roman"/>
          <w:szCs w:val="44"/>
        </w:rPr>
        <w:t>词</w:t>
      </w:r>
      <w:r>
        <w:rPr>
          <w:rFonts w:hint="eastAsia" w:ascii="Times New Roman" w:hAnsi="Times New Roman" w:eastAsia="方正小标宋_GBK" w:cs="Times New Roman"/>
          <w:szCs w:val="44"/>
        </w:rPr>
        <w:t xml:space="preserve"> </w:t>
      </w:r>
      <w:r>
        <w:rPr>
          <w:rFonts w:ascii="Times New Roman" w:hAnsi="Times New Roman" w:eastAsia="方正小标宋_GBK" w:cs="Times New Roman"/>
          <w:szCs w:val="44"/>
        </w:rPr>
        <w:t>解</w:t>
      </w:r>
      <w:r>
        <w:rPr>
          <w:rFonts w:hint="eastAsia" w:ascii="Times New Roman" w:hAnsi="Times New Roman" w:eastAsia="方正小标宋_GBK" w:cs="Times New Roman"/>
          <w:szCs w:val="44"/>
        </w:rPr>
        <w:t xml:space="preserve"> </w:t>
      </w:r>
      <w:r>
        <w:rPr>
          <w:rFonts w:ascii="Times New Roman" w:hAnsi="Times New Roman" w:eastAsia="方正小标宋_GBK" w:cs="Times New Roman"/>
          <w:szCs w:val="44"/>
        </w:rPr>
        <w:t>释</w:t>
      </w:r>
      <w:r>
        <w:tab/>
      </w:r>
      <w:r>
        <w:fldChar w:fldCharType="begin"/>
      </w:r>
      <w:r>
        <w:instrText xml:space="preserve"> PAGEREF _Toc17957 \h </w:instrText>
      </w:r>
      <w:r>
        <w:fldChar w:fldCharType="separate"/>
      </w:r>
      <w:r>
        <w:t>154</w:t>
      </w:r>
      <w:r>
        <w:fldChar w:fldCharType="end"/>
      </w:r>
      <w:r>
        <w:rPr>
          <w:rFonts w:ascii="Times New Roman" w:hAnsi="Times New Roman" w:eastAsia="方正小标宋_GBK" w:cs="Times New Roman"/>
          <w:bCs/>
          <w:szCs w:val="30"/>
        </w:rPr>
        <w:fldChar w:fldCharType="end"/>
      </w:r>
    </w:p>
    <w:p>
      <w:pPr>
        <w:adjustRightInd w:val="0"/>
        <w:snapToGrid w:val="0"/>
        <w:spacing w:line="560" w:lineRule="atLeast"/>
        <w:jc w:val="left"/>
        <w:rPr>
          <w:rFonts w:ascii="Times New Roman" w:hAnsi="Times New Roman" w:eastAsia="方正小标宋_GBK" w:cs="Times New Roman"/>
          <w:b/>
          <w:bCs/>
          <w:sz w:val="30"/>
          <w:szCs w:val="30"/>
        </w:rPr>
        <w:sectPr>
          <w:footerReference r:id="rId3" w:type="default"/>
          <w:pgSz w:w="11906" w:h="16838"/>
          <w:pgMar w:top="2098" w:right="1474" w:bottom="1984" w:left="1587" w:header="851" w:footer="992" w:gutter="0"/>
          <w:pgNumType w:start="0"/>
          <w:cols w:space="425" w:num="1"/>
          <w:docGrid w:type="lines" w:linePitch="312" w:charSpace="0"/>
        </w:sectPr>
      </w:pPr>
      <w:r>
        <w:rPr>
          <w:rFonts w:ascii="Times New Roman" w:hAnsi="Times New Roman" w:eastAsia="方正小标宋_GBK" w:cs="Times New Roman"/>
          <w:bCs/>
          <w:szCs w:val="30"/>
        </w:rPr>
        <w:fldChar w:fldCharType="end"/>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b/>
          <w:bCs/>
          <w:w w:val="110"/>
          <w:sz w:val="30"/>
          <w:szCs w:val="30"/>
          <w:lang w:val="en-US" w:eastAsia="zh-CN"/>
        </w:rPr>
      </w:pPr>
      <w:bookmarkStart w:id="0" w:name="_Toc20554"/>
      <w:r>
        <w:rPr>
          <w:rFonts w:hint="eastAsia" w:ascii="楷体_GB2312" w:hAnsi="楷体_GB2312" w:eastAsia="楷体_GB2312" w:cs="楷体_GB2312"/>
          <w:b/>
          <w:bCs/>
          <w:w w:val="110"/>
          <w:sz w:val="30"/>
          <w:szCs w:val="30"/>
          <w:lang w:val="en-US" w:eastAsia="zh-CN"/>
        </w:rPr>
        <w:t>壤塘县十四届人大</w:t>
      </w:r>
    </w:p>
    <w:p>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楷体_GB2312" w:hAnsi="楷体_GB2312" w:eastAsia="楷体_GB2312" w:cs="楷体_GB2312"/>
          <w:b/>
          <w:bCs/>
          <w:w w:val="90"/>
          <w:sz w:val="30"/>
          <w:szCs w:val="30"/>
          <w:lang w:val="en-US" w:eastAsia="zh-CN"/>
        </w:rPr>
      </w:pPr>
      <w:r>
        <w:rPr>
          <w:rFonts w:hint="eastAsia" w:ascii="楷体_GB2312" w:hAnsi="楷体_GB2312" w:eastAsia="楷体_GB2312" w:cs="楷体_GB2312"/>
          <w:b/>
          <w:bCs/>
          <w:w w:val="90"/>
          <w:sz w:val="30"/>
          <w:szCs w:val="30"/>
          <w:lang w:val="en-US" w:eastAsia="zh-CN"/>
        </w:rPr>
        <w:t>五次会议文件（三十五）</w:t>
      </w:r>
    </w:p>
    <w:p>
      <w:pPr>
        <w:pStyle w:val="4"/>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楷体_GB2312" w:hAnsi="楷体_GB2312" w:eastAsia="楷体_GB2312" w:cs="楷体_GB2312"/>
          <w:b/>
          <w:bCs/>
          <w:sz w:val="30"/>
          <w:szCs w:val="30"/>
          <w:lang w:val="en-US" w:eastAsia="zh-CN"/>
        </w:rPr>
      </w:pPr>
    </w:p>
    <w:p>
      <w:pPr>
        <w:spacing w:line="700" w:lineRule="exact"/>
        <w:jc w:val="center"/>
        <w:outlineLvl w:val="0"/>
        <w:rPr>
          <w:rFonts w:hint="eastAsia" w:ascii="Times New Roman" w:hAnsi="Times New Roman" w:eastAsia="方正小标宋_GBK" w:cs="Times New Roman"/>
          <w:sz w:val="44"/>
          <w:szCs w:val="44"/>
          <w:lang w:val="en-US" w:eastAsia="zh-CN"/>
        </w:rPr>
      </w:pPr>
      <w:bookmarkStart w:id="1" w:name="_Toc19823"/>
      <w:r>
        <w:rPr>
          <w:rFonts w:hint="eastAsia" w:ascii="Times New Roman" w:hAnsi="Times New Roman" w:eastAsia="方正小标宋_GBK" w:cs="Times New Roman"/>
          <w:sz w:val="44"/>
          <w:szCs w:val="44"/>
          <w:lang w:val="en-US" w:eastAsia="zh-CN"/>
        </w:rPr>
        <w:t>壤塘县第十四届人民代表大会第五次会议</w:t>
      </w:r>
    </w:p>
    <w:p>
      <w:pPr>
        <w:spacing w:line="700" w:lineRule="exact"/>
        <w:jc w:val="center"/>
        <w:outlineLvl w:val="0"/>
        <w:rPr>
          <w:rFonts w:hint="default" w:ascii="Times New Roman" w:hAnsi="Times New Roman" w:eastAsia="方正小标宋_GBK" w:cs="Times New Roman"/>
          <w:sz w:val="44"/>
          <w:szCs w:val="44"/>
          <w:lang w:val="en-US" w:eastAsia="zh-CN"/>
        </w:rPr>
      </w:pPr>
      <w:r>
        <w:rPr>
          <w:rFonts w:hint="eastAsia" w:ascii="Times New Roman" w:hAnsi="Times New Roman" w:eastAsia="方正小标宋_GBK" w:cs="Times New Roman"/>
          <w:sz w:val="44"/>
          <w:szCs w:val="44"/>
          <w:lang w:val="en-US" w:eastAsia="zh-CN"/>
        </w:rPr>
        <w:t>关于壤塘县国民经济和社会发展第十四个五年规划和二〇三五年远景目标纲要的决议</w:t>
      </w:r>
      <w:bookmarkEnd w:id="1"/>
    </w:p>
    <w:p>
      <w:pPr>
        <w:pStyle w:val="23"/>
        <w:keepNext w:val="0"/>
        <w:keepLines w:val="0"/>
        <w:pageBreakBefore w:val="0"/>
        <w:widowControl/>
        <w:kinsoku/>
        <w:wordWrap/>
        <w:overflowPunct/>
        <w:topLinePunct w:val="0"/>
        <w:autoSpaceDE/>
        <w:autoSpaceDN/>
        <w:bidi w:val="0"/>
        <w:adjustRightInd/>
        <w:snapToGrid/>
        <w:spacing w:beforeAutospacing="0" w:afterAutospacing="0" w:line="400" w:lineRule="exact"/>
        <w:ind w:left="0"/>
        <w:jc w:val="center"/>
        <w:textAlignment w:val="bottom"/>
        <w:rPr>
          <w:rFonts w:hint="eastAsia" w:ascii="楷体_GB2312" w:hAnsi="仿宋_GB2312" w:eastAsia="楷体_GB2312"/>
          <w:b/>
          <w:w w:val="78"/>
          <w:sz w:val="32"/>
          <w:szCs w:val="32"/>
        </w:rPr>
      </w:pPr>
    </w:p>
    <w:p>
      <w:pPr>
        <w:pStyle w:val="23"/>
        <w:keepNext w:val="0"/>
        <w:keepLines w:val="0"/>
        <w:pageBreakBefore w:val="0"/>
        <w:widowControl/>
        <w:kinsoku/>
        <w:wordWrap/>
        <w:overflowPunct/>
        <w:topLinePunct w:val="0"/>
        <w:autoSpaceDE/>
        <w:autoSpaceDN/>
        <w:bidi w:val="0"/>
        <w:adjustRightInd/>
        <w:snapToGrid/>
        <w:spacing w:beforeAutospacing="0" w:afterAutospacing="0" w:line="400" w:lineRule="exact"/>
        <w:ind w:left="0"/>
        <w:jc w:val="center"/>
        <w:textAlignment w:val="bottom"/>
        <w:rPr>
          <w:rFonts w:hint="default" w:ascii="Times New Roman" w:hAnsi="Times New Roman" w:eastAsia="楷体_GB2312" w:cs="Times New Roman"/>
          <w:b/>
          <w:bCs w:val="0"/>
          <w:color w:val="000000"/>
          <w:w w:val="75"/>
          <w:sz w:val="32"/>
          <w:szCs w:val="32"/>
          <w:lang w:val="en-US"/>
        </w:rPr>
      </w:pPr>
      <w:r>
        <w:rPr>
          <w:rFonts w:hint="eastAsia" w:ascii="楷体_GB2312" w:hAnsi="仿宋_GB2312" w:eastAsia="楷体_GB2312"/>
          <w:b/>
          <w:w w:val="78"/>
          <w:sz w:val="32"/>
          <w:szCs w:val="32"/>
        </w:rPr>
        <w:t>20</w:t>
      </w:r>
      <w:r>
        <w:rPr>
          <w:rFonts w:ascii="楷体_GB2312" w:hAnsi="仿宋_GB2312" w:eastAsia="楷体_GB2312"/>
          <w:b/>
          <w:w w:val="78"/>
          <w:sz w:val="32"/>
          <w:szCs w:val="32"/>
        </w:rPr>
        <w:t>21</w:t>
      </w:r>
      <w:r>
        <w:rPr>
          <w:rFonts w:hint="eastAsia" w:ascii="楷体_GB2312" w:hAnsi="仿宋_GB2312" w:eastAsia="楷体_GB2312"/>
          <w:b/>
          <w:w w:val="78"/>
          <w:sz w:val="32"/>
          <w:szCs w:val="32"/>
        </w:rPr>
        <w:t>年</w:t>
      </w:r>
      <w:r>
        <w:rPr>
          <w:rFonts w:hint="eastAsia" w:ascii="楷体_GB2312" w:hAnsi="仿宋_GB2312" w:eastAsia="楷体_GB2312"/>
          <w:b/>
          <w:w w:val="78"/>
          <w:sz w:val="32"/>
          <w:szCs w:val="32"/>
          <w:lang w:val="en-US" w:eastAsia="zh-CN"/>
        </w:rPr>
        <w:t>3</w:t>
      </w:r>
      <w:r>
        <w:rPr>
          <w:rFonts w:hint="eastAsia" w:ascii="楷体_GB2312" w:hAnsi="仿宋_GB2312" w:eastAsia="楷体_GB2312"/>
          <w:b/>
          <w:w w:val="78"/>
          <w:sz w:val="32"/>
          <w:szCs w:val="32"/>
        </w:rPr>
        <w:t>月</w:t>
      </w:r>
      <w:r>
        <w:rPr>
          <w:rFonts w:hint="eastAsia" w:ascii="楷体_GB2312" w:hAnsi="仿宋_GB2312" w:eastAsia="楷体_GB2312"/>
          <w:b/>
          <w:color w:val="auto"/>
          <w:w w:val="78"/>
          <w:sz w:val="32"/>
          <w:szCs w:val="32"/>
          <w:lang w:val="en-US" w:eastAsia="zh-CN"/>
        </w:rPr>
        <w:t>31</w:t>
      </w:r>
      <w:r>
        <w:rPr>
          <w:rFonts w:hint="eastAsia" w:ascii="楷体_GB2312" w:hAnsi="仿宋_GB2312" w:eastAsia="楷体_GB2312"/>
          <w:b/>
          <w:w w:val="78"/>
          <w:sz w:val="32"/>
          <w:szCs w:val="32"/>
        </w:rPr>
        <w:t>日壤塘县第十四届人民代表大会第五次会议第</w:t>
      </w:r>
      <w:r>
        <w:rPr>
          <w:rFonts w:hint="eastAsia" w:ascii="楷体_GB2312" w:hAnsi="仿宋_GB2312" w:eastAsia="楷体_GB2312"/>
          <w:b/>
          <w:w w:val="78"/>
          <w:sz w:val="32"/>
          <w:szCs w:val="32"/>
          <w:lang w:eastAsia="zh-CN"/>
        </w:rPr>
        <w:t>三</w:t>
      </w:r>
      <w:r>
        <w:rPr>
          <w:rFonts w:hint="eastAsia" w:ascii="楷体_GB2312" w:hAnsi="仿宋_GB2312" w:eastAsia="楷体_GB2312"/>
          <w:b/>
          <w:w w:val="78"/>
          <w:sz w:val="32"/>
          <w:szCs w:val="32"/>
        </w:rPr>
        <w:t>次</w:t>
      </w:r>
      <w:r>
        <w:rPr>
          <w:rFonts w:hint="eastAsia" w:ascii="楷体_GB2312" w:hAnsi="仿宋_GB2312" w:eastAsia="楷体_GB2312"/>
          <w:b/>
          <w:w w:val="78"/>
          <w:sz w:val="32"/>
          <w:szCs w:val="32"/>
          <w:lang w:eastAsia="zh-CN"/>
        </w:rPr>
        <w:t>全体</w:t>
      </w:r>
      <w:r>
        <w:rPr>
          <w:rFonts w:hint="eastAsia" w:ascii="楷体_GB2312" w:hAnsi="仿宋_GB2312" w:eastAsia="楷体_GB2312"/>
          <w:b/>
          <w:w w:val="78"/>
          <w:sz w:val="32"/>
          <w:szCs w:val="32"/>
        </w:rPr>
        <w:t>会议通过</w:t>
      </w:r>
    </w:p>
    <w:p>
      <w:pPr>
        <w:pStyle w:val="4"/>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imes New Roman" w:hAnsi="Times New Roman" w:eastAsia="楷体_GB2312" w:cs="Times New Roman"/>
          <w:b/>
          <w:bCs/>
          <w:kern w:val="2"/>
          <w:sz w:val="32"/>
          <w:szCs w:val="32"/>
          <w:lang w:val="en-US" w:eastAsia="zh-CN" w:bidi="ar-SA"/>
        </w:rPr>
      </w:pPr>
    </w:p>
    <w:p>
      <w:pPr>
        <w:pStyle w:val="4"/>
        <w:keepNext w:val="0"/>
        <w:keepLines w:val="0"/>
        <w:pageBreakBefore w:val="0"/>
        <w:widowControl w:val="0"/>
        <w:kinsoku/>
        <w:wordWrap/>
        <w:overflowPunct/>
        <w:topLinePunct w:val="0"/>
        <w:autoSpaceDE/>
        <w:autoSpaceDN/>
        <w:bidi w:val="0"/>
        <w:adjustRightInd/>
        <w:snapToGrid/>
        <w:spacing w:line="480" w:lineRule="exact"/>
        <w:ind w:firstLine="640"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仿宋_GB2312" w:cs="Times New Roman"/>
          <w:b w:val="0"/>
          <w:bCs w:val="0"/>
          <w:kern w:val="2"/>
          <w:sz w:val="32"/>
          <w:szCs w:val="32"/>
          <w:lang w:val="en-US" w:eastAsia="zh-CN" w:bidi="ar-SA"/>
        </w:rPr>
        <w:t>壤塘县第十四届人民代表大会第五次会议，听取了县人民政府常务副县长唐志强所做的《壤塘县国民经济和社会发展第十四个五年规划和二〇三五年远景目标纲要（草案）》</w:t>
      </w:r>
      <w:r>
        <w:rPr>
          <w:rFonts w:hint="default" w:ascii="Times New Roman" w:hAnsi="Times New Roman" w:eastAsia="仿宋_GB2312" w:cs="Times New Roman"/>
          <w:kern w:val="2"/>
          <w:szCs w:val="32"/>
          <w:lang w:bidi="ar-SA"/>
        </w:rPr>
        <w:t>（以下简称《纲要草案》）</w:t>
      </w:r>
      <w:r>
        <w:rPr>
          <w:rFonts w:hint="default" w:ascii="Times New Roman" w:hAnsi="Times New Roman" w:eastAsia="仿宋_GB2312" w:cs="Times New Roman"/>
          <w:b w:val="0"/>
          <w:bCs w:val="0"/>
          <w:kern w:val="2"/>
          <w:sz w:val="32"/>
          <w:szCs w:val="32"/>
          <w:lang w:val="en-US" w:eastAsia="zh-CN" w:bidi="ar-SA"/>
        </w:rPr>
        <w:t>起草说明，审查了县人民政府提交的</w:t>
      </w:r>
      <w:r>
        <w:rPr>
          <w:rFonts w:hint="default" w:ascii="Times New Roman" w:hAnsi="Times New Roman" w:eastAsia="仿宋_GB2312" w:cs="Times New Roman"/>
          <w:kern w:val="2"/>
          <w:szCs w:val="32"/>
          <w:lang w:bidi="ar-SA"/>
        </w:rPr>
        <w:t>《纲要草案》</w:t>
      </w:r>
      <w:r>
        <w:rPr>
          <w:rFonts w:hint="default" w:ascii="Times New Roman" w:hAnsi="Times New Roman" w:eastAsia="仿宋_GB2312" w:cs="Times New Roman"/>
          <w:b w:val="0"/>
          <w:bCs w:val="0"/>
          <w:kern w:val="2"/>
          <w:sz w:val="32"/>
          <w:szCs w:val="32"/>
          <w:lang w:val="en-US" w:eastAsia="zh-CN" w:bidi="ar-SA"/>
        </w:rPr>
        <w:t>，会议同意县第十四届人民代表大会财政预算审查委员会的审查结果报告，决定批准该规划纲要。</w:t>
      </w:r>
      <w:bookmarkStart w:id="303" w:name="_GoBack"/>
      <w:bookmarkEnd w:id="303"/>
    </w:p>
    <w:p>
      <w:pPr>
        <w:pStyle w:val="4"/>
        <w:keepNext w:val="0"/>
        <w:keepLines w:val="0"/>
        <w:pageBreakBefore w:val="0"/>
        <w:widowControl w:val="0"/>
        <w:kinsoku/>
        <w:wordWrap/>
        <w:overflowPunct/>
        <w:topLinePunct w:val="0"/>
        <w:autoSpaceDE/>
        <w:autoSpaceDN/>
        <w:bidi w:val="0"/>
        <w:adjustRightInd/>
        <w:snapToGrid/>
        <w:spacing w:line="480" w:lineRule="exact"/>
        <w:ind w:firstLine="643" w:firstLineChars="200"/>
        <w:jc w:val="both"/>
        <w:textAlignment w:val="auto"/>
        <w:rPr>
          <w:rFonts w:hint="default" w:ascii="Times New Roman" w:hAnsi="Times New Roman" w:eastAsia="仿宋_GB2312" w:cs="Times New Roman"/>
          <w:b w:val="0"/>
          <w:bCs w:val="0"/>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会议认为，</w:t>
      </w:r>
      <w:r>
        <w:rPr>
          <w:rFonts w:hint="default" w:ascii="Times New Roman" w:hAnsi="Times New Roman" w:eastAsia="仿宋_GB2312" w:cs="Times New Roman"/>
          <w:b w:val="0"/>
          <w:bCs w:val="0"/>
          <w:kern w:val="2"/>
          <w:sz w:val="32"/>
          <w:szCs w:val="32"/>
          <w:lang w:val="en-US" w:eastAsia="zh-CN" w:bidi="ar-SA"/>
        </w:rPr>
        <w:t>“十四五”时期是新发展阶段的开局、起步期，是实现高质量发展的关键期，谋篇布局“十四五”，事关全面建设社会主义现代化国家的工作大局。</w:t>
      </w:r>
      <w:r>
        <w:rPr>
          <w:rFonts w:hint="default" w:ascii="Times New Roman" w:hAnsi="Times New Roman" w:eastAsia="仿宋_GB2312" w:cs="Times New Roman"/>
          <w:kern w:val="2"/>
          <w:szCs w:val="32"/>
          <w:lang w:bidi="ar-SA"/>
        </w:rPr>
        <w:t>《纲要草案》</w:t>
      </w:r>
      <w:r>
        <w:rPr>
          <w:rFonts w:hint="default" w:ascii="Times New Roman" w:hAnsi="Times New Roman" w:eastAsia="仿宋_GB2312" w:cs="Times New Roman"/>
          <w:b w:val="0"/>
          <w:bCs w:val="0"/>
          <w:kern w:val="2"/>
          <w:sz w:val="32"/>
          <w:szCs w:val="32"/>
          <w:lang w:val="en-US" w:eastAsia="zh-CN" w:bidi="ar-SA"/>
        </w:rPr>
        <w:t>是我县立足新发展阶段，贯彻新发展理念，构建新发展格局，明确阶段性中心任务，结合我县实际做出的具体战略部署。</w:t>
      </w:r>
      <w:r>
        <w:rPr>
          <w:rFonts w:hint="default" w:ascii="Times New Roman" w:hAnsi="Times New Roman" w:eastAsia="仿宋_GB2312" w:cs="Times New Roman"/>
          <w:kern w:val="2"/>
          <w:szCs w:val="32"/>
          <w:lang w:bidi="ar-SA"/>
        </w:rPr>
        <w:t>《纲要草案》</w:t>
      </w:r>
      <w:r>
        <w:rPr>
          <w:rFonts w:hint="default" w:ascii="Times New Roman" w:hAnsi="Times New Roman" w:eastAsia="仿宋_GB2312" w:cs="Times New Roman"/>
          <w:b w:val="0"/>
          <w:bCs w:val="0"/>
          <w:kern w:val="2"/>
          <w:sz w:val="32"/>
          <w:szCs w:val="32"/>
          <w:lang w:val="en-US" w:eastAsia="zh-CN" w:bidi="ar-SA"/>
        </w:rPr>
        <w:t>提出的“十四五”时期经济社会发展的主要目标、重点任务和重大举措，体现了全县各族人民的共同意愿，是引领我县今后五年经济社会发展的行动指南，将不断引领我县经济社会不断向更高阶迈进。</w: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hint="default" w:ascii="Times New Roman" w:hAnsi="Times New Roman" w:eastAsia="仿宋_GB2312" w:cs="Times New Roman"/>
          <w:sz w:val="32"/>
          <w:szCs w:val="32"/>
        </w:rPr>
      </w:pPr>
      <w:r>
        <w:rPr>
          <w:rFonts w:hint="default" w:ascii="Times New Roman" w:hAnsi="Times New Roman" w:eastAsia="楷体_GB2312" w:cs="Times New Roman"/>
          <w:b/>
          <w:bCs/>
          <w:kern w:val="2"/>
          <w:sz w:val="32"/>
          <w:szCs w:val="32"/>
          <w:lang w:val="en-US" w:eastAsia="zh-CN" w:bidi="ar-SA"/>
        </w:rPr>
        <w:t>会议指出，</w:t>
      </w:r>
      <w:r>
        <w:rPr>
          <w:rFonts w:hint="default" w:ascii="Times New Roman" w:hAnsi="Times New Roman" w:eastAsia="仿宋_GB2312" w:cs="Times New Roman"/>
          <w:b w:val="0"/>
          <w:bCs w:val="0"/>
          <w:kern w:val="2"/>
          <w:sz w:val="32"/>
          <w:szCs w:val="32"/>
          <w:lang w:val="en-US" w:eastAsia="zh-CN" w:bidi="ar-SA"/>
        </w:rPr>
        <w:t>“十四五”时期是壤塘县发展的重大历史机遇期，是各种优势和潜力能有效释放的关键期，是破解难题、补齐短板的攻坚期，是推进结构调整、又好又快发展的重要期。“十四五”规划纲要确定的“</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美丽壤塘、文化壤塘、幸福壤塘、开放壤塘、法治壤塘</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基本建成</w:t>
      </w:r>
      <w:r>
        <w:rPr>
          <w:rFonts w:hint="default" w:ascii="Times New Roman" w:hAnsi="Times New Roman" w:eastAsia="仿宋_GB2312" w:cs="Times New Roman"/>
          <w:b/>
          <w:bCs/>
          <w:sz w:val="32"/>
          <w:szCs w:val="32"/>
          <w:highlight w:val="none"/>
        </w:rPr>
        <w:t>，</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b/>
          <w:bCs/>
          <w:sz w:val="32"/>
          <w:szCs w:val="32"/>
        </w:rPr>
        <w:t>国家铸牢中华民族共同体意识示范县</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川甘青结合部河源生态文明示范县</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川甘青结合部文旅融合发展示范县</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和</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川甘青结合部基层社会治理示范县</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初步实现</w:t>
      </w:r>
      <w:r>
        <w:rPr>
          <w:rFonts w:hint="default" w:ascii="Times New Roman" w:hAnsi="Times New Roman" w:eastAsia="仿宋_GB2312" w:cs="Times New Roman"/>
          <w:b/>
          <w:bCs/>
          <w:sz w:val="32"/>
          <w:szCs w:val="32"/>
          <w:highlight w:val="none"/>
        </w:rPr>
        <w:t>，</w:t>
      </w:r>
      <w:r>
        <w:rPr>
          <w:rFonts w:hint="default" w:ascii="Times New Roman" w:hAnsi="Times New Roman" w:eastAsia="仿宋_GB2312" w:cs="Times New Roman"/>
          <w:b/>
          <w:bCs/>
          <w:sz w:val="32"/>
          <w:szCs w:val="32"/>
          <w:highlight w:val="none"/>
          <w:lang w:eastAsia="zh-CN"/>
        </w:rPr>
        <w:t>‘</w:t>
      </w:r>
      <w:r>
        <w:rPr>
          <w:rFonts w:hint="default" w:ascii="Times New Roman" w:hAnsi="Times New Roman" w:eastAsia="仿宋_GB2312" w:cs="Times New Roman"/>
          <w:b/>
          <w:bCs/>
          <w:sz w:val="32"/>
          <w:szCs w:val="32"/>
        </w:rPr>
        <w:t>川甘青结合部区域强县</w:t>
      </w:r>
      <w:r>
        <w:rPr>
          <w:rFonts w:hint="default" w:ascii="Times New Roman" w:hAnsi="Times New Roman" w:eastAsia="仿宋_GB2312" w:cs="Times New Roman"/>
          <w:b/>
          <w:bCs/>
          <w:sz w:val="32"/>
          <w:szCs w:val="32"/>
          <w:lang w:eastAsia="zh-CN"/>
        </w:rPr>
        <w:t>’</w:t>
      </w:r>
      <w:r>
        <w:rPr>
          <w:rFonts w:hint="default" w:ascii="Times New Roman" w:hAnsi="Times New Roman" w:eastAsia="仿宋_GB2312" w:cs="Times New Roman"/>
          <w:b/>
          <w:bCs/>
          <w:sz w:val="32"/>
          <w:szCs w:val="32"/>
        </w:rPr>
        <w:t>建设取得重大突破</w:t>
      </w:r>
      <w:r>
        <w:rPr>
          <w:rFonts w:hint="default" w:ascii="Times New Roman" w:hAnsi="Times New Roman" w:eastAsia="仿宋_GB2312" w:cs="Times New Roman"/>
          <w:b w:val="0"/>
          <w:bCs w:val="0"/>
          <w:kern w:val="2"/>
          <w:sz w:val="32"/>
          <w:szCs w:val="32"/>
          <w:lang w:val="en-US" w:eastAsia="zh-CN" w:bidi="ar-SA"/>
        </w:rPr>
        <w:t>”发展目标，符合</w:t>
      </w:r>
      <w:r>
        <w:rPr>
          <w:rFonts w:hint="default" w:ascii="Times New Roman" w:hAnsi="Times New Roman" w:eastAsia="仿宋_GB2312" w:cs="Times New Roman"/>
          <w:sz w:val="32"/>
          <w:szCs w:val="32"/>
        </w:rPr>
        <w:t>全省、全州的重大战略部署，符合</w:t>
      </w:r>
      <w:r>
        <w:rPr>
          <w:rFonts w:hint="default" w:ascii="Times New Roman" w:hAnsi="Times New Roman" w:eastAsia="仿宋_GB2312" w:cs="Times New Roman"/>
          <w:b w:val="0"/>
          <w:bCs w:val="0"/>
          <w:kern w:val="2"/>
          <w:sz w:val="32"/>
          <w:szCs w:val="32"/>
          <w:lang w:val="en-US" w:eastAsia="zh-CN" w:bidi="ar-SA"/>
        </w:rPr>
        <w:t>壤塘实际和发展</w:t>
      </w:r>
      <w:r>
        <w:rPr>
          <w:rFonts w:hint="default" w:ascii="Times New Roman" w:hAnsi="Times New Roman" w:eastAsia="仿宋_GB2312" w:cs="Times New Roman"/>
          <w:sz w:val="32"/>
          <w:szCs w:val="32"/>
        </w:rPr>
        <w:t>要</w:t>
      </w:r>
      <w:r>
        <w:rPr>
          <w:rFonts w:hint="default" w:ascii="Times New Roman" w:hAnsi="Times New Roman" w:eastAsia="仿宋_GB2312" w:cs="Times New Roman"/>
          <w:b w:val="0"/>
          <w:bCs w:val="0"/>
          <w:kern w:val="2"/>
          <w:sz w:val="32"/>
          <w:szCs w:val="32"/>
          <w:lang w:val="en-US" w:eastAsia="zh-CN" w:bidi="ar-SA"/>
        </w:rPr>
        <w:t>求，</w:t>
      </w:r>
      <w:r>
        <w:rPr>
          <w:rFonts w:hint="default" w:ascii="Times New Roman" w:hAnsi="Times New Roman" w:eastAsia="仿宋_GB2312" w:cs="Times New Roman"/>
          <w:sz w:val="32"/>
          <w:szCs w:val="32"/>
        </w:rPr>
        <w:t>符合全县干部群众的共同期盼。</w:t>
      </w:r>
    </w:p>
    <w:p>
      <w:pPr>
        <w:pStyle w:val="4"/>
        <w:keepNext w:val="0"/>
        <w:keepLines w:val="0"/>
        <w:pageBreakBefore w:val="0"/>
        <w:widowControl w:val="0"/>
        <w:kinsoku/>
        <w:wordWrap/>
        <w:overflowPunct/>
        <w:topLinePunct w:val="0"/>
        <w:autoSpaceDE/>
        <w:autoSpaceDN/>
        <w:bidi w:val="0"/>
        <w:adjustRightInd/>
        <w:snapToGrid/>
        <w:spacing w:line="480" w:lineRule="exact"/>
        <w:ind w:firstLine="643"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楷体_GB2312" w:cs="Times New Roman"/>
          <w:b/>
          <w:bCs/>
          <w:kern w:val="2"/>
          <w:sz w:val="32"/>
          <w:szCs w:val="32"/>
          <w:lang w:val="en-US" w:eastAsia="zh-CN" w:bidi="ar-SA"/>
        </w:rPr>
        <w:t>会议要求，</w:t>
      </w:r>
      <w:r>
        <w:rPr>
          <w:rFonts w:hint="default" w:ascii="Times New Roman" w:hAnsi="Times New Roman" w:eastAsia="仿宋_GB2312" w:cs="Times New Roman"/>
          <w:b w:val="0"/>
          <w:bCs w:val="0"/>
          <w:kern w:val="2"/>
          <w:sz w:val="32"/>
          <w:szCs w:val="32"/>
          <w:lang w:val="en-US" w:eastAsia="zh-CN" w:bidi="ar-SA"/>
        </w:rPr>
        <w:t>贯彻落实“十四五”规划纲要，要高举中国特色社会主义伟大旗帜，以邓小平理论、“三个代表”重要思想、科学发展观、</w:t>
      </w:r>
      <w:r>
        <w:rPr>
          <w:rFonts w:hint="default" w:ascii="Times New Roman" w:hAnsi="Times New Roman" w:eastAsia="仿宋_GB2312" w:cs="Times New Roman"/>
          <w:b w:val="0"/>
          <w:bCs w:val="0"/>
          <w:kern w:val="2"/>
          <w:sz w:val="32"/>
          <w:szCs w:val="32"/>
          <w:highlight w:val="none"/>
          <w:lang w:val="en-US" w:eastAsia="zh-CN" w:bidi="ar-SA"/>
        </w:rPr>
        <w:t>习近平新时代中国特色社会主义思想</w:t>
      </w:r>
      <w:r>
        <w:rPr>
          <w:rFonts w:hint="default" w:ascii="Times New Roman" w:hAnsi="Times New Roman" w:eastAsia="仿宋_GB2312" w:cs="Times New Roman"/>
          <w:b w:val="0"/>
          <w:bCs w:val="0"/>
          <w:kern w:val="2"/>
          <w:sz w:val="32"/>
          <w:szCs w:val="32"/>
          <w:lang w:val="en-US" w:eastAsia="zh-CN" w:bidi="ar-SA"/>
        </w:rPr>
        <w:t>为指导，深入贯彻习近平总书记系列重要讲话精神，按照“五位一体”总体布局和“四个全面”战略布局，牢固树立和贯彻落实创新、协调、绿色、开放、共享的新发展理念，加快形成引领经济发展新常态的体制机制和发展方式。要高举发展、团结、奋斗的工</w:t>
      </w:r>
      <w:r>
        <w:rPr>
          <w:rFonts w:hint="default" w:ascii="Times New Roman" w:hAnsi="Times New Roman" w:eastAsia="仿宋_GB2312" w:cs="Times New Roman"/>
          <w:b w:val="0"/>
          <w:bCs w:val="0"/>
          <w:kern w:val="2"/>
          <w:sz w:val="32"/>
          <w:szCs w:val="32"/>
          <w:highlight w:val="none"/>
          <w:lang w:val="en-US" w:eastAsia="zh-CN" w:bidi="ar-SA"/>
        </w:rPr>
        <w:t>作总</w:t>
      </w:r>
      <w:r>
        <w:rPr>
          <w:rFonts w:hint="default" w:ascii="Times New Roman" w:hAnsi="Times New Roman" w:eastAsia="仿宋_GB2312" w:cs="Times New Roman"/>
          <w:b w:val="0"/>
          <w:bCs w:val="0"/>
          <w:kern w:val="2"/>
          <w:sz w:val="32"/>
          <w:szCs w:val="32"/>
          <w:lang w:val="en-US" w:eastAsia="zh-CN" w:bidi="ar-SA"/>
        </w:rPr>
        <w:t>基调，坚守发展、生态和稳定三条底线，坚持以高质量发展为主线，坚持稳中求进总基调，让“</w:t>
      </w:r>
      <w:r>
        <w:rPr>
          <w:rFonts w:hint="default" w:ascii="Times New Roman" w:hAnsi="Times New Roman" w:eastAsia="仿宋_GB2312" w:cs="Times New Roman"/>
          <w:sz w:val="32"/>
          <w:szCs w:val="32"/>
        </w:rPr>
        <w:t>住在壤塘有安全感、活在壤塘有幸福感、干在壤塘有成就感、说着壤塘有自豪感、走出壤塘有留恋感</w:t>
      </w:r>
      <w:r>
        <w:rPr>
          <w:rFonts w:hint="default" w:ascii="Times New Roman" w:hAnsi="Times New Roman" w:eastAsia="仿宋_GB2312" w:cs="Times New Roman"/>
          <w:b w:val="0"/>
          <w:bCs w:val="0"/>
          <w:kern w:val="2"/>
          <w:sz w:val="32"/>
          <w:szCs w:val="32"/>
          <w:lang w:val="en-US" w:eastAsia="zh-CN" w:bidi="ar-SA"/>
        </w:rPr>
        <w:t>”</w:t>
      </w:r>
      <w:r>
        <w:rPr>
          <w:rFonts w:hint="default" w:ascii="Times New Roman" w:hAnsi="Times New Roman" w:eastAsia="仿宋_GB2312" w:cs="Times New Roman"/>
          <w:sz w:val="32"/>
          <w:szCs w:val="32"/>
          <w:lang w:eastAsia="zh-CN"/>
        </w:rPr>
        <w:t>成为“壤塘人”奋斗努力的不竭动力。</w:t>
      </w:r>
    </w:p>
    <w:p>
      <w:pPr>
        <w:pStyle w:val="4"/>
        <w:keepNext w:val="0"/>
        <w:keepLines w:val="0"/>
        <w:pageBreakBefore w:val="0"/>
        <w:widowControl w:val="0"/>
        <w:kinsoku/>
        <w:wordWrap/>
        <w:overflowPunct/>
        <w:topLinePunct w:val="0"/>
        <w:autoSpaceDE/>
        <w:autoSpaceDN/>
        <w:bidi w:val="0"/>
        <w:adjustRightInd/>
        <w:snapToGrid/>
        <w:spacing w:line="480" w:lineRule="exact"/>
        <w:ind w:firstLine="643" w:firstLineChars="200"/>
        <w:jc w:val="both"/>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lang w:eastAsia="zh-CN"/>
        </w:rPr>
        <w:t>会议号召，</w:t>
      </w:r>
      <w:r>
        <w:rPr>
          <w:rFonts w:hint="default" w:ascii="Times New Roman" w:hAnsi="Times New Roman" w:eastAsia="仿宋_GB2312" w:cs="Times New Roman"/>
          <w:sz w:val="32"/>
          <w:szCs w:val="32"/>
          <w:lang w:eastAsia="zh-CN"/>
        </w:rPr>
        <w:t>全县各族人民要紧密团结在</w:t>
      </w:r>
      <w:r>
        <w:rPr>
          <w:rFonts w:hint="default" w:ascii="Times New Roman" w:hAnsi="Times New Roman" w:eastAsia="仿宋_GB2312" w:cs="Times New Roman"/>
          <w:sz w:val="32"/>
          <w:szCs w:val="32"/>
          <w:highlight w:val="none"/>
          <w:lang w:eastAsia="zh-CN"/>
        </w:rPr>
        <w:t>以习近平同志为核心的党中央</w:t>
      </w:r>
      <w:r>
        <w:rPr>
          <w:rFonts w:hint="default" w:ascii="Times New Roman" w:hAnsi="Times New Roman" w:eastAsia="仿宋_GB2312" w:cs="Times New Roman"/>
          <w:sz w:val="32"/>
          <w:szCs w:val="32"/>
          <w:lang w:eastAsia="zh-CN"/>
        </w:rPr>
        <w:t>周围，深入贯彻中央、省委、州委、县委重大决策部署，抢抓新机遇，内强外拓，发力赶超，不忘初心、坚定决心、充满信心，为圆满完成“十四五”规划目标任务努力奋斗！</w:t>
      </w:r>
    </w:p>
    <w:p>
      <w:pPr>
        <w:pStyle w:val="4"/>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Times New Roman" w:hAnsi="Times New Roman" w:eastAsia="仿宋_GB2312" w:cs="Times New Roman"/>
          <w:sz w:val="32"/>
          <w:szCs w:val="32"/>
          <w:lang w:eastAsia="zh-CN"/>
        </w:rPr>
      </w:pP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left w:val="nil"/>
              <w:right w:val="nil"/>
            </w:tcBorders>
            <w:noWrap w:val="0"/>
            <w:vAlign w:val="top"/>
          </w:tcPr>
          <w:p>
            <w:pPr>
              <w:spacing w:line="560" w:lineRule="exact"/>
              <w:rPr>
                <w:rFonts w:hint="default" w:ascii="Times New Roman" w:hAnsi="Times New Roman" w:eastAsia="黑体" w:cs="Times New Roman"/>
                <w:color w:val="000000"/>
                <w:sz w:val="44"/>
                <w:szCs w:val="44"/>
                <w:vertAlign w:val="baseline"/>
              </w:rPr>
            </w:pPr>
            <w:r>
              <w:rPr>
                <w:rFonts w:hint="eastAsia" w:ascii="Times New Roman" w:hAnsi="Times New Roman" w:eastAsia="宋体" w:cs="Times New Roman"/>
                <w:color w:val="000000"/>
                <w:sz w:val="28"/>
                <w:szCs w:val="28"/>
                <w:u w:val="none"/>
                <w:lang w:eastAsia="zh-CN"/>
              </w:rPr>
              <w:t>报：州人大研究室、州人大常委会法制工作委员会</w:t>
            </w:r>
            <w:r>
              <w:rPr>
                <w:rFonts w:hint="default" w:ascii="Times New Roman" w:hAnsi="Times New Roman" w:eastAsia="宋体" w:cs="Times New Roman"/>
                <w:color w:val="000000"/>
                <w:sz w:val="28"/>
                <w:szCs w:val="28"/>
                <w:u w:val="none"/>
              </w:rPr>
              <w:t xml:space="preserve">          </w:t>
            </w:r>
            <w:r>
              <w:rPr>
                <w:rFonts w:hint="default" w:ascii="Times New Roman" w:hAnsi="Times New Roman" w:eastAsia="宋体" w:cs="Times New Roman"/>
                <w:color w:val="000000"/>
                <w:sz w:val="28"/>
                <w:szCs w:val="28"/>
                <w:u w:val="none"/>
                <w:lang w:val="en-US" w:eastAsia="zh-CN"/>
              </w:rPr>
              <w:t xml:space="preserve"> </w:t>
            </w:r>
            <w:r>
              <w:rPr>
                <w:rFonts w:hint="eastAsia" w:ascii="Times New Roman" w:hAnsi="Times New Roman" w:eastAsia="宋体" w:cs="Times New Roman"/>
                <w:color w:val="000000"/>
                <w:sz w:val="28"/>
                <w:szCs w:val="28"/>
                <w:u w:val="none"/>
                <w:lang w:val="en-US" w:eastAsia="zh-CN"/>
              </w:rPr>
              <w:t xml:space="preserve"> </w:t>
            </w:r>
            <w:r>
              <w:rPr>
                <w:rFonts w:hint="default" w:ascii="Times New Roman" w:hAnsi="Times New Roman" w:eastAsia="宋体" w:cs="Times New Roman"/>
                <w:color w:val="000000"/>
                <w:sz w:val="28"/>
                <w:szCs w:val="28"/>
                <w:u w:val="none"/>
                <w:lang w:val="en-US" w:eastAsia="zh-CN"/>
              </w:rPr>
              <w:t xml:space="preserve"> </w:t>
            </w:r>
            <w:r>
              <w:rPr>
                <w:rFonts w:hint="eastAsia" w:ascii="Times New Roman" w:hAnsi="Times New Roman" w:eastAsia="宋体" w:cs="Times New Roman"/>
                <w:color w:val="000000"/>
                <w:sz w:val="28"/>
                <w:szCs w:val="28"/>
                <w:u w:val="none"/>
                <w:lang w:val="en-US" w:eastAsia="zh-CN"/>
              </w:rPr>
              <w:t xml:space="preserve"> </w:t>
            </w:r>
            <w:r>
              <w:rPr>
                <w:rFonts w:hint="default" w:ascii="Times New Roman" w:hAnsi="Times New Roman" w:eastAsia="仿宋_GB2312" w:cs="Times New Roman"/>
                <w:color w:val="000000"/>
                <w:sz w:val="28"/>
                <w:szCs w:val="28"/>
                <w:u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left w:val="nil"/>
              <w:right w:val="nil"/>
            </w:tcBorders>
            <w:noWrap w:val="0"/>
            <w:vAlign w:val="top"/>
          </w:tcPr>
          <w:p>
            <w:pPr>
              <w:spacing w:line="560" w:lineRule="exact"/>
              <w:rPr>
                <w:rFonts w:hint="eastAsia" w:ascii="Times New Roman" w:hAnsi="Times New Roman" w:eastAsia="宋体" w:cs="Times New Roman"/>
                <w:color w:val="000000"/>
                <w:sz w:val="28"/>
                <w:szCs w:val="28"/>
                <w:u w:val="none"/>
                <w:lang w:eastAsia="zh-CN"/>
              </w:rPr>
            </w:pPr>
            <w:r>
              <w:rPr>
                <w:rFonts w:hint="eastAsia" w:ascii="Times New Roman" w:hAnsi="Times New Roman" w:eastAsia="宋体" w:cs="Times New Roman"/>
                <w:color w:val="000000"/>
                <w:sz w:val="28"/>
                <w:szCs w:val="28"/>
                <w:u w:val="none"/>
                <w:lang w:eastAsia="zh-CN"/>
              </w:rPr>
              <w:t>送：县人民政府、县发展和改革局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1" w:type="dxa"/>
            <w:tcBorders>
              <w:left w:val="nil"/>
              <w:right w:val="nil"/>
            </w:tcBorders>
            <w:noWrap w:val="0"/>
            <w:vAlign w:val="top"/>
          </w:tcPr>
          <w:p>
            <w:pPr>
              <w:spacing w:line="560" w:lineRule="exact"/>
              <w:rPr>
                <w:rFonts w:hint="default" w:ascii="Times New Roman" w:hAnsi="Times New Roman" w:eastAsia="宋体" w:cs="Times New Roman"/>
                <w:color w:val="000000"/>
                <w:sz w:val="28"/>
                <w:szCs w:val="28"/>
                <w:u w:val="none"/>
              </w:rPr>
            </w:pPr>
            <w:r>
              <w:rPr>
                <w:rFonts w:hint="default" w:ascii="Times New Roman" w:hAnsi="Times New Roman" w:eastAsia="宋体" w:cs="Times New Roman"/>
                <w:color w:val="000000"/>
                <w:sz w:val="28"/>
                <w:szCs w:val="28"/>
                <w:u w:val="none"/>
              </w:rPr>
              <w:t>壤塘县十四届人大</w:t>
            </w:r>
            <w:r>
              <w:rPr>
                <w:rFonts w:hint="eastAsia" w:ascii="Times New Roman" w:hAnsi="Times New Roman" w:eastAsia="宋体" w:cs="Times New Roman"/>
                <w:color w:val="000000"/>
                <w:sz w:val="28"/>
                <w:szCs w:val="28"/>
                <w:u w:val="none"/>
                <w:lang w:eastAsia="zh-CN"/>
              </w:rPr>
              <w:t>五</w:t>
            </w:r>
            <w:r>
              <w:rPr>
                <w:rFonts w:hint="default" w:ascii="Times New Roman" w:hAnsi="Times New Roman" w:eastAsia="宋体" w:cs="Times New Roman"/>
                <w:color w:val="000000"/>
                <w:sz w:val="28"/>
                <w:szCs w:val="28"/>
                <w:u w:val="none"/>
              </w:rPr>
              <w:t xml:space="preserve">次会议秘书处 </w:t>
            </w:r>
            <w:r>
              <w:rPr>
                <w:rFonts w:hint="default" w:ascii="Times New Roman" w:hAnsi="Times New Roman" w:eastAsia="宋体" w:cs="Times New Roman"/>
                <w:color w:val="000000"/>
                <w:sz w:val="28"/>
                <w:szCs w:val="28"/>
                <w:u w:val="none"/>
                <w:lang w:val="en-US" w:eastAsia="zh-CN"/>
              </w:rPr>
              <w:t xml:space="preserve"> </w:t>
            </w:r>
            <w:r>
              <w:rPr>
                <w:rFonts w:hint="eastAsia" w:ascii="Times New Roman" w:hAnsi="Times New Roman" w:eastAsia="宋体" w:cs="Times New Roman"/>
                <w:color w:val="000000"/>
                <w:sz w:val="28"/>
                <w:szCs w:val="28"/>
                <w:u w:val="none"/>
                <w:lang w:val="en-US" w:eastAsia="zh-CN"/>
              </w:rPr>
              <w:t xml:space="preserve">            </w:t>
            </w:r>
            <w:r>
              <w:rPr>
                <w:rFonts w:hint="default" w:ascii="Times New Roman" w:hAnsi="Times New Roman" w:eastAsia="宋体" w:cs="Times New Roman"/>
                <w:color w:val="000000"/>
                <w:sz w:val="28"/>
                <w:szCs w:val="28"/>
                <w:u w:val="none"/>
              </w:rPr>
              <w:t>20</w:t>
            </w:r>
            <w:r>
              <w:rPr>
                <w:rFonts w:hint="eastAsia" w:ascii="Times New Roman" w:hAnsi="Times New Roman" w:eastAsia="宋体" w:cs="Times New Roman"/>
                <w:color w:val="000000"/>
                <w:sz w:val="28"/>
                <w:szCs w:val="28"/>
                <w:u w:val="none"/>
                <w:lang w:val="en-US" w:eastAsia="zh-CN"/>
              </w:rPr>
              <w:t>21</w:t>
            </w:r>
            <w:r>
              <w:rPr>
                <w:rFonts w:hint="default" w:ascii="Times New Roman" w:hAnsi="Times New Roman" w:eastAsia="宋体" w:cs="Times New Roman"/>
                <w:color w:val="000000"/>
                <w:sz w:val="28"/>
                <w:szCs w:val="28"/>
                <w:u w:val="none"/>
              </w:rPr>
              <w:t>年</w:t>
            </w:r>
            <w:r>
              <w:rPr>
                <w:rFonts w:hint="eastAsia" w:ascii="Times New Roman" w:hAnsi="Times New Roman" w:eastAsia="宋体" w:cs="Times New Roman"/>
                <w:color w:val="000000"/>
                <w:sz w:val="28"/>
                <w:szCs w:val="28"/>
                <w:u w:val="none"/>
                <w:lang w:val="en-US" w:eastAsia="zh-CN"/>
              </w:rPr>
              <w:t>3</w:t>
            </w:r>
            <w:r>
              <w:rPr>
                <w:rFonts w:hint="default" w:ascii="Times New Roman" w:hAnsi="Times New Roman" w:eastAsia="宋体" w:cs="Times New Roman"/>
                <w:color w:val="000000"/>
                <w:sz w:val="28"/>
                <w:szCs w:val="28"/>
                <w:u w:val="none"/>
              </w:rPr>
              <w:t>月</w:t>
            </w:r>
            <w:r>
              <w:rPr>
                <w:rFonts w:hint="eastAsia" w:ascii="Times New Roman" w:hAnsi="Times New Roman" w:eastAsia="宋体" w:cs="Times New Roman"/>
                <w:color w:val="000000"/>
                <w:sz w:val="28"/>
                <w:szCs w:val="28"/>
                <w:u w:val="none"/>
                <w:lang w:val="en-US" w:eastAsia="zh-CN"/>
              </w:rPr>
              <w:t>31</w:t>
            </w:r>
            <w:r>
              <w:rPr>
                <w:rFonts w:hint="default" w:ascii="Times New Roman" w:hAnsi="Times New Roman" w:eastAsia="宋体" w:cs="Times New Roman"/>
                <w:color w:val="000000"/>
                <w:sz w:val="28"/>
                <w:szCs w:val="28"/>
                <w:u w:val="none"/>
              </w:rPr>
              <w:t>日印</w:t>
            </w:r>
          </w:p>
        </w:tc>
      </w:tr>
    </w:tbl>
    <w:p>
      <w:pPr>
        <w:spacing w:line="700" w:lineRule="exact"/>
        <w:jc w:val="center"/>
        <w:outlineLvl w:val="0"/>
        <w:rPr>
          <w:rFonts w:hint="default" w:ascii="Times New Roman" w:hAnsi="Times New Roman" w:eastAsia="方正小标宋_GBK" w:cs="Times New Roman"/>
          <w:sz w:val="44"/>
          <w:szCs w:val="44"/>
          <w:lang w:val="en-US" w:eastAsia="zh-CN"/>
        </w:rPr>
      </w:pPr>
      <w:bookmarkStart w:id="2" w:name="_Toc9840"/>
      <w:r>
        <w:rPr>
          <w:rFonts w:hint="eastAsia" w:ascii="Times New Roman" w:hAnsi="Times New Roman" w:eastAsia="方正小标宋_GBK" w:cs="Times New Roman"/>
          <w:sz w:val="44"/>
          <w:szCs w:val="44"/>
          <w:lang w:val="en-US" w:eastAsia="zh-CN"/>
        </w:rPr>
        <w:t>阿坝州发展和改革委员会关于对《壤塘县国民经济和社会发展第十四个五年规划和二〇三五年远景目标纲要草案》的审查意见</w:t>
      </w:r>
      <w:bookmarkEnd w:id="2"/>
    </w:p>
    <w:p>
      <w:pPr>
        <w:bidi w:val="0"/>
        <w:rPr>
          <w:rFonts w:hint="eastAsia"/>
          <w:lang w:eastAsia="zh-CN"/>
        </w:rPr>
      </w:pPr>
      <w:r>
        <w:rPr>
          <w:rFonts w:hint="eastAsia"/>
          <w:lang w:eastAsia="zh-CN"/>
        </w:rPr>
        <w:drawing>
          <wp:inline distT="0" distB="0" distL="114300" distR="114300">
            <wp:extent cx="5568950" cy="6698615"/>
            <wp:effectExtent l="0" t="0" r="8890" b="6985"/>
            <wp:docPr id="8" name="图片 8" descr="审查意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审查意见_00"/>
                    <pic:cNvPicPr>
                      <a:picLocks noChangeAspect="1"/>
                    </pic:cNvPicPr>
                  </pic:nvPicPr>
                  <pic:blipFill>
                    <a:blip r:embed="rId6"/>
                    <a:stretch>
                      <a:fillRect/>
                    </a:stretch>
                  </pic:blipFill>
                  <pic:spPr>
                    <a:xfrm>
                      <a:off x="0" y="0"/>
                      <a:ext cx="5568950" cy="6698615"/>
                    </a:xfrm>
                    <a:prstGeom prst="rect">
                      <a:avLst/>
                    </a:prstGeom>
                  </pic:spPr>
                </pic:pic>
              </a:graphicData>
            </a:graphic>
          </wp:inline>
        </w:drawing>
      </w:r>
    </w:p>
    <w:p>
      <w:pPr>
        <w:bidi w:val="0"/>
        <w:rPr>
          <w:rFonts w:hint="eastAsia"/>
          <w:lang w:eastAsia="zh-CN"/>
        </w:rPr>
      </w:pPr>
      <w:r>
        <w:rPr>
          <w:rFonts w:hint="eastAsia"/>
          <w:lang w:eastAsia="zh-CN"/>
        </w:rPr>
        <w:drawing>
          <wp:inline distT="0" distB="0" distL="114300" distR="114300">
            <wp:extent cx="6118860" cy="8258810"/>
            <wp:effectExtent l="0" t="0" r="7620" b="1270"/>
            <wp:docPr id="9" name="图片 9" descr="审查意见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审查意见_01"/>
                    <pic:cNvPicPr>
                      <a:picLocks noChangeAspect="1"/>
                    </pic:cNvPicPr>
                  </pic:nvPicPr>
                  <pic:blipFill>
                    <a:blip r:embed="rId7"/>
                    <a:stretch>
                      <a:fillRect/>
                    </a:stretch>
                  </pic:blipFill>
                  <pic:spPr>
                    <a:xfrm>
                      <a:off x="0" y="0"/>
                      <a:ext cx="6118860" cy="8258810"/>
                    </a:xfrm>
                    <a:prstGeom prst="rect">
                      <a:avLst/>
                    </a:prstGeom>
                  </pic:spPr>
                </pic:pic>
              </a:graphicData>
            </a:graphic>
          </wp:inline>
        </w:drawing>
      </w:r>
    </w:p>
    <w:p>
      <w:pPr>
        <w:bidi w:val="0"/>
        <w:rPr>
          <w:rFonts w:hint="eastAsia"/>
          <w:lang w:eastAsia="zh-CN"/>
        </w:rPr>
      </w:pPr>
      <w:r>
        <w:rPr>
          <w:rFonts w:hint="eastAsia"/>
          <w:lang w:eastAsia="zh-CN"/>
        </w:rPr>
        <w:drawing>
          <wp:inline distT="0" distB="0" distL="114300" distR="114300">
            <wp:extent cx="5723890" cy="8097520"/>
            <wp:effectExtent l="0" t="0" r="6350" b="10160"/>
            <wp:docPr id="11" name="图片 11" descr="审查意见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审查意见_02"/>
                    <pic:cNvPicPr>
                      <a:picLocks noChangeAspect="1"/>
                    </pic:cNvPicPr>
                  </pic:nvPicPr>
                  <pic:blipFill>
                    <a:blip r:embed="rId8"/>
                    <a:stretch>
                      <a:fillRect/>
                    </a:stretch>
                  </pic:blipFill>
                  <pic:spPr>
                    <a:xfrm>
                      <a:off x="0" y="0"/>
                      <a:ext cx="5723890" cy="8097520"/>
                    </a:xfrm>
                    <a:prstGeom prst="rect">
                      <a:avLst/>
                    </a:prstGeom>
                  </pic:spPr>
                </pic:pic>
              </a:graphicData>
            </a:graphic>
          </wp:inline>
        </w:drawing>
      </w:r>
    </w:p>
    <w:p>
      <w:pPr>
        <w:spacing w:line="700" w:lineRule="exact"/>
        <w:jc w:val="center"/>
        <w:outlineLvl w:val="0"/>
        <w:rPr>
          <w:rFonts w:ascii="Times New Roman" w:hAnsi="Times New Roman" w:eastAsia="方正小标宋_GBK" w:cs="Times New Roman"/>
          <w:sz w:val="44"/>
          <w:szCs w:val="44"/>
        </w:rPr>
      </w:pPr>
      <w:bookmarkStart w:id="3" w:name="_Toc31823"/>
      <w:r>
        <w:rPr>
          <w:rFonts w:ascii="Times New Roman" w:hAnsi="Times New Roman" w:eastAsia="方正小标宋_GBK" w:cs="Times New Roman"/>
          <w:sz w:val="44"/>
          <w:szCs w:val="44"/>
        </w:rPr>
        <w:t>序  言</w:t>
      </w:r>
      <w:bookmarkEnd w:id="0"/>
      <w:bookmarkEnd w:id="3"/>
    </w:p>
    <w:p>
      <w:pPr>
        <w:spacing w:line="560" w:lineRule="exact"/>
        <w:ind w:firstLine="640" w:firstLineChars="200"/>
        <w:rPr>
          <w:rFonts w:ascii="Times New Roman" w:hAnsi="Times New Roman" w:eastAsia="仿宋_GB2312" w:cs="Times New Roman"/>
          <w:sz w:val="32"/>
          <w:szCs w:val="32"/>
        </w:rPr>
      </w:pP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四五”时期，是“两个一百年”交汇期，是我国由全面建成小康社会向基本实现社会主义现代化迈进的关键时期，是深入落实省委省政府“一干多支、五区协同，四向拓展、全域开放”发展新格局，建设川西北生态示范区、国家生态文明先行示范区和全国民族团结进步示范区的攻坚期，是壤塘县实现治理体系和治理能力现代化的重要期，也是全县社会主义现代化建设征程的第一个五年期。</w:t>
      </w:r>
    </w:p>
    <w:p>
      <w:pPr>
        <w:spacing w:line="540" w:lineRule="exact"/>
        <w:ind w:firstLine="643" w:firstLineChars="200"/>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从国际环境看，</w:t>
      </w:r>
      <w:r>
        <w:rPr>
          <w:rFonts w:ascii="Times New Roman" w:hAnsi="Times New Roman" w:eastAsia="仿宋_GB2312" w:cs="Times New Roman"/>
          <w:sz w:val="32"/>
          <w:szCs w:val="32"/>
        </w:rPr>
        <w:t>“十四五”时期，世界发展环境正面临“百年未有之大变局”。</w:t>
      </w:r>
      <w:r>
        <w:rPr>
          <w:rFonts w:ascii="Times New Roman" w:hAnsi="Times New Roman" w:eastAsia="仿宋_GB2312" w:cs="Times New Roman"/>
          <w:color w:val="auto"/>
          <w:sz w:val="32"/>
          <w:szCs w:val="32"/>
        </w:rPr>
        <w:t>近年来国际形势多变急变</w:t>
      </w:r>
      <w:r>
        <w:rPr>
          <w:rFonts w:hint="eastAsia" w:ascii="Times New Roman" w:hAnsi="Times New Roman" w:eastAsia="仿宋_GB2312" w:cs="Times New Roman"/>
          <w:color w:val="auto"/>
          <w:sz w:val="32"/>
          <w:szCs w:val="32"/>
          <w:lang w:eastAsia="zh-CN"/>
        </w:rPr>
        <w:t>，</w:t>
      </w:r>
      <w:r>
        <w:rPr>
          <w:rFonts w:ascii="Times New Roman" w:hAnsi="Times New Roman" w:eastAsia="仿宋_GB2312" w:cs="Times New Roman"/>
          <w:sz w:val="32"/>
          <w:szCs w:val="32"/>
        </w:rPr>
        <w:t>“黑天鹅”“灰犀牛”事件多出迭出，贸易保护主义、单边主义涌动躁动，全球投资贸易格局、全球科技创新格局、全球金融货币格局、全球多元治理体系等都面临前所未有的大变革。中美双边关系和全球经贸格局进入艰难重构期。新一轮科技革命和产业变革深入发展，国际力量对比深刻调整，和平与发展仍然是时代主题，人类命运共同体理念深入人心，国际环境日趋复杂，加之受新冠疫情影响，不稳定性不确定性明显增加。“十四五”时期壤塘县对外开放、产业发展</w:t>
      </w:r>
      <w:r>
        <w:rPr>
          <w:rFonts w:hint="eastAsia" w:ascii="Times New Roman" w:hAnsi="Times New Roman" w:eastAsia="仿宋_GB2312" w:cs="Times New Roman"/>
          <w:sz w:val="32"/>
          <w:szCs w:val="32"/>
        </w:rPr>
        <w:t>面临</w:t>
      </w:r>
      <w:r>
        <w:rPr>
          <w:rFonts w:ascii="Times New Roman" w:hAnsi="Times New Roman" w:eastAsia="仿宋_GB2312" w:cs="Times New Roman"/>
          <w:sz w:val="32"/>
          <w:szCs w:val="32"/>
        </w:rPr>
        <w:t>严峻挑战。</w:t>
      </w:r>
    </w:p>
    <w:p>
      <w:pPr>
        <w:spacing w:line="54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从国内环境看，</w:t>
      </w:r>
      <w:r>
        <w:rPr>
          <w:rFonts w:ascii="Times New Roman" w:hAnsi="Times New Roman" w:eastAsia="仿宋_GB2312" w:cs="Times New Roman"/>
          <w:sz w:val="32"/>
          <w:szCs w:val="32"/>
        </w:rPr>
        <w:t>“十四五”时期，中国经济正处在新旧动能转换的重要节点，经济发展迎来关键时期，机遇与挑战并存。“十四五”时期，历史任务将从中国人民站起来、富起来逐步转到强起来，主要矛盾已从“人民日益增长的物质文化需要同落后的社会生产之间的矛盾”转化为“人民日益增长的美好生活需要和不平衡不充分的发展之间的矛盾”，我国将在全面小康社会基础上，踏上建设社会主义现代化国家的新征程，高质量发展将成为这一时期的工作主线，发展方式转变、经济结构优化、增长动力转换的速度进一步加快，新经济、新技术、新模式、新产业的重要性不断增强。国家“一带一路”、长江经济带、新时代西部大开发、乡村振兴“四大战略”的深入实施以及国家、四川省继续加大对涉藏州县特殊政策支持，生态文明建设持续加力，将为涉藏州县发展注入强劲动力，特别是川甘青结合部区域</w:t>
      </w:r>
      <w:r>
        <w:rPr>
          <w:rFonts w:hint="eastAsia" w:ascii="Times New Roman" w:hAnsi="Times New Roman" w:eastAsia="仿宋_GB2312" w:cs="Times New Roman"/>
          <w:sz w:val="32"/>
          <w:szCs w:val="32"/>
        </w:rPr>
        <w:t>持续</w:t>
      </w:r>
      <w:r>
        <w:rPr>
          <w:rFonts w:ascii="Times New Roman" w:hAnsi="Times New Roman" w:eastAsia="仿宋_GB2312" w:cs="Times New Roman"/>
          <w:sz w:val="32"/>
          <w:szCs w:val="32"/>
        </w:rPr>
        <w:t>受到国家宏观层面的高度重视，全省统筹推进“一干多支、五区协同</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四向拓展、全域开放”，实施川西北生态示范区建设，对推动壤塘县经济社会发展形成重要的外部环境。</w:t>
      </w:r>
    </w:p>
    <w:p>
      <w:pPr>
        <w:spacing w:line="54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从县域环境看，</w:t>
      </w:r>
      <w:r>
        <w:rPr>
          <w:rFonts w:ascii="Times New Roman" w:hAnsi="Times New Roman" w:eastAsia="仿宋_GB2312" w:cs="Times New Roman"/>
          <w:sz w:val="32"/>
          <w:szCs w:val="32"/>
        </w:rPr>
        <w:t>“十四五”时期，随着壤塘全域旅游战略、乡村振兴全面实施，生态环境持续改善，汶马高速建成通车等外部交通条件的不断完善，将为全县经济社会发展提供强大支撑。在此背景下，承前启后，继往开来，在深入学习贯彻党的十九大、十九届五中全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中央第七次西藏工作座谈会</w:t>
      </w:r>
      <w:r>
        <w:rPr>
          <w:rFonts w:hint="eastAsia" w:ascii="Times New Roman" w:hAnsi="Times New Roman" w:eastAsia="仿宋_GB2312" w:cs="Times New Roman"/>
          <w:sz w:val="32"/>
          <w:szCs w:val="32"/>
        </w:rPr>
        <w:t>、省委十一届八次全会、省委涉藏工作会、州委十一届十次全会等</w:t>
      </w:r>
      <w:r>
        <w:rPr>
          <w:rFonts w:ascii="Times New Roman" w:hAnsi="Times New Roman" w:eastAsia="仿宋_GB2312" w:cs="Times New Roman"/>
          <w:sz w:val="32"/>
          <w:szCs w:val="32"/>
        </w:rPr>
        <w:t>精神的前提下，全面分析壤塘县情以及面临的形势，认真研究今后五年发展目标任务，确定行动纲领，</w:t>
      </w:r>
      <w:r>
        <w:rPr>
          <w:rFonts w:hint="eastAsia" w:ascii="Times New Roman" w:hAnsi="Times New Roman" w:eastAsia="仿宋_GB2312" w:cs="Times New Roman"/>
          <w:sz w:val="32"/>
          <w:szCs w:val="32"/>
        </w:rPr>
        <w:t>根据《中共壤塘县委关于制定国民经济和社会发展第十四个五年规划和二</w:t>
      </w:r>
      <w:r>
        <w:rPr>
          <w:rFonts w:hint="eastAsia" w:ascii="微软雅黑" w:hAnsi="微软雅黑" w:eastAsia="微软雅黑" w:cs="微软雅黑"/>
          <w:sz w:val="32"/>
          <w:szCs w:val="32"/>
        </w:rPr>
        <w:t>〇</w:t>
      </w:r>
      <w:r>
        <w:rPr>
          <w:rFonts w:hint="eastAsia" w:ascii="仿宋_GB2312" w:hAnsi="仿宋_GB2312" w:eastAsia="仿宋_GB2312" w:cs="仿宋_GB2312"/>
          <w:sz w:val="32"/>
          <w:szCs w:val="32"/>
        </w:rPr>
        <w:t>三五年远景目标的建议</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科学编</w:t>
      </w:r>
      <w:r>
        <w:rPr>
          <w:rFonts w:hint="eastAsia" w:ascii="Times New Roman" w:hAnsi="Times New Roman" w:eastAsia="仿宋_GB2312" w:cs="Times New Roman"/>
          <w:sz w:val="32"/>
          <w:szCs w:val="32"/>
        </w:rPr>
        <w:t>制《壤塘县国民经济和社会发展第十四个五年规划纲要》。</w:t>
      </w: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1"/>
        <w:rPr>
          <w:rFonts w:ascii="Times New Roman" w:hAnsi="Times New Roman" w:eastAsia="方正小标宋_GBK" w:cs="Times New Roman"/>
          <w:sz w:val="44"/>
          <w:szCs w:val="44"/>
        </w:rPr>
      </w:pPr>
      <w:bookmarkStart w:id="4" w:name="_Toc8550"/>
      <w:bookmarkStart w:id="5" w:name="_Toc3837"/>
      <w:bookmarkStart w:id="6" w:name="_Hlk66437903"/>
      <w:r>
        <w:rPr>
          <w:rFonts w:ascii="Times New Roman" w:hAnsi="Times New Roman" w:eastAsia="方正小标宋_GBK" w:cs="Times New Roman"/>
          <w:sz w:val="44"/>
          <w:szCs w:val="44"/>
        </w:rPr>
        <w:t>第一章  脱贫攻坚和全面小康胜利</w:t>
      </w:r>
      <w:r>
        <w:rPr>
          <w:rFonts w:hint="eastAsia" w:ascii="Times New Roman" w:hAnsi="Times New Roman" w:eastAsia="方正小标宋_GBK" w:cs="Times New Roman"/>
          <w:sz w:val="44"/>
          <w:szCs w:val="44"/>
        </w:rPr>
        <w:t>在望</w:t>
      </w:r>
      <w:r>
        <w:rPr>
          <w:rFonts w:ascii="Times New Roman" w:hAnsi="Times New Roman" w:eastAsia="方正小标宋_GBK" w:cs="Times New Roman"/>
          <w:sz w:val="44"/>
          <w:szCs w:val="44"/>
        </w:rPr>
        <w:t>，</w:t>
      </w:r>
      <w:bookmarkStart w:id="7" w:name="_Toc21510"/>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1"/>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rPr>
        <w:t>开启建设新征程</w:t>
      </w:r>
      <w:bookmarkEnd w:id="4"/>
      <w:bookmarkEnd w:id="5"/>
      <w:bookmarkEnd w:id="7"/>
    </w:p>
    <w:bookmarkEnd w:id="6"/>
    <w:p>
      <w:pPr>
        <w:spacing w:line="540" w:lineRule="exact"/>
        <w:ind w:firstLine="640" w:firstLineChars="200"/>
        <w:rPr>
          <w:rFonts w:ascii="Times New Roman" w:hAnsi="Times New Roman" w:eastAsia="仿宋_GB2312" w:cs="Times New Roman"/>
          <w:sz w:val="32"/>
          <w:szCs w:val="32"/>
        </w:rPr>
      </w:pP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“十三五”时期，壤塘</w:t>
      </w:r>
      <w:r>
        <w:rPr>
          <w:rFonts w:hint="eastAsia" w:ascii="Times New Roman" w:hAnsi="Times New Roman" w:eastAsia="仿宋_GB2312" w:cs="Times New Roman"/>
          <w:sz w:val="32"/>
          <w:szCs w:val="32"/>
        </w:rPr>
        <w:t>县委、县</w:t>
      </w:r>
      <w:r>
        <w:rPr>
          <w:rFonts w:ascii="Times New Roman" w:hAnsi="Times New Roman" w:eastAsia="仿宋_GB2312" w:cs="Times New Roman"/>
          <w:sz w:val="32"/>
          <w:szCs w:val="32"/>
        </w:rPr>
        <w:t>政府带领全县各族</w:t>
      </w:r>
      <w:r>
        <w:rPr>
          <w:rFonts w:hint="eastAsia" w:ascii="Times New Roman" w:hAnsi="Times New Roman" w:eastAsia="仿宋_GB2312" w:cs="Times New Roman"/>
          <w:sz w:val="32"/>
          <w:szCs w:val="32"/>
        </w:rPr>
        <w:t>干部</w:t>
      </w:r>
      <w:r>
        <w:rPr>
          <w:rFonts w:ascii="Times New Roman" w:hAnsi="Times New Roman" w:eastAsia="仿宋_GB2312" w:cs="Times New Roman"/>
          <w:sz w:val="32"/>
          <w:szCs w:val="32"/>
        </w:rPr>
        <w:t>群众围绕“川甘青结合部区域强县”总体目标，紧扣“经济更具实力、城乡更显秀美、社会更为和谐、生活更加幸福”具体要求，坚持“生态优先、民生优先、教育优先、文化优先”发展战略，认真落实新发展理念和高质量发展要求，面对复杂多变的外部环境以及新冠肺炎疫情冲击等多重挑战，顶住压力，保持定力，团结奋斗，取得了令人瞩目的成绩。</w:t>
      </w:r>
    </w:p>
    <w:p>
      <w:pPr>
        <w:spacing w:line="54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8" w:name="_Toc13629"/>
      <w:bookmarkStart w:id="9" w:name="_Toc359"/>
      <w:r>
        <w:rPr>
          <w:rFonts w:ascii="Times New Roman" w:hAnsi="Times New Roman" w:eastAsia="宋体" w:cs="Times New Roman"/>
          <w:b/>
          <w:bCs/>
          <w:sz w:val="36"/>
          <w:szCs w:val="36"/>
        </w:rPr>
        <w:t>第一节  发展基础</w:t>
      </w:r>
      <w:bookmarkEnd w:id="8"/>
      <w:bookmarkEnd w:id="9"/>
    </w:p>
    <w:p>
      <w:pPr>
        <w:spacing w:line="540" w:lineRule="exact"/>
        <w:ind w:firstLine="640" w:firstLineChars="200"/>
        <w:rPr>
          <w:rFonts w:ascii="Times New Roman" w:hAnsi="Times New Roman" w:eastAsia="仿宋_GB2312" w:cs="Times New Roman"/>
          <w:sz w:val="32"/>
          <w:szCs w:val="32"/>
        </w:rPr>
      </w:pPr>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全面完成脱贫攻坚任务。</w:t>
      </w:r>
      <w:r>
        <w:rPr>
          <w:rFonts w:hint="eastAsia" w:ascii="Times New Roman" w:hAnsi="Times New Roman" w:eastAsia="仿宋_GB2312" w:cs="Times New Roman"/>
          <w:sz w:val="32"/>
          <w:szCs w:val="32"/>
        </w:rPr>
        <w:t>全县历史性消除绝对贫困，成功实现县摘帽，</w:t>
      </w:r>
      <w:r>
        <w:rPr>
          <w:rFonts w:ascii="Times New Roman" w:hAnsi="Times New Roman" w:eastAsia="仿宋_GB2312" w:cs="Times New Roman"/>
          <w:sz w:val="32"/>
          <w:szCs w:val="32"/>
        </w:rPr>
        <w:t>44个（村</w:t>
      </w:r>
      <w:r>
        <w:rPr>
          <w:rFonts w:hint="eastAsia" w:ascii="Times New Roman" w:hAnsi="Times New Roman" w:eastAsia="仿宋_GB2312" w:cs="Times New Roman"/>
          <w:sz w:val="32"/>
          <w:szCs w:val="32"/>
        </w:rPr>
        <w:t>级</w:t>
      </w:r>
      <w:r>
        <w:rPr>
          <w:rFonts w:ascii="Times New Roman" w:hAnsi="Times New Roman" w:eastAsia="仿宋_GB2312" w:cs="Times New Roman"/>
          <w:sz w:val="32"/>
          <w:szCs w:val="32"/>
        </w:rPr>
        <w:t>建制改革后39个）贫困村退出，2133户10448贫困人口脱贫。累计完成农村危房改造1185户、易地扶贫搬迁730户，建成32个幸福美丽新村。实现11个乡镇、51个行政村通硬化路，完成农村90%通寨路和入户路，解决农牧民饮水安全问题，53个村</w:t>
      </w:r>
      <w:r>
        <w:rPr>
          <w:rFonts w:hint="eastAsia" w:ascii="Times New Roman" w:hAnsi="Times New Roman" w:eastAsia="仿宋_GB2312" w:cs="Times New Roman"/>
          <w:sz w:val="32"/>
          <w:szCs w:val="32"/>
        </w:rPr>
        <w:t>（社区）</w:t>
      </w:r>
      <w:r>
        <w:rPr>
          <w:rFonts w:ascii="Times New Roman" w:hAnsi="Times New Roman" w:eastAsia="仿宋_GB2312" w:cs="Times New Roman"/>
          <w:sz w:val="32"/>
          <w:szCs w:val="32"/>
        </w:rPr>
        <w:t>通国网电</w:t>
      </w:r>
      <w:r>
        <w:rPr>
          <w:rFonts w:hint="eastAsia" w:ascii="Times New Roman" w:hAnsi="Times New Roman" w:eastAsia="仿宋_GB2312" w:cs="Times New Roman"/>
          <w:sz w:val="32"/>
          <w:szCs w:val="32"/>
        </w:rPr>
        <w:t>、通信网络</w:t>
      </w:r>
      <w:r>
        <w:rPr>
          <w:rFonts w:ascii="Times New Roman" w:hAnsi="Times New Roman" w:eastAsia="仿宋_GB2312" w:cs="Times New Roman"/>
          <w:sz w:val="32"/>
          <w:szCs w:val="32"/>
        </w:rPr>
        <w:t>全覆盖。义务教育阶段入学率达到99.91%</w:t>
      </w:r>
      <w:r>
        <w:rPr>
          <w:rFonts w:hint="eastAsia" w:ascii="Times New Roman" w:hAnsi="Times New Roman" w:eastAsia="仿宋_GB2312" w:cs="Times New Roman"/>
          <w:sz w:val="32"/>
          <w:szCs w:val="32"/>
        </w:rPr>
        <w:t>，其中建档立卡贫困户适龄儿童</w:t>
      </w:r>
      <w:r>
        <w:rPr>
          <w:rFonts w:ascii="Times New Roman" w:hAnsi="Times New Roman" w:eastAsia="仿宋_GB2312" w:cs="Times New Roman"/>
          <w:sz w:val="32"/>
          <w:szCs w:val="32"/>
        </w:rPr>
        <w:t>入学率达到100%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巩固率达到92.9%。开发11类</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40</w:t>
      </w:r>
      <w:r>
        <w:rPr>
          <w:rFonts w:hint="eastAsia" w:ascii="Times New Roman" w:hAnsi="Times New Roman" w:eastAsia="仿宋_GB2312" w:cs="Times New Roman"/>
          <w:sz w:val="32"/>
          <w:szCs w:val="32"/>
        </w:rPr>
        <w:t>0</w:t>
      </w:r>
      <w:r>
        <w:rPr>
          <w:rFonts w:ascii="Times New Roman" w:hAnsi="Times New Roman" w:eastAsia="仿宋_GB2312" w:cs="Times New Roman"/>
          <w:sz w:val="32"/>
          <w:szCs w:val="32"/>
        </w:rPr>
        <w:t>个生态公益性岗位，对2223名贫困人口实现生态扶贫全覆盖。“两不愁、三保障”全面实现，“乡三有、村五有、户六有”全面达标，群众满意度达到99.96%。</w:t>
      </w:r>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区域强县建设取得初步成效。</w:t>
      </w:r>
      <w:r>
        <w:rPr>
          <w:rFonts w:ascii="Times New Roman" w:hAnsi="Times New Roman" w:eastAsia="仿宋_GB2312" w:cs="Times New Roman"/>
          <w:sz w:val="32"/>
          <w:szCs w:val="32"/>
        </w:rPr>
        <w:t>地区生产总值由2015年末的7.76亿元增加到2020年末的13.21亿元，期内年均增长5%。地方公共财政预算收入由2015年的2007万元增加到2468万元，年均增长4.3%，支出结构不断优化。</w:t>
      </w:r>
      <w:r>
        <w:rPr>
          <w:rFonts w:hint="eastAsia" w:ascii="Times New Roman" w:hAnsi="Times New Roman" w:eastAsia="仿宋_GB2312" w:cs="Times New Roman"/>
          <w:sz w:val="32"/>
          <w:szCs w:val="32"/>
        </w:rPr>
        <w:t>累计</w:t>
      </w:r>
      <w:r>
        <w:rPr>
          <w:rFonts w:ascii="Times New Roman" w:hAnsi="Times New Roman" w:eastAsia="仿宋_GB2312" w:cs="Times New Roman"/>
          <w:sz w:val="32"/>
          <w:szCs w:val="32"/>
        </w:rPr>
        <w:t>完成固定资产投资62.97亿元。城镇居民人均可支配收入年均增长7.1%，达37549元，较2015年增收10885元；农牧民人均可支配收入年均增长9.4%，达13976元，较2015年增收4923元。</w:t>
      </w:r>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产业结构不断优化提升。</w:t>
      </w:r>
      <w:r>
        <w:rPr>
          <w:rFonts w:ascii="Times New Roman" w:hAnsi="Times New Roman" w:eastAsia="仿宋_GB2312" w:cs="Times New Roman"/>
          <w:sz w:val="32"/>
          <w:szCs w:val="32"/>
        </w:rPr>
        <w:t>三次产业在结构从</w:t>
      </w:r>
      <w:r>
        <w:rPr>
          <w:rFonts w:hint="eastAsia" w:ascii="Times New Roman" w:hAnsi="Times New Roman" w:eastAsia="仿宋_GB2312" w:cs="Times New Roman"/>
          <w:sz w:val="32"/>
          <w:szCs w:val="32"/>
          <w:highlight w:val="none"/>
        </w:rPr>
        <w:t>期初的</w:t>
      </w:r>
      <w:r>
        <w:rPr>
          <w:rFonts w:ascii="Times New Roman" w:hAnsi="Times New Roman" w:eastAsia="仿宋_GB2312" w:cs="Times New Roman"/>
          <w:sz w:val="32"/>
          <w:szCs w:val="32"/>
        </w:rPr>
        <w:t>32.2</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17.7</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50.1优化调整为24.5:5.7:69.8。农业结构持续优化，“壤巴拉现代农业产业园”建设取得显著成绩，“三品一标”总数达5个，云端牦牛肉、高原紫土豆等12个“壤巴拉”品牌初步建成，农业增加值2020年实现32241万元，年均增长3%，粮食总产量4139吨，较“十二五”末增加1124吨；生态工业体系已具雏形，工业增加值达2157万元，年均增长6.4%，规模以上工业企业总数达4家；文旅产业发展迅速，</w:t>
      </w:r>
      <w:r>
        <w:rPr>
          <w:rFonts w:hint="eastAsia" w:ascii="Times New Roman" w:hAnsi="Times New Roman" w:eastAsia="仿宋_GB2312" w:cs="Times New Roman"/>
          <w:sz w:val="32"/>
          <w:szCs w:val="32"/>
        </w:rPr>
        <w:t>成功创建壤巴拉文化旅游国家4A景区和省级高原林海生态旅游示范县，</w:t>
      </w:r>
      <w:r>
        <w:rPr>
          <w:rFonts w:ascii="Times New Roman" w:hAnsi="Times New Roman" w:eastAsia="仿宋_GB2312" w:cs="Times New Roman"/>
          <w:sz w:val="32"/>
          <w:szCs w:val="32"/>
        </w:rPr>
        <w:t>“十三五”期间共接待游客171.85万人次，实现旅游收入13.67亿元，命名传习所46个、非遗传承人83人，建立省级传习基地1个、州级传习基地8个，上海、深圳等“飞地”传习基地18个；商贸经济活力迸发，社会消费品零售总额达33257万元，年均增长6.2%，营商环境不断优化。</w:t>
      </w:r>
    </w:p>
    <w:p>
      <w:pPr>
        <w:adjustRightInd w:val="0"/>
        <w:snapToGrid w:val="0"/>
        <w:spacing w:line="550" w:lineRule="atLeast"/>
        <w:ind w:firstLine="640" w:firstLineChars="200"/>
        <w:rPr>
          <w:rFonts w:ascii="Times New Roman" w:hAnsi="Times New Roman" w:eastAsia="仿宋_GB2312" w:cs="Times New Roman"/>
          <w:sz w:val="32"/>
          <w:szCs w:val="32"/>
        </w:rPr>
      </w:pPr>
      <w:bookmarkStart w:id="10" w:name="_Hlk60863496"/>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生态立县战略全面推进。</w:t>
      </w:r>
      <w:r>
        <w:rPr>
          <w:rFonts w:ascii="Times New Roman" w:hAnsi="Times New Roman" w:eastAsia="仿宋_GB2312" w:cs="Times New Roman"/>
          <w:sz w:val="32"/>
          <w:szCs w:val="32"/>
        </w:rPr>
        <w:t>“十三五”期间，森林蓄积量增加到2541.94万立方米。生态脆弱区综合治理647.49</w:t>
      </w:r>
      <w:r>
        <w:rPr>
          <w:rFonts w:hint="eastAsia" w:ascii="Times New Roman" w:hAnsi="Times New Roman" w:eastAsia="仿宋_GB2312" w:cs="Times New Roman"/>
          <w:sz w:val="32"/>
          <w:szCs w:val="32"/>
        </w:rPr>
        <w:t>公顷</w:t>
      </w:r>
      <w:r>
        <w:rPr>
          <w:rFonts w:ascii="Times New Roman" w:hAnsi="Times New Roman" w:eastAsia="仿宋_GB2312" w:cs="Times New Roman"/>
          <w:sz w:val="32"/>
          <w:szCs w:val="32"/>
        </w:rPr>
        <w:t>，完成生态公路248.6亩、城镇绿化180亩、植被恢复729.24亩、沙化治理5.8</w:t>
      </w:r>
      <w:r>
        <w:rPr>
          <w:rFonts w:hint="eastAsia" w:ascii="Times New Roman" w:hAnsi="Times New Roman" w:eastAsia="仿宋_GB2312" w:cs="Times New Roman"/>
          <w:sz w:val="32"/>
          <w:szCs w:val="32"/>
        </w:rPr>
        <w:t>万亩</w:t>
      </w:r>
      <w:r>
        <w:rPr>
          <w:rFonts w:ascii="Times New Roman" w:hAnsi="Times New Roman" w:eastAsia="仿宋_GB2312" w:cs="Times New Roman"/>
          <w:sz w:val="32"/>
          <w:szCs w:val="32"/>
        </w:rPr>
        <w:t>，川西</w:t>
      </w:r>
      <w:r>
        <w:rPr>
          <w:rFonts w:hint="eastAsia" w:ascii="Times New Roman" w:hAnsi="Times New Roman" w:eastAsia="仿宋_GB2312" w:cs="Times New Roman"/>
          <w:sz w:val="32"/>
          <w:szCs w:val="32"/>
          <w:highlight w:val="none"/>
        </w:rPr>
        <w:t>藏区</w:t>
      </w:r>
      <w:r>
        <w:rPr>
          <w:rFonts w:ascii="Times New Roman" w:hAnsi="Times New Roman" w:eastAsia="仿宋_GB2312" w:cs="Times New Roman"/>
          <w:sz w:val="32"/>
          <w:szCs w:val="32"/>
        </w:rPr>
        <w:t>生态保护与建设工程治理3.2</w:t>
      </w:r>
      <w:r>
        <w:rPr>
          <w:rFonts w:hint="eastAsia" w:ascii="Times New Roman" w:hAnsi="Times New Roman" w:eastAsia="仿宋_GB2312" w:cs="Times New Roman"/>
          <w:sz w:val="32"/>
          <w:szCs w:val="32"/>
        </w:rPr>
        <w:t>万亩</w:t>
      </w:r>
      <w:r>
        <w:rPr>
          <w:rFonts w:ascii="Times New Roman" w:hAnsi="Times New Roman" w:eastAsia="仿宋_GB2312" w:cs="Times New Roman"/>
          <w:sz w:val="32"/>
          <w:szCs w:val="32"/>
        </w:rPr>
        <w:t>。退牧还草8万亩，草原改良5万亩，草畜平衡314.75万亩，禁牧193万亩，全面完成全县60个村的生态村创建任务。全县空气质量优良天数比例99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以上，空气质量达标率100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。“川甘青</w:t>
      </w:r>
      <w:r>
        <w:rPr>
          <w:rFonts w:hint="eastAsia" w:ascii="Times New Roman" w:hAnsi="Times New Roman" w:eastAsia="仿宋_GB2312" w:cs="Times New Roman"/>
          <w:sz w:val="32"/>
          <w:szCs w:val="32"/>
        </w:rPr>
        <w:t>结合部</w:t>
      </w:r>
      <w:r>
        <w:rPr>
          <w:rFonts w:ascii="Times New Roman" w:hAnsi="Times New Roman" w:eastAsia="仿宋_GB2312" w:cs="Times New Roman"/>
          <w:sz w:val="32"/>
          <w:szCs w:val="32"/>
        </w:rPr>
        <w:t>河源生态文明示范县”目标初步实现，生态面貌显著改善。</w:t>
      </w:r>
    </w:p>
    <w:bookmarkEnd w:id="10"/>
    <w:p>
      <w:pPr>
        <w:adjustRightInd w:val="0"/>
        <w:snapToGrid w:val="0"/>
        <w:spacing w:line="55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基础设施建设实现新跨越。</w:t>
      </w:r>
      <w:r>
        <w:rPr>
          <w:rFonts w:ascii="Times New Roman" w:hAnsi="Times New Roman" w:eastAsia="仿宋_GB2312" w:cs="Times New Roman"/>
          <w:sz w:val="32"/>
          <w:szCs w:val="32"/>
        </w:rPr>
        <w:t>城镇化建设取得重大突破，“高原林海秀城”和中壤塘特色文化小镇建设取得显著成效，市政基础设施全面提升，城乡面貌焕然一新；交通建设不断提速，完成G227改建工程等重点项目，完成100%建制乡镇、村“通客车”，实现全县“两通”目标，实现农村公路列养率100%，成功创建</w:t>
      </w:r>
      <w:r>
        <w:rPr>
          <w:rFonts w:hint="eastAsia" w:ascii="Times New Roman" w:hAnsi="Times New Roman" w:eastAsia="仿宋_GB2312" w:cs="Times New Roman"/>
          <w:sz w:val="32"/>
          <w:szCs w:val="32"/>
        </w:rPr>
        <w:t>省</w:t>
      </w:r>
      <w:r>
        <w:rPr>
          <w:rFonts w:ascii="Times New Roman" w:hAnsi="Times New Roman" w:eastAsia="仿宋_GB2312" w:cs="Times New Roman"/>
          <w:sz w:val="32"/>
          <w:szCs w:val="32"/>
        </w:rPr>
        <w:t xml:space="preserve"> “四好农村路”示范县；水利建设稳步推进，农村安全饮水全面建成，完成中壤塘则曲河防洪治理工程等重点项目，完成则曲河、杜柯河等河道治理和清淤工作；能源建设持续增效，电力建设步伐加快，尤日村等9个村农网改造升级，热布卡1兆瓦光伏电站并网发电；</w:t>
      </w:r>
      <w:r>
        <w:rPr>
          <w:rFonts w:hint="eastAsia" w:ascii="Times New Roman" w:hAnsi="Times New Roman" w:eastAsia="仿宋_GB2312" w:cs="Times New Roman"/>
          <w:sz w:val="32"/>
          <w:szCs w:val="32"/>
        </w:rPr>
        <w:t>通讯</w:t>
      </w:r>
      <w:r>
        <w:rPr>
          <w:rFonts w:ascii="Times New Roman" w:hAnsi="Times New Roman" w:eastAsia="仿宋_GB2312" w:cs="Times New Roman"/>
          <w:sz w:val="32"/>
          <w:szCs w:val="32"/>
        </w:rPr>
        <w:t>能力持续增强，新建基站67个，公路沿线新增65公里网络覆盖。电子商务、“互联网+”等新兴业态活力初显。</w:t>
      </w:r>
    </w:p>
    <w:p>
      <w:pPr>
        <w:adjustRightInd w:val="0"/>
        <w:snapToGrid w:val="0"/>
        <w:spacing w:line="55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社会事业全面提升。</w:t>
      </w:r>
      <w:r>
        <w:rPr>
          <w:rFonts w:ascii="Times New Roman" w:hAnsi="Times New Roman" w:eastAsia="仿宋_GB2312" w:cs="Times New Roman"/>
          <w:sz w:val="32"/>
          <w:szCs w:val="32"/>
        </w:rPr>
        <w:t>“十三五”时期，教育强县扎实推进，通过均衡验收达标，县寄宿制中学学生规模突破千人大关，义务教育阶段入学率、巩固率分别达到99.9</w:t>
      </w:r>
      <w:r>
        <w:rPr>
          <w:rFonts w:hint="eastAsia" w:ascii="Times New Roman" w:hAnsi="Times New Roman" w:eastAsia="仿宋_GB2312" w:cs="Times New Roman"/>
          <w:sz w:val="32"/>
          <w:szCs w:val="32"/>
        </w:rPr>
        <w:t>1</w:t>
      </w:r>
      <w:r>
        <w:rPr>
          <w:rFonts w:ascii="Times New Roman" w:hAnsi="Times New Roman" w:eastAsia="仿宋_GB2312" w:cs="Times New Roman"/>
          <w:sz w:val="32"/>
          <w:szCs w:val="32"/>
        </w:rPr>
        <w:t>%、92.9%。卫生健康服务提质扩面，“健康壤塘”行动深入实施，完善分级诊疗体系，县医院完成综合改造提升，中藏医院成功创建“二甲”，妇计中心通过“二乙”评审，人口自然增长率10.1‰；社会保障全面提升，群众就业渠道不断拓宽，城镇登记失业率稳控在</w:t>
      </w:r>
      <w:r>
        <w:rPr>
          <w:rFonts w:hint="eastAsia" w:ascii="Times New Roman" w:hAnsi="Times New Roman" w:eastAsia="仿宋_GB2312" w:cs="Times New Roman"/>
          <w:sz w:val="32"/>
          <w:szCs w:val="32"/>
        </w:rPr>
        <w:t>3.5</w:t>
      </w:r>
      <w:r>
        <w:rPr>
          <w:rFonts w:ascii="Times New Roman" w:hAnsi="Times New Roman" w:eastAsia="仿宋_GB2312" w:cs="Times New Roman"/>
          <w:sz w:val="32"/>
          <w:szCs w:val="32"/>
        </w:rPr>
        <w:t>%以内；“五险一金”持续扩面，实现养老保险2.9万人、医疗保险4.4万人、失业保险2353人、工伤保险3593人、生育保险579人，社保卡全面普及使用；妇女儿童、老弱病残、农民工等弱势群体权益得到较好保障，慈善、救助事业蓬勃发展；文化体育繁荣发展，非遗产业不断壮大，“壤巴拉”节已经形成节庆品牌，群众性文体活动丰富多彩。公共服务均等化水平不断提高，人民群众获得感和幸福感显著增强。</w:t>
      </w:r>
    </w:p>
    <w:p>
      <w:pPr>
        <w:adjustRightInd w:val="0"/>
        <w:snapToGrid w:val="0"/>
        <w:spacing w:line="55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社会治理成效显著。</w:t>
      </w:r>
      <w:r>
        <w:rPr>
          <w:rFonts w:ascii="Times New Roman" w:hAnsi="Times New Roman" w:eastAsia="仿宋_GB2312" w:cs="Times New Roman"/>
          <w:sz w:val="32"/>
          <w:szCs w:val="32"/>
        </w:rPr>
        <w:t>全面深化依法治县，社会大局更加安定有序，人民群众安居乐业。“两联一进”群众工作全覆盖、“7+2”零距离亲民、“四大五访”活动等深入推进，群众基础更加牢固；反分维稳斗争持续深入，扫黑除恶专项行动取得阶段性成效，社会管控能力全面增强。荣获“七五”普法全国先进县，人民调解更加给力，“三山一界”持续稳定，“雪亮工程”建设有序实施，网格化管理成效显著；民族宗教和睦和顺，“五个认同”更加深厚，省级民族团结进步示范县成果更加巩固，成功创建示范单位126个。严格依法治寺管僧，“四项责任”全面落实，“五评一审”深入推进，“五美寺庙”创建深入推进，寺庙管理更加规范有序，</w:t>
      </w:r>
      <w:r>
        <w:rPr>
          <w:rFonts w:hint="eastAsia" w:ascii="Times New Roman" w:hAnsi="Times New Roman" w:eastAsia="仿宋_GB2312" w:cs="Times New Roman"/>
          <w:sz w:val="32"/>
          <w:szCs w:val="32"/>
          <w:highlight w:val="none"/>
        </w:rPr>
        <w:t>自治德</w:t>
      </w:r>
      <w:r>
        <w:rPr>
          <w:rFonts w:ascii="Times New Roman" w:hAnsi="Times New Roman" w:eastAsia="仿宋_GB2312" w:cs="Times New Roman"/>
          <w:sz w:val="32"/>
          <w:szCs w:val="32"/>
        </w:rPr>
        <w:t>治法治情治体系基本成型。公共安全保障有力，应急管理体制机制更加健全，社会治理体系更加完善，治理能力不断提高。</w:t>
      </w:r>
    </w:p>
    <w:p>
      <w:pPr>
        <w:adjustRightInd w:val="0"/>
        <w:snapToGrid w:val="0"/>
        <w:spacing w:line="55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改革开放不断激发社会活力。</w:t>
      </w:r>
      <w:r>
        <w:rPr>
          <w:rFonts w:ascii="Times New Roman" w:hAnsi="Times New Roman" w:eastAsia="仿宋_GB2312" w:cs="Times New Roman"/>
          <w:sz w:val="32"/>
          <w:szCs w:val="32"/>
        </w:rPr>
        <w:t>改革创新持续深化，乡镇行政区划调整全面完成，财税体制改革“减税降费”全面落实。金融服务综合改革不断深化，农村集体产权制度改革持续推进，全面完成农村土地确权颁证。全县非公有制经济占经济总量比重达到39.8%，营商环境进一步优化。对口帮扶更加高效，东西扶贫协作成效显著，与绵阳、温州对口帮扶地区产业合作、劳务协作、教育扶贫不断深化。招商引资务实开展，累计利用县外资金7.85亿元，“走出去”和“引进来”战略初见成效，组织企业参加“西博会”“农商对接会”“川货电商节”“川货全国行”等大型活动，社会发展活力明显增强。</w:t>
      </w:r>
    </w:p>
    <w:p>
      <w:pPr>
        <w:adjustRightInd w:val="0"/>
        <w:snapToGrid w:val="0"/>
        <w:spacing w:line="520" w:lineRule="exact"/>
        <w:jc w:val="center"/>
        <w:rPr>
          <w:rFonts w:ascii="Times New Roman" w:hAnsi="Times New Roman" w:eastAsia="仿宋" w:cs="Times New Roman"/>
          <w:sz w:val="32"/>
          <w:szCs w:val="32"/>
        </w:rPr>
      </w:pPr>
      <w:bookmarkStart w:id="11" w:name="_Hlk67242623"/>
      <w:r>
        <w:rPr>
          <w:rFonts w:ascii="Times New Roman" w:hAnsi="Times New Roman" w:eastAsia="黑体" w:cs="Times New Roman"/>
          <w:sz w:val="30"/>
          <w:szCs w:val="30"/>
        </w:rPr>
        <w:t>专栏1  “十三五”</w:t>
      </w:r>
      <w:r>
        <w:rPr>
          <w:rFonts w:hint="eastAsia" w:ascii="Times New Roman" w:hAnsi="Times New Roman" w:eastAsia="黑体" w:cs="Times New Roman"/>
          <w:sz w:val="30"/>
          <w:szCs w:val="30"/>
        </w:rPr>
        <w:t>时期</w:t>
      </w:r>
      <w:r>
        <w:rPr>
          <w:rFonts w:ascii="Times New Roman" w:hAnsi="Times New Roman" w:eastAsia="黑体" w:cs="Times New Roman"/>
          <w:sz w:val="30"/>
          <w:szCs w:val="30"/>
        </w:rPr>
        <w:t>主要经济社会指标完成情况</w:t>
      </w:r>
    </w:p>
    <w:tbl>
      <w:tblPr>
        <w:tblStyle w:val="12"/>
        <w:tblW w:w="8800" w:type="dxa"/>
        <w:tblInd w:w="1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60"/>
        <w:gridCol w:w="2310"/>
        <w:gridCol w:w="2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2015</w:t>
            </w:r>
            <w:r>
              <w:rPr>
                <w:rFonts w:hint="eastAsia" w:ascii="Times New Roman" w:hAnsi="Times New Roman" w:eastAsia="仿宋" w:cs="Times New Roman"/>
                <w:sz w:val="24"/>
              </w:rPr>
              <w:t>年</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2020</w:t>
            </w:r>
            <w:r>
              <w:rPr>
                <w:rFonts w:hint="eastAsia" w:ascii="Times New Roman" w:hAnsi="Times New Roman" w:eastAsia="仿宋" w:cs="Times New Roman"/>
                <w:sz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GDP（</w:t>
            </w:r>
            <w:r>
              <w:rPr>
                <w:rFonts w:hint="eastAsia" w:ascii="Times New Roman" w:hAnsi="Times New Roman" w:eastAsia="仿宋" w:cs="Times New Roman"/>
                <w:sz w:val="24"/>
              </w:rPr>
              <w:t>亿</w:t>
            </w:r>
            <w:r>
              <w:rPr>
                <w:rFonts w:ascii="Times New Roman" w:hAnsi="Times New Roman" w:eastAsia="仿宋" w:cs="Times New Roman"/>
                <w:sz w:val="24"/>
              </w:rPr>
              <w:t>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7.76</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13.21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一产增加值（万元）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kern w:val="0"/>
                <w:sz w:val="24"/>
              </w:rPr>
              <w:t>23378</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38093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二产增加值（万元）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12831</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5526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ind w:firstLine="720" w:firstLineChars="300"/>
              <w:rPr>
                <w:rFonts w:ascii="Times New Roman" w:hAnsi="Times New Roman" w:eastAsia="仿宋" w:cs="Times New Roman"/>
                <w:sz w:val="24"/>
              </w:rPr>
            </w:pPr>
            <w:r>
              <w:rPr>
                <w:rFonts w:ascii="Times New Roman" w:hAnsi="Times New Roman" w:eastAsia="仿宋" w:cs="Times New Roman"/>
                <w:sz w:val="24"/>
              </w:rPr>
              <w:t>其中：工业增加值（万元）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1773</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2157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ind w:firstLine="720" w:firstLineChars="300"/>
              <w:rPr>
                <w:rFonts w:ascii="Times New Roman" w:hAnsi="Times New Roman" w:eastAsia="仿宋" w:cs="Times New Roman"/>
                <w:sz w:val="24"/>
              </w:rPr>
            </w:pPr>
            <w:r>
              <w:rPr>
                <w:rFonts w:ascii="Times New Roman" w:hAnsi="Times New Roman" w:eastAsia="仿宋" w:cs="Times New Roman"/>
                <w:sz w:val="24"/>
              </w:rPr>
              <w:t>建筑业增加值（万元）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11508</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3369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三产增加值（万元）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36304</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88470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三次产业结构</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32.2：17.7：50.1</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24.5：5.7：69.8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全年民营经济实现增加值（万元）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kern w:val="0"/>
                <w:sz w:val="24"/>
              </w:rPr>
              <w:t>28271</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52639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固定资产投资（万元）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150241</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119400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地方公共一般预算收入（万元）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2007</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2468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社会消费品零售总额（</w:t>
            </w:r>
            <w:r>
              <w:rPr>
                <w:rFonts w:hint="eastAsia" w:ascii="Times New Roman" w:hAnsi="Times New Roman" w:eastAsia="仿宋" w:cs="Times New Roman"/>
                <w:sz w:val="24"/>
              </w:rPr>
              <w:t>亿</w:t>
            </w:r>
            <w:r>
              <w:rPr>
                <w:rFonts w:ascii="Times New Roman" w:hAnsi="Times New Roman" w:eastAsia="仿宋" w:cs="Times New Roman"/>
                <w:sz w:val="24"/>
              </w:rPr>
              <w:t>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2</w:t>
            </w:r>
            <w:r>
              <w:rPr>
                <w:rFonts w:hint="eastAsia" w:ascii="Times New Roman" w:hAnsi="Times New Roman" w:eastAsia="仿宋" w:cs="Times New Roman"/>
                <w:sz w:val="24"/>
              </w:rPr>
              <w:t>.</w:t>
            </w:r>
            <w:r>
              <w:rPr>
                <w:rFonts w:ascii="Times New Roman" w:hAnsi="Times New Roman" w:eastAsia="仿宋" w:cs="Times New Roman"/>
                <w:sz w:val="24"/>
              </w:rPr>
              <w:t>02</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户籍人口</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43092</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46484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常住人口</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41600</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43860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公路总里程（公里）</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713</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城镇人口可支配收入（元）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26664</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37549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农村人口可支配收入（元）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8653</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13976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城镇登记失业率（%）</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hint="eastAsia" w:ascii="Times New Roman" w:hAnsi="Times New Roman" w:eastAsia="仿宋" w:cs="Times New Roman"/>
                <w:sz w:val="24"/>
                <w:highlight w:val="none"/>
              </w:rPr>
              <w:t>＜</w:t>
            </w:r>
            <w:r>
              <w:rPr>
                <w:rFonts w:ascii="Times New Roman" w:hAnsi="Times New Roman" w:eastAsia="仿宋" w:cs="Times New Roman"/>
                <w:sz w:val="24"/>
              </w:rPr>
              <w:t>3.7</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hint="eastAsia" w:ascii="Times New Roman" w:hAnsi="Times New Roman" w:eastAsia="仿宋" w:cs="Times New Roman"/>
                <w:sz w:val="24"/>
                <w:highlight w:val="none"/>
              </w:rPr>
              <w:t>＜</w:t>
            </w:r>
            <w:r>
              <w:rPr>
                <w:rFonts w:ascii="Times New Roman" w:hAnsi="Times New Roman" w:eastAsia="仿宋" w:cs="Times New Roman"/>
                <w:sz w:val="24"/>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旅游接待人口（万人次）</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30.01</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37</w:t>
            </w:r>
            <w:r>
              <w:rPr>
                <w:rFonts w:hint="eastAsia" w:ascii="Times New Roman" w:hAnsi="Times New Roman" w:eastAsia="仿宋" w:cs="Times New Roman"/>
                <w:sz w:val="24"/>
              </w:rPr>
              <w:t>．6</w:t>
            </w:r>
            <w:r>
              <w:rPr>
                <w:rFonts w:ascii="Times New Roman" w:hAnsi="Times New Roman" w:eastAsia="仿宋" w:cs="Times New Roman"/>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旅游收入（万元）</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27087</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29200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广播电视综合覆盖率（%）</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97.5%</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新农合参合率（%）</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99.07</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60" w:type="dxa"/>
            <w:vAlign w:val="center"/>
          </w:tcPr>
          <w:p>
            <w:pPr>
              <w:adjustRightInd w:val="0"/>
              <w:snapToGrid w:val="0"/>
              <w:spacing w:line="280" w:lineRule="exact"/>
              <w:rPr>
                <w:rFonts w:ascii="Times New Roman" w:hAnsi="Times New Roman" w:eastAsia="仿宋" w:cs="Times New Roman"/>
                <w:sz w:val="24"/>
              </w:rPr>
            </w:pPr>
            <w:r>
              <w:rPr>
                <w:rFonts w:ascii="Times New Roman" w:hAnsi="Times New Roman" w:eastAsia="仿宋" w:cs="Times New Roman"/>
                <w:sz w:val="24"/>
              </w:rPr>
              <w:t>森林覆盖率（%）</w:t>
            </w:r>
          </w:p>
        </w:tc>
        <w:tc>
          <w:tcPr>
            <w:tcW w:w="231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34</w:t>
            </w:r>
          </w:p>
        </w:tc>
        <w:tc>
          <w:tcPr>
            <w:tcW w:w="2530" w:type="dxa"/>
            <w:vAlign w:val="center"/>
          </w:tcPr>
          <w:p>
            <w:pPr>
              <w:adjustRightInd w:val="0"/>
              <w:snapToGrid w:val="0"/>
              <w:spacing w:line="280" w:lineRule="exact"/>
              <w:jc w:val="center"/>
              <w:rPr>
                <w:rFonts w:ascii="Times New Roman" w:hAnsi="Times New Roman" w:eastAsia="仿宋" w:cs="Times New Roman"/>
                <w:sz w:val="24"/>
              </w:rPr>
            </w:pPr>
            <w:r>
              <w:rPr>
                <w:rFonts w:ascii="Times New Roman" w:hAnsi="Times New Roman" w:eastAsia="仿宋" w:cs="Times New Roman"/>
                <w:sz w:val="24"/>
              </w:rPr>
              <w:t>46.9</w:t>
            </w:r>
          </w:p>
        </w:tc>
      </w:tr>
      <w:bookmarkEnd w:id="11"/>
    </w:tbl>
    <w:p/>
    <w:p/>
    <w:p>
      <w:pPr>
        <w:spacing w:line="560" w:lineRule="exact"/>
        <w:jc w:val="center"/>
        <w:outlineLvl w:val="1"/>
        <w:rPr>
          <w:rFonts w:ascii="Times New Roman" w:hAnsi="Times New Roman" w:eastAsia="宋体" w:cs="Times New Roman"/>
          <w:b/>
          <w:bCs/>
          <w:sz w:val="36"/>
          <w:szCs w:val="36"/>
        </w:rPr>
      </w:pPr>
      <w:bookmarkStart w:id="12" w:name="_Toc23572"/>
      <w:bookmarkStart w:id="13" w:name="_Toc5652"/>
      <w:r>
        <w:rPr>
          <w:rFonts w:ascii="Times New Roman" w:hAnsi="Times New Roman" w:eastAsia="宋体" w:cs="Times New Roman"/>
          <w:b/>
          <w:bCs/>
          <w:sz w:val="36"/>
          <w:szCs w:val="36"/>
        </w:rPr>
        <w:t>第二节  发展环境</w:t>
      </w:r>
      <w:bookmarkEnd w:id="12"/>
      <w:bookmarkEnd w:id="13"/>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“十四五”时期，</w:t>
      </w:r>
      <w:r>
        <w:rPr>
          <w:rFonts w:hint="eastAsia" w:ascii="Times New Roman" w:hAnsi="Times New Roman" w:eastAsia="仿宋_GB2312" w:cs="Times New Roman"/>
          <w:sz w:val="32"/>
          <w:szCs w:val="32"/>
        </w:rPr>
        <w:t>壤塘县</w:t>
      </w:r>
      <w:r>
        <w:rPr>
          <w:rFonts w:ascii="Times New Roman" w:hAnsi="Times New Roman" w:eastAsia="仿宋_GB2312" w:cs="Times New Roman"/>
          <w:sz w:val="32"/>
          <w:szCs w:val="32"/>
        </w:rPr>
        <w:t>享受中央支持涉藏</w:t>
      </w:r>
      <w:r>
        <w:rPr>
          <w:rFonts w:hint="eastAsia" w:ascii="Times New Roman" w:hAnsi="Times New Roman" w:eastAsia="仿宋_GB2312" w:cs="Times New Roman"/>
          <w:sz w:val="32"/>
          <w:szCs w:val="32"/>
        </w:rPr>
        <w:t>州县</w:t>
      </w:r>
      <w:r>
        <w:rPr>
          <w:rFonts w:ascii="Times New Roman" w:hAnsi="Times New Roman" w:eastAsia="仿宋_GB2312" w:cs="Times New Roman"/>
          <w:sz w:val="32"/>
          <w:szCs w:val="32"/>
        </w:rPr>
        <w:t>发展各项政策红利，以及新时代西部大开发、乡村振兴战略、成渝地区双城经济圈等战略机遇，同时面临“双循环”新发展格局。但仍然面临基础设施、生态建设、社会治理、防止返贫等压力与挑战。总体而言，机遇仍大于挑战。</w:t>
      </w:r>
    </w:p>
    <w:p>
      <w:pPr>
        <w:spacing w:line="560" w:lineRule="exact"/>
        <w:ind w:firstLine="643" w:firstLineChars="200"/>
        <w:outlineLvl w:val="2"/>
        <w:rPr>
          <w:rFonts w:ascii="Times New Roman" w:hAnsi="Times New Roman" w:eastAsia="黑体" w:cs="Times New Roman"/>
          <w:b/>
          <w:bCs/>
          <w:sz w:val="32"/>
          <w:szCs w:val="32"/>
        </w:rPr>
      </w:pPr>
      <w:bookmarkStart w:id="14" w:name="_Toc15855"/>
      <w:r>
        <w:rPr>
          <w:rFonts w:ascii="Times New Roman" w:hAnsi="Times New Roman" w:eastAsia="黑体" w:cs="Times New Roman"/>
          <w:b/>
          <w:bCs/>
          <w:sz w:val="32"/>
          <w:szCs w:val="32"/>
        </w:rPr>
        <w:t>一、机遇与优势</w:t>
      </w:r>
      <w:bookmarkEnd w:id="14"/>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（一）中央第七次西藏工作座谈会及各项支持涉藏地区发展政策的叠加带来的机遇。</w:t>
      </w:r>
      <w:r>
        <w:rPr>
          <w:rFonts w:ascii="Times New Roman" w:hAnsi="Times New Roman" w:eastAsia="仿宋_GB2312" w:cs="Times New Roman"/>
          <w:sz w:val="32"/>
          <w:szCs w:val="32"/>
        </w:rPr>
        <w:t>中央第七次西藏工作座谈会明确提出，要提升发展质量，保障和改善民生，推进生态文明建设，加强党的组织和政权建设等一系列重要任务，进一步提出要推动建设一批重大基础设施和公共服务设施。党的十九届四中全会作出了推进国家治理体系和治理能力现代化的决定，国家层面对川甘青交界地区经济社会发展和平安振兴，以及东西部扶贫协作和对口援藏等各项支持涉藏地区发展政策的叠加，为推动壤塘县“十四五”发展民生稳定提供了强大的宏观政策支撑。</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（二）新时代推进西部大开发带来的机遇。</w:t>
      </w:r>
      <w:r>
        <w:rPr>
          <w:rFonts w:ascii="Times New Roman" w:hAnsi="Times New Roman" w:eastAsia="仿宋_GB2312" w:cs="Times New Roman"/>
          <w:sz w:val="32"/>
          <w:szCs w:val="32"/>
        </w:rPr>
        <w:t>《中共中央国务院关于新时代推进西部大开发形成新格局的指导意见》提出了很多支持西部发展的政策，包括推动农村一二三产业深度融合，促进农牧业全产业链、价值链转型升级，优化能源供需结构，提升清洁电力输送能力，大力促进城乡融合发展，强化基础设施规划建设，深入实施重点生态工程，加快推进西部地区绿色发展，强化公共服务建设等政策，对全县“十四五”发展带来巨大的机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（三）全面推动乡村振兴战略带来的机遇。</w:t>
      </w:r>
      <w:r>
        <w:rPr>
          <w:rFonts w:ascii="Times New Roman" w:hAnsi="Times New Roman" w:eastAsia="仿宋_GB2312" w:cs="Times New Roman"/>
          <w:sz w:val="32"/>
          <w:szCs w:val="32"/>
        </w:rPr>
        <w:t>2018年以来，开始全面实施以“产业兴旺、生态宜居、乡风文明、治理有效、生活富裕”为总体要求的乡村振兴战略，对推动全县补齐乡村基础设施和公共服务短板，构建乡村产业体系，推动全县高质量发展，进一步巩固脱贫攻坚成果，继续提高农村基本公共服务水平，进一步提高乡村治理能力，推动全县生态环境建设，促进城乡融合等全面发展带来千载难逢的历史机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（四）成渝地区双城经济圈建设带来的机遇。</w:t>
      </w:r>
      <w:r>
        <w:rPr>
          <w:rFonts w:ascii="Times New Roman" w:hAnsi="Times New Roman" w:eastAsia="仿宋_GB2312" w:cs="Times New Roman"/>
          <w:sz w:val="32"/>
          <w:szCs w:val="32"/>
        </w:rPr>
        <w:t>中央明确要推动成渝地区双城经济圈建设，在西部形成高质量发展的重要增长极。川西北生态示范区建设作为成渝地区双城经济圈“强化毗邻合作和功能协作”的重要内容之一，全县生态、文化、旅游资源丰富，重庆市作为壤塘重要客源地，成渝地区双城经济圈建设，将对生态建设、文化旅游产业发展带来重大机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（五）中国经济“双循环”</w:t>
      </w:r>
      <w:r>
        <w:rPr>
          <w:rFonts w:hint="eastAsia" w:ascii="Times New Roman" w:hAnsi="Times New Roman" w:eastAsia="楷体_GB2312" w:cs="Times New Roman"/>
          <w:b/>
          <w:bCs/>
          <w:sz w:val="32"/>
          <w:szCs w:val="32"/>
        </w:rPr>
        <w:t>格局</w:t>
      </w:r>
      <w:r>
        <w:rPr>
          <w:rFonts w:ascii="Times New Roman" w:hAnsi="Times New Roman" w:eastAsia="楷体_GB2312" w:cs="Times New Roman"/>
          <w:b/>
          <w:bCs/>
          <w:sz w:val="32"/>
          <w:szCs w:val="32"/>
        </w:rPr>
        <w:t>带来的机遇。</w:t>
      </w:r>
      <w:r>
        <w:rPr>
          <w:rFonts w:ascii="Times New Roman" w:hAnsi="Times New Roman" w:eastAsia="仿宋_GB2312" w:cs="Times New Roman"/>
          <w:sz w:val="32"/>
          <w:szCs w:val="32"/>
        </w:rPr>
        <w:t>近来，中央明确了“以国内大循环为主体、国内国际双循环相互促进”的新发展格局。“双循环”战略将贯穿“十四五”始终，成为中国经济中长期发展的主线。壤塘县生态资源、旅游产品主要面向国内消费市场，这一新的发展格局将为“十四五”期间生态农牧业、文化旅游产业、特色加工业高质量发展带来诸多新的机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（六）交通环境改善对发展生态产业带来的机遇。</w:t>
      </w:r>
      <w:r>
        <w:rPr>
          <w:rFonts w:ascii="Times New Roman" w:hAnsi="Times New Roman" w:eastAsia="仿宋_GB2312" w:cs="Times New Roman"/>
          <w:sz w:val="32"/>
          <w:szCs w:val="32"/>
        </w:rPr>
        <w:t>随着四川西部次级交通枢纽加快建设，环红原机场旅游经济圈带动效应持续发力，甘孜机场通航，汶马高速公路建成通车，Ｇ317、Ｇ227改造升级，以及川青铁路、川青高速、Ｓ453、伊日路逐步开工建设，内外交通条件将大幅改善，壤塘作为北向出川门户的重要地位更加突出。而且马尔康—壤塘—德格、班玛—壤塘—新龙、壤塘—炉霍—康定等多条支线公路</w:t>
      </w:r>
      <w:r>
        <w:rPr>
          <w:rFonts w:hint="eastAsia" w:ascii="Times New Roman" w:hAnsi="Times New Roman" w:eastAsia="仿宋_GB2312" w:cs="Times New Roman"/>
          <w:sz w:val="32"/>
          <w:szCs w:val="32"/>
        </w:rPr>
        <w:t>已</w:t>
      </w:r>
      <w:r>
        <w:rPr>
          <w:rFonts w:ascii="Times New Roman" w:hAnsi="Times New Roman" w:eastAsia="仿宋_GB2312" w:cs="Times New Roman"/>
          <w:sz w:val="32"/>
          <w:szCs w:val="32"/>
        </w:rPr>
        <w:t>纳入全省交通规划，对“十四五”期间发展全域旅游，促进特色加工业、生态农牧业快速发展带来了良好的发展机遇。</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此外，</w:t>
      </w:r>
      <w:r>
        <w:rPr>
          <w:rFonts w:ascii="Times New Roman" w:hAnsi="Times New Roman" w:eastAsia="楷体_GB2312" w:cs="Times New Roman"/>
          <w:b/>
          <w:bCs/>
          <w:sz w:val="32"/>
          <w:szCs w:val="32"/>
        </w:rPr>
        <w:t>全县还面临一系列国家、省州层面重大部署所带来的发展机遇：</w:t>
      </w:r>
      <w:r>
        <w:rPr>
          <w:rFonts w:ascii="Times New Roman" w:hAnsi="Times New Roman" w:eastAsia="仿宋_GB2312" w:cs="Times New Roman"/>
          <w:sz w:val="32"/>
          <w:szCs w:val="32"/>
        </w:rPr>
        <w:t>长江经济带建设、全国民族团结进步示范州</w:t>
      </w:r>
      <w:r>
        <w:rPr>
          <w:rFonts w:hint="eastAsia" w:ascii="Times New Roman" w:hAnsi="Times New Roman" w:eastAsia="仿宋_GB2312" w:cs="Times New Roman"/>
          <w:sz w:val="32"/>
          <w:szCs w:val="32"/>
        </w:rPr>
        <w:t>；阿坝州第三（壤巴拉）</w:t>
      </w:r>
      <w:r>
        <w:rPr>
          <w:rFonts w:ascii="Times New Roman" w:hAnsi="Times New Roman" w:eastAsia="仿宋_GB2312" w:cs="Times New Roman"/>
          <w:sz w:val="32"/>
          <w:szCs w:val="32"/>
        </w:rPr>
        <w:t>机场、南水北调重大工程；全州争创国家生态建设示范区、国家全域旅游示范区；全州打造西北草原特色产业示范带等重大布局和政策交汇叠加</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以及全县独特丰富的民族文化资源、森林资源、清洁能源等，必将为“十四五”发展带来良好的发展环境。</w:t>
      </w:r>
    </w:p>
    <w:p>
      <w:pPr>
        <w:spacing w:line="560" w:lineRule="exact"/>
        <w:ind w:firstLine="643" w:firstLineChars="200"/>
        <w:outlineLvl w:val="2"/>
        <w:rPr>
          <w:rFonts w:ascii="Times New Roman" w:hAnsi="Times New Roman" w:eastAsia="黑体" w:cs="Times New Roman"/>
          <w:b/>
          <w:bCs/>
          <w:sz w:val="32"/>
          <w:szCs w:val="32"/>
        </w:rPr>
      </w:pPr>
      <w:bookmarkStart w:id="15" w:name="_Toc23787"/>
      <w:r>
        <w:rPr>
          <w:rFonts w:ascii="Times New Roman" w:hAnsi="Times New Roman" w:eastAsia="黑体" w:cs="Times New Roman"/>
          <w:b/>
          <w:bCs/>
          <w:sz w:val="32"/>
          <w:szCs w:val="32"/>
        </w:rPr>
        <w:t>二、困难与挑战</w:t>
      </w:r>
      <w:bookmarkEnd w:id="1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“十四五”时期，</w:t>
      </w:r>
      <w:r>
        <w:rPr>
          <w:rFonts w:hint="eastAsia" w:ascii="Times New Roman" w:hAnsi="Times New Roman" w:eastAsia="仿宋_GB2312" w:cs="Times New Roman"/>
          <w:sz w:val="32"/>
          <w:szCs w:val="32"/>
        </w:rPr>
        <w:t>壤塘</w:t>
      </w:r>
      <w:r>
        <w:rPr>
          <w:rFonts w:ascii="Times New Roman" w:hAnsi="Times New Roman" w:eastAsia="仿宋_GB2312" w:cs="Times New Roman"/>
          <w:sz w:val="32"/>
          <w:szCs w:val="32"/>
        </w:rPr>
        <w:t xml:space="preserve">仍然面临诸多内外部发展困难和挑战，需要进行克服和破解。 </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（一）基础设施短板较多，对经济社会发展支撑乏力。</w:t>
      </w:r>
      <w:r>
        <w:rPr>
          <w:rFonts w:ascii="Times New Roman" w:hAnsi="Times New Roman" w:eastAsia="仿宋_GB2312" w:cs="Times New Roman"/>
          <w:sz w:val="32"/>
          <w:szCs w:val="32"/>
        </w:rPr>
        <w:t>全县对外综合运输大通道尚未形成，县域国省干线公路网络尚不完善，壤塘—阿坝、壤塘—道孚、壤塘—色达、壤塘—</w:t>
      </w:r>
      <w:r>
        <w:rPr>
          <w:rFonts w:hint="eastAsia" w:ascii="Times New Roman" w:hAnsi="Times New Roman" w:eastAsia="仿宋_GB2312" w:cs="Times New Roman"/>
          <w:sz w:val="32"/>
          <w:szCs w:val="32"/>
        </w:rPr>
        <w:t>班玛</w:t>
      </w:r>
      <w:r>
        <w:rPr>
          <w:rFonts w:ascii="Times New Roman" w:hAnsi="Times New Roman" w:eastAsia="仿宋_GB2312" w:cs="Times New Roman"/>
          <w:sz w:val="32"/>
          <w:szCs w:val="32"/>
        </w:rPr>
        <w:t>等级仍然较低，各乡镇之间交通尚存迂回现象。日斯满巴碉</w:t>
      </w:r>
      <w:r>
        <w:rPr>
          <w:rFonts w:hint="eastAsia" w:ascii="Times New Roman" w:hAnsi="Times New Roman" w:eastAsia="仿宋_GB2312" w:cs="Times New Roman"/>
          <w:sz w:val="32"/>
          <w:szCs w:val="32"/>
        </w:rPr>
        <w:t>房</w:t>
      </w:r>
      <w:r>
        <w:rPr>
          <w:rFonts w:ascii="Times New Roman" w:hAnsi="Times New Roman" w:eastAsia="仿宋_GB2312" w:cs="Times New Roman"/>
          <w:sz w:val="32"/>
          <w:szCs w:val="32"/>
        </w:rPr>
        <w:t>、香拉东吉圣山、海子山、秀沟、野人谷等旅游资源富集地区道路等级较低，对旅游业发展支撑作用严重不足。同时，全县城镇管网、环卫等市政设施建设不足，部分偏远</w:t>
      </w:r>
      <w:r>
        <w:rPr>
          <w:rFonts w:hint="eastAsia" w:ascii="Times New Roman" w:hAnsi="Times New Roman" w:eastAsia="仿宋_GB2312" w:cs="Times New Roman"/>
          <w:sz w:val="32"/>
          <w:szCs w:val="32"/>
        </w:rPr>
        <w:t>牧区</w:t>
      </w:r>
      <w:r>
        <w:rPr>
          <w:rFonts w:ascii="Times New Roman" w:hAnsi="Times New Roman" w:eastAsia="仿宋_GB2312" w:cs="Times New Roman"/>
          <w:sz w:val="32"/>
          <w:szCs w:val="32"/>
        </w:rPr>
        <w:t>仍然存在用电难、通信不稳、季节性缺水等困难，基础设施综合承载能力整体不高。</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（二）生态资源环境约束明显，对发展空间形成制约。</w:t>
      </w:r>
      <w:r>
        <w:rPr>
          <w:rFonts w:ascii="Times New Roman" w:hAnsi="Times New Roman" w:eastAsia="仿宋_GB2312" w:cs="Times New Roman"/>
          <w:sz w:val="32"/>
          <w:szCs w:val="32"/>
        </w:rPr>
        <w:t>以南莫且国家级湿地自然保护区和杜苟拉自然保护区为主的生态红线面积约占</w:t>
      </w:r>
      <w:r>
        <w:rPr>
          <w:rFonts w:hint="eastAsia" w:ascii="Times New Roman" w:hAnsi="Times New Roman" w:eastAsia="仿宋_GB2312" w:cs="Times New Roman"/>
          <w:sz w:val="32"/>
          <w:szCs w:val="32"/>
        </w:rPr>
        <w:t>全县</w:t>
      </w:r>
      <w:r>
        <w:rPr>
          <w:rFonts w:ascii="Times New Roman" w:hAnsi="Times New Roman" w:eastAsia="仿宋_GB2312" w:cs="Times New Roman"/>
          <w:sz w:val="32"/>
          <w:szCs w:val="32"/>
        </w:rPr>
        <w:t>国土面积的一半以上，基础设施、公共服务、产业发展、资源开发等建设受生态环境制约明显。且全县自然灾害、气象灾害频发，土地资源约束明显，环境容量受限，特别是县城、上寨等地区建设用地与高质量发展矛盾突出，产业发展和项目建设面临刚性约束。</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（三）财政困难短期难以缓解，基础设施和公共服务建设面临较大困难。</w:t>
      </w:r>
      <w:r>
        <w:rPr>
          <w:rFonts w:ascii="Times New Roman" w:hAnsi="Times New Roman" w:eastAsia="仿宋_GB2312" w:cs="Times New Roman"/>
          <w:sz w:val="32"/>
          <w:szCs w:val="32"/>
        </w:rPr>
        <w:t>20</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年，壤塘县地区生产总值居全州末位，一般公共预算收入仅2</w:t>
      </w:r>
      <w:r>
        <w:rPr>
          <w:rFonts w:hint="eastAsia" w:ascii="Times New Roman" w:hAnsi="Times New Roman" w:eastAsia="仿宋_GB2312" w:cs="Times New Roman"/>
          <w:sz w:val="32"/>
          <w:szCs w:val="32"/>
        </w:rPr>
        <w:t>468</w:t>
      </w:r>
      <w:r>
        <w:rPr>
          <w:rFonts w:ascii="Times New Roman" w:hAnsi="Times New Roman" w:eastAsia="仿宋_GB2312" w:cs="Times New Roman"/>
          <w:sz w:val="32"/>
          <w:szCs w:val="32"/>
        </w:rPr>
        <w:t>万元，支出却高达19.16亿元，财政自给率不足2%。随着减税降费等政策的实施，短期内财政收入将继续维持低位增长。因此，“十四五”时期，用于改善基础设施和发展社会事业的资金将更加困难，特别是需要地方配套资金的项目实施难度将更大。</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（四）产业发展不充分，融合程度整体较低。</w:t>
      </w:r>
      <w:r>
        <w:rPr>
          <w:rFonts w:ascii="Times New Roman" w:hAnsi="Times New Roman" w:eastAsia="仿宋_GB2312" w:cs="Times New Roman"/>
          <w:sz w:val="32"/>
          <w:szCs w:val="32"/>
        </w:rPr>
        <w:t>受自然条件影响，全县经济总量仍较弱小，在全州13个县（市）中连续多年排位末端。同时，产业结构有待优化，存在第一产业没有特色、第二产业缺乏支柱、第三产业质量不优的结构性矛盾。而且产业融合程度较低，产业链条短，产品优势不突出。尽管全县文化产业发展迅速，但对旅游产业带动作用有限，农业与旅游业、加工业与旅游业、文化产业与旅游业之间融合程度较低。</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（五）农牧民持续稳定增收难度较大，返贫压力依然存在。</w:t>
      </w:r>
      <w:r>
        <w:rPr>
          <w:rFonts w:ascii="Times New Roman" w:hAnsi="Times New Roman" w:eastAsia="仿宋_GB2312" w:cs="Times New Roman"/>
          <w:sz w:val="32"/>
          <w:szCs w:val="32"/>
        </w:rPr>
        <w:t>壤塘县是四川省45个深度贫困县之一，贫困量大、面广、程度深，贫病交织。尽管实现脱贫摘帽，但生态环境、发展基础、地理区位等制约瓶颈尚未彻底破除，民生问题依然突出，脱贫人口、边缘人口极易返贫，巩固脱贫攻坚成果形势依然严峻。而且部分脱贫人口思想观念落后，因循守旧，自我发展的内生动力严重不足。因此，持续稳定脱贫和增收致富的阻力和困难仍然较大。</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（六）受新冠疫情和外部环境影响，经济发展不稳定性和不确定性增多。</w:t>
      </w:r>
      <w:r>
        <w:rPr>
          <w:rFonts w:ascii="Times New Roman" w:hAnsi="Times New Roman" w:eastAsia="仿宋_GB2312" w:cs="Times New Roman"/>
          <w:sz w:val="32"/>
          <w:szCs w:val="32"/>
        </w:rPr>
        <w:t>当前，我国正处在转型升级、动能转换的关键阶段，在规模上新动能短期内尚难与传统动能等量齐观，下行压力不容忽视。而且在全球新冠疫情大环境下，疫情导致的失业增加、收入下降和消费减弱意味着国内需求的全面恢复尚需时日，“六保”“六稳”将成为“十四五”前半程常态化疫情防控下的经济工作思路的主要内容，经济发展的不稳定性和不确定性明显增多，给全县持续稳定健康发展形成一定的外部压力。</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spacing w:line="700" w:lineRule="exact"/>
        <w:jc w:val="center"/>
        <w:outlineLvl w:val="0"/>
        <w:rPr>
          <w:rFonts w:ascii="Times New Roman" w:hAnsi="Times New Roman" w:eastAsia="方正小标宋_GBK" w:cs="Times New Roman"/>
          <w:sz w:val="44"/>
          <w:szCs w:val="44"/>
        </w:rPr>
      </w:pPr>
      <w:bookmarkStart w:id="16" w:name="_Toc9150"/>
      <w:bookmarkStart w:id="17" w:name="_Toc28028"/>
      <w:r>
        <w:rPr>
          <w:rFonts w:ascii="Times New Roman" w:hAnsi="Times New Roman" w:eastAsia="方正小标宋_GBK" w:cs="Times New Roman"/>
          <w:sz w:val="44"/>
          <w:szCs w:val="44"/>
        </w:rPr>
        <w:t>第二章  科学谋划“145”发展战略，合力建设“川甘青结合部区域强县”</w:t>
      </w:r>
      <w:bookmarkEnd w:id="16"/>
      <w:bookmarkEnd w:id="17"/>
    </w:p>
    <w:p>
      <w:pPr>
        <w:spacing w:line="520" w:lineRule="exact"/>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8" w:name="_Toc23397"/>
      <w:bookmarkStart w:id="19" w:name="_Toc20384"/>
      <w:r>
        <w:rPr>
          <w:rFonts w:ascii="Times New Roman" w:hAnsi="Times New Roman" w:eastAsia="宋体" w:cs="Times New Roman"/>
          <w:b/>
          <w:bCs/>
          <w:sz w:val="36"/>
          <w:szCs w:val="36"/>
        </w:rPr>
        <w:t>第一节  指导思想</w:t>
      </w:r>
      <w:bookmarkEnd w:id="18"/>
      <w:bookmarkEnd w:id="19"/>
    </w:p>
    <w:p>
      <w:pPr>
        <w:spacing w:line="520" w:lineRule="exact"/>
        <w:ind w:firstLine="640" w:firstLineChars="200"/>
        <w:rPr>
          <w:rFonts w:ascii="Times New Roman" w:hAnsi="Times New Roman" w:eastAsia="仿宋_GB2312" w:cs="Times New Roman"/>
          <w:sz w:val="32"/>
          <w:szCs w:val="32"/>
        </w:rPr>
      </w:pP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高举中国特色社会主义伟大旗帜，深入贯彻落实党的十九大、十九届二中、三中、四中、五中全会和中央第七次西藏工作座谈会精神，以毛泽东思想、邓小平理论、“三个代表”重要思想、科学发展观、习近平新时代中国特色社会主义思想为指导，深入贯彻落实习近平总书记系列重要讲话精神，坚持“五位一体”总体布局和“四个全面”战略布局，牢固树立和落实五大发展理念，认真践行习近平总书记来川重要讲话指示精神，深度融入省委“一干多支，五区协同”和州委“一州两区三家园”战略布局，围绕“经济更具实力、城乡更显秀美、社会更为和谐、生活更加幸福”的宏伟蓝图，坚持“生态优先、民生优先、教育优先、文化优先”发展战略，以</w:t>
      </w:r>
      <w:r>
        <w:rPr>
          <w:rFonts w:ascii="Times New Roman" w:hAnsi="Times New Roman" w:eastAsia="楷体_GB2312" w:cs="Times New Roman"/>
          <w:b/>
          <w:bCs/>
          <w:sz w:val="32"/>
          <w:szCs w:val="32"/>
        </w:rPr>
        <w:t>“川甘青结合部区域强县”</w:t>
      </w:r>
      <w:r>
        <w:rPr>
          <w:rFonts w:ascii="Times New Roman" w:hAnsi="Times New Roman" w:eastAsia="仿宋_GB2312" w:cs="Times New Roman"/>
          <w:sz w:val="32"/>
          <w:szCs w:val="32"/>
        </w:rPr>
        <w:t>为总目标，着力创建</w:t>
      </w:r>
      <w:r>
        <w:rPr>
          <w:rFonts w:ascii="Times New Roman" w:hAnsi="Times New Roman" w:eastAsia="楷体_GB2312" w:cs="Times New Roman"/>
          <w:b/>
          <w:bCs/>
          <w:sz w:val="32"/>
          <w:szCs w:val="32"/>
        </w:rPr>
        <w:t>“国家铸牢中华民族共同体意识示范县”，</w:t>
      </w:r>
      <w:r>
        <w:rPr>
          <w:rFonts w:ascii="Times New Roman" w:hAnsi="Times New Roman" w:eastAsia="仿宋_GB2312" w:cs="Times New Roman"/>
          <w:sz w:val="32"/>
          <w:szCs w:val="32"/>
        </w:rPr>
        <w:t>加快建设</w:t>
      </w:r>
      <w:r>
        <w:rPr>
          <w:rFonts w:ascii="Times New Roman" w:hAnsi="Times New Roman" w:eastAsia="楷体_GB2312" w:cs="Times New Roman"/>
          <w:b/>
          <w:bCs/>
          <w:sz w:val="32"/>
          <w:szCs w:val="32"/>
        </w:rPr>
        <w:t>“川甘青结合部河源生态文明示范县”“川甘青结合部文旅融合发展示范县”和“川甘青结合部基层社会治理示范县”，</w:t>
      </w:r>
      <w:r>
        <w:rPr>
          <w:rFonts w:ascii="Times New Roman" w:hAnsi="Times New Roman" w:eastAsia="仿宋_GB2312" w:cs="Times New Roman"/>
          <w:sz w:val="32"/>
          <w:szCs w:val="32"/>
        </w:rPr>
        <w:t>全面提升综合实力和区域竞争力，合力建设</w:t>
      </w:r>
      <w:r>
        <w:rPr>
          <w:rFonts w:ascii="Times New Roman" w:hAnsi="Times New Roman" w:eastAsia="楷体_GB2312" w:cs="Times New Roman"/>
          <w:b/>
          <w:bCs/>
          <w:sz w:val="32"/>
          <w:szCs w:val="32"/>
        </w:rPr>
        <w:t>“美丽壤塘、文化壤塘、幸福壤塘、开放壤塘、法治壤塘”</w:t>
      </w:r>
      <w:r>
        <w:rPr>
          <w:rFonts w:ascii="Times New Roman" w:hAnsi="Times New Roman" w:eastAsia="仿宋_GB2312" w:cs="Times New Roman"/>
          <w:sz w:val="32"/>
          <w:szCs w:val="32"/>
        </w:rPr>
        <w:t>，构建</w:t>
      </w:r>
      <w:r>
        <w:rPr>
          <w:rFonts w:ascii="Times New Roman" w:hAnsi="Times New Roman" w:eastAsia="楷体_GB2312" w:cs="Times New Roman"/>
          <w:b/>
          <w:bCs/>
          <w:sz w:val="32"/>
          <w:szCs w:val="32"/>
        </w:rPr>
        <w:t>“145”</w:t>
      </w:r>
      <w:r>
        <w:rPr>
          <w:rFonts w:ascii="Times New Roman" w:hAnsi="Times New Roman" w:eastAsia="仿宋_GB2312" w:cs="Times New Roman"/>
          <w:sz w:val="32"/>
          <w:szCs w:val="32"/>
        </w:rPr>
        <w:t>发展战略，为推动壤塘县长治久安和实现现代化奠定坚实基础。</w:t>
      </w:r>
    </w:p>
    <w:p>
      <w:pPr>
        <w:spacing w:line="52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0" w:name="_Toc18396"/>
      <w:bookmarkStart w:id="21" w:name="_Toc20345"/>
      <w:r>
        <w:rPr>
          <w:rFonts w:ascii="Times New Roman" w:hAnsi="Times New Roman" w:eastAsia="宋体" w:cs="Times New Roman"/>
          <w:b/>
          <w:bCs/>
          <w:sz w:val="36"/>
          <w:szCs w:val="36"/>
        </w:rPr>
        <w:t>第二节  基本原则</w:t>
      </w:r>
      <w:bookmarkEnd w:id="20"/>
      <w:bookmarkEnd w:id="21"/>
    </w:p>
    <w:p>
      <w:pPr>
        <w:spacing w:line="510" w:lineRule="exact"/>
        <w:ind w:firstLine="640" w:firstLineChars="200"/>
        <w:rPr>
          <w:rFonts w:ascii="Times New Roman" w:hAnsi="Times New Roman" w:eastAsia="仿宋_GB2312" w:cs="Times New Roman"/>
          <w:sz w:val="32"/>
          <w:szCs w:val="32"/>
        </w:rPr>
      </w:pPr>
    </w:p>
    <w:p>
      <w:pPr>
        <w:spacing w:line="51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 w:cs="Times New Roman"/>
          <w:b/>
          <w:bCs/>
          <w:sz w:val="32"/>
          <w:szCs w:val="32"/>
        </w:rPr>
        <w:t>坚持党的全面领导。</w:t>
      </w:r>
      <w:r>
        <w:rPr>
          <w:rFonts w:ascii="Times New Roman" w:hAnsi="Times New Roman" w:eastAsia="仿宋_GB2312" w:cs="Times New Roman"/>
          <w:sz w:val="32"/>
          <w:szCs w:val="32"/>
        </w:rPr>
        <w:t>切实增强“四个意识”，坚定“四个自信”，做到“两个维护”，坚持和完善党领导经济社会发展的体制机制，认真履行好党领导经济工作的政治责任，不断提高贯彻新发展理念、构建新发展格局的能力和水平，推动中央、省委、州委各项经济决策部署落地落实。</w:t>
      </w:r>
    </w:p>
    <w:p>
      <w:pPr>
        <w:spacing w:line="51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 w:cs="Times New Roman"/>
          <w:b/>
          <w:bCs/>
          <w:sz w:val="32"/>
          <w:szCs w:val="32"/>
        </w:rPr>
        <w:t>坚持新发展理念。</w:t>
      </w:r>
      <w:r>
        <w:rPr>
          <w:rFonts w:ascii="Times New Roman" w:hAnsi="Times New Roman" w:eastAsia="仿宋_GB2312" w:cs="Times New Roman"/>
          <w:sz w:val="32"/>
          <w:szCs w:val="32"/>
        </w:rPr>
        <w:t>坚定不移贯彻创新、协调、绿色、开放、共享的新发展理念，把新发展理念贯穿发展全过程和各领域，构建新发展格局，切实转变发展方式，推动质量变革、效率变革、动力变革，实现更高质量、更有效率、更加公平、更可持续、更为安全的发展。</w:t>
      </w:r>
    </w:p>
    <w:p>
      <w:pPr>
        <w:spacing w:line="51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 w:cs="Times New Roman"/>
          <w:b/>
          <w:bCs/>
          <w:sz w:val="32"/>
          <w:szCs w:val="32"/>
        </w:rPr>
        <w:t>坚持以人民为中心。</w:t>
      </w:r>
      <w:r>
        <w:rPr>
          <w:rFonts w:ascii="Times New Roman" w:hAnsi="Times New Roman" w:eastAsia="仿宋_GB2312" w:cs="Times New Roman"/>
          <w:sz w:val="32"/>
          <w:szCs w:val="32"/>
        </w:rPr>
        <w:t>在经济建设和社会发展中，始终坚持以人民为中心，充分尊重广大人民群众意愿，切实发挥人民主体作用，调动群众的积极性、主动性、创造性，把维护人民群众根本利益、促进全体人民共同富裕作为出发点和落脚点，不断提升人民群众的获得感、幸福感和安全感。</w:t>
      </w:r>
    </w:p>
    <w:p>
      <w:pPr>
        <w:spacing w:line="51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 w:cs="Times New Roman"/>
          <w:b/>
          <w:bCs/>
          <w:sz w:val="32"/>
          <w:szCs w:val="32"/>
        </w:rPr>
        <w:t>坚持生态保护优先。</w:t>
      </w:r>
      <w:r>
        <w:rPr>
          <w:rFonts w:ascii="Times New Roman" w:hAnsi="Times New Roman" w:eastAsia="仿宋_GB2312" w:cs="Times New Roman"/>
          <w:sz w:val="32"/>
          <w:szCs w:val="32"/>
        </w:rPr>
        <w:t>坚持以习近平生态文明思想为指导，坚持生态保护优先，坚持用生态“底色”描绘发展“绿色”，着力提升森林、草原、河湖、湿地等自然生态系统的稳定性和生态服务功能，深入推动长江上游生态保护和治理，筑牢长江上游重要生态屏障，构建绿色发展新格局，使“高原林海秀城”更加名副其实，切实推进“川甘青结合部河源生态文明示范县”。</w:t>
      </w:r>
    </w:p>
    <w:p>
      <w:pPr>
        <w:spacing w:line="51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 w:cs="Times New Roman"/>
          <w:b/>
          <w:bCs/>
          <w:sz w:val="32"/>
          <w:szCs w:val="32"/>
        </w:rPr>
        <w:t>坚持高质量发展。</w:t>
      </w:r>
      <w:r>
        <w:rPr>
          <w:rFonts w:ascii="Times New Roman" w:hAnsi="Times New Roman" w:eastAsia="仿宋_GB2312" w:cs="Times New Roman"/>
          <w:sz w:val="32"/>
          <w:szCs w:val="32"/>
        </w:rPr>
        <w:t>深化供给侧结构性改革，打好三大攻坚战，做好“六稳”工作，落实“六保”任务，在经济建设、政治建设、文化建设、社会建设、生态文明建设等方面全方位规划，重视市场在资源配置中的决定性作用，优化营商环境，构建绿色发展体系，在构建“双循环”新发展格局中实现更大作为，为全面建设社会主义现代化开启良好开端。</w:t>
      </w:r>
    </w:p>
    <w:p>
      <w:pPr>
        <w:spacing w:line="51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 w:cs="Times New Roman"/>
          <w:b/>
          <w:bCs/>
          <w:sz w:val="32"/>
          <w:szCs w:val="32"/>
        </w:rPr>
        <w:t>坚持城乡融合发展。</w:t>
      </w:r>
      <w:r>
        <w:rPr>
          <w:rFonts w:ascii="Times New Roman" w:hAnsi="Times New Roman" w:eastAsia="仿宋_GB2312" w:cs="Times New Roman"/>
          <w:sz w:val="32"/>
          <w:szCs w:val="32"/>
        </w:rPr>
        <w:t>推动一二三产业融合发展，增强产业发展的联动效益，提升产品附加值。推动城乡融合发展，以“补短板、强弱项、提质量”作为解决城乡发展不平衡、不协调问题</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抓手，统筹把握城乡融合发展格局，推动城乡要素自由流动、平等交换，构建城乡一体的规划体系、产业体系、公共服务体系和生态保护体系。</w:t>
      </w:r>
    </w:p>
    <w:p>
      <w:pPr>
        <w:spacing w:line="51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 w:cs="Times New Roman"/>
          <w:b/>
          <w:bCs/>
          <w:sz w:val="32"/>
          <w:szCs w:val="32"/>
        </w:rPr>
        <w:t>坚持改革开放与区域合作。</w:t>
      </w:r>
      <w:r>
        <w:rPr>
          <w:rFonts w:ascii="Times New Roman" w:hAnsi="Times New Roman" w:eastAsia="仿宋_GB2312" w:cs="Times New Roman"/>
          <w:sz w:val="32"/>
          <w:szCs w:val="32"/>
        </w:rPr>
        <w:t>坚持站在更高的高度看壤塘，树立开放意识，拓展发展空间。加快壤塘融入红原—九寨经济区和川西旅游大环线，积极融入成渝地区双城经济圈和“一带一路”战略。解放思想、更新观念，加大改革力度，大力培育市场主体，完善市场体系，激发市场活力和社会创造力，构建借外力激发内力、以“输血”促进“造血”的体制机制，形成推动经济社会发展的新动能。</w:t>
      </w:r>
    </w:p>
    <w:p>
      <w:pPr>
        <w:spacing w:line="51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 w:cs="Times New Roman"/>
          <w:b/>
          <w:bCs/>
          <w:sz w:val="32"/>
          <w:szCs w:val="32"/>
        </w:rPr>
        <w:t>坚持强化基层社会治理。</w:t>
      </w:r>
      <w:r>
        <w:rPr>
          <w:rFonts w:ascii="Times New Roman" w:hAnsi="Times New Roman" w:eastAsia="仿宋_GB2312" w:cs="Times New Roman"/>
          <w:sz w:val="32"/>
          <w:szCs w:val="32"/>
        </w:rPr>
        <w:t>构建自治为基、法治为本、德治为先、情</w:t>
      </w:r>
      <w:r>
        <w:rPr>
          <w:rFonts w:hint="eastAsia" w:ascii="Times New Roman" w:hAnsi="Times New Roman" w:eastAsia="仿宋_GB2312" w:cs="Times New Roman"/>
          <w:sz w:val="32"/>
          <w:szCs w:val="32"/>
        </w:rPr>
        <w:t>治为</w:t>
      </w:r>
      <w:r>
        <w:rPr>
          <w:rFonts w:ascii="Times New Roman" w:hAnsi="Times New Roman" w:eastAsia="仿宋_GB2312" w:cs="Times New Roman"/>
          <w:sz w:val="32"/>
          <w:szCs w:val="32"/>
        </w:rPr>
        <w:t>要的乡村治理结构，维护宪法法律权威，推动全社会树立法治意识。把夯实基层基础作为固本之策，积极引导藏传佛教与社会主义相适应。坚持维护祖国统一、加强民族团结，旗帜鲜明反对分裂，铸牢中华民族共同体意识，促进各民族像</w:t>
      </w:r>
      <w:r>
        <w:rPr>
          <w:rFonts w:hint="eastAsia" w:ascii="Times New Roman" w:hAnsi="Times New Roman" w:eastAsia="仿宋_GB2312" w:cs="Times New Roman"/>
          <w:sz w:val="32"/>
          <w:szCs w:val="32"/>
          <w:highlight w:val="none"/>
        </w:rPr>
        <w:t>石榴籽</w:t>
      </w:r>
      <w:r>
        <w:rPr>
          <w:rFonts w:ascii="Times New Roman" w:hAnsi="Times New Roman" w:eastAsia="仿宋_GB2312" w:cs="Times New Roman"/>
          <w:sz w:val="32"/>
          <w:szCs w:val="32"/>
        </w:rPr>
        <w:t>一样紧紧抱在一起。构建充满活力、和谐有序、民族团结的壤塘社会治理新格局。</w:t>
      </w:r>
    </w:p>
    <w:p>
      <w:pPr>
        <w:spacing w:line="560" w:lineRule="exact"/>
        <w:jc w:val="center"/>
        <w:outlineLvl w:val="1"/>
        <w:rPr>
          <w:rFonts w:ascii="Times New Roman" w:hAnsi="Times New Roman" w:eastAsia="宋体" w:cs="Times New Roman"/>
          <w:b/>
          <w:bCs/>
          <w:sz w:val="36"/>
          <w:szCs w:val="36"/>
        </w:rPr>
      </w:pPr>
      <w:bookmarkStart w:id="22" w:name="_Toc11076"/>
      <w:bookmarkStart w:id="23" w:name="_Toc13494"/>
      <w:r>
        <w:rPr>
          <w:rFonts w:ascii="Times New Roman" w:hAnsi="Times New Roman" w:eastAsia="宋体" w:cs="Times New Roman"/>
          <w:b/>
          <w:bCs/>
          <w:sz w:val="36"/>
          <w:szCs w:val="36"/>
        </w:rPr>
        <w:t>第三节  发展目标</w:t>
      </w:r>
      <w:bookmarkEnd w:id="22"/>
      <w:bookmarkEnd w:id="23"/>
    </w:p>
    <w:p>
      <w:pPr>
        <w:spacing w:line="520" w:lineRule="exact"/>
        <w:ind w:firstLine="640" w:firstLineChars="200"/>
        <w:rPr>
          <w:rFonts w:ascii="Times New Roman" w:hAnsi="Times New Roman" w:eastAsia="仿宋_GB2312" w:cs="Times New Roman"/>
          <w:sz w:val="32"/>
          <w:szCs w:val="32"/>
        </w:rPr>
      </w:pPr>
    </w:p>
    <w:p>
      <w:pPr>
        <w:spacing w:line="520" w:lineRule="exact"/>
        <w:ind w:firstLine="643" w:firstLineChars="200"/>
        <w:outlineLvl w:val="2"/>
        <w:rPr>
          <w:rFonts w:ascii="Times New Roman" w:hAnsi="Times New Roman" w:eastAsia="黑体" w:cs="Times New Roman"/>
          <w:sz w:val="32"/>
          <w:szCs w:val="32"/>
        </w:rPr>
      </w:pPr>
      <w:bookmarkStart w:id="24" w:name="_Toc20972"/>
      <w:r>
        <w:rPr>
          <w:rFonts w:ascii="Times New Roman" w:hAnsi="Times New Roman" w:eastAsia="黑体" w:cs="Times New Roman"/>
          <w:b/>
          <w:bCs/>
          <w:sz w:val="32"/>
          <w:szCs w:val="32"/>
        </w:rPr>
        <w:t>一、总体目标</w:t>
      </w:r>
      <w:bookmarkEnd w:id="24"/>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到2025年，</w:t>
      </w:r>
      <w:r>
        <w:rPr>
          <w:rFonts w:ascii="Times New Roman" w:hAnsi="Times New Roman" w:eastAsia="楷体_GB2312" w:cs="Times New Roman"/>
          <w:b/>
          <w:bCs/>
          <w:sz w:val="32"/>
          <w:szCs w:val="32"/>
        </w:rPr>
        <w:t>“美丽壤塘、文化壤塘、幸福壤塘、开放壤塘、法治壤塘”</w:t>
      </w:r>
      <w:r>
        <w:rPr>
          <w:rFonts w:ascii="Times New Roman" w:hAnsi="Times New Roman" w:eastAsia="仿宋_GB2312" w:cs="Times New Roman"/>
          <w:sz w:val="32"/>
          <w:szCs w:val="32"/>
        </w:rPr>
        <w:t>基本建成，</w:t>
      </w:r>
      <w:r>
        <w:rPr>
          <w:rFonts w:ascii="Times New Roman" w:hAnsi="Times New Roman" w:eastAsia="楷体_GB2312" w:cs="Times New Roman"/>
          <w:b/>
          <w:bCs/>
          <w:sz w:val="32"/>
          <w:szCs w:val="32"/>
        </w:rPr>
        <w:t>“国家铸牢中华民族共同体意识示范县” “川甘青结合部河源生态文明示范县”“川甘青结合部文旅融合发展示范县”和“川甘青结合部基层社会治理示范县”</w:t>
      </w:r>
      <w:r>
        <w:rPr>
          <w:rFonts w:ascii="Times New Roman" w:hAnsi="Times New Roman" w:eastAsia="仿宋_GB2312" w:cs="Times New Roman"/>
          <w:sz w:val="32"/>
          <w:szCs w:val="32"/>
        </w:rPr>
        <w:t>初步实现，</w:t>
      </w:r>
      <w:r>
        <w:rPr>
          <w:rFonts w:ascii="Times New Roman" w:hAnsi="Times New Roman" w:eastAsia="楷体_GB2312" w:cs="Times New Roman"/>
          <w:b/>
          <w:bCs/>
          <w:sz w:val="32"/>
          <w:szCs w:val="32"/>
        </w:rPr>
        <w:t>“川甘青结合部区域强县”</w:t>
      </w:r>
      <w:r>
        <w:rPr>
          <w:rFonts w:ascii="Times New Roman" w:hAnsi="Times New Roman" w:eastAsia="仿宋_GB2312" w:cs="Times New Roman"/>
          <w:sz w:val="32"/>
          <w:szCs w:val="32"/>
        </w:rPr>
        <w:t>建设取得重大突破。</w:t>
      </w:r>
    </w:p>
    <w:p>
      <w:pPr>
        <w:spacing w:line="520" w:lineRule="exact"/>
        <w:ind w:firstLine="643" w:firstLineChars="200"/>
        <w:outlineLvl w:val="2"/>
        <w:rPr>
          <w:rFonts w:ascii="Times New Roman" w:hAnsi="Times New Roman" w:eastAsia="黑体" w:cs="Times New Roman"/>
          <w:b/>
          <w:bCs/>
          <w:sz w:val="32"/>
          <w:szCs w:val="32"/>
        </w:rPr>
      </w:pPr>
      <w:bookmarkStart w:id="25" w:name="_Toc25004"/>
      <w:r>
        <w:rPr>
          <w:rFonts w:ascii="Times New Roman" w:hAnsi="Times New Roman" w:eastAsia="黑体" w:cs="Times New Roman"/>
          <w:b/>
          <w:bCs/>
          <w:sz w:val="32"/>
          <w:szCs w:val="32"/>
        </w:rPr>
        <w:t>二、具体目标</w:t>
      </w:r>
      <w:bookmarkEnd w:id="25"/>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充分考虑壤塘发展的阶段性特征和未来发展的支撑条件，在已经确定的总体目标任务基础上，努力实现以下具体目标：</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高质量发展格局初步形成。</w:t>
      </w:r>
      <w:r>
        <w:rPr>
          <w:rFonts w:ascii="Times New Roman" w:hAnsi="Times New Roman" w:eastAsia="仿宋_GB2312" w:cs="Times New Roman"/>
          <w:sz w:val="32"/>
          <w:szCs w:val="32"/>
        </w:rPr>
        <w:t>“十四五”期间，实现地区生产总值年均增长7%—9%，到2025年GDP总量力争突破20亿元。固定资产投资年均增长8%—10%，地方一般公共财政收入年均增长6%—8%，社会消费品零售总额年均增长8%—10%，城乡居民人均可支配收入年均分别增长6%—7%和9</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10%以上，城镇调查失业率控制在3.7%以内。旅游接待人次和旅游收入年均增长8%—10%。到“十四五”末，县域综合经济实力显著增强，发展质量明显提升，高原现代农牧业产业体系初步形成，加工业和新能源产业取得突破，文化旅游产业比重进一步加大，三次产业结构更加优化，</w:t>
      </w:r>
      <w:r>
        <w:rPr>
          <w:rFonts w:hint="eastAsia" w:ascii="Times New Roman" w:hAnsi="Times New Roman" w:eastAsia="楷体_GB2312" w:cs="Times New Roman"/>
          <w:b/>
          <w:bCs/>
          <w:sz w:val="32"/>
          <w:szCs w:val="32"/>
        </w:rPr>
        <w:t>“川甘青结合部区域强县”</w:t>
      </w:r>
      <w:r>
        <w:rPr>
          <w:rFonts w:ascii="Times New Roman" w:hAnsi="Times New Roman" w:eastAsia="仿宋_GB2312" w:cs="Times New Roman"/>
          <w:sz w:val="32"/>
          <w:szCs w:val="32"/>
        </w:rPr>
        <w:t>建设效果明显。</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生态文明建设迈上新台阶。</w:t>
      </w:r>
      <w:r>
        <w:rPr>
          <w:rFonts w:ascii="Times New Roman" w:hAnsi="Times New Roman" w:eastAsia="仿宋_GB2312" w:cs="Times New Roman"/>
          <w:sz w:val="32"/>
          <w:szCs w:val="32"/>
        </w:rPr>
        <w:t>牢固树立和践行“绿水青山就是金山银山”“冰山雪山也是金山银山”理念，尊重自然、顺应自然、保护自然，着眼于提升国家生态安全屏障体系质量，国土空间体系更加科学，全面落实重点生态功能区、生态保护红线、自然保护地等生态政策。资源循环利用体系初步建立，能源资源使用效率大幅提高，主要污染物排放得到有效控制，生态保护与建设取得重大进展，环境质量不断改善。国土空间体系更加科学，与生态文明新时代相适应的体制机制、空间格局、产业结构和生产生活方式初步形成，人们拥有天蓝、地绿、</w:t>
      </w:r>
      <w:r>
        <w:rPr>
          <w:rFonts w:hint="eastAsia" w:ascii="Times New Roman" w:hAnsi="Times New Roman" w:eastAsia="仿宋_GB2312" w:cs="Times New Roman"/>
          <w:sz w:val="32"/>
          <w:szCs w:val="32"/>
          <w:highlight w:val="none"/>
        </w:rPr>
        <w:t>水净</w:t>
      </w:r>
      <w:r>
        <w:rPr>
          <w:rFonts w:ascii="Times New Roman" w:hAnsi="Times New Roman" w:eastAsia="仿宋_GB2312" w:cs="Times New Roman"/>
          <w:sz w:val="32"/>
          <w:szCs w:val="32"/>
        </w:rPr>
        <w:t>的美好家园图景持续保持，</w:t>
      </w:r>
      <w:r>
        <w:rPr>
          <w:rFonts w:ascii="Times New Roman" w:hAnsi="Times New Roman" w:eastAsia="楷体_GB2312" w:cs="Times New Roman"/>
          <w:b/>
          <w:bCs/>
          <w:sz w:val="32"/>
          <w:szCs w:val="32"/>
        </w:rPr>
        <w:t>“美丽壤塘”</w:t>
      </w:r>
      <w:r>
        <w:rPr>
          <w:rFonts w:ascii="Times New Roman" w:hAnsi="Times New Roman" w:eastAsia="仿宋_GB2312" w:cs="Times New Roman"/>
          <w:sz w:val="32"/>
          <w:szCs w:val="32"/>
        </w:rPr>
        <w:t>建设目标初步实现，到2025年生态文明示范县创建成功。</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高原特色城镇化和乡村振兴战略取得显著成效。</w:t>
      </w:r>
      <w:r>
        <w:rPr>
          <w:rFonts w:ascii="Times New Roman" w:hAnsi="Times New Roman" w:eastAsia="仿宋_GB2312" w:cs="Times New Roman"/>
          <w:sz w:val="32"/>
          <w:szCs w:val="32"/>
        </w:rPr>
        <w:t>以强弱项补短板为重点，大力推进高原特色城镇化和乡村振兴战略。“十四五”末，全县交通路网更加完善，通行通畅能力显著提高，区域互联互通全面实现；城乡水利、电力、数字信息等基础设施支撑保障能力显著增强。乡村振兴战略全面实施，农村产业振兴、文化振兴、生态振兴、人才振兴、组织振兴的基础得到进一步夯实。城乡生产生活条件明显改善，城乡融合、区域之间一体化程度进一步提高。</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群众生活水平和质量明显提升。</w:t>
      </w:r>
      <w:r>
        <w:rPr>
          <w:rFonts w:ascii="Times New Roman" w:hAnsi="Times New Roman" w:eastAsia="仿宋_GB2312" w:cs="Times New Roman"/>
          <w:sz w:val="32"/>
          <w:szCs w:val="32"/>
        </w:rPr>
        <w:t>公共服务设施更加完善，体系更加健全，基本公共服务均等化达到全省平均水平。教育现代化取得重要进展，劳动年龄人口受教育年限明显增加。社会保障提标扩面，免费教育覆盖面、卫生和健康水平、养老保障水平、住房改善程度等民生领域指标逐年提升。就业更加充分，中等收入群体人口比重上升，各族群众生产生活条件不断改善，</w:t>
      </w:r>
      <w:r>
        <w:rPr>
          <w:rFonts w:ascii="Times New Roman" w:hAnsi="Times New Roman" w:eastAsia="楷体_GB2312" w:cs="Times New Roman"/>
          <w:b/>
          <w:bCs/>
          <w:sz w:val="32"/>
          <w:szCs w:val="32"/>
        </w:rPr>
        <w:t>“幸福壤塘”</w:t>
      </w:r>
      <w:r>
        <w:rPr>
          <w:rFonts w:ascii="Times New Roman" w:hAnsi="Times New Roman" w:eastAsia="仿宋_GB2312" w:cs="Times New Roman"/>
          <w:sz w:val="32"/>
          <w:szCs w:val="32"/>
        </w:rPr>
        <w:t>建设取得实效。</w:t>
      </w: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改革创新和开放合作新格局基本形成。</w:t>
      </w:r>
      <w:r>
        <w:rPr>
          <w:rFonts w:ascii="Times New Roman" w:hAnsi="Times New Roman" w:eastAsia="仿宋_GB2312" w:cs="Times New Roman"/>
          <w:sz w:val="32"/>
          <w:szCs w:val="32"/>
        </w:rPr>
        <w:t>重要领域、关键环节深化改革取得决定性成果，生态文明制度、商事制度、土地（草场）流转制度等改革取得成效。人民民主不断扩大，法治政府建设不断深入，司法公信力明显提高。营商环境进一步优化，融入红原机场旅游经济圈、川西旅游大环线、G317最美景观大道等旅游热点地区的程度持续加强，与“一带一路”沿线地区、藏羌彝文化走廊各地区的合作取得突破，开放型经济新格局初步形成，</w:t>
      </w:r>
      <w:r>
        <w:rPr>
          <w:rFonts w:ascii="Times New Roman" w:hAnsi="Times New Roman" w:eastAsia="楷体_GB2312" w:cs="Times New Roman"/>
          <w:b/>
          <w:bCs/>
          <w:sz w:val="32"/>
          <w:szCs w:val="32"/>
        </w:rPr>
        <w:t>“开放壤塘”</w:t>
      </w:r>
      <w:r>
        <w:rPr>
          <w:rFonts w:ascii="Times New Roman" w:hAnsi="Times New Roman" w:eastAsia="仿宋_GB2312" w:cs="Times New Roman"/>
          <w:sz w:val="32"/>
          <w:szCs w:val="32"/>
        </w:rPr>
        <w:t>初步形成，经济社会发展活力竞相迸发</w:t>
      </w:r>
      <w:r>
        <w:rPr>
          <w:rFonts w:hint="eastAsia" w:ascii="Times New Roman" w:hAnsi="Times New Roman" w:eastAsia="仿宋_GB2312" w:cs="Times New Roman"/>
          <w:sz w:val="32"/>
          <w:szCs w:val="32"/>
        </w:rPr>
        <w:t>。</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治理体系和治理能力不断优化。</w:t>
      </w:r>
      <w:r>
        <w:rPr>
          <w:rFonts w:ascii="Times New Roman" w:hAnsi="Times New Roman" w:eastAsia="仿宋_GB2312" w:cs="Times New Roman"/>
          <w:sz w:val="32"/>
          <w:szCs w:val="32"/>
        </w:rPr>
        <w:t>依法治县取得积极成效，“八五”普法成效明显，全社会法治意识普遍增强。各方面各层次利益诉求得到及时反映和协调，矛盾纠纷得到有效化解，各族群众的积极性和创造性充分发挥。基层组织、基础工作、基本能力建设显著加强，寺院管理规范有序，治理体系进一步健全，社会主义核心价值观更加深入人心，社会更加和谐稳定，民族团结进步事业走在全州前列，</w:t>
      </w:r>
      <w:r>
        <w:rPr>
          <w:rFonts w:ascii="Times New Roman" w:hAnsi="Times New Roman" w:eastAsia="楷体_GB2312" w:cs="Times New Roman"/>
          <w:b/>
          <w:bCs/>
          <w:sz w:val="32"/>
          <w:szCs w:val="32"/>
        </w:rPr>
        <w:t>“法治壤塘”</w:t>
      </w:r>
      <w:r>
        <w:rPr>
          <w:rFonts w:ascii="Times New Roman" w:hAnsi="Times New Roman" w:eastAsia="仿宋_GB2312" w:cs="Times New Roman"/>
          <w:sz w:val="32"/>
          <w:szCs w:val="32"/>
        </w:rPr>
        <w:t>建设持续深化。</w:t>
      </w:r>
    </w:p>
    <w:p>
      <w:pPr>
        <w:spacing w:line="540" w:lineRule="exact"/>
        <w:ind w:firstLine="643" w:firstLineChars="200"/>
        <w:outlineLvl w:val="2"/>
        <w:rPr>
          <w:rFonts w:ascii="Times New Roman" w:hAnsi="Times New Roman" w:eastAsia="黑体" w:cs="Times New Roman"/>
          <w:b/>
          <w:bCs/>
          <w:sz w:val="32"/>
          <w:szCs w:val="32"/>
        </w:rPr>
      </w:pPr>
      <w:bookmarkStart w:id="26" w:name="_Toc1079"/>
      <w:r>
        <w:rPr>
          <w:rFonts w:ascii="Times New Roman" w:hAnsi="Times New Roman" w:eastAsia="黑体" w:cs="Times New Roman"/>
          <w:b/>
          <w:bCs/>
          <w:sz w:val="32"/>
          <w:szCs w:val="32"/>
        </w:rPr>
        <w:t>三、二〇三五远景目标</w:t>
      </w:r>
      <w:bookmarkEnd w:id="26"/>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全县经济总量和城乡居民人均收入迈上新台阶，基本建成现代化经济体系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基本实现治理体系和治理能力现代化，人民平等参与、平等发展权利得到充分保障，基本建成川甘青结合部法治强县、文化强县、教育强县，国民素质和社会文明程度达到新高度。广泛形成绿色生产生活方式，生态环境根本好转，</w:t>
      </w:r>
      <w:r>
        <w:rPr>
          <w:rFonts w:ascii="Times New Roman" w:hAnsi="Times New Roman" w:eastAsia="楷体_GB2312" w:cs="Times New Roman"/>
          <w:b/>
          <w:bCs/>
          <w:sz w:val="32"/>
          <w:szCs w:val="32"/>
        </w:rPr>
        <w:t>“美丽壤塘”</w:t>
      </w:r>
      <w:r>
        <w:rPr>
          <w:rFonts w:ascii="Times New Roman" w:hAnsi="Times New Roman" w:eastAsia="仿宋_GB2312" w:cs="Times New Roman"/>
          <w:sz w:val="32"/>
          <w:szCs w:val="32"/>
        </w:rPr>
        <w:t>建设目标基本实现。人均国内生产总值达到全省平均水平，中等收入群体显著扩大，基本公共服务基本实现均等化，城乡区域发展差距和居民生活水平差距显著缩小。</w:t>
      </w:r>
      <w:r>
        <w:rPr>
          <w:rFonts w:hint="eastAsia" w:ascii="Times New Roman" w:hAnsi="Times New Roman" w:eastAsia="仿宋_GB2312" w:cs="Times New Roman"/>
          <w:b/>
          <w:bCs/>
          <w:sz w:val="32"/>
          <w:szCs w:val="32"/>
        </w:rPr>
        <w:t>“平安壤塘”</w:t>
      </w:r>
      <w:r>
        <w:rPr>
          <w:rFonts w:ascii="Times New Roman" w:hAnsi="Times New Roman" w:eastAsia="仿宋_GB2312" w:cs="Times New Roman"/>
          <w:sz w:val="32"/>
          <w:szCs w:val="32"/>
        </w:rPr>
        <w:t>建设达到更高水平。人民生活更加美好，全县人民共同富裕取得更为明显的实质性进展。人均GDP、地方财政一般预算收入、城乡居民人均可支配收入等主要指标进入川甘青结合部区域经济发展第一梯队，经济社会发展总体进入川甘青结合部地区前列，</w:t>
      </w:r>
      <w:r>
        <w:rPr>
          <w:rFonts w:hint="eastAsia" w:ascii="Times New Roman" w:hAnsi="Times New Roman" w:eastAsia="仿宋_GB2312" w:cs="Times New Roman"/>
          <w:b/>
          <w:bCs/>
          <w:sz w:val="32"/>
          <w:szCs w:val="32"/>
        </w:rPr>
        <w:t>“川甘青结合部区域强县”</w:t>
      </w:r>
      <w:r>
        <w:rPr>
          <w:rFonts w:ascii="Times New Roman" w:hAnsi="Times New Roman" w:eastAsia="仿宋_GB2312" w:cs="Times New Roman"/>
          <w:sz w:val="32"/>
          <w:szCs w:val="32"/>
        </w:rPr>
        <w:t>基本建成。</w:t>
      </w:r>
    </w:p>
    <w:tbl>
      <w:tblPr>
        <w:tblStyle w:val="11"/>
        <w:tblW w:w="8880" w:type="dxa"/>
        <w:tblInd w:w="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26"/>
        <w:gridCol w:w="4146"/>
        <w:gridCol w:w="832"/>
        <w:gridCol w:w="1496"/>
        <w:gridCol w:w="1088"/>
        <w:gridCol w:w="8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8880" w:type="dxa"/>
            <w:gridSpan w:val="6"/>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480" w:lineRule="exact"/>
              <w:jc w:val="center"/>
              <w:rPr>
                <w:rFonts w:ascii="Times New Roman" w:hAnsi="Times New Roman" w:eastAsia="黑体" w:cs="Times New Roman"/>
                <w:color w:val="000000"/>
                <w:szCs w:val="21"/>
              </w:rPr>
            </w:pPr>
            <w:r>
              <w:rPr>
                <w:rFonts w:ascii="Times New Roman" w:hAnsi="Times New Roman" w:eastAsia="黑体" w:cs="Times New Roman"/>
                <w:sz w:val="30"/>
                <w:szCs w:val="30"/>
              </w:rPr>
              <w:t>专栏2  “十四五”经济社会发展主要指标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5" w:hRule="atLeast"/>
        </w:trPr>
        <w:tc>
          <w:tcPr>
            <w:tcW w:w="4572" w:type="dxa"/>
            <w:gridSpan w:val="2"/>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指标名称</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2020</w:t>
            </w:r>
            <w:r>
              <w:rPr>
                <w:rFonts w:hint="eastAsia" w:ascii="Times New Roman" w:hAnsi="Times New Roman" w:eastAsia="黑体" w:cs="Times New Roman"/>
                <w:color w:val="000000"/>
                <w:szCs w:val="21"/>
              </w:rPr>
              <w:t>年</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2025</w:t>
            </w:r>
            <w:r>
              <w:rPr>
                <w:rFonts w:hint="eastAsia" w:ascii="Times New Roman" w:hAnsi="Times New Roman" w:eastAsia="黑体" w:cs="Times New Roman"/>
                <w:color w:val="000000"/>
                <w:szCs w:val="21"/>
              </w:rPr>
              <w:t>年</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年均增速（%）</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性质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426" w:type="dxa"/>
            <w:vMerge w:val="restart"/>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经济发展</w:t>
            </w: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地区生产总值（亿元）</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13.21</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18—20</w:t>
            </w:r>
          </w:p>
        </w:tc>
        <w:tc>
          <w:tcPr>
            <w:tcW w:w="1088"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7—9</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地方公共一般预算收入（万元）</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2468</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3260—3580</w:t>
            </w:r>
          </w:p>
        </w:tc>
        <w:tc>
          <w:tcPr>
            <w:tcW w:w="1088"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6—8</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全社会固定资产投资累计（亿元）</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11.94</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75—80</w:t>
            </w:r>
          </w:p>
        </w:tc>
        <w:tc>
          <w:tcPr>
            <w:tcW w:w="1088"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8—10</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社会消费品零售总额（亿元）</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3.33</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3.44—3.77</w:t>
            </w:r>
          </w:p>
        </w:tc>
        <w:tc>
          <w:tcPr>
            <w:tcW w:w="1088"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8—10</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旅游人次（万人次）</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37.65</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54—60</w:t>
            </w:r>
          </w:p>
        </w:tc>
        <w:tc>
          <w:tcPr>
            <w:tcW w:w="1088"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8—10</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旅游总收入（亿元）</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2.92</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4.29—4.7</w:t>
            </w:r>
          </w:p>
        </w:tc>
        <w:tc>
          <w:tcPr>
            <w:tcW w:w="1088"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8—10</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民营经济增加值（亿元）</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5.26</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7.38—8.4</w:t>
            </w:r>
          </w:p>
        </w:tc>
        <w:tc>
          <w:tcPr>
            <w:tcW w:w="1088"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8—10</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常住人口城镇化率（%）</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28</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38</w:t>
            </w:r>
          </w:p>
        </w:tc>
        <w:tc>
          <w:tcPr>
            <w:tcW w:w="1088"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restart"/>
            <w:tcBorders>
              <w:top w:val="single" w:color="000000" w:sz="4" w:space="0"/>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创新驱动</w:t>
            </w: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研发经费投入增长（%）</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研发经费投入强度（%）</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0</w:t>
            </w:r>
            <w:r>
              <w:rPr>
                <w:rFonts w:ascii="Times New Roman" w:hAnsi="Times New Roman" w:eastAsia="仿宋" w:cs="Times New Roman"/>
                <w:color w:val="000000"/>
                <w:szCs w:val="21"/>
              </w:rPr>
              <w:t>.17</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0</w:t>
            </w:r>
            <w:r>
              <w:rPr>
                <w:rFonts w:ascii="Times New Roman" w:hAnsi="Times New Roman" w:eastAsia="仿宋" w:cs="Times New Roman"/>
                <w:color w:val="000000"/>
                <w:szCs w:val="21"/>
              </w:rPr>
              <w:t>.2</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每万人口</w:t>
            </w:r>
            <w:r>
              <w:rPr>
                <w:rFonts w:hint="eastAsia" w:ascii="Times New Roman" w:hAnsi="Times New Roman" w:eastAsia="仿宋" w:cs="Times New Roman"/>
                <w:color w:val="000000"/>
                <w:szCs w:val="21"/>
                <w:lang w:eastAsia="zh-CN"/>
              </w:rPr>
              <w:t>高价值</w:t>
            </w:r>
            <w:r>
              <w:rPr>
                <w:rFonts w:ascii="Times New Roman" w:hAnsi="Times New Roman" w:eastAsia="仿宋" w:cs="Times New Roman"/>
                <w:color w:val="000000"/>
                <w:szCs w:val="21"/>
              </w:rPr>
              <w:t>发明专利拥有量（件）</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0</w:t>
            </w:r>
            <w:r>
              <w:rPr>
                <w:rFonts w:ascii="Times New Roman" w:hAnsi="Times New Roman" w:eastAsia="仿宋" w:cs="Times New Roman"/>
                <w:color w:val="000000"/>
                <w:szCs w:val="21"/>
              </w:rPr>
              <w:t>.6</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数字经济核心产业增加值占GDP比重（%）</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接近全州平均水平</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restart"/>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民生福祉</w:t>
            </w: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农村居民人均可支配收入（元）</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13976</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21648—22660</w:t>
            </w:r>
          </w:p>
        </w:tc>
        <w:tc>
          <w:tcPr>
            <w:tcW w:w="1088"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9—10</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城镇居民人均可支配收入（元）</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37549</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50929—53377</w:t>
            </w:r>
          </w:p>
        </w:tc>
        <w:tc>
          <w:tcPr>
            <w:tcW w:w="1088"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6—7</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城镇调查失业率（%）</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highlight w:val="none"/>
              </w:rPr>
              <w:t>＜</w:t>
            </w:r>
            <w:r>
              <w:rPr>
                <w:rFonts w:ascii="Times New Roman" w:hAnsi="Times New Roman" w:eastAsia="仿宋" w:cs="Times New Roman"/>
                <w:color w:val="000000"/>
                <w:szCs w:val="21"/>
              </w:rPr>
              <w:t>3.7</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highlight w:val="none"/>
              </w:rPr>
              <w:t>＜</w:t>
            </w:r>
            <w:r>
              <w:rPr>
                <w:rFonts w:ascii="Times New Roman" w:hAnsi="Times New Roman" w:eastAsia="仿宋" w:cs="Times New Roman"/>
                <w:color w:val="000000"/>
                <w:szCs w:val="21"/>
              </w:rPr>
              <w:t>3.7</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劳动年龄人口平均受教育年限（年）</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8</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9</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基本养老保险参保率（%）</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88</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95</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人均预期寿命（岁）</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7</w:t>
            </w:r>
            <w:r>
              <w:rPr>
                <w:rFonts w:ascii="Times New Roman" w:hAnsi="Times New Roman" w:eastAsia="仿宋" w:cs="Times New Roman"/>
                <w:color w:val="000000"/>
                <w:szCs w:val="21"/>
              </w:rPr>
              <w:t>5</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77</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预期性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restart"/>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绿色转型</w:t>
            </w: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单位GDP能源消耗降低（%）</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达到省控标准</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单位GDP二氧化碳排放降低（%）</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达到省控标准</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县级城市空气优良天数比率（%）</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1</w:t>
            </w:r>
            <w:r>
              <w:rPr>
                <w:rFonts w:ascii="Times New Roman" w:hAnsi="Times New Roman" w:eastAsia="仿宋" w:cs="Times New Roman"/>
                <w:color w:val="000000"/>
                <w:szCs w:val="21"/>
              </w:rPr>
              <w:t>00</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100</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地表水质量达到或好于</w:t>
            </w:r>
            <w:r>
              <w:rPr>
                <w:rFonts w:hint="eastAsia" w:ascii="Times New Roman" w:hAnsi="Times New Roman" w:eastAsia="仿宋" w:cs="Times New Roman"/>
                <w:color w:val="000000"/>
                <w:szCs w:val="21"/>
              </w:rPr>
              <w:t>Ⅲ</w:t>
            </w:r>
            <w:r>
              <w:rPr>
                <w:rFonts w:ascii="Times New Roman" w:hAnsi="Times New Roman" w:eastAsia="仿宋" w:cs="Times New Roman"/>
                <w:color w:val="000000"/>
                <w:szCs w:val="21"/>
              </w:rPr>
              <w:t>类水体比例（%）</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1</w:t>
            </w:r>
            <w:r>
              <w:rPr>
                <w:rFonts w:ascii="Times New Roman" w:hAnsi="Times New Roman" w:eastAsia="仿宋" w:cs="Times New Roman"/>
                <w:color w:val="000000"/>
                <w:szCs w:val="21"/>
              </w:rPr>
              <w:t>00</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100</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森林覆盖率（%）</w:t>
            </w:r>
          </w:p>
        </w:tc>
        <w:tc>
          <w:tcPr>
            <w:tcW w:w="832"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46.9</w:t>
            </w:r>
          </w:p>
        </w:tc>
        <w:tc>
          <w:tcPr>
            <w:tcW w:w="1496" w:type="dxa"/>
            <w:tcBorders>
              <w:top w:val="single" w:color="000000" w:sz="4" w:space="0"/>
              <w:left w:val="single" w:color="000000" w:sz="4" w:space="0"/>
              <w:bottom w:val="single" w:color="000000" w:sz="4" w:space="0"/>
              <w:right w:val="single" w:color="000000" w:sz="4" w:space="0"/>
            </w:tcBorders>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48</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3" w:hRule="atLeast"/>
        </w:trPr>
        <w:tc>
          <w:tcPr>
            <w:tcW w:w="426" w:type="dxa"/>
            <w:vMerge w:val="restart"/>
            <w:tcBorders>
              <w:left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r>
              <w:rPr>
                <w:rFonts w:ascii="Times New Roman" w:hAnsi="Times New Roman" w:eastAsia="黑体" w:cs="Times New Roman"/>
                <w:color w:val="000000"/>
                <w:szCs w:val="21"/>
              </w:rPr>
              <w:t>安全保障</w:t>
            </w: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粮食综合生产能力（吨）</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4200</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highlight w:val="none"/>
              </w:rPr>
              <w:t>＞</w:t>
            </w:r>
            <w:r>
              <w:rPr>
                <w:rFonts w:ascii="Times New Roman" w:hAnsi="Times New Roman" w:eastAsia="仿宋" w:cs="Times New Roman"/>
                <w:color w:val="000000"/>
                <w:szCs w:val="21"/>
              </w:rPr>
              <w:t>4200</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约束性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426" w:type="dxa"/>
            <w:vMerge w:val="continue"/>
            <w:tcBorders>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黑体" w:cs="Times New Roman"/>
                <w:color w:val="000000"/>
                <w:szCs w:val="21"/>
              </w:rPr>
            </w:pPr>
          </w:p>
        </w:tc>
        <w:tc>
          <w:tcPr>
            <w:tcW w:w="414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rPr>
                <w:rFonts w:ascii="Times New Roman" w:hAnsi="Times New Roman" w:eastAsia="仿宋" w:cs="Times New Roman"/>
                <w:color w:val="000000"/>
                <w:szCs w:val="21"/>
              </w:rPr>
            </w:pPr>
            <w:r>
              <w:rPr>
                <w:rFonts w:ascii="Times New Roman" w:hAnsi="Times New Roman" w:eastAsia="仿宋" w:cs="Times New Roman"/>
                <w:color w:val="000000"/>
                <w:szCs w:val="21"/>
              </w:rPr>
              <w:t>能源综合生产能力（</w:t>
            </w:r>
            <w:r>
              <w:rPr>
                <w:rFonts w:hint="eastAsia" w:ascii="Times New Roman" w:hAnsi="Times New Roman" w:eastAsia="仿宋" w:cs="Times New Roman"/>
                <w:color w:val="000000"/>
                <w:szCs w:val="21"/>
              </w:rPr>
              <w:t>亿</w:t>
            </w:r>
            <w:r>
              <w:rPr>
                <w:rFonts w:ascii="Times New Roman" w:hAnsi="Times New Roman" w:eastAsia="仿宋" w:cs="Times New Roman"/>
                <w:color w:val="000000"/>
                <w:szCs w:val="21"/>
              </w:rPr>
              <w:t>吨标准煤）</w:t>
            </w:r>
          </w:p>
        </w:tc>
        <w:tc>
          <w:tcPr>
            <w:tcW w:w="83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hint="eastAsia" w:ascii="Times New Roman" w:hAnsi="Times New Roman" w:eastAsia="仿宋" w:cs="Times New Roman"/>
                <w:color w:val="000000"/>
                <w:szCs w:val="21"/>
              </w:rPr>
              <w:t>—</w:t>
            </w:r>
          </w:p>
        </w:tc>
        <w:tc>
          <w:tcPr>
            <w:tcW w:w="1496"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hint="default" w:ascii="Times New Roman" w:hAnsi="Times New Roman" w:eastAsia="仿宋" w:cs="Times New Roman"/>
                <w:color w:val="000000"/>
                <w:szCs w:val="21"/>
                <w:lang w:val="en-US" w:eastAsia="zh-CN"/>
              </w:rPr>
            </w:pPr>
            <w:r>
              <w:rPr>
                <w:rFonts w:hint="eastAsia" w:ascii="Times New Roman" w:hAnsi="Times New Roman" w:eastAsia="仿宋" w:cs="Times New Roman"/>
                <w:color w:val="000000"/>
                <w:szCs w:val="21"/>
              </w:rPr>
              <w:t>0</w:t>
            </w:r>
            <w:r>
              <w:rPr>
                <w:rFonts w:ascii="Times New Roman" w:hAnsi="Times New Roman" w:eastAsia="仿宋" w:cs="Times New Roman"/>
                <w:color w:val="000000"/>
                <w:szCs w:val="21"/>
              </w:rPr>
              <w:t>.</w:t>
            </w:r>
            <w:r>
              <w:rPr>
                <w:rFonts w:hint="eastAsia" w:ascii="Times New Roman" w:hAnsi="Times New Roman" w:eastAsia="仿宋" w:cs="Times New Roman"/>
                <w:color w:val="000000"/>
                <w:szCs w:val="21"/>
                <w:lang w:val="en-US" w:eastAsia="zh-CN"/>
              </w:rPr>
              <w:t>03</w:t>
            </w:r>
          </w:p>
        </w:tc>
        <w:tc>
          <w:tcPr>
            <w:tcW w:w="1088"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w:t>
            </w:r>
          </w:p>
        </w:tc>
        <w:tc>
          <w:tcPr>
            <w:tcW w:w="892"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260" w:lineRule="exact"/>
              <w:jc w:val="center"/>
              <w:rPr>
                <w:rFonts w:ascii="Times New Roman" w:hAnsi="Times New Roman" w:eastAsia="仿宋" w:cs="Times New Roman"/>
                <w:color w:val="000000"/>
                <w:szCs w:val="21"/>
              </w:rPr>
            </w:pPr>
            <w:r>
              <w:rPr>
                <w:rFonts w:ascii="Times New Roman" w:hAnsi="Times New Roman" w:eastAsia="仿宋" w:cs="Times New Roman"/>
                <w:color w:val="000000"/>
                <w:szCs w:val="21"/>
              </w:rPr>
              <w:t>约束性</w:t>
            </w:r>
          </w:p>
        </w:tc>
      </w:tr>
    </w:tbl>
    <w:p>
      <w:pPr>
        <w:spacing w:line="560" w:lineRule="exact"/>
        <w:jc w:val="center"/>
        <w:outlineLvl w:val="1"/>
        <w:rPr>
          <w:rFonts w:ascii="Times New Roman" w:hAnsi="Times New Roman" w:eastAsia="宋体" w:cs="Times New Roman"/>
          <w:b/>
          <w:bCs/>
          <w:sz w:val="36"/>
          <w:szCs w:val="36"/>
        </w:rPr>
      </w:pPr>
      <w:bookmarkStart w:id="27" w:name="_Toc23422"/>
      <w:bookmarkStart w:id="28" w:name="_Toc20322"/>
      <w:r>
        <w:rPr>
          <w:rFonts w:ascii="Times New Roman" w:hAnsi="Times New Roman" w:eastAsia="宋体" w:cs="Times New Roman"/>
          <w:b/>
          <w:bCs/>
          <w:sz w:val="36"/>
          <w:szCs w:val="36"/>
        </w:rPr>
        <w:t>第四节  空间布局</w:t>
      </w:r>
      <w:bookmarkEnd w:id="27"/>
      <w:bookmarkEnd w:id="28"/>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全县城镇空间分布、产业基础、交通条件、生产力布局等因素，积极构建以县城（岗木达镇）为核，以中壤塘镇、南木达镇、上寨（蒲西）为三个区域中心，岗木达片区、南木达片区和上寨片区为三大主要发展区域，形成</w:t>
      </w:r>
      <w:r>
        <w:rPr>
          <w:rFonts w:ascii="Times New Roman" w:hAnsi="Times New Roman" w:eastAsia="楷体_GB2312" w:cs="Times New Roman"/>
          <w:b/>
          <w:bCs/>
          <w:sz w:val="32"/>
          <w:szCs w:val="32"/>
        </w:rPr>
        <w:t>“一核三心三区”</w:t>
      </w:r>
      <w:r>
        <w:rPr>
          <w:rFonts w:ascii="Times New Roman" w:hAnsi="Times New Roman" w:eastAsia="仿宋_GB2312" w:cs="Times New Roman"/>
          <w:sz w:val="32"/>
          <w:szCs w:val="32"/>
        </w:rPr>
        <w:t>发展格局。</w:t>
      </w:r>
    </w:p>
    <w:p>
      <w:pPr>
        <w:spacing w:line="560" w:lineRule="exact"/>
        <w:ind w:firstLine="643" w:firstLineChars="200"/>
        <w:outlineLvl w:val="2"/>
        <w:rPr>
          <w:rFonts w:ascii="Times New Roman" w:hAnsi="Times New Roman" w:eastAsia="黑体" w:cs="Times New Roman"/>
          <w:b/>
          <w:bCs/>
          <w:sz w:val="32"/>
          <w:szCs w:val="32"/>
        </w:rPr>
      </w:pPr>
      <w:bookmarkStart w:id="29" w:name="_Toc7407"/>
      <w:r>
        <w:rPr>
          <w:rFonts w:ascii="Times New Roman" w:hAnsi="Times New Roman" w:eastAsia="黑体" w:cs="Times New Roman"/>
          <w:b/>
          <w:bCs/>
          <w:sz w:val="32"/>
          <w:szCs w:val="32"/>
        </w:rPr>
        <w:t>一、“一核”</w:t>
      </w:r>
      <w:bookmarkEnd w:id="29"/>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即岗木达镇。</w:t>
      </w:r>
      <w:r>
        <w:rPr>
          <w:rFonts w:ascii="Times New Roman" w:hAnsi="Times New Roman" w:eastAsia="仿宋_GB2312" w:cs="Times New Roman"/>
          <w:sz w:val="32"/>
          <w:szCs w:val="32"/>
        </w:rPr>
        <w:t>大力推动岗木达镇向政治、经济、文化、商贸中心转型升级发展，辐射带动上杜柯乡和</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乡。以建设“高原林海秀城”为目标，加强市政基础设施建设，推动教育、医疗、卫生等公共服务提档升级，优化提升岗木达镇城镇化水平，优化城镇功能布局，积极发展商贸服务和旅游服务，加快发展农特产品加工业，增强对全县的辐射带动和服务功能，提高人口承载能力和吸纳能力。</w:t>
      </w:r>
    </w:p>
    <w:p>
      <w:pPr>
        <w:spacing w:line="560" w:lineRule="exact"/>
        <w:ind w:firstLine="643" w:firstLineChars="200"/>
        <w:outlineLvl w:val="2"/>
        <w:rPr>
          <w:rFonts w:ascii="Times New Roman" w:hAnsi="Times New Roman" w:eastAsia="黑体" w:cs="Times New Roman"/>
          <w:b/>
          <w:bCs/>
          <w:sz w:val="32"/>
          <w:szCs w:val="32"/>
        </w:rPr>
      </w:pPr>
      <w:bookmarkStart w:id="30" w:name="_Toc4300"/>
      <w:r>
        <w:rPr>
          <w:rFonts w:ascii="Times New Roman" w:hAnsi="Times New Roman" w:eastAsia="黑体" w:cs="Times New Roman"/>
          <w:b/>
          <w:bCs/>
          <w:sz w:val="32"/>
          <w:szCs w:val="32"/>
        </w:rPr>
        <w:t>二、“三心”</w:t>
      </w:r>
      <w:bookmarkEnd w:id="3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即中壤塘镇、南木达镇和上寨（蒲西）。将</w:t>
      </w:r>
      <w:r>
        <w:rPr>
          <w:rFonts w:ascii="Times New Roman" w:hAnsi="Times New Roman" w:eastAsia="楷体_GB2312" w:cs="Times New Roman"/>
          <w:b/>
          <w:bCs/>
          <w:sz w:val="32"/>
          <w:szCs w:val="32"/>
        </w:rPr>
        <w:t>中壤塘镇</w:t>
      </w:r>
      <w:r>
        <w:rPr>
          <w:rFonts w:ascii="Times New Roman" w:hAnsi="Times New Roman" w:eastAsia="仿宋_GB2312" w:cs="Times New Roman"/>
          <w:sz w:val="32"/>
          <w:szCs w:val="32"/>
        </w:rPr>
        <w:t>打造成文化旅游中心，辐射带动上壤塘乡和尕多乡，以</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文化为品牌，重点发展现代文化旅游业产业，积极打造“中国非遗小镇”；将</w:t>
      </w:r>
      <w:r>
        <w:rPr>
          <w:rFonts w:ascii="Times New Roman" w:hAnsi="Times New Roman" w:eastAsia="楷体_GB2312" w:cs="Times New Roman"/>
          <w:b/>
          <w:bCs/>
          <w:sz w:val="32"/>
          <w:szCs w:val="32"/>
        </w:rPr>
        <w:t>南木达镇</w:t>
      </w:r>
      <w:r>
        <w:rPr>
          <w:rFonts w:ascii="Times New Roman" w:hAnsi="Times New Roman" w:eastAsia="仿宋_GB2312" w:cs="Times New Roman"/>
          <w:sz w:val="32"/>
          <w:szCs w:val="32"/>
        </w:rPr>
        <w:t>打造成北部区域服务业和加工业中心，推动建设农贸产品重要集散地和中转站，辐射带动尕多乡和茸木达乡，积极发展现代生态农牧业和特色加工业；将</w:t>
      </w:r>
      <w:r>
        <w:rPr>
          <w:rFonts w:ascii="Times New Roman" w:hAnsi="Times New Roman" w:eastAsia="楷体_GB2312" w:cs="Times New Roman"/>
          <w:b/>
          <w:bCs/>
          <w:sz w:val="32"/>
          <w:szCs w:val="32"/>
        </w:rPr>
        <w:t>上寨（蒲西）</w:t>
      </w:r>
      <w:r>
        <w:rPr>
          <w:rFonts w:ascii="Times New Roman" w:hAnsi="Times New Roman" w:eastAsia="仿宋_GB2312" w:cs="Times New Roman"/>
          <w:sz w:val="32"/>
          <w:szCs w:val="32"/>
        </w:rPr>
        <w:t>打造成南部区域服务业和商贸物流中心，发展旅游接待服务，辐射带动宗科乡、石里乡和</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乡，积极发展生态农业、养殖业和商贸物流业，形成壤塘对外开放的南部窗口。</w:t>
      </w:r>
    </w:p>
    <w:p>
      <w:pPr>
        <w:spacing w:line="560" w:lineRule="exact"/>
        <w:ind w:firstLine="643" w:firstLineChars="200"/>
        <w:outlineLvl w:val="2"/>
        <w:rPr>
          <w:rFonts w:ascii="Times New Roman" w:hAnsi="Times New Roman" w:eastAsia="黑体" w:cs="Times New Roman"/>
          <w:b/>
          <w:bCs/>
          <w:sz w:val="32"/>
          <w:szCs w:val="32"/>
        </w:rPr>
      </w:pPr>
      <w:bookmarkStart w:id="31" w:name="_Toc8857"/>
      <w:r>
        <w:rPr>
          <w:rFonts w:ascii="Times New Roman" w:hAnsi="Times New Roman" w:eastAsia="黑体" w:cs="Times New Roman"/>
          <w:b/>
          <w:bCs/>
          <w:sz w:val="32"/>
          <w:szCs w:val="32"/>
        </w:rPr>
        <w:t>三、“三区”</w:t>
      </w:r>
      <w:bookmarkEnd w:id="3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岗木达片区。</w:t>
      </w:r>
      <w:r>
        <w:rPr>
          <w:rFonts w:ascii="Times New Roman" w:hAnsi="Times New Roman" w:eastAsia="仿宋_GB2312" w:cs="Times New Roman"/>
          <w:sz w:val="32"/>
          <w:szCs w:val="32"/>
        </w:rPr>
        <w:t>涵盖岗木达镇、上杜柯乡和</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乡，打造生态示范区。生态农业重点发展青稞和马铃薯，畜牧业以昂柯牦牛选育为主，适度推广藏香猪、中蜂养殖，积极发展林下经济。加快建设壤塘县中小微企业园区，发展特色加工业，重点发展以牦牛肉、牛奶、野生菌等为主的农畜产品加工业。服务业重点发展商贸流通、文化旅游、现代物流等产业。</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南木达片区。</w:t>
      </w:r>
      <w:r>
        <w:rPr>
          <w:rFonts w:ascii="Times New Roman" w:hAnsi="Times New Roman" w:eastAsia="仿宋_GB2312" w:cs="Times New Roman"/>
          <w:sz w:val="32"/>
          <w:szCs w:val="32"/>
        </w:rPr>
        <w:t>涵盖南木达镇、茸木达乡、尕多乡、中壤塘镇、上壤塘乡，生态农牧业重点发展青稞、蔬菜种植和牦牛养殖。围绕文化旅游业布局</w:t>
      </w:r>
      <w:r>
        <w:rPr>
          <w:rFonts w:hint="eastAsia" w:ascii="Times New Roman" w:hAnsi="Times New Roman" w:eastAsia="仿宋_GB2312" w:cs="Times New Roman"/>
          <w:sz w:val="32"/>
          <w:szCs w:val="32"/>
        </w:rPr>
        <w:t>发展</w:t>
      </w:r>
      <w:r>
        <w:rPr>
          <w:rFonts w:ascii="Times New Roman" w:hAnsi="Times New Roman" w:eastAsia="仿宋_GB2312" w:cs="Times New Roman"/>
          <w:sz w:val="32"/>
          <w:szCs w:val="32"/>
        </w:rPr>
        <w:t>服务业，发展商贸物流业和住宿餐饮业，大力发展文化产业和民族工艺，促进乡村旅游发展，发展休闲观光和户外体育旅游，丰富旅游业态。</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上寨片区。</w:t>
      </w:r>
      <w:r>
        <w:rPr>
          <w:rFonts w:ascii="Times New Roman" w:hAnsi="Times New Roman" w:eastAsia="仿宋_GB2312" w:cs="Times New Roman"/>
          <w:sz w:val="32"/>
          <w:szCs w:val="32"/>
        </w:rPr>
        <w:t>涵盖石里乡、蒲西乡、宗科乡，</w:t>
      </w:r>
      <w:r>
        <w:rPr>
          <w:rFonts w:hint="eastAsia" w:ascii="Times New Roman" w:hAnsi="Times New Roman" w:eastAsia="仿宋_GB2312" w:cs="Times New Roman"/>
          <w:sz w:val="32"/>
          <w:szCs w:val="32"/>
        </w:rPr>
        <w:t>发展</w:t>
      </w:r>
      <w:r>
        <w:rPr>
          <w:rFonts w:ascii="Times New Roman" w:hAnsi="Times New Roman" w:eastAsia="仿宋_GB2312" w:cs="Times New Roman"/>
          <w:sz w:val="32"/>
          <w:szCs w:val="32"/>
        </w:rPr>
        <w:t>牦牛肉、牛奶、青稞等为主的农畜产品加工业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积极发展双低油菜标准化种植基地和油菜加工基地，适度发展高原中低温食用菌、高原特色蔬菜、特色水果种植，适度推广藏香猪、中蜂养殖，发展林下经济。依托</w:t>
      </w:r>
      <w:r>
        <w:rPr>
          <w:rFonts w:hint="eastAsia" w:ascii="Times New Roman" w:hAnsi="Times New Roman" w:eastAsia="仿宋_GB2312" w:cs="Times New Roman"/>
          <w:sz w:val="32"/>
          <w:szCs w:val="32"/>
        </w:rPr>
        <w:t>宗科水</w:t>
      </w:r>
      <w:r>
        <w:rPr>
          <w:rFonts w:ascii="Times New Roman" w:hAnsi="Times New Roman" w:eastAsia="仿宋_GB2312" w:cs="Times New Roman"/>
          <w:sz w:val="32"/>
          <w:szCs w:val="32"/>
        </w:rPr>
        <w:t>电站、绰斯甲电站积极发展清洁能源业和电力消纳产业。利用G317交通优势，积极发展商贸物流业和乡村旅游业。</w:t>
      </w:r>
    </w:p>
    <w:p>
      <w:pPr>
        <w:spacing w:line="560" w:lineRule="exact"/>
        <w:ind w:firstLine="640" w:firstLineChars="200"/>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r>
        <w:rPr>
          <w:rFonts w:ascii="Times New Roman" w:hAnsi="Times New Roman" w:eastAsia="仿宋" w:cs="Times New Roman"/>
          <w:sz w:val="30"/>
          <w:szCs w:val="30"/>
        </w:rPr>
        <w:drawing>
          <wp:anchor distT="0" distB="0" distL="114300" distR="114300" simplePos="0" relativeHeight="251659264" behindDoc="0" locked="0" layoutInCell="1" allowOverlap="1">
            <wp:simplePos x="0" y="0"/>
            <wp:positionH relativeFrom="margin">
              <wp:posOffset>-168910</wp:posOffset>
            </wp:positionH>
            <wp:positionV relativeFrom="paragraph">
              <wp:posOffset>-6985</wp:posOffset>
            </wp:positionV>
            <wp:extent cx="5975985" cy="8222615"/>
            <wp:effectExtent l="0" t="0" r="5715" b="762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976000" cy="8222400"/>
                    </a:xfrm>
                    <a:prstGeom prst="rect">
                      <a:avLst/>
                    </a:prstGeom>
                  </pic:spPr>
                </pic:pic>
              </a:graphicData>
            </a:graphic>
          </wp:anchor>
        </w:drawing>
      </w: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numPr>
          <w:ilvl w:val="0"/>
          <w:numId w:val="1"/>
        </w:numPr>
        <w:spacing w:line="700" w:lineRule="exact"/>
        <w:ind w:left="1760" w:hanging="1760" w:hangingChars="400"/>
        <w:jc w:val="center"/>
        <w:outlineLvl w:val="0"/>
        <w:rPr>
          <w:rFonts w:ascii="Times New Roman" w:hAnsi="Times New Roman" w:eastAsia="方正小标宋_GBK" w:cs="Times New Roman"/>
          <w:sz w:val="44"/>
          <w:szCs w:val="44"/>
        </w:rPr>
      </w:pPr>
      <w:bookmarkStart w:id="32" w:name="_Toc31984"/>
      <w:bookmarkStart w:id="33" w:name="_Toc23606"/>
      <w:r>
        <w:rPr>
          <w:rFonts w:ascii="Times New Roman" w:hAnsi="Times New Roman" w:eastAsia="方正小标宋_GBK" w:cs="Times New Roman"/>
          <w:sz w:val="44"/>
          <w:szCs w:val="44"/>
        </w:rPr>
        <w:t xml:space="preserve"> 加大基础设施建设力度，</w:t>
      </w:r>
    </w:p>
    <w:p>
      <w:pPr>
        <w:numPr>
          <w:ilvl w:val="0"/>
          <w:numId w:val="0"/>
        </w:numPr>
        <w:spacing w:line="700" w:lineRule="exact"/>
        <w:ind w:leftChars="-400"/>
        <w:jc w:val="center"/>
        <w:outlineLvl w:val="0"/>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增强经济社会发展支撑能力</w:t>
      </w:r>
      <w:bookmarkEnd w:id="32"/>
      <w:bookmarkEnd w:id="33"/>
    </w:p>
    <w:p>
      <w:pPr>
        <w:spacing w:line="520" w:lineRule="exact"/>
        <w:ind w:firstLine="640" w:firstLineChars="200"/>
        <w:rPr>
          <w:rFonts w:ascii="Times New Roman" w:hAnsi="Times New Roman" w:eastAsia="仿宋_GB2312" w:cs="Times New Roman"/>
          <w:sz w:val="32"/>
          <w:szCs w:val="32"/>
        </w:rPr>
      </w:pP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加大基础设施领域补短板强弱项力度，加强交通、水利、电力、能源、数字信息等基础设施重大项目建设，进一步增强基础设施对生态建设、产业发展、公共服务、城乡融合等方面的支撑作用。</w:t>
      </w:r>
    </w:p>
    <w:p>
      <w:pPr>
        <w:spacing w:line="52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34" w:name="_Toc19304"/>
      <w:bookmarkStart w:id="35" w:name="_Toc31939"/>
      <w:r>
        <w:rPr>
          <w:rFonts w:ascii="Times New Roman" w:hAnsi="Times New Roman" w:eastAsia="宋体" w:cs="Times New Roman"/>
          <w:b/>
          <w:bCs/>
          <w:sz w:val="36"/>
          <w:szCs w:val="36"/>
        </w:rPr>
        <w:t>第一节  加强交通基础设施建设</w:t>
      </w:r>
      <w:bookmarkEnd w:id="34"/>
      <w:bookmarkEnd w:id="35"/>
    </w:p>
    <w:p>
      <w:pPr>
        <w:spacing w:line="520" w:lineRule="exact"/>
        <w:ind w:firstLine="640" w:firstLineChars="200"/>
        <w:rPr>
          <w:rFonts w:ascii="Times New Roman" w:hAnsi="Times New Roman" w:eastAsia="仿宋_GB2312" w:cs="Times New Roman"/>
          <w:sz w:val="32"/>
          <w:szCs w:val="32"/>
        </w:rPr>
      </w:pP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按照“畅通内外、完善网络、安全高效”的要求，以国省干线、</w:t>
      </w:r>
      <w:r>
        <w:rPr>
          <w:rFonts w:hint="eastAsia" w:ascii="Times New Roman" w:hAnsi="Times New Roman" w:eastAsia="仿宋_GB2312" w:cs="Times New Roman"/>
          <w:sz w:val="32"/>
          <w:szCs w:val="32"/>
        </w:rPr>
        <w:t>出县</w:t>
      </w:r>
      <w:r>
        <w:rPr>
          <w:rFonts w:ascii="Times New Roman" w:hAnsi="Times New Roman" w:eastAsia="仿宋_GB2312" w:cs="Times New Roman"/>
          <w:sz w:val="32"/>
          <w:szCs w:val="32"/>
        </w:rPr>
        <w:t>通道、联网公路、通乡通村公路、旅游公路等为重点，全面加快交通基础设施建设，构建完善的公路运输网络体系。</w:t>
      </w:r>
    </w:p>
    <w:p>
      <w:pPr>
        <w:spacing w:line="520" w:lineRule="exact"/>
        <w:ind w:firstLine="643" w:firstLineChars="200"/>
        <w:outlineLvl w:val="2"/>
        <w:rPr>
          <w:rFonts w:ascii="Times New Roman" w:hAnsi="Times New Roman" w:eastAsia="黑体" w:cs="Times New Roman"/>
          <w:b/>
          <w:bCs/>
          <w:sz w:val="32"/>
          <w:szCs w:val="32"/>
        </w:rPr>
      </w:pPr>
      <w:bookmarkStart w:id="36" w:name="_Toc9120"/>
      <w:r>
        <w:rPr>
          <w:rFonts w:ascii="Times New Roman" w:hAnsi="Times New Roman" w:eastAsia="黑体" w:cs="Times New Roman"/>
          <w:b/>
          <w:bCs/>
          <w:sz w:val="32"/>
          <w:szCs w:val="32"/>
        </w:rPr>
        <w:t>一、国省干线和骨干路网</w:t>
      </w:r>
      <w:bookmarkEnd w:id="36"/>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w:t>
      </w:r>
      <w:r>
        <w:rPr>
          <w:rFonts w:ascii="Times New Roman" w:hAnsi="Times New Roman" w:eastAsia="楷体_GB2312" w:cs="Times New Roman"/>
          <w:b/>
          <w:bCs/>
          <w:sz w:val="32"/>
          <w:szCs w:val="32"/>
        </w:rPr>
        <w:t>“全域开放、四</w:t>
      </w:r>
      <w:r>
        <w:rPr>
          <w:rFonts w:hint="eastAsia" w:ascii="Times New Roman" w:hAnsi="Times New Roman" w:eastAsia="楷体_GB2312" w:cs="Times New Roman"/>
          <w:b/>
          <w:bCs/>
          <w:sz w:val="32"/>
          <w:szCs w:val="32"/>
        </w:rPr>
        <w:t>向</w:t>
      </w:r>
      <w:r>
        <w:rPr>
          <w:rFonts w:ascii="Times New Roman" w:hAnsi="Times New Roman" w:eastAsia="楷体_GB2312" w:cs="Times New Roman"/>
          <w:b/>
          <w:bCs/>
          <w:sz w:val="32"/>
          <w:szCs w:val="32"/>
        </w:rPr>
        <w:t>拓展”</w:t>
      </w:r>
      <w:r>
        <w:rPr>
          <w:rFonts w:ascii="Times New Roman" w:hAnsi="Times New Roman" w:eastAsia="仿宋_GB2312" w:cs="Times New Roman"/>
          <w:sz w:val="32"/>
          <w:szCs w:val="32"/>
        </w:rPr>
        <w:t>发展思路，加快国省干线和骨干路网升级改造，推进国省骨干路网提档升级，有效提升出壤南向、东向、西向、北向通道建设，构建形成对外畅通、路况良好、抗灾能力强的骨干路网。向南加快推进G227改造升级步伐，推动与</w:t>
      </w:r>
      <w:r>
        <w:rPr>
          <w:rFonts w:hint="eastAsia" w:ascii="Times New Roman" w:hAnsi="Times New Roman" w:eastAsia="仿宋_GB2312" w:cs="Times New Roman"/>
          <w:sz w:val="32"/>
          <w:szCs w:val="32"/>
        </w:rPr>
        <w:t>G4217</w:t>
      </w:r>
      <w:r>
        <w:rPr>
          <w:rFonts w:ascii="Times New Roman" w:hAnsi="Times New Roman" w:eastAsia="仿宋_GB2312" w:cs="Times New Roman"/>
          <w:sz w:val="32"/>
          <w:szCs w:val="32"/>
        </w:rPr>
        <w:t>高速、（马尔）康—康（定）高速对接，积极争取G4217与岗木达镇的快速通道建设，积极打通宗科—炉霍（宗麦）</w:t>
      </w:r>
      <w:r>
        <w:rPr>
          <w:rFonts w:hint="eastAsia" w:ascii="Times New Roman" w:hAnsi="Times New Roman" w:eastAsia="仿宋_GB2312" w:cs="Times New Roman"/>
          <w:sz w:val="32"/>
          <w:szCs w:val="32"/>
        </w:rPr>
        <w:t>出县</w:t>
      </w:r>
      <w:r>
        <w:rPr>
          <w:rFonts w:ascii="Times New Roman" w:hAnsi="Times New Roman" w:eastAsia="仿宋_GB2312" w:cs="Times New Roman"/>
          <w:sz w:val="32"/>
          <w:szCs w:val="32"/>
        </w:rPr>
        <w:t>通乡路；向东借助S220</w:t>
      </w:r>
      <w:r>
        <w:rPr>
          <w:rFonts w:hint="eastAsia" w:ascii="Times New Roman" w:hAnsi="Times New Roman" w:eastAsia="仿宋_GB2312" w:cs="Times New Roman"/>
          <w:sz w:val="32"/>
          <w:szCs w:val="32"/>
        </w:rPr>
        <w:t>（日部—热脚）</w:t>
      </w:r>
      <w:r>
        <w:rPr>
          <w:rFonts w:ascii="Times New Roman" w:hAnsi="Times New Roman" w:eastAsia="仿宋_GB2312" w:cs="Times New Roman"/>
          <w:sz w:val="32"/>
          <w:szCs w:val="32"/>
        </w:rPr>
        <w:t>的建</w:t>
      </w:r>
      <w:r>
        <w:rPr>
          <w:rFonts w:hint="eastAsia" w:ascii="Times New Roman" w:hAnsi="Times New Roman" w:eastAsia="仿宋_GB2312" w:cs="Times New Roman"/>
          <w:sz w:val="32"/>
          <w:szCs w:val="32"/>
        </w:rPr>
        <w:t>设</w:t>
      </w:r>
      <w:r>
        <w:rPr>
          <w:rFonts w:ascii="Times New Roman" w:hAnsi="Times New Roman" w:eastAsia="仿宋_GB2312" w:cs="Times New Roman"/>
          <w:sz w:val="32"/>
          <w:szCs w:val="32"/>
        </w:rPr>
        <w:t>，力争打通S453上壤塘—马尔康市（日部乡）通道，同时，积极争取建设上壤塘—阿坝县茸安乡道路，打通断头路，形成中壤塘—茸安柯河大峡谷—神座旅游环线，对接久马高速；向西加快岗木达镇至色达县（洛</w:t>
      </w:r>
      <w:r>
        <w:rPr>
          <w:rFonts w:hint="eastAsia" w:ascii="Times New Roman" w:hAnsi="Times New Roman" w:eastAsia="仿宋_GB2312" w:cs="Times New Roman"/>
          <w:sz w:val="32"/>
          <w:szCs w:val="32"/>
        </w:rPr>
        <w:t>若镇</w:t>
      </w:r>
      <w:r>
        <w:rPr>
          <w:rFonts w:ascii="Times New Roman" w:hAnsi="Times New Roman" w:eastAsia="仿宋_GB2312" w:cs="Times New Roman"/>
          <w:sz w:val="32"/>
          <w:szCs w:val="32"/>
        </w:rPr>
        <w:t>）扶贫产业路的协调建设，打通壤塘—色达快速通道；向北加快S453壤（塘）班（玛）路的提升改造，积极融入川甘青交界区交通体系。同时，打通G227九倒拐隧道，打通县城至南木达片区交通瓶颈。积极对接马尔康—壤塘、班玛—壤塘—新龙、壤塘—炉霍—康定等高速公路的前期工作。结合区域经济发展、草原森林防火、社会治理等需求，</w:t>
      </w:r>
      <w:r>
        <w:rPr>
          <w:rFonts w:hint="eastAsia" w:ascii="Times New Roman" w:hAnsi="Times New Roman" w:eastAsia="仿宋_GB2312" w:cs="Times New Roman"/>
          <w:sz w:val="32"/>
          <w:szCs w:val="32"/>
        </w:rPr>
        <w:t>加快阿坝州第三（壤巴拉）机场前期工作</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积极</w:t>
      </w:r>
      <w:r>
        <w:rPr>
          <w:rFonts w:ascii="Times New Roman" w:hAnsi="Times New Roman" w:eastAsia="仿宋_GB2312" w:cs="Times New Roman"/>
          <w:sz w:val="32"/>
          <w:szCs w:val="32"/>
        </w:rPr>
        <w:t>融入</w:t>
      </w:r>
      <w:r>
        <w:rPr>
          <w:rFonts w:hint="eastAsia" w:ascii="Times New Roman" w:hAnsi="Times New Roman" w:eastAsia="仿宋_GB2312" w:cs="Times New Roman"/>
          <w:sz w:val="32"/>
          <w:szCs w:val="32"/>
        </w:rPr>
        <w:t>全州两大航空经济圈建设</w:t>
      </w:r>
      <w:r>
        <w:rPr>
          <w:rFonts w:ascii="Times New Roman" w:hAnsi="Times New Roman" w:eastAsia="仿宋_GB2312" w:cs="Times New Roman"/>
          <w:sz w:val="32"/>
          <w:szCs w:val="32"/>
        </w:rPr>
        <w:t>。</w:t>
      </w:r>
    </w:p>
    <w:p>
      <w:pPr>
        <w:spacing w:line="520" w:lineRule="exact"/>
        <w:ind w:firstLine="643" w:firstLineChars="200"/>
        <w:outlineLvl w:val="2"/>
        <w:rPr>
          <w:rFonts w:ascii="Times New Roman" w:hAnsi="Times New Roman" w:eastAsia="黑体" w:cs="Times New Roman"/>
          <w:b/>
          <w:bCs/>
          <w:sz w:val="32"/>
          <w:szCs w:val="32"/>
        </w:rPr>
      </w:pPr>
      <w:bookmarkStart w:id="37" w:name="_Toc879"/>
      <w:r>
        <w:rPr>
          <w:rFonts w:ascii="Times New Roman" w:hAnsi="Times New Roman" w:eastAsia="黑体" w:cs="Times New Roman"/>
          <w:b/>
          <w:bCs/>
          <w:sz w:val="32"/>
          <w:szCs w:val="32"/>
        </w:rPr>
        <w:t>二、县道、乡道和产业道路</w:t>
      </w:r>
      <w:bookmarkEnd w:id="37"/>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动县道、乡道和产业道路建设，积极推动县内交通小环线建设，推动G317壤塘边界至黑桥、G227黑桥至县城、S453壤塘县城至上杜柯、上杜柯至南木达（尚蓝天路）、门底沟至中壤塘旅游产业路、吾中路道路的建设和提升，构建县内交通小环线。结合全域旅游产业发展，加快实施G317蒲西乡至野人谷旅游公路、G317蒲西乡至尤日沟温泉公路、修卡旅游公路、S453岗木达至秀沟旅游公路、阿斯玛扶贫产业路、昂柯旅游产业路、X180宗科乡至老虎山旅游公路，推动全域旅游发展。</w:t>
      </w:r>
    </w:p>
    <w:p>
      <w:pPr>
        <w:spacing w:line="520" w:lineRule="exact"/>
        <w:ind w:firstLine="643" w:firstLineChars="200"/>
        <w:outlineLvl w:val="2"/>
        <w:rPr>
          <w:rFonts w:ascii="Times New Roman" w:hAnsi="Times New Roman" w:eastAsia="黑体" w:cs="Times New Roman"/>
          <w:b/>
          <w:bCs/>
          <w:sz w:val="32"/>
          <w:szCs w:val="32"/>
        </w:rPr>
      </w:pPr>
      <w:bookmarkStart w:id="38" w:name="_Toc23802"/>
      <w:r>
        <w:rPr>
          <w:rFonts w:ascii="Times New Roman" w:hAnsi="Times New Roman" w:eastAsia="黑体" w:cs="Times New Roman"/>
          <w:b/>
          <w:bCs/>
          <w:sz w:val="32"/>
          <w:szCs w:val="32"/>
        </w:rPr>
        <w:t>三、“四好农村公路”</w:t>
      </w:r>
      <w:bookmarkEnd w:id="38"/>
      <w:r>
        <w:rPr>
          <w:rFonts w:ascii="Times New Roman" w:hAnsi="Times New Roman" w:eastAsia="黑体" w:cs="Times New Roman"/>
          <w:b/>
          <w:bCs/>
          <w:sz w:val="32"/>
          <w:szCs w:val="32"/>
        </w:rPr>
        <w:t xml:space="preserve"> </w:t>
      </w: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力推进“四好农村路”建设。提升改造通村公路228公里、通组公路361.94公里、美丽乡村路50公里、安全防护工程200公里。加强连户路建设，加强上壤塘、上杜柯、茸木达等乡镇草原牧道建设。实施岗木达镇养护站建设项目。到“十四五”末，建示范乡镇1个、示范路110公里，建成1个机械化养护与应急中心，每个乡（镇）建立1个交通管理站，每个村建立一支相对稳定的养护队伍，全县农村基本达到“四好农村路”要求，成功创建 “四好农村路”示范县。</w:t>
      </w:r>
    </w:p>
    <w:p>
      <w:pPr>
        <w:spacing w:line="520" w:lineRule="exact"/>
        <w:ind w:firstLine="643" w:firstLineChars="200"/>
        <w:outlineLvl w:val="2"/>
        <w:rPr>
          <w:rFonts w:ascii="Times New Roman" w:hAnsi="Times New Roman" w:eastAsia="黑体" w:cs="Times New Roman"/>
          <w:b/>
          <w:bCs/>
          <w:sz w:val="32"/>
          <w:szCs w:val="32"/>
        </w:rPr>
      </w:pPr>
      <w:bookmarkStart w:id="39" w:name="_Toc17120"/>
      <w:r>
        <w:rPr>
          <w:rFonts w:ascii="Times New Roman" w:hAnsi="Times New Roman" w:eastAsia="黑体" w:cs="Times New Roman"/>
          <w:b/>
          <w:bCs/>
          <w:sz w:val="32"/>
          <w:szCs w:val="32"/>
        </w:rPr>
        <w:t>四、客运物流站点</w:t>
      </w:r>
      <w:bookmarkEnd w:id="39"/>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农村客运体系建设，实施壤塘县城三级客运站提升二级建设项目，重点建设中壤塘、南木达、蒲西、宗科、上杜柯等农村客运站点，提升完善10个乡镇客运站（公交站）、51个村客运招呼站。加快农村物流体系建设，完善乡村物流运输站点，打造县级综合交通运输信息服务平台。在岗木达镇建设生鲜冷链仓储物流基地。创新农村物流运输发展模式，引导农村物流企业与电商深度融合，推广农村电商、交邮合作等农村物流新模式，促进农村商贸物流业和农业产业化发展。到“十四五”末，基本建成覆盖县、乡、村三级的农村物流网络。</w:t>
      </w:r>
    </w:p>
    <w:tbl>
      <w:tblPr>
        <w:tblStyle w:val="12"/>
        <w:tblW w:w="8775"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8775" w:type="dxa"/>
            <w:vAlign w:val="center"/>
          </w:tcPr>
          <w:p>
            <w:pPr>
              <w:spacing w:line="4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专栏3  交通基础设施重点项目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5" w:type="dxa"/>
          </w:tcPr>
          <w:p>
            <w:pPr>
              <w:adjustRightInd w:val="0"/>
              <w:snapToGrid w:val="0"/>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一、高速公路和机场</w:t>
            </w:r>
          </w:p>
          <w:p>
            <w:pPr>
              <w:adjustRightInd w:val="0"/>
              <w:snapToGrid w:val="0"/>
              <w:spacing w:line="320" w:lineRule="exact"/>
              <w:ind w:firstLine="480" w:firstLineChars="200"/>
              <w:rPr>
                <w:rFonts w:ascii="Times New Roman" w:hAnsi="Times New Roman" w:eastAsia="楷体" w:cs="Times New Roman"/>
                <w:sz w:val="24"/>
              </w:rPr>
            </w:pPr>
            <w:r>
              <w:rPr>
                <w:rFonts w:ascii="Times New Roman" w:hAnsi="Times New Roman" w:eastAsia="楷体" w:cs="Times New Roman"/>
                <w:sz w:val="24"/>
              </w:rPr>
              <w:t>G4217</w:t>
            </w:r>
            <w:r>
              <w:rPr>
                <w:rFonts w:hint="eastAsia" w:ascii="楷体_GB2312" w:hAnsi="楷体_GB2312" w:eastAsia="楷体_GB2312" w:cs="楷体_GB2312"/>
                <w:sz w:val="24"/>
              </w:rPr>
              <w:t>线马尔康至德格（壤塘段）；阿坝州第三（壤巴拉）机场等。</w:t>
            </w:r>
          </w:p>
          <w:p>
            <w:pPr>
              <w:adjustRightInd w:val="0"/>
              <w:snapToGrid w:val="0"/>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二、国省干线</w:t>
            </w:r>
          </w:p>
          <w:p>
            <w:pPr>
              <w:adjustRightInd w:val="0"/>
              <w:snapToGrid w:val="0"/>
              <w:spacing w:line="320" w:lineRule="exact"/>
              <w:ind w:firstLine="480" w:firstLineChars="200"/>
              <w:rPr>
                <w:rFonts w:ascii="Times New Roman" w:hAnsi="Times New Roman" w:eastAsia="楷体" w:cs="Times New Roman"/>
                <w:sz w:val="24"/>
              </w:rPr>
            </w:pPr>
            <w:r>
              <w:rPr>
                <w:rFonts w:ascii="楷体_GB2312" w:hAnsi="楷体_GB2312" w:eastAsia="楷体_GB2312" w:cs="楷体_GB2312"/>
                <w:sz w:val="24"/>
              </w:rPr>
              <w:t>G227</w:t>
            </w:r>
            <w:r>
              <w:rPr>
                <w:rFonts w:hint="eastAsia" w:ascii="楷体_GB2312" w:hAnsi="楷体_GB2312" w:eastAsia="楷体_GB2312" w:cs="楷体_GB2312"/>
                <w:sz w:val="24"/>
              </w:rPr>
              <w:t>线县城至黑桥快速通道；G227线九道拐隧道；G227吾伊乡八格都寨灾害绕避复线；G227县城过境隧道；S453线壤塘至班玛县公路改建；S453线上壤塘至日部公路新（改）建；S452壤塘段改建；S453线壤班路县城段过境隧道等。</w:t>
            </w:r>
          </w:p>
          <w:p>
            <w:pPr>
              <w:adjustRightInd w:val="0"/>
              <w:snapToGrid w:val="0"/>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三、县道和乡道</w:t>
            </w:r>
          </w:p>
          <w:p>
            <w:pPr>
              <w:adjustRightInd w:val="0"/>
              <w:snapToGrid w:val="0"/>
              <w:spacing w:line="320" w:lineRule="exact"/>
              <w:ind w:firstLine="480" w:firstLineChars="200"/>
              <w:rPr>
                <w:rFonts w:ascii="Times New Roman" w:hAnsi="Times New Roman" w:eastAsia="楷体" w:cs="Times New Roman"/>
                <w:sz w:val="24"/>
              </w:rPr>
            </w:pPr>
            <w:r>
              <w:rPr>
                <w:rFonts w:hint="eastAsia" w:ascii="楷体_GB2312" w:hAnsi="楷体_GB2312" w:eastAsia="楷体_GB2312" w:cs="楷体_GB2312"/>
                <w:sz w:val="24"/>
              </w:rPr>
              <w:t>壤塘至色达公路壤塘段二期；县道180伊日路（河口至宗科乡政府）改扩建；县道180伊日路（宗科乡政府至曲登达）改扩建；改造提升S453县城至上杜柯、上杜柯至南木达（尚蓝天路）、吾中路等；实施</w:t>
            </w:r>
            <w:r>
              <w:rPr>
                <w:rFonts w:ascii="楷体_GB2312" w:hAnsi="楷体_GB2312" w:eastAsia="楷体_GB2312" w:cs="楷体_GB2312"/>
                <w:sz w:val="24"/>
              </w:rPr>
              <w:t xml:space="preserve"> </w:t>
            </w:r>
            <w:r>
              <w:rPr>
                <w:rFonts w:hint="eastAsia" w:ascii="楷体_GB2312" w:hAnsi="楷体_GB2312" w:eastAsia="楷体_GB2312" w:cs="楷体_GB2312"/>
                <w:sz w:val="24"/>
              </w:rPr>
              <w:t>G317蒲西乡至野人谷旅游公路、G317蒲西乡至尤日沟温泉公路、修卡旅游公路、S453岗木达至秀沟扶贫产业公路、阿斯玛扶贫产业路、昂柯旅游产业路、县道180宗科乡至老虎山旅游公路等。</w:t>
            </w:r>
          </w:p>
          <w:p>
            <w:pPr>
              <w:adjustRightInd w:val="0"/>
              <w:snapToGrid w:val="0"/>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四、村组公路</w:t>
            </w:r>
          </w:p>
          <w:p>
            <w:pPr>
              <w:adjustRightInd w:val="0"/>
              <w:snapToGrid w:val="0"/>
              <w:spacing w:line="320" w:lineRule="exac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提升改造通村公路228公里，通组公路361.94公里，旅游公路21.007公里，安全防护工程200公里；连户路、牧道建设；岗木达镇养护站建设等。</w:t>
            </w:r>
          </w:p>
          <w:p>
            <w:pPr>
              <w:adjustRightInd w:val="0"/>
              <w:snapToGrid w:val="0"/>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五、客运和物流运输体系</w:t>
            </w:r>
          </w:p>
          <w:p>
            <w:pPr>
              <w:adjustRightInd w:val="0"/>
              <w:snapToGrid w:val="0"/>
              <w:spacing w:line="320" w:lineRule="exact"/>
              <w:ind w:firstLine="480" w:firstLineChars="200"/>
              <w:rPr>
                <w:rFonts w:ascii="Times New Roman" w:hAnsi="Times New Roman" w:eastAsia="仿宋" w:cs="Times New Roman"/>
                <w:sz w:val="30"/>
                <w:szCs w:val="30"/>
              </w:rPr>
            </w:pPr>
            <w:r>
              <w:rPr>
                <w:rFonts w:hint="eastAsia" w:ascii="楷体_GB2312" w:hAnsi="楷体_GB2312" w:eastAsia="楷体_GB2312" w:cs="楷体_GB2312"/>
                <w:sz w:val="24"/>
              </w:rPr>
              <w:t>生鲜冷链仓储物流基地；县城三级客运站提升二级；中壤塘、南木达、蒲西、宗科、上杜柯等乡镇农村客运站；县域机养中心等。</w:t>
            </w:r>
          </w:p>
        </w:tc>
      </w:tr>
    </w:tbl>
    <w:p>
      <w:pPr>
        <w:rPr>
          <w:rFonts w:ascii="Times New Roman" w:hAnsi="Times New Roman" w:eastAsia="宋体" w:cs="Times New Roman"/>
        </w:rPr>
      </w:pPr>
      <w:r>
        <w:rPr>
          <w:rFonts w:ascii="Times New Roman" w:hAnsi="Times New Roman" w:cs="Times New Roman"/>
        </w:rPr>
        <w:drawing>
          <wp:anchor distT="0" distB="0" distL="114300" distR="114300" simplePos="0" relativeHeight="251660288" behindDoc="0" locked="0" layoutInCell="1" allowOverlap="1">
            <wp:simplePos x="0" y="0"/>
            <wp:positionH relativeFrom="margin">
              <wp:posOffset>-168910</wp:posOffset>
            </wp:positionH>
            <wp:positionV relativeFrom="paragraph">
              <wp:posOffset>-6985</wp:posOffset>
            </wp:positionV>
            <wp:extent cx="5975985" cy="8380730"/>
            <wp:effectExtent l="0" t="0" r="5715" b="127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976000" cy="8380800"/>
                    </a:xfrm>
                    <a:prstGeom prst="rect">
                      <a:avLst/>
                    </a:prstGeom>
                  </pic:spPr>
                </pic:pic>
              </a:graphicData>
            </a:graphic>
          </wp:anchor>
        </w:drawing>
      </w: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rPr>
          <w:rFonts w:ascii="Times New Roman" w:hAnsi="Times New Roman" w:eastAsia="宋体" w:cs="Times New Roman"/>
        </w:rPr>
      </w:pPr>
    </w:p>
    <w:p>
      <w:pPr>
        <w:jc w:val="center"/>
        <w:rPr>
          <w:rFonts w:ascii="Times New Roman" w:hAnsi="Times New Roman" w:eastAsia="宋体" w:cs="Times New Roman"/>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rPr>
          <w:rFonts w:ascii="Times New Roman" w:hAnsi="Times New Roman" w:eastAsia="宋体" w:cs="Times New Roman"/>
          <w:b/>
          <w:bCs/>
          <w:sz w:val="32"/>
          <w:szCs w:val="32"/>
        </w:rPr>
      </w:pPr>
    </w:p>
    <w:p>
      <w:pPr>
        <w:spacing w:line="560" w:lineRule="exact"/>
        <w:jc w:val="center"/>
        <w:outlineLvl w:val="1"/>
        <w:rPr>
          <w:rFonts w:ascii="Times New Roman" w:hAnsi="Times New Roman" w:eastAsia="宋体" w:cs="Times New Roman"/>
          <w:b/>
          <w:bCs/>
          <w:sz w:val="36"/>
          <w:szCs w:val="36"/>
        </w:rPr>
      </w:pPr>
      <w:bookmarkStart w:id="40" w:name="_Toc11270"/>
      <w:bookmarkStart w:id="41" w:name="_Toc24907"/>
      <w:r>
        <w:rPr>
          <w:rFonts w:ascii="Times New Roman" w:hAnsi="Times New Roman" w:eastAsia="宋体" w:cs="Times New Roman"/>
          <w:b/>
          <w:bCs/>
          <w:sz w:val="36"/>
          <w:szCs w:val="36"/>
        </w:rPr>
        <w:t>第二节  加强水利基础设施建设</w:t>
      </w:r>
      <w:bookmarkEnd w:id="40"/>
      <w:bookmarkEnd w:id="41"/>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以统筹解决生活生产生态用水及防洪减灾为重点，加强水利基础设施建设，提高水利对经济社会发展的支撑保障能力。</w:t>
      </w:r>
    </w:p>
    <w:p>
      <w:pPr>
        <w:spacing w:line="560" w:lineRule="exact"/>
        <w:ind w:firstLine="643" w:firstLineChars="200"/>
        <w:outlineLvl w:val="2"/>
        <w:rPr>
          <w:rFonts w:ascii="Times New Roman" w:hAnsi="Times New Roman" w:eastAsia="黑体" w:cs="Times New Roman"/>
          <w:b/>
          <w:bCs/>
          <w:sz w:val="32"/>
          <w:szCs w:val="32"/>
        </w:rPr>
      </w:pPr>
      <w:bookmarkStart w:id="42" w:name="_Toc24225"/>
      <w:r>
        <w:rPr>
          <w:rFonts w:ascii="Times New Roman" w:hAnsi="Times New Roman" w:eastAsia="黑体" w:cs="Times New Roman"/>
          <w:b/>
          <w:bCs/>
          <w:sz w:val="32"/>
          <w:szCs w:val="32"/>
        </w:rPr>
        <w:t>一、农村水利工程</w:t>
      </w:r>
      <w:bookmarkEnd w:id="4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w:t>
      </w:r>
      <w:r>
        <w:rPr>
          <w:rFonts w:hint="eastAsia" w:ascii="Times New Roman" w:hAnsi="Times New Roman" w:eastAsia="仿宋_GB2312" w:cs="Times New Roman"/>
          <w:sz w:val="32"/>
          <w:szCs w:val="32"/>
        </w:rPr>
        <w:t>门底沟水库</w:t>
      </w:r>
      <w:r>
        <w:rPr>
          <w:rFonts w:ascii="Times New Roman" w:hAnsi="Times New Roman" w:eastAsia="仿宋_GB2312" w:cs="Times New Roman"/>
          <w:sz w:val="32"/>
          <w:szCs w:val="32"/>
        </w:rPr>
        <w:t>、农牧区配套渠系等</w:t>
      </w:r>
      <w:r>
        <w:rPr>
          <w:rFonts w:hint="eastAsia" w:ascii="Times New Roman" w:hAnsi="Times New Roman" w:eastAsia="仿宋_GB2312" w:cs="Times New Roman"/>
          <w:sz w:val="32"/>
          <w:szCs w:val="32"/>
        </w:rPr>
        <w:t>骨干</w:t>
      </w:r>
      <w:r>
        <w:rPr>
          <w:rFonts w:ascii="Times New Roman" w:hAnsi="Times New Roman" w:eastAsia="仿宋_GB2312" w:cs="Times New Roman"/>
          <w:sz w:val="32"/>
          <w:szCs w:val="32"/>
        </w:rPr>
        <w:t>水利基础设施建设，全面实施节水灌溉工程，提高水利对经济发展、社会民生的保障能力。重点推进门底沟水库项目建设，完善配套渠系，提高安全饮水和农田引水灌溉能力，有效扩大农业灌面。加快推进则杜中型水利工程建设，完善杜柯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则曲河的灌溉主渠、支渠建设及南木达、尕多、中壤塘的灌溉工程建设。实施高效节水提升改造工程，解决南木达镇、尕多乡等耕地灌溉提升改造。加强石里乡、</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乡等高半山区渠系配套建设，加强小微型水利设施建设，统筹解决蒲西、宗科、石里、岗木达等乡镇农业灌溉、人畜安全饮水问题。大力实施牧草地节水灌溉工程，完善相关管网配套设施设备，扩大上壤塘、尕多等乡镇草场和饲草料基地灌溉面积。积极配合南水北调重大工程相关前期工作。</w:t>
      </w:r>
    </w:p>
    <w:p>
      <w:pPr>
        <w:spacing w:line="560" w:lineRule="exact"/>
        <w:ind w:firstLine="643" w:firstLineChars="200"/>
        <w:outlineLvl w:val="2"/>
        <w:rPr>
          <w:rFonts w:ascii="Times New Roman" w:hAnsi="Times New Roman" w:eastAsia="黑体" w:cs="Times New Roman"/>
          <w:b/>
          <w:bCs/>
          <w:sz w:val="32"/>
          <w:szCs w:val="32"/>
        </w:rPr>
      </w:pPr>
      <w:bookmarkStart w:id="43" w:name="_Toc16905"/>
      <w:r>
        <w:rPr>
          <w:rFonts w:ascii="Times New Roman" w:hAnsi="Times New Roman" w:eastAsia="黑体" w:cs="Times New Roman"/>
          <w:b/>
          <w:bCs/>
          <w:sz w:val="32"/>
          <w:szCs w:val="32"/>
        </w:rPr>
        <w:t>二、农村供水保障</w:t>
      </w:r>
      <w:bookmarkEnd w:id="4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继续实施农村居民集中供水工程和农村饮水安全提升巩固工程，提高自来水普及率和供水保障率。通过新建、扩建、配套、改造、联网等措施，全面解决11个乡镇的</w:t>
      </w:r>
      <w:r>
        <w:rPr>
          <w:rFonts w:hint="eastAsia" w:ascii="Times New Roman" w:hAnsi="Times New Roman" w:eastAsia="仿宋_GB2312" w:cs="Times New Roman"/>
          <w:sz w:val="32"/>
          <w:szCs w:val="32"/>
        </w:rPr>
        <w:t>农村安全饮水巩固提升</w:t>
      </w:r>
      <w:r>
        <w:rPr>
          <w:rFonts w:ascii="Times New Roman" w:hAnsi="Times New Roman" w:eastAsia="仿宋_GB2312" w:cs="Times New Roman"/>
          <w:sz w:val="32"/>
          <w:szCs w:val="32"/>
        </w:rPr>
        <w:t>。实施农村水源地保护工程，新建20处水源地保护项目。做好分散式水源水质监测和卫生保护，确保源头水质达到地表水Ⅱ级标准，解决农村饮水不安全、不稳定问题。加强城镇供排水基础设施建设，新建排水工程166处，解决全县51个村排水问题。</w:t>
      </w:r>
    </w:p>
    <w:p>
      <w:pPr>
        <w:spacing w:line="560" w:lineRule="exact"/>
        <w:ind w:firstLine="643" w:firstLineChars="200"/>
        <w:outlineLvl w:val="2"/>
        <w:rPr>
          <w:rFonts w:ascii="Times New Roman" w:hAnsi="Times New Roman" w:eastAsia="黑体" w:cs="Times New Roman"/>
          <w:b/>
          <w:bCs/>
          <w:sz w:val="32"/>
          <w:szCs w:val="32"/>
        </w:rPr>
      </w:pPr>
      <w:bookmarkStart w:id="44" w:name="_Toc5637"/>
      <w:r>
        <w:rPr>
          <w:rFonts w:ascii="Times New Roman" w:hAnsi="Times New Roman" w:eastAsia="黑体" w:cs="Times New Roman"/>
          <w:b/>
          <w:bCs/>
          <w:sz w:val="32"/>
          <w:szCs w:val="32"/>
        </w:rPr>
        <w:t>三、防洪抗旱减灾</w:t>
      </w:r>
      <w:bookmarkEnd w:id="4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流域综合治理，提高综合防洪减灾能力。实施中小流域综合治理工程，加强堤防、谷坊等基础设施建设，建立完善防洪减灾体系，增强防汛抗旱能力。推进昔郎沟、俄拉沟、卡龙沟等农村河道综合治理工程；实施杜柯河</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rPr>
        <w:t>则曲河等河道堤防建设和清淤工程；加强尕古玛等山洪沟行治理；加强昔郎沟等农村小河道清淤疏浚；实施南木达镇、尕多乡等易涝区综合治理。全面完成则曲河、杜柯河沿岸及支流共12条中小河流水土流失治理，加强水土保持重点项目建设，实施坡改梯、水保林、封禁治理、溪沟整治、蓄水池等项目。加强则曲河、杜柯河等流域水生态修复，多渠道综合治理水土流失。加强中壤塘、南木达、上壤塘等生态脆弱地区水土保持，有效遏制水土流失。加强蒲西、石里、</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、宗科、岗木达等区域山洪灾害防治。强化水利体系能力建设，加大水资源违法执法力度。完善防汛预警预报系统和山洪地质灾害监测系统，继续加强水文资源水环境监测站网络和能力建设。</w:t>
      </w:r>
    </w:p>
    <w:p>
      <w:pPr>
        <w:spacing w:line="560" w:lineRule="exact"/>
        <w:ind w:firstLine="643" w:firstLineChars="200"/>
        <w:outlineLvl w:val="2"/>
        <w:rPr>
          <w:rFonts w:ascii="Times New Roman" w:hAnsi="Times New Roman" w:eastAsia="黑体" w:cs="Times New Roman"/>
          <w:b/>
          <w:bCs/>
          <w:sz w:val="32"/>
          <w:szCs w:val="32"/>
        </w:rPr>
      </w:pPr>
      <w:bookmarkStart w:id="45" w:name="_Toc11815"/>
      <w:r>
        <w:rPr>
          <w:rFonts w:ascii="Times New Roman" w:hAnsi="Times New Roman" w:eastAsia="黑体" w:cs="Times New Roman"/>
          <w:b/>
          <w:bCs/>
          <w:sz w:val="32"/>
          <w:szCs w:val="32"/>
        </w:rPr>
        <w:t>四、水生态建设工程</w:t>
      </w:r>
      <w:bookmarkEnd w:id="4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理清水资源、水生态、水环境、水灾害等水问题治理策略，统筹“四水”共治关系。坚持节水优先方针，提高用水效率，转变用水方式，坚持以水定人、以水定地、以水定产。坚持系统治水方略，统筹各要素治水，统筹多方面治水，统筹全流域治水。坚持高质量发展方向，实现科学治水、精准治水、生态治水、智慧治水、协同治水。</w:t>
      </w:r>
    </w:p>
    <w:tbl>
      <w:tblPr>
        <w:tblStyle w:val="12"/>
        <w:tblW w:w="885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8850" w:type="dxa"/>
            <w:vAlign w:val="center"/>
          </w:tcPr>
          <w:p>
            <w:pPr>
              <w:spacing w:line="5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专栏4  水利基础设施重点项目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0" w:type="dxa"/>
          </w:tcPr>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一、农村水利工程</w:t>
            </w:r>
          </w:p>
          <w:p>
            <w:pPr>
              <w:adjustRightInd w:val="0"/>
              <w:snapToGrid w:val="0"/>
              <w:spacing w:line="440" w:lineRule="atLeas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（一）大中型水利设施：门底沟水库；则杜中型水利工程。</w:t>
            </w:r>
          </w:p>
          <w:p>
            <w:pPr>
              <w:adjustRightInd w:val="0"/>
              <w:snapToGrid w:val="0"/>
              <w:spacing w:line="440" w:lineRule="atLeas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（二）农田水利：小型农田水利重点县建设；田间高效节水工程；“五小水利”工程；牧区水利工程；抗旱应急备用水源等。</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二、农村安全饮水</w:t>
            </w:r>
          </w:p>
          <w:p>
            <w:pPr>
              <w:adjustRightInd w:val="0"/>
              <w:snapToGrid w:val="0"/>
              <w:spacing w:line="440" w:lineRule="atLeast"/>
              <w:ind w:firstLine="480" w:firstLineChars="200"/>
              <w:rPr>
                <w:rFonts w:ascii="Times New Roman" w:hAnsi="Times New Roman" w:eastAsia="楷体" w:cs="Times New Roman"/>
                <w:sz w:val="24"/>
              </w:rPr>
            </w:pPr>
            <w:r>
              <w:rPr>
                <w:rFonts w:hint="eastAsia" w:ascii="楷体_GB2312" w:hAnsi="楷体_GB2312" w:eastAsia="楷体_GB2312" w:cs="楷体_GB2312"/>
                <w:sz w:val="24"/>
              </w:rPr>
              <w:t>农村饮水安全提升巩固；农村水源地保护；城乡集中供水设施建设，包括岗木达、尕多、中壤塘、南木达、上杜柯、吾伊、蒲西等乡镇集中供水。</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三、防洪抗旱减灾</w:t>
            </w:r>
          </w:p>
          <w:p>
            <w:pPr>
              <w:adjustRightInd w:val="0"/>
              <w:snapToGrid w:val="0"/>
              <w:spacing w:line="440" w:lineRule="atLeas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（一）水土保持：小流域综合治理；国家水土保持重点建设；农村河道综合治理等。</w:t>
            </w:r>
          </w:p>
          <w:p>
            <w:pPr>
              <w:adjustRightInd w:val="0"/>
              <w:snapToGrid w:val="0"/>
              <w:spacing w:line="440" w:lineRule="atLeas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（二）河道治理：伊根门多等中小河流治理；杜柯河等大江大河治理；昔郎沟等农村小河道疏浚；小河流综合治理；尕古玛等山洪沟治理；南木达镇等易涝地区治涝；河道联通工程等。</w:t>
            </w:r>
          </w:p>
          <w:p>
            <w:pPr>
              <w:adjustRightInd w:val="0"/>
              <w:snapToGrid w:val="0"/>
              <w:spacing w:line="440" w:lineRule="atLeas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（三）城乡排水：县城排水防涝设施；全县农村排水工程等。</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四、水生态建设</w:t>
            </w:r>
          </w:p>
          <w:p>
            <w:pPr>
              <w:adjustRightInd w:val="0"/>
              <w:snapToGrid w:val="0"/>
              <w:spacing w:line="440" w:lineRule="atLeas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（一）河湖公园建设：则曲河国家级水利风景区河湖公园建设。</w:t>
            </w:r>
          </w:p>
          <w:p>
            <w:pPr>
              <w:adjustRightInd w:val="0"/>
              <w:snapToGrid w:val="0"/>
              <w:spacing w:line="440" w:lineRule="atLeast"/>
              <w:ind w:firstLine="480" w:firstLineChars="200"/>
              <w:rPr>
                <w:rFonts w:ascii="Times New Roman" w:hAnsi="Times New Roman" w:eastAsia="楷体" w:cs="Times New Roman"/>
                <w:sz w:val="24"/>
              </w:rPr>
            </w:pPr>
            <w:r>
              <w:rPr>
                <w:rFonts w:hint="eastAsia" w:ascii="楷体_GB2312" w:hAnsi="楷体_GB2312" w:eastAsia="楷体_GB2312" w:cs="楷体_GB2312"/>
                <w:sz w:val="24"/>
              </w:rPr>
              <w:t>（二）水生态修复：则曲河、杜柯河水生态修复；高原湖泊水生态修复治理；山水林田湖草生态修复试点；水美新村建设；水域岸线和节水项目等。</w:t>
            </w:r>
          </w:p>
        </w:tc>
      </w:tr>
    </w:tbl>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46" w:name="_Toc15730"/>
      <w:bookmarkStart w:id="47" w:name="_Toc14540"/>
      <w:r>
        <w:rPr>
          <w:rFonts w:ascii="Times New Roman" w:hAnsi="Times New Roman" w:eastAsia="宋体" w:cs="Times New Roman"/>
          <w:b/>
          <w:bCs/>
          <w:sz w:val="36"/>
          <w:szCs w:val="36"/>
        </w:rPr>
        <w:t>第三节  加强能源基础设施建设</w:t>
      </w:r>
      <w:bookmarkEnd w:id="46"/>
      <w:bookmarkEnd w:id="47"/>
    </w:p>
    <w:p>
      <w:pPr>
        <w:spacing w:line="560" w:lineRule="exact"/>
        <w:ind w:firstLine="640" w:firstLineChars="200"/>
        <w:rPr>
          <w:rFonts w:ascii="Times New Roman" w:hAnsi="Times New Roman" w:eastAsia="仿宋_GB2312" w:cs="Times New Roman"/>
          <w:sz w:val="32"/>
          <w:szCs w:val="32"/>
        </w:rPr>
      </w:pPr>
    </w:p>
    <w:p>
      <w:pPr>
        <w:spacing w:line="560" w:lineRule="exact"/>
        <w:ind w:firstLine="643" w:firstLineChars="200"/>
        <w:outlineLvl w:val="2"/>
        <w:rPr>
          <w:rFonts w:ascii="Times New Roman" w:hAnsi="Times New Roman" w:eastAsia="黑体" w:cs="Times New Roman"/>
          <w:b/>
          <w:bCs/>
          <w:sz w:val="32"/>
          <w:szCs w:val="32"/>
        </w:rPr>
      </w:pPr>
      <w:bookmarkStart w:id="48" w:name="_Toc3240"/>
      <w:r>
        <w:rPr>
          <w:rFonts w:ascii="Times New Roman" w:hAnsi="Times New Roman" w:eastAsia="黑体" w:cs="Times New Roman"/>
          <w:b/>
          <w:bCs/>
          <w:sz w:val="32"/>
          <w:szCs w:val="32"/>
        </w:rPr>
        <w:t>一、城乡电力基础设施</w:t>
      </w:r>
      <w:bookmarkEnd w:id="48"/>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推动能源输送网络建设。</w:t>
      </w:r>
      <w:r>
        <w:rPr>
          <w:rFonts w:ascii="Times New Roman" w:hAnsi="Times New Roman" w:eastAsia="仿宋_GB2312" w:cs="Times New Roman"/>
          <w:sz w:val="32"/>
          <w:szCs w:val="32"/>
        </w:rPr>
        <w:t>构建安全可靠、智能经济的输配电网，保障电力资源的合理调度。以建设跨区域电力输送网络、骨干电网为重点，推动能源输送网络建设。</w:t>
      </w:r>
      <w:r>
        <w:rPr>
          <w:rFonts w:hint="eastAsia" w:ascii="Times New Roman" w:hAnsi="Times New Roman" w:eastAsia="仿宋_GB2312" w:cs="Times New Roman"/>
          <w:sz w:val="32"/>
          <w:szCs w:val="32"/>
        </w:rPr>
        <w:t>推动</w:t>
      </w:r>
      <w:r>
        <w:rPr>
          <w:rFonts w:ascii="Times New Roman" w:hAnsi="Times New Roman" w:eastAsia="仿宋_GB2312" w:cs="Times New Roman"/>
          <w:sz w:val="32"/>
          <w:szCs w:val="32"/>
        </w:rPr>
        <w:t>马尔康至壤塘220KV输变电项目和县城至阿坝110KV输变电线路。构建安全可靠、保障有力的智能电网，提升电力输送能力。</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统筹城乡电网发展。</w:t>
      </w:r>
      <w:r>
        <w:rPr>
          <w:rFonts w:ascii="Times New Roman" w:hAnsi="Times New Roman" w:eastAsia="仿宋_GB2312" w:cs="Times New Roman"/>
          <w:sz w:val="32"/>
          <w:szCs w:val="32"/>
        </w:rPr>
        <w:t>加快推进城镇配网建设和农村电网升级改造，实施城市配电网供电可靠性提升行动和配电网网架优化行动，优化城乡网络。促进以集中式、分布式能源结合的能源互联网建设，扩大电网覆盖范围，提高供电可靠性和智能化水平，消除城乡用电瓶颈。实施新一轮农村电网改造升级工程，扩大电网覆盖范围，全面提升配网供电能力和供电质量，完成石里至</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吾伊至</w:t>
      </w:r>
      <w:r>
        <w:rPr>
          <w:rFonts w:ascii="Times New Roman" w:hAnsi="Times New Roman" w:eastAsia="仿宋_GB2312" w:cs="Times New Roman"/>
          <w:sz w:val="32"/>
          <w:szCs w:val="32"/>
        </w:rPr>
        <w:t>中壤塘罗格多35KV输变电线路建设及尕多、中壤塘罗格多35KV变电容量提升改造，推进行政村10KV及220V入户低压支线路建设，更换智能电表。到2025年，力争农村电网供电可靠率提高到99.8%，综合电压合格率提高到99.5%，综合线损率降低到10%以下，建成满足全社会供电需求的农村输配电系统。</w:t>
      </w:r>
    </w:p>
    <w:p>
      <w:pPr>
        <w:spacing w:line="560" w:lineRule="exact"/>
        <w:ind w:firstLine="643" w:firstLineChars="200"/>
        <w:outlineLvl w:val="2"/>
        <w:rPr>
          <w:rFonts w:ascii="Times New Roman" w:hAnsi="Times New Roman" w:eastAsia="黑体" w:cs="Times New Roman"/>
          <w:b/>
          <w:bCs/>
          <w:sz w:val="32"/>
          <w:szCs w:val="32"/>
        </w:rPr>
      </w:pPr>
      <w:bookmarkStart w:id="49" w:name="_Toc23348"/>
      <w:r>
        <w:rPr>
          <w:rFonts w:ascii="Times New Roman" w:hAnsi="Times New Roman" w:eastAsia="黑体" w:cs="Times New Roman"/>
          <w:b/>
          <w:bCs/>
          <w:sz w:val="32"/>
          <w:szCs w:val="32"/>
        </w:rPr>
        <w:t>二、能源基础设施</w:t>
      </w:r>
      <w:bookmarkEnd w:id="49"/>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推动电动汽车充换电设施网络建设。</w:t>
      </w:r>
      <w:r>
        <w:rPr>
          <w:rFonts w:ascii="Times New Roman" w:hAnsi="Times New Roman" w:eastAsia="仿宋_GB2312" w:cs="Times New Roman"/>
          <w:sz w:val="32"/>
          <w:szCs w:val="32"/>
        </w:rPr>
        <w:t>加快县城、中壤塘、G317和G227等国省干线和旅游景区的汽车充电桩建设和布局。逐步形成以住宅小区、办公场所自</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用充电设施为主体，公共停车位、道路停车位、独立充电站等公用充电设施</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补充的充电服务网络。在住宅小区建设以慢充为主的自</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专</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用、公用充电设施。在办公场所建设快慢结合的专用充电设施。在商业、公共服务设施、公共停车场、加油站以及具备停车条件的道路旁建设以快充为主、慢充为辅的公用充电设施，鼓励已有建筑改建充电设施。</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加快天然气输配气管网建设。</w:t>
      </w:r>
      <w:r>
        <w:rPr>
          <w:rFonts w:ascii="Times New Roman" w:hAnsi="Times New Roman" w:eastAsia="仿宋_GB2312" w:cs="Times New Roman"/>
          <w:sz w:val="32"/>
          <w:szCs w:val="32"/>
        </w:rPr>
        <w:t>加快完善县城燃气管网建设，优先保障民生用气，确保城镇燃气用气需求。扩大覆盖范围，在南木达镇、中壤塘镇、上寨建设小型供气站，进一步提高用气普及率，推进城乡天然气利用。以出租车及环卫工程车等车辆为重点，推广使用以液化天然气</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LNG</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、压缩天然气</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CNG</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为燃料的清洁能源。完善中壤塘、上杜柯、宗科等成品油站点建设。</w:t>
      </w:r>
    </w:p>
    <w:tbl>
      <w:tblPr>
        <w:tblStyle w:val="12"/>
        <w:tblW w:w="8805"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5" w:type="dxa"/>
            <w:vAlign w:val="center"/>
          </w:tcPr>
          <w:p>
            <w:pPr>
              <w:spacing w:line="5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专栏5  能源基础设施重点项目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5" w:type="dxa"/>
          </w:tcPr>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一、城乡电力基础设施建设</w:t>
            </w:r>
          </w:p>
          <w:p>
            <w:pPr>
              <w:adjustRightInd w:val="0"/>
              <w:snapToGrid w:val="0"/>
              <w:spacing w:line="440" w:lineRule="exac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（一）输电线路升级改造：南木达至松岗220KV输电线路及变电站；县城至阿坝110KV输变电线路等。</w:t>
            </w:r>
          </w:p>
          <w:p>
            <w:pPr>
              <w:adjustRightInd w:val="0"/>
              <w:snapToGrid w:val="0"/>
              <w:spacing w:line="440" w:lineRule="exac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（二）农村电网升级改造：宗科、石里35KV输变电站建设及尕多、中壤塘35KV变电容量提升改造；行政村10KV及220V入户低压支线路建设；更换智能电表；全县乡镇线路改造等。</w:t>
            </w:r>
          </w:p>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二、能源基础设施建设</w:t>
            </w:r>
          </w:p>
          <w:p>
            <w:pPr>
              <w:adjustRightInd w:val="0"/>
              <w:snapToGrid w:val="0"/>
              <w:spacing w:line="440" w:lineRule="exact"/>
              <w:ind w:firstLine="480" w:firstLineChars="200"/>
              <w:rPr>
                <w:rFonts w:ascii="Times New Roman" w:hAnsi="Times New Roman" w:eastAsia="楷体" w:cs="Times New Roman"/>
                <w:sz w:val="24"/>
              </w:rPr>
            </w:pPr>
            <w:r>
              <w:rPr>
                <w:rFonts w:hint="eastAsia" w:ascii="楷体_GB2312" w:hAnsi="楷体_GB2312" w:eastAsia="楷体_GB2312" w:cs="楷体_GB2312"/>
                <w:sz w:val="24"/>
              </w:rPr>
              <w:t>新能源汽车充电桩等。</w:t>
            </w:r>
          </w:p>
        </w:tc>
      </w:tr>
    </w:tbl>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宋体" w:cs="Times New Roman"/>
          <w:b/>
          <w:bCs/>
          <w:sz w:val="36"/>
          <w:szCs w:val="36"/>
        </w:rPr>
      </w:pPr>
    </w:p>
    <w:p>
      <w:pPr>
        <w:spacing w:line="560" w:lineRule="exact"/>
        <w:jc w:val="center"/>
        <w:outlineLvl w:val="1"/>
        <w:rPr>
          <w:rFonts w:ascii="Times New Roman" w:hAnsi="Times New Roman" w:eastAsia="宋体" w:cs="Times New Roman"/>
          <w:b/>
          <w:bCs/>
          <w:sz w:val="36"/>
          <w:szCs w:val="36"/>
        </w:rPr>
      </w:pPr>
      <w:bookmarkStart w:id="50" w:name="_Toc3718"/>
      <w:bookmarkStart w:id="51" w:name="_Toc24760"/>
      <w:r>
        <w:rPr>
          <w:rFonts w:ascii="Times New Roman" w:hAnsi="Times New Roman" w:eastAsia="宋体" w:cs="Times New Roman"/>
          <w:b/>
          <w:bCs/>
          <w:sz w:val="36"/>
          <w:szCs w:val="36"/>
        </w:rPr>
        <w:t>第四节  加强数字信息基础设施建设</w:t>
      </w:r>
      <w:bookmarkEnd w:id="50"/>
      <w:bookmarkEnd w:id="51"/>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以信息化智慧管理为目标，加强全县数字信息基础设施统筹规划和共建共享，加快建设新一代信息基础设施，建设信息高度共享利用、系统高效协作的</w:t>
      </w:r>
      <w:r>
        <w:rPr>
          <w:rFonts w:ascii="Times New Roman" w:hAnsi="Times New Roman" w:eastAsia="楷体_GB2312" w:cs="Times New Roman"/>
          <w:b/>
          <w:bCs/>
          <w:sz w:val="32"/>
          <w:szCs w:val="32"/>
        </w:rPr>
        <w:t>“智慧壤塘”</w:t>
      </w:r>
      <w:r>
        <w:rPr>
          <w:rFonts w:ascii="Times New Roman" w:hAnsi="Times New Roman" w:eastAsia="仿宋_GB2312" w:cs="Times New Roman"/>
          <w:sz w:val="32"/>
          <w:szCs w:val="32"/>
        </w:rPr>
        <w:t>。</w:t>
      </w:r>
    </w:p>
    <w:p>
      <w:pPr>
        <w:spacing w:line="560" w:lineRule="exact"/>
        <w:ind w:firstLine="643" w:firstLineChars="200"/>
        <w:outlineLvl w:val="2"/>
        <w:rPr>
          <w:rFonts w:ascii="Times New Roman" w:hAnsi="Times New Roman" w:eastAsia="黑体" w:cs="Times New Roman"/>
          <w:b/>
          <w:bCs/>
          <w:sz w:val="32"/>
          <w:szCs w:val="32"/>
        </w:rPr>
      </w:pPr>
      <w:bookmarkStart w:id="52" w:name="_Toc19368"/>
      <w:r>
        <w:rPr>
          <w:rFonts w:ascii="Times New Roman" w:hAnsi="Times New Roman" w:eastAsia="黑体" w:cs="Times New Roman"/>
          <w:b/>
          <w:bCs/>
          <w:sz w:val="32"/>
          <w:szCs w:val="32"/>
        </w:rPr>
        <w:t>一、信息网络基础设施</w:t>
      </w:r>
      <w:bookmarkEnd w:id="5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加快信息网络基础设施建设，以5G建设为抓手，构建高速、移动、安全、</w:t>
      </w:r>
      <w:r>
        <w:rPr>
          <w:rFonts w:hint="eastAsia" w:ascii="Times New Roman" w:hAnsi="Times New Roman" w:eastAsia="仿宋_GB2312" w:cs="Times New Roman"/>
          <w:sz w:val="32"/>
          <w:szCs w:val="32"/>
          <w:highlight w:val="none"/>
        </w:rPr>
        <w:t>泛在</w:t>
      </w:r>
      <w:r>
        <w:rPr>
          <w:rFonts w:ascii="Times New Roman" w:hAnsi="Times New Roman" w:eastAsia="仿宋_GB2312" w:cs="Times New Roman"/>
          <w:sz w:val="32"/>
          <w:szCs w:val="32"/>
        </w:rPr>
        <w:t>的新一代信息基础设施。持续扩容、优化城域骨干网络，提升网络流量承载能力，努力形成万物互联、人机交互、天地一体的网络空间。加快推进5G网络应用，实现国省干道和旅游景区移动通讯信号全覆盖，所有</w:t>
      </w:r>
      <w:r>
        <w:rPr>
          <w:rFonts w:hint="eastAsia" w:ascii="Times New Roman" w:hAnsi="Times New Roman" w:eastAsia="仿宋_GB2312" w:cs="Times New Roman"/>
          <w:sz w:val="32"/>
          <w:szCs w:val="32"/>
        </w:rPr>
        <w:t>A级旅游景区</w:t>
      </w:r>
      <w:r>
        <w:rPr>
          <w:rFonts w:ascii="Times New Roman" w:hAnsi="Times New Roman" w:eastAsia="仿宋_GB2312" w:cs="Times New Roman"/>
          <w:sz w:val="32"/>
          <w:szCs w:val="32"/>
        </w:rPr>
        <w:t>、重点乡镇实现信息化智慧管理，并逐步向农村地区延伸。持续推进电信普遍服务试点，实现高速光纤网及4G网络城乡全面覆盖，加快建设</w:t>
      </w:r>
      <w:r>
        <w:rPr>
          <w:rFonts w:ascii="Times New Roman" w:hAnsi="Times New Roman" w:eastAsia="楷体_GB2312" w:cs="Times New Roman"/>
          <w:b/>
          <w:bCs/>
          <w:sz w:val="32"/>
          <w:szCs w:val="32"/>
        </w:rPr>
        <w:t>“数字壤塘”。</w:t>
      </w:r>
    </w:p>
    <w:p>
      <w:pPr>
        <w:spacing w:line="560" w:lineRule="exact"/>
        <w:ind w:firstLine="643" w:firstLineChars="200"/>
        <w:outlineLvl w:val="2"/>
        <w:rPr>
          <w:rFonts w:ascii="Times New Roman" w:hAnsi="Times New Roman" w:eastAsia="黑体" w:cs="Times New Roman"/>
          <w:b/>
          <w:bCs/>
          <w:sz w:val="32"/>
          <w:szCs w:val="32"/>
        </w:rPr>
      </w:pPr>
      <w:bookmarkStart w:id="53" w:name="_Toc27542"/>
      <w:r>
        <w:rPr>
          <w:rFonts w:ascii="Times New Roman" w:hAnsi="Times New Roman" w:eastAsia="黑体" w:cs="Times New Roman"/>
          <w:b/>
          <w:bCs/>
          <w:sz w:val="32"/>
          <w:szCs w:val="32"/>
        </w:rPr>
        <w:t>二、数字乡村基础设施</w:t>
      </w:r>
      <w:bookmarkEnd w:id="5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推进行政村通光纤、移动网全覆盖工程，推动数字经济和实体经济深度融合。加快推动大数据、</w:t>
      </w:r>
      <w:r>
        <w:rPr>
          <w:rFonts w:hint="eastAsia" w:ascii="Times New Roman" w:hAnsi="Times New Roman" w:eastAsia="仿宋_GB2312" w:cs="Times New Roman"/>
          <w:sz w:val="32"/>
          <w:szCs w:val="32"/>
        </w:rPr>
        <w:t>慧眼工程、</w:t>
      </w:r>
      <w:r>
        <w:rPr>
          <w:rFonts w:ascii="Times New Roman" w:hAnsi="Times New Roman" w:eastAsia="仿宋_GB2312" w:cs="Times New Roman"/>
          <w:sz w:val="32"/>
          <w:szCs w:val="32"/>
        </w:rPr>
        <w:t>人工智能、物联网、5G等信息技术在政府治理、旅游、教育、医疗、金融等领域创新应用。推进物联网建设，加快普及远程医疗网络设施。全面实施信息进村入户工程，推进高速光纤宽带网络城乡全覆盖，推进宽带网络提速降费，推进“宽带乡村”等通信工程建设，扩大农村通信网络覆盖范围，提高偏远乡镇、旅游景区景点信息服务能力。到“十四五”末，实现县城、</w:t>
      </w:r>
      <w:r>
        <w:rPr>
          <w:rFonts w:hint="eastAsia" w:ascii="Times New Roman" w:hAnsi="Times New Roman" w:eastAsia="仿宋_GB2312" w:cs="Times New Roman"/>
          <w:sz w:val="32"/>
          <w:szCs w:val="32"/>
        </w:rPr>
        <w:t>乡镇、</w:t>
      </w:r>
      <w:r>
        <w:rPr>
          <w:rFonts w:ascii="Times New Roman" w:hAnsi="Times New Roman" w:eastAsia="仿宋_GB2312" w:cs="Times New Roman"/>
          <w:sz w:val="32"/>
          <w:szCs w:val="32"/>
        </w:rPr>
        <w:t>旅游景区景点以及G317、G227等主干道实现5G网络全覆盖。</w:t>
      </w:r>
    </w:p>
    <w:p>
      <w:pPr>
        <w:spacing w:line="560" w:lineRule="exact"/>
        <w:ind w:firstLine="643" w:firstLineChars="200"/>
        <w:outlineLvl w:val="2"/>
        <w:rPr>
          <w:rFonts w:ascii="Times New Roman" w:hAnsi="Times New Roman" w:eastAsia="黑体" w:cs="Times New Roman"/>
          <w:b/>
          <w:bCs/>
          <w:sz w:val="32"/>
          <w:szCs w:val="32"/>
        </w:rPr>
      </w:pPr>
      <w:bookmarkStart w:id="54" w:name="_Toc12285"/>
      <w:r>
        <w:rPr>
          <w:rFonts w:ascii="Times New Roman" w:hAnsi="Times New Roman" w:eastAsia="黑体" w:cs="Times New Roman"/>
          <w:b/>
          <w:bCs/>
          <w:sz w:val="32"/>
          <w:szCs w:val="32"/>
        </w:rPr>
        <w:t>三、公用信息平台建设</w:t>
      </w:r>
      <w:bookmarkEnd w:id="5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公用信息平台建设，加快农村益农信息服务窗口建设，推进互联网在政府管理、医疗卫生、教育科技、社会保障等领域广泛应用。启动“信息壤塘”“智慧壤塘”建设，推进网上政务服务，创新打造电子商务体系。拓展教育、医疗、就业、社保、技术等生产生活服务功能，提升乡村综合信息服务能力。加强科普阵地建设，在县城、中壤塘、南木达、上寨建设科普宣传栏，加强智慧科普基础设施建设，完善智慧宣传、科技人才、技能培训相关政策和制度。</w:t>
      </w:r>
    </w:p>
    <w:tbl>
      <w:tblPr>
        <w:tblStyle w:val="12"/>
        <w:tblW w:w="8835"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vAlign w:val="center"/>
          </w:tcPr>
          <w:p>
            <w:pPr>
              <w:spacing w:line="5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专栏6  信息基础设施重点项目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35" w:type="dxa"/>
          </w:tcPr>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一、信息网络基础设施</w:t>
            </w:r>
          </w:p>
          <w:p>
            <w:pPr>
              <w:adjustRightInd w:val="0"/>
              <w:snapToGrid w:val="0"/>
              <w:spacing w:line="440" w:lineRule="exact"/>
              <w:ind w:firstLine="480" w:firstLineChars="200"/>
              <w:rPr>
                <w:rFonts w:ascii="Times New Roman" w:hAnsi="Times New Roman" w:eastAsia="楷体" w:cs="Times New Roman"/>
                <w:sz w:val="24"/>
              </w:rPr>
            </w:pPr>
            <w:r>
              <w:rPr>
                <w:rFonts w:hint="eastAsia" w:ascii="楷体_GB2312" w:hAnsi="楷体_GB2312" w:eastAsia="楷体_GB2312" w:cs="楷体_GB2312"/>
                <w:sz w:val="24"/>
              </w:rPr>
              <w:t>通信网络提档升级；5G等新型信息通信基础设施建设；4G、5G基站建设；乡镇飞线入地、慧眼工程等。</w:t>
            </w:r>
          </w:p>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二、信息服务基础设施</w:t>
            </w:r>
          </w:p>
          <w:p>
            <w:pPr>
              <w:adjustRightInd w:val="0"/>
              <w:snapToGrid w:val="0"/>
              <w:spacing w:line="440" w:lineRule="exact"/>
              <w:ind w:firstLine="480" w:firstLineChars="200"/>
              <w:rPr>
                <w:rFonts w:ascii="Times New Roman" w:hAnsi="Times New Roman" w:eastAsia="仿宋" w:cs="Times New Roman"/>
                <w:sz w:val="30"/>
                <w:szCs w:val="30"/>
              </w:rPr>
            </w:pPr>
            <w:r>
              <w:rPr>
                <w:rFonts w:hint="eastAsia" w:ascii="楷体_GB2312" w:hAnsi="楷体_GB2312" w:eastAsia="楷体_GB2312" w:cs="楷体_GB2312"/>
                <w:sz w:val="24"/>
              </w:rPr>
              <w:t>移动乡村光网宽带；宽带乡村有线覆盖建设；电信全光乡镇；打造电子商务体系；数字乡村建设等。</w:t>
            </w:r>
          </w:p>
        </w:tc>
      </w:tr>
    </w:tbl>
    <w:p>
      <w:pPr>
        <w:spacing w:line="560" w:lineRule="exact"/>
        <w:jc w:val="center"/>
        <w:rPr>
          <w:rFonts w:ascii="Times New Roman" w:hAnsi="Times New Roman" w:eastAsia="仿宋_GB2312" w:cs="Times New Roman"/>
          <w:sz w:val="32"/>
          <w:szCs w:val="32"/>
        </w:rPr>
      </w:pPr>
      <w:r>
        <w:rPr>
          <w:rFonts w:ascii="Times New Roman" w:hAnsi="Times New Roman" w:eastAsia="等线" w:cs="Times New Roman"/>
          <w:szCs w:val="22"/>
        </w:rPr>
        <w:br w:type="page"/>
      </w:r>
    </w:p>
    <w:p>
      <w:pPr>
        <w:numPr>
          <w:ilvl w:val="0"/>
          <w:numId w:val="1"/>
        </w:numPr>
        <w:spacing w:line="700" w:lineRule="exact"/>
        <w:ind w:left="1760" w:leftChars="0" w:hanging="1760" w:hangingChars="400"/>
        <w:jc w:val="center"/>
        <w:outlineLvl w:val="0"/>
        <w:rPr>
          <w:rFonts w:ascii="Times New Roman" w:hAnsi="Times New Roman" w:eastAsia="方正小标宋_GBK" w:cs="Times New Roman"/>
          <w:sz w:val="44"/>
          <w:szCs w:val="44"/>
        </w:rPr>
      </w:pPr>
      <w:bookmarkStart w:id="55" w:name="_Toc16740"/>
      <w:bookmarkStart w:id="56" w:name="_Toc25310"/>
      <w:bookmarkStart w:id="57" w:name="_Hlk66438397"/>
      <w:r>
        <w:rPr>
          <w:rFonts w:ascii="Times New Roman" w:hAnsi="Times New Roman" w:eastAsia="方正小标宋_GBK" w:cs="Times New Roman"/>
          <w:sz w:val="44"/>
          <w:szCs w:val="44"/>
        </w:rPr>
        <w:t xml:space="preserve"> 加强民族团结进步教育，创建“国家</w:t>
      </w:r>
    </w:p>
    <w:p>
      <w:pPr>
        <w:numPr>
          <w:ilvl w:val="0"/>
          <w:numId w:val="0"/>
        </w:numPr>
        <w:spacing w:line="700" w:lineRule="exact"/>
        <w:ind w:leftChars="-400"/>
        <w:jc w:val="center"/>
        <w:outlineLvl w:val="0"/>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铸牢中华民族共同体意识示范县”</w:t>
      </w:r>
      <w:bookmarkEnd w:id="55"/>
      <w:bookmarkEnd w:id="56"/>
    </w:p>
    <w:bookmarkEnd w:id="57"/>
    <w:p>
      <w:pPr>
        <w:spacing w:line="560" w:lineRule="exact"/>
        <w:ind w:firstLine="640" w:firstLineChars="200"/>
        <w:rPr>
          <w:rFonts w:ascii="Times New Roman" w:hAnsi="Times New Roman" w:eastAsia="仿宋_GB2312" w:cs="Times New Roman"/>
          <w:sz w:val="32"/>
          <w:szCs w:val="32"/>
        </w:rPr>
      </w:pP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坚持总体国家安全观，加强民族团结进步教育，促进各民族共同团结奋斗、共同繁荣发展，</w:t>
      </w:r>
      <w:r>
        <w:rPr>
          <w:rFonts w:hint="eastAsia" w:ascii="Times New Roman" w:hAnsi="Times New Roman" w:eastAsia="仿宋_GB2312" w:cs="Times New Roman"/>
          <w:sz w:val="32"/>
          <w:szCs w:val="32"/>
        </w:rPr>
        <w:t>努力实现“全面建成小康社会，一个也不能少；共同富裕路上，一个都不能掉队。”不断增强建设中华民族共同体的政治自觉、思想自觉和行动自觉，</w:t>
      </w:r>
      <w:r>
        <w:rPr>
          <w:rFonts w:ascii="Times New Roman" w:hAnsi="Times New Roman" w:eastAsia="仿宋_GB2312" w:cs="Times New Roman"/>
          <w:sz w:val="32"/>
          <w:szCs w:val="32"/>
        </w:rPr>
        <w:t>努力增进各民族文化认同，着力创建</w:t>
      </w:r>
      <w:r>
        <w:rPr>
          <w:rFonts w:ascii="Times New Roman" w:hAnsi="Times New Roman" w:eastAsia="楷体_GB2312" w:cs="Times New Roman"/>
          <w:b/>
          <w:bCs/>
          <w:sz w:val="32"/>
          <w:szCs w:val="32"/>
        </w:rPr>
        <w:t>“国家铸牢中华民族共同体意识示范县”。</w:t>
      </w:r>
      <w:r>
        <w:rPr>
          <w:rFonts w:ascii="Times New Roman" w:hAnsi="Times New Roman" w:eastAsia="仿宋_GB2312" w:cs="Times New Roman"/>
          <w:sz w:val="32"/>
          <w:szCs w:val="32"/>
        </w:rPr>
        <w:t xml:space="preserve"> </w:t>
      </w:r>
    </w:p>
    <w:p>
      <w:pPr>
        <w:spacing w:line="520" w:lineRule="exact"/>
        <w:ind w:firstLine="640" w:firstLineChars="200"/>
        <w:rPr>
          <w:rFonts w:ascii="Times New Roman" w:hAnsi="Times New Roman" w:eastAsia="仿宋_GB2312" w:cs="Times New Roman"/>
          <w:sz w:val="32"/>
          <w:szCs w:val="32"/>
        </w:rPr>
      </w:pPr>
    </w:p>
    <w:p>
      <w:pPr>
        <w:spacing w:line="520" w:lineRule="exact"/>
        <w:jc w:val="center"/>
        <w:outlineLvl w:val="1"/>
        <w:rPr>
          <w:rFonts w:ascii="Times New Roman" w:hAnsi="Times New Roman" w:eastAsia="宋体" w:cs="Times New Roman"/>
          <w:b/>
          <w:bCs/>
          <w:sz w:val="36"/>
          <w:szCs w:val="36"/>
        </w:rPr>
      </w:pPr>
      <w:bookmarkStart w:id="58" w:name="_Toc17388"/>
      <w:bookmarkStart w:id="59" w:name="_Toc21530"/>
      <w:r>
        <w:rPr>
          <w:rFonts w:ascii="Times New Roman" w:hAnsi="Times New Roman" w:eastAsia="宋体" w:cs="Times New Roman"/>
          <w:b/>
          <w:bCs/>
          <w:sz w:val="36"/>
          <w:szCs w:val="36"/>
        </w:rPr>
        <w:t>第一节  加强民族团结进步教育</w:t>
      </w:r>
      <w:bookmarkEnd w:id="58"/>
      <w:bookmarkEnd w:id="59"/>
    </w:p>
    <w:p>
      <w:pPr>
        <w:spacing w:line="52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持续加强民族团结进步教育，丰富教育内容，创新教育形式，</w:t>
      </w:r>
      <w:r>
        <w:rPr>
          <w:rFonts w:hint="eastAsia" w:ascii="Times New Roman" w:hAnsi="Times New Roman" w:eastAsia="仿宋_GB2312" w:cs="Times New Roman"/>
          <w:sz w:val="32"/>
          <w:szCs w:val="32"/>
        </w:rPr>
        <w:t>深化宣传效果，</w:t>
      </w:r>
      <w:r>
        <w:rPr>
          <w:rFonts w:ascii="Times New Roman" w:hAnsi="Times New Roman" w:eastAsia="仿宋_GB2312" w:cs="Times New Roman"/>
          <w:sz w:val="32"/>
          <w:szCs w:val="32"/>
        </w:rPr>
        <w:t>持续加强民族团结进步单位示范创建，积极创建国家级</w:t>
      </w:r>
      <w:r>
        <w:rPr>
          <w:rFonts w:hint="eastAsia" w:ascii="Times New Roman" w:hAnsi="Times New Roman" w:eastAsia="仿宋_GB2312" w:cs="Times New Roman"/>
          <w:b/>
          <w:bCs/>
          <w:sz w:val="32"/>
          <w:szCs w:val="32"/>
        </w:rPr>
        <w:t>“民族团结进步示范县”</w:t>
      </w:r>
      <w:r>
        <w:rPr>
          <w:rFonts w:ascii="Times New Roman" w:hAnsi="Times New Roman" w:eastAsia="仿宋_GB2312" w:cs="Times New Roman"/>
          <w:sz w:val="32"/>
          <w:szCs w:val="32"/>
        </w:rPr>
        <w:t>。</w:t>
      </w:r>
    </w:p>
    <w:p>
      <w:pPr>
        <w:spacing w:line="560" w:lineRule="exact"/>
        <w:ind w:firstLine="643" w:firstLineChars="200"/>
        <w:outlineLvl w:val="2"/>
        <w:rPr>
          <w:rFonts w:ascii="Times New Roman" w:hAnsi="Times New Roman" w:eastAsia="黑体" w:cs="Times New Roman"/>
          <w:b/>
          <w:bCs/>
          <w:sz w:val="32"/>
          <w:szCs w:val="32"/>
        </w:rPr>
      </w:pPr>
      <w:bookmarkStart w:id="60" w:name="_Toc1509"/>
      <w:r>
        <w:rPr>
          <w:rFonts w:ascii="Times New Roman" w:hAnsi="Times New Roman" w:eastAsia="黑体" w:cs="Times New Roman"/>
          <w:b/>
          <w:bCs/>
          <w:sz w:val="32"/>
          <w:szCs w:val="32"/>
        </w:rPr>
        <w:t>一、深化民族团结进步教育</w:t>
      </w:r>
      <w:bookmarkEnd w:id="6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深化民族团结进步教育，大力宣传党中央的关怀和</w:t>
      </w:r>
      <w:r>
        <w:rPr>
          <w:rFonts w:hint="eastAsia" w:ascii="Times New Roman" w:hAnsi="Times New Roman" w:eastAsia="仿宋_GB2312" w:cs="Times New Roman"/>
          <w:sz w:val="32"/>
          <w:szCs w:val="32"/>
        </w:rPr>
        <w:t>涉藏地区</w:t>
      </w:r>
      <w:r>
        <w:rPr>
          <w:rFonts w:ascii="Times New Roman" w:hAnsi="Times New Roman" w:eastAsia="仿宋_GB2312" w:cs="Times New Roman"/>
          <w:sz w:val="32"/>
          <w:szCs w:val="32"/>
        </w:rPr>
        <w:t>发展成就，培养中华民族共同体意识，巩固持续向好的思想基础。牢牢把握“两个共同”主题，深入开展爱国主义、历史国情和感恩奋进教育，让“三个离不开”“五个认同”思想更加深入人心。积极开展民族团结进步“七进”活动，以藏历年、“壤巴拉节”等民族节庆活动为平台，不断丰富民族团结教育活动内容，营造全社会自觉维护民族团结的良好环境。深化建设“美丽壤巴拉家园”成果，努力实现“住在壤塘有安全感、活在壤塘有幸福感、干在壤塘有成就感、说着壤塘有自豪感、走出壤塘有留恋感”</w:t>
      </w:r>
      <w:r>
        <w:rPr>
          <w:rFonts w:hint="eastAsia" w:ascii="Times New Roman" w:hAnsi="Times New Roman" w:eastAsia="仿宋_GB2312" w:cs="Times New Roman"/>
          <w:sz w:val="32"/>
          <w:szCs w:val="32"/>
        </w:rPr>
        <w:t>的</w:t>
      </w:r>
      <w:r>
        <w:rPr>
          <w:rFonts w:ascii="Times New Roman" w:hAnsi="Times New Roman" w:eastAsia="仿宋_GB2312" w:cs="Times New Roman"/>
          <w:sz w:val="32"/>
          <w:szCs w:val="32"/>
        </w:rPr>
        <w:t>“五感”目标。持续开展“壤巴拉好人”“壤巴拉荣誉公民”评选活动，提高“壤巴拉家园”凝聚力和向心力。</w:t>
      </w:r>
    </w:p>
    <w:p>
      <w:pPr>
        <w:spacing w:line="560" w:lineRule="exact"/>
        <w:ind w:firstLine="643" w:firstLineChars="200"/>
        <w:outlineLvl w:val="2"/>
        <w:rPr>
          <w:rFonts w:ascii="Times New Roman" w:hAnsi="Times New Roman" w:eastAsia="黑体" w:cs="Times New Roman"/>
          <w:b/>
          <w:bCs/>
          <w:sz w:val="32"/>
          <w:szCs w:val="32"/>
        </w:rPr>
      </w:pPr>
      <w:bookmarkStart w:id="61" w:name="_Toc23040"/>
      <w:r>
        <w:rPr>
          <w:rFonts w:ascii="Times New Roman" w:hAnsi="Times New Roman" w:eastAsia="黑体" w:cs="Times New Roman"/>
          <w:b/>
          <w:bCs/>
          <w:sz w:val="32"/>
          <w:szCs w:val="32"/>
        </w:rPr>
        <w:t>二、加强民族团结进步示范单位创建</w:t>
      </w:r>
      <w:bookmarkEnd w:id="61"/>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积极开展国家级民族团结进步县和民族团结进步示范新村、示范单位、示范窗口创建工作。</w:t>
      </w:r>
      <w:r>
        <w:rPr>
          <w:rFonts w:ascii="Times New Roman" w:hAnsi="Times New Roman" w:eastAsia="楷体_GB2312" w:cs="Times New Roman"/>
          <w:b/>
          <w:bCs/>
          <w:sz w:val="32"/>
          <w:szCs w:val="32"/>
        </w:rPr>
        <w:t>明确创建目标</w:t>
      </w:r>
      <w:r>
        <w:rPr>
          <w:rFonts w:hint="eastAsia" w:ascii="Times New Roman" w:hAnsi="Times New Roman" w:eastAsia="楷体_GB2312" w:cs="Times New Roman"/>
          <w:b/>
          <w:bCs/>
          <w:sz w:val="32"/>
          <w:szCs w:val="32"/>
        </w:rPr>
        <w:t>。</w:t>
      </w:r>
      <w:r>
        <w:rPr>
          <w:rFonts w:ascii="Times New Roman" w:hAnsi="Times New Roman" w:eastAsia="仿宋_GB2312" w:cs="Times New Roman"/>
          <w:sz w:val="32"/>
          <w:szCs w:val="32"/>
        </w:rPr>
        <w:t>以“中华民族一家亲，同心共筑中国梦”为总目标，坚持“重在平时、重在交心、重在行动、重在基层”基本原则，以“人文化、实体化、大众化”为总要求，正面引导、齐抓共管、形成合力，把创建工作重心下沉到机关、乡镇、村寨、学校、社区、企业和宗教活动场所等基层单位。坚持分级联创，着力提质扩面，加大对重点乡镇、窗口单位、重点行业、重点寺庙等创建力度，形成以点串线、以线连片、以片带面的示范创建格局</w:t>
      </w:r>
      <w:r>
        <w:rPr>
          <w:rFonts w:hint="eastAsia" w:ascii="Times New Roman" w:hAnsi="Times New Roman" w:eastAsia="仿宋_GB2312" w:cs="Times New Roman"/>
          <w:sz w:val="32"/>
          <w:szCs w:val="32"/>
        </w:rPr>
        <w:t>。</w:t>
      </w:r>
      <w:r>
        <w:rPr>
          <w:rFonts w:ascii="Times New Roman" w:hAnsi="Times New Roman" w:eastAsia="楷体_GB2312" w:cs="Times New Roman"/>
          <w:b/>
          <w:bCs/>
          <w:sz w:val="32"/>
          <w:szCs w:val="32"/>
        </w:rPr>
        <w:t>明确创建范围</w:t>
      </w:r>
      <w:r>
        <w:rPr>
          <w:rFonts w:hint="eastAsia" w:ascii="Times New Roman" w:hAnsi="Times New Roman" w:eastAsia="楷体_GB2312" w:cs="Times New Roman"/>
          <w:b/>
          <w:bCs/>
          <w:sz w:val="32"/>
          <w:szCs w:val="32"/>
        </w:rPr>
        <w:t>。</w:t>
      </w:r>
      <w:r>
        <w:rPr>
          <w:rFonts w:ascii="Times New Roman" w:hAnsi="Times New Roman" w:eastAsia="仿宋_GB2312" w:cs="Times New Roman"/>
          <w:sz w:val="32"/>
          <w:szCs w:val="32"/>
        </w:rPr>
        <w:t>以全县机关、乡镇、村寨、学校、企业、社区和宗教活动场所为创建基本单元，坚持向基层单位倾斜</w:t>
      </w:r>
      <w:r>
        <w:rPr>
          <w:rFonts w:hint="eastAsia" w:ascii="Times New Roman" w:hAnsi="Times New Roman" w:eastAsia="仿宋_GB2312" w:cs="Times New Roman"/>
          <w:sz w:val="32"/>
          <w:szCs w:val="32"/>
        </w:rPr>
        <w:t>。</w:t>
      </w:r>
      <w:r>
        <w:rPr>
          <w:rFonts w:hint="eastAsia" w:ascii="Times New Roman" w:hAnsi="Times New Roman" w:eastAsia="楷体_GB2312" w:cs="Times New Roman"/>
          <w:b/>
          <w:bCs/>
          <w:sz w:val="32"/>
          <w:szCs w:val="32"/>
        </w:rPr>
        <w:t>明确创建标准。</w:t>
      </w:r>
      <w:r>
        <w:rPr>
          <w:rFonts w:ascii="Times New Roman" w:hAnsi="Times New Roman" w:eastAsia="仿宋_GB2312" w:cs="Times New Roman"/>
          <w:sz w:val="32"/>
          <w:szCs w:val="32"/>
        </w:rPr>
        <w:t>按照中办、国办以及省州有关文件精神，依据国家民委有关标准，结合壤塘实际，</w:t>
      </w:r>
      <w:r>
        <w:rPr>
          <w:rFonts w:hint="eastAsia" w:ascii="Times New Roman" w:hAnsi="Times New Roman" w:eastAsia="仿宋_GB2312" w:cs="Times New Roman"/>
          <w:sz w:val="32"/>
          <w:szCs w:val="32"/>
        </w:rPr>
        <w:t>完善</w:t>
      </w:r>
      <w:r>
        <w:rPr>
          <w:rFonts w:ascii="Times New Roman" w:hAnsi="Times New Roman" w:eastAsia="仿宋_GB2312" w:cs="Times New Roman"/>
          <w:sz w:val="32"/>
          <w:szCs w:val="32"/>
        </w:rPr>
        <w:t>《壤塘县民族团结进步示范单位创建活动测评办法》。各单位要参照测评办法，努力实现重点突出、特色鲜明、创新创优</w:t>
      </w:r>
      <w:r>
        <w:rPr>
          <w:rFonts w:hint="eastAsia" w:ascii="Times New Roman" w:hAnsi="Times New Roman" w:eastAsia="仿宋_GB2312" w:cs="Times New Roman"/>
          <w:sz w:val="32"/>
          <w:szCs w:val="32"/>
        </w:rPr>
        <w:t>。加强典型宣传，</w:t>
      </w:r>
      <w:r>
        <w:rPr>
          <w:rFonts w:ascii="Times New Roman" w:hAnsi="Times New Roman" w:eastAsia="仿宋_GB2312" w:cs="Times New Roman"/>
          <w:sz w:val="32"/>
          <w:szCs w:val="32"/>
        </w:rPr>
        <w:t>开展民族团结进步典型评选表彰活动，积极培养、树立和推广先进典型。到2025年，实现100%的村成功创建州级“民族团结进步示范村”。</w:t>
      </w:r>
    </w:p>
    <w:p>
      <w:pPr>
        <w:adjustRightInd w:val="0"/>
        <w:snapToGrid w:val="0"/>
        <w:spacing w:line="530" w:lineRule="atLeast"/>
        <w:jc w:val="center"/>
        <w:outlineLvl w:val="1"/>
        <w:rPr>
          <w:rFonts w:ascii="Times New Roman" w:hAnsi="Times New Roman" w:eastAsia="宋体" w:cs="Times New Roman"/>
          <w:b/>
          <w:bCs/>
          <w:sz w:val="36"/>
          <w:szCs w:val="36"/>
        </w:rPr>
      </w:pPr>
      <w:bookmarkStart w:id="62" w:name="_Toc29518"/>
      <w:bookmarkStart w:id="63" w:name="_Toc954"/>
      <w:r>
        <w:rPr>
          <w:rFonts w:ascii="Times New Roman" w:hAnsi="Times New Roman" w:eastAsia="宋体" w:cs="Times New Roman"/>
          <w:b/>
          <w:bCs/>
          <w:sz w:val="36"/>
          <w:szCs w:val="36"/>
        </w:rPr>
        <w:t>第二节  努力增强各民族文化认同</w:t>
      </w:r>
      <w:bookmarkEnd w:id="62"/>
      <w:bookmarkEnd w:id="63"/>
    </w:p>
    <w:p>
      <w:pPr>
        <w:adjustRightInd w:val="0"/>
        <w:snapToGrid w:val="0"/>
        <w:spacing w:line="530" w:lineRule="atLeast"/>
        <w:ind w:firstLine="640" w:firstLineChars="200"/>
        <w:rPr>
          <w:rFonts w:ascii="Times New Roman" w:hAnsi="Times New Roman" w:eastAsia="仿宋_GB2312" w:cs="Times New Roman"/>
          <w:sz w:val="32"/>
          <w:szCs w:val="32"/>
        </w:rPr>
      </w:pPr>
    </w:p>
    <w:p>
      <w:pPr>
        <w:adjustRightInd w:val="0"/>
        <w:snapToGrid w:val="0"/>
        <w:spacing w:line="53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w:t>
      </w:r>
      <w:r>
        <w:rPr>
          <w:rFonts w:hint="eastAsia" w:ascii="Times New Roman" w:hAnsi="Times New Roman" w:eastAsia="楷体_GB2312" w:cs="Times New Roman"/>
          <w:b/>
          <w:bCs/>
          <w:sz w:val="32"/>
          <w:szCs w:val="32"/>
        </w:rPr>
        <w:t>“文化壤塘”“幸福壤塘”</w:t>
      </w:r>
      <w:r>
        <w:rPr>
          <w:rFonts w:ascii="Times New Roman" w:hAnsi="Times New Roman" w:eastAsia="仿宋_GB2312" w:cs="Times New Roman"/>
          <w:sz w:val="32"/>
          <w:szCs w:val="32"/>
        </w:rPr>
        <w:t>目标，利用丰富的文化资源，打造一批文化教育基地，深化各民族文化交往交流交融，促进中华民族大团结，增强各民族文化认同，建设各民族共有精神家园，积极培育中华民族共同体意识。</w:t>
      </w:r>
    </w:p>
    <w:p>
      <w:pPr>
        <w:adjustRightInd w:val="0"/>
        <w:snapToGrid w:val="0"/>
        <w:spacing w:line="530" w:lineRule="atLeast"/>
        <w:ind w:firstLine="643" w:firstLineChars="200"/>
        <w:outlineLvl w:val="2"/>
        <w:rPr>
          <w:rFonts w:ascii="Times New Roman" w:hAnsi="Times New Roman" w:eastAsia="黑体" w:cs="Times New Roman"/>
          <w:b/>
          <w:bCs/>
          <w:sz w:val="32"/>
          <w:szCs w:val="32"/>
        </w:rPr>
      </w:pPr>
      <w:bookmarkStart w:id="64" w:name="_Toc31603"/>
      <w:r>
        <w:rPr>
          <w:rFonts w:ascii="Times New Roman" w:hAnsi="Times New Roman" w:eastAsia="黑体" w:cs="Times New Roman"/>
          <w:b/>
          <w:bCs/>
          <w:sz w:val="32"/>
          <w:szCs w:val="32"/>
        </w:rPr>
        <w:t>一、打造一批民族文化教育基地</w:t>
      </w:r>
      <w:bookmarkEnd w:id="64"/>
    </w:p>
    <w:p>
      <w:pPr>
        <w:adjustRightInd w:val="0"/>
        <w:snapToGrid w:val="0"/>
        <w:spacing w:line="53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深入挖掘优秀民族文化的核心价值理念，铸牢中华民族共同体意识的方向引领。加强对壤巴拉文化核心价值的深入挖掘，结合新时代社会主要矛盾的转化和“全社会共同富裕”目标，提炼壤巴拉文化与“人民日益增长的美好生活需要”共同点，拓展“财神文化”等优秀民族文化的内涵外延，打造“</w:t>
      </w:r>
      <w:r>
        <w:rPr>
          <w:rFonts w:hint="eastAsia" w:ascii="Times New Roman" w:hAnsi="Times New Roman" w:eastAsia="仿宋_GB2312" w:cs="Times New Roman"/>
          <w:sz w:val="32"/>
          <w:szCs w:val="32"/>
          <w:highlight w:val="none"/>
        </w:rPr>
        <w:t>中华民</w:t>
      </w:r>
      <w:r>
        <w:rPr>
          <w:rFonts w:ascii="Times New Roman" w:hAnsi="Times New Roman" w:eastAsia="仿宋_GB2312" w:cs="Times New Roman"/>
          <w:sz w:val="32"/>
          <w:szCs w:val="32"/>
        </w:rPr>
        <w:t>间财富文化教育基地”；加强森工历史文化、公路文化的发掘整理，挖掘壤塘境内各民族同胞在改革开放新时代创造的中国特色社会主义文化，建设“新时代成就展”“新时代人物展”等博物馆或基地；加强对东西扶贫协作、对口帮扶的主要成就、重点人物、重点事迹的挖掘、整理和记录，提炼中华文化互帮互助的核心价值理念</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加强与高校思想政治教育、各部门“不忘初心</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牢记使命”教育、共产党员先进性教育结合起来，积极推进清华大学“铸牢中华民族共同体意识”教育实践基地建设。借助现代技术手段，凸显文化特质，以群众喜闻乐见的方式展现中华文化的魅力。对于隐性的不可见的文化遗产，如思想观念、人文精神、道德规范等，以社会主义核心价值观为引领，活化形式，创新载体，更好传承，结合时代要求加以凝练和升华，全方位增强和提升民族向心力。</w:t>
      </w:r>
    </w:p>
    <w:p>
      <w:pPr>
        <w:adjustRightInd w:val="0"/>
        <w:snapToGrid w:val="0"/>
        <w:spacing w:line="530" w:lineRule="atLeast"/>
        <w:ind w:firstLine="643" w:firstLineChars="200"/>
        <w:outlineLvl w:val="2"/>
        <w:rPr>
          <w:rFonts w:ascii="Times New Roman" w:hAnsi="Times New Roman" w:eastAsia="黑体" w:cs="Times New Roman"/>
          <w:b/>
          <w:bCs/>
          <w:sz w:val="32"/>
          <w:szCs w:val="32"/>
        </w:rPr>
      </w:pPr>
      <w:bookmarkStart w:id="65" w:name="_Toc26631"/>
      <w:r>
        <w:rPr>
          <w:rFonts w:ascii="Times New Roman" w:hAnsi="Times New Roman" w:eastAsia="黑体" w:cs="Times New Roman"/>
          <w:b/>
          <w:bCs/>
          <w:sz w:val="32"/>
          <w:szCs w:val="32"/>
        </w:rPr>
        <w:t>二、建设一批红色文化教育基地</w:t>
      </w:r>
      <w:bookmarkEnd w:id="65"/>
    </w:p>
    <w:p>
      <w:pPr>
        <w:adjustRightInd w:val="0"/>
        <w:snapToGrid w:val="0"/>
        <w:spacing w:line="53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大全县红色文化资源的收集整理，挖掘壤塘境内各民族仁人志士在中国革命史上并肩战斗而缔造的革命文化，建设“红色文化教育基地”。充分利用红军二、四方面军北上途经、驻扎、转战壤塘期间，留下大量革命遗址遗迹历史素材，积极开发一批承载、体现红军长征精神的文化旅游景点。借助蒲西、宗科、石里3个乡被确定为第二次国内革命战争时期的革命老区的优势，积极开发红色旅游资源，建设民族团结教育基地。积极打造当年红军驻扎休整、筹集粮食、治伤疗伤、胜利会师等主题，深入挖掘中国红色文化的“壤塘故事”。在上杜柯乡建设以红军筹粮为主题的景点；在宗科乡建设以红军治伤疗伤为主题的景点，并建设宗科乡长征驿站；在尕卡岭建设以胜利会师为主题的红色文化景点。</w:t>
      </w:r>
      <w:r>
        <w:rPr>
          <w:rFonts w:hint="eastAsia" w:ascii="Times New Roman" w:hAnsi="Times New Roman" w:eastAsia="仿宋_GB2312" w:cs="Times New Roman"/>
          <w:sz w:val="32"/>
          <w:szCs w:val="32"/>
        </w:rPr>
        <w:t>形成“重走长征路、聆听微党课、观看红色遗址、祭扫烈士陵墓、缅怀革命先烈、重温入党誓词、激发红色情怀”的特色体系，打造“</w:t>
      </w:r>
      <w:r>
        <w:rPr>
          <w:rFonts w:ascii="Times New Roman" w:hAnsi="Times New Roman" w:eastAsia="仿宋_GB2312" w:cs="Times New Roman"/>
          <w:sz w:val="32"/>
          <w:szCs w:val="32"/>
        </w:rPr>
        <w:t>四川长征干部学院阿坝雪山草地分院壤塘</w:t>
      </w:r>
      <w:r>
        <w:rPr>
          <w:rFonts w:hint="eastAsia" w:ascii="Times New Roman" w:hAnsi="Times New Roman" w:eastAsia="仿宋_GB2312" w:cs="Times New Roman"/>
          <w:sz w:val="32"/>
          <w:szCs w:val="32"/>
        </w:rPr>
        <w:t>基地”红色教育品牌</w:t>
      </w:r>
      <w:r>
        <w:rPr>
          <w:rFonts w:ascii="Times New Roman" w:hAnsi="Times New Roman" w:eastAsia="仿宋_GB2312" w:cs="Times New Roman"/>
          <w:sz w:val="32"/>
          <w:szCs w:val="32"/>
        </w:rPr>
        <w:t xml:space="preserve">。 </w:t>
      </w:r>
    </w:p>
    <w:p>
      <w:pPr>
        <w:adjustRightInd w:val="0"/>
        <w:snapToGrid w:val="0"/>
        <w:spacing w:line="530" w:lineRule="atLeast"/>
        <w:ind w:firstLine="643" w:firstLineChars="200"/>
        <w:outlineLvl w:val="2"/>
        <w:rPr>
          <w:rFonts w:ascii="Times New Roman" w:hAnsi="Times New Roman" w:eastAsia="黑体" w:cs="Times New Roman"/>
          <w:b/>
          <w:bCs/>
          <w:sz w:val="32"/>
          <w:szCs w:val="32"/>
        </w:rPr>
      </w:pPr>
      <w:bookmarkStart w:id="66" w:name="_Toc20398"/>
      <w:r>
        <w:rPr>
          <w:rFonts w:ascii="Times New Roman" w:hAnsi="Times New Roman" w:eastAsia="黑体" w:cs="Times New Roman"/>
          <w:b/>
          <w:bCs/>
          <w:sz w:val="32"/>
          <w:szCs w:val="32"/>
        </w:rPr>
        <w:t>三、深化文化交往交流交融</w:t>
      </w:r>
      <w:bookmarkEnd w:id="66"/>
    </w:p>
    <w:p>
      <w:pPr>
        <w:adjustRightInd w:val="0"/>
        <w:snapToGrid w:val="0"/>
        <w:spacing w:line="53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增强文化自信，加强文化交流互鉴，拓展民族文化的开放包容性，铸牢中华民族共同体意识发展的不竭动力。正确处理中华文化与藏民族文化的关系，正确处理差异性与共同性的关系。培育各族人民</w:t>
      </w:r>
      <w:r>
        <w:rPr>
          <w:rFonts w:hint="eastAsia" w:ascii="Times New Roman" w:hAnsi="Times New Roman" w:eastAsia="楷体_GB2312" w:cs="Times New Roman"/>
          <w:b/>
          <w:bCs/>
          <w:sz w:val="32"/>
          <w:szCs w:val="32"/>
        </w:rPr>
        <w:t>“共建意识”“共担意识”“共享意识”“共属意识”</w:t>
      </w:r>
      <w:r>
        <w:rPr>
          <w:rFonts w:ascii="Times New Roman" w:hAnsi="Times New Roman" w:eastAsia="仿宋_GB2312" w:cs="Times New Roman"/>
          <w:sz w:val="32"/>
          <w:szCs w:val="32"/>
        </w:rPr>
        <w:t>，把小我与大我、个人前途命运与国家前途命运紧紧联系在一起，用共同体意识捍卫国家主权、维护国家统一、促进国家发展和长治久安。实施更多文化惠民工程，广泛搭建交往交流交融平台。充分利用全县丰富的非物质文化遗产资源，借助传习所平台，坚持实施文化“请进来”“走出去”战略，推进上海、北京、成都、九寨沟等“文化飞地”建设，增强文化自信，促进壤塘优秀民族文化与其他优秀文化深度交流融合。丰富文化交流交融形式、创新交往载体，进一步推动各民族在文化上相互尊重、相互欣赏、相互学习、相互借鉴。全面推广普及国家通用语言和通用文字，充分保障各族人民群众合法权益，促进各民族群众之间交往交流交融，共同创造多元一体的中华文化，共同建设中华民族共有精神家园。</w:t>
      </w:r>
    </w:p>
    <w:p>
      <w:pPr>
        <w:adjustRightInd w:val="0"/>
        <w:snapToGrid w:val="0"/>
        <w:spacing w:line="530" w:lineRule="atLeast"/>
        <w:ind w:firstLine="640" w:firstLineChars="200"/>
        <w:rPr>
          <w:rFonts w:ascii="Times New Roman" w:hAnsi="Times New Roman" w:eastAsia="仿宋_GB2312" w:cs="Times New Roman"/>
          <w:sz w:val="32"/>
          <w:szCs w:val="32"/>
        </w:rPr>
      </w:pPr>
    </w:p>
    <w:p>
      <w:pPr>
        <w:adjustRightInd w:val="0"/>
        <w:snapToGrid w:val="0"/>
        <w:spacing w:line="530" w:lineRule="atLeast"/>
        <w:jc w:val="center"/>
        <w:outlineLvl w:val="1"/>
        <w:rPr>
          <w:rFonts w:ascii="Times New Roman" w:hAnsi="Times New Roman" w:eastAsia="宋体" w:cs="Times New Roman"/>
          <w:b/>
          <w:bCs/>
          <w:sz w:val="36"/>
          <w:szCs w:val="36"/>
        </w:rPr>
      </w:pPr>
      <w:bookmarkStart w:id="67" w:name="_Toc16511"/>
      <w:bookmarkStart w:id="68" w:name="_Toc6978"/>
      <w:r>
        <w:rPr>
          <w:rFonts w:ascii="Times New Roman" w:hAnsi="Times New Roman" w:eastAsia="宋体" w:cs="Times New Roman"/>
          <w:b/>
          <w:bCs/>
          <w:sz w:val="36"/>
          <w:szCs w:val="36"/>
        </w:rPr>
        <w:t>第三节  完善共同体意识教育制度</w:t>
      </w:r>
      <w:bookmarkEnd w:id="67"/>
      <w:bookmarkEnd w:id="68"/>
    </w:p>
    <w:p>
      <w:pPr>
        <w:adjustRightInd w:val="0"/>
        <w:snapToGrid w:val="0"/>
        <w:spacing w:line="530" w:lineRule="atLeast"/>
        <w:ind w:firstLine="640" w:firstLineChars="200"/>
        <w:rPr>
          <w:rFonts w:ascii="Times New Roman" w:hAnsi="Times New Roman" w:eastAsia="仿宋_GB2312" w:cs="Times New Roman"/>
          <w:sz w:val="32"/>
          <w:szCs w:val="32"/>
        </w:rPr>
      </w:pPr>
    </w:p>
    <w:p>
      <w:pPr>
        <w:adjustRightInd w:val="0"/>
        <w:snapToGrid w:val="0"/>
        <w:spacing w:line="53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华民族共同体意识是国家统一之基、民族团结之本、精神力量之魂。坚持以维护祖国统一、加强民族团结为着眼点和着力点，健全中华民族共同体教育制度，丰富内涵和形式，全面铸牢培育中华民族共同体意识的制度基础。</w:t>
      </w:r>
    </w:p>
    <w:p>
      <w:pPr>
        <w:adjustRightInd w:val="0"/>
        <w:snapToGrid w:val="0"/>
        <w:spacing w:line="530" w:lineRule="atLeast"/>
        <w:ind w:firstLine="643" w:firstLineChars="200"/>
        <w:outlineLvl w:val="2"/>
        <w:rPr>
          <w:rFonts w:ascii="Times New Roman" w:hAnsi="Times New Roman" w:eastAsia="黑体" w:cs="Times New Roman"/>
          <w:b/>
          <w:bCs/>
          <w:sz w:val="32"/>
          <w:szCs w:val="32"/>
        </w:rPr>
      </w:pPr>
      <w:bookmarkStart w:id="69" w:name="_Toc20702"/>
      <w:r>
        <w:rPr>
          <w:rFonts w:ascii="Times New Roman" w:hAnsi="Times New Roman" w:eastAsia="黑体" w:cs="Times New Roman"/>
          <w:b/>
          <w:bCs/>
          <w:sz w:val="32"/>
          <w:szCs w:val="32"/>
        </w:rPr>
        <w:t>一、完善中华民族共同体教育内容</w:t>
      </w:r>
      <w:bookmarkEnd w:id="69"/>
    </w:p>
    <w:p>
      <w:pPr>
        <w:adjustRightInd w:val="0"/>
        <w:snapToGrid w:val="0"/>
        <w:spacing w:line="53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不断丰富发展中华民族共同体教育的内容和形式，深入开展党史、新中国史、改革开放史、社会主义发展史、壤塘地方史（《壤塘乡土》《一览壤巴拉》）教育，引导各族群众树立正确的国家观、历史观、民族观、文化观、宗教观。加强学校思想政治教育，把爱国主义精神贯穿</w:t>
      </w:r>
      <w:r>
        <w:rPr>
          <w:rFonts w:hint="eastAsia" w:ascii="Times New Roman" w:hAnsi="Times New Roman" w:eastAsia="仿宋_GB2312" w:cs="Times New Roman"/>
          <w:sz w:val="32"/>
          <w:szCs w:val="32"/>
        </w:rPr>
        <w:t>于</w:t>
      </w:r>
      <w:r>
        <w:rPr>
          <w:rFonts w:ascii="Times New Roman" w:hAnsi="Times New Roman" w:eastAsia="仿宋_GB2312" w:cs="Times New Roman"/>
          <w:sz w:val="32"/>
          <w:szCs w:val="32"/>
        </w:rPr>
        <w:t>各级各类学校教育全过程，把爱我中华的种子埋入每个青少年的心灵深处。培育和践行社会主义核心价值观，不断增强各族群众对伟大祖国、中华民族、中华文化、中国共产党、中国特色社会主义的认同。引导各族群众看到民族的走向和未来，深刻认识到中华民族是命运共同体，增进对新时代我们党进行伟大斗争、建设伟大工程、推进伟大事业、实现伟大梦想的认同。着力打牢中华民族共同体思想基础，大力营造中华民族一家亲的社会氛围。</w:t>
      </w:r>
    </w:p>
    <w:p>
      <w:pPr>
        <w:adjustRightInd w:val="0"/>
        <w:snapToGrid w:val="0"/>
        <w:spacing w:line="530" w:lineRule="atLeast"/>
        <w:ind w:firstLine="643" w:firstLineChars="200"/>
        <w:outlineLvl w:val="2"/>
        <w:rPr>
          <w:rFonts w:ascii="Times New Roman" w:hAnsi="Times New Roman" w:eastAsia="黑体" w:cs="Times New Roman"/>
          <w:b/>
          <w:bCs/>
          <w:sz w:val="32"/>
          <w:szCs w:val="32"/>
        </w:rPr>
      </w:pPr>
      <w:bookmarkStart w:id="70" w:name="_Toc18220"/>
      <w:r>
        <w:rPr>
          <w:rFonts w:ascii="Times New Roman" w:hAnsi="Times New Roman" w:eastAsia="黑体" w:cs="Times New Roman"/>
          <w:b/>
          <w:bCs/>
          <w:sz w:val="32"/>
          <w:szCs w:val="32"/>
        </w:rPr>
        <w:t>二、健全中华民族共同体教育制度</w:t>
      </w:r>
      <w:bookmarkEnd w:id="70"/>
    </w:p>
    <w:p>
      <w:pPr>
        <w:adjustRightInd w:val="0"/>
        <w:snapToGrid w:val="0"/>
        <w:spacing w:line="56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中华民族共同体意识的形成是一个由自在到</w:t>
      </w:r>
      <w:r>
        <w:rPr>
          <w:rFonts w:hint="eastAsia" w:ascii="Times New Roman" w:hAnsi="Times New Roman" w:eastAsia="仿宋_GB2312" w:cs="Times New Roman"/>
          <w:sz w:val="32"/>
          <w:szCs w:val="32"/>
          <w:highlight w:val="none"/>
        </w:rPr>
        <w:t>自觉的发展</w:t>
      </w:r>
      <w:r>
        <w:rPr>
          <w:rFonts w:ascii="Times New Roman" w:hAnsi="Times New Roman" w:eastAsia="仿宋_GB2312" w:cs="Times New Roman"/>
          <w:sz w:val="32"/>
          <w:szCs w:val="32"/>
        </w:rPr>
        <w:t>过程，教育制度至关重要。健全完善中华民族共同体教育体系和制度，结合全县教育发展实际，将其纳入国民教育各学段、各环节，纳入干部教育、社会教育全过程，构建课堂教学、社会实践、主题教育多位一体的教育平台。坚持不懈开展马克思主义祖国观、民族观、文化观、历史观教育，引导各族群众不断增强“五个认同”。牢牢把握舆论主动权和主导权，充分利用现代信息技术和手段，推进“互联网+民族团结”行动，让互联网成为构筑各民族共有精神家园、铸牢中华民族共同体意识的最大增量。把实现社会局势持续稳定、长期稳定、全面稳定作为硬任务，对各方面工作统筹谋划、综合发力，推动壤塘民族团结基础不断夯实，中华民族共同体意识日益深入人心，让民族团结之花开遍壤巴拉家园。</w:t>
      </w:r>
    </w:p>
    <w:tbl>
      <w:tblPr>
        <w:tblStyle w:val="12"/>
        <w:tblW w:w="885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0" w:type="dxa"/>
          </w:tcPr>
          <w:p>
            <w:pPr>
              <w:spacing w:line="5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专栏7 民族团结进步教育重点项目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50" w:type="dxa"/>
          </w:tcPr>
          <w:p>
            <w:pPr>
              <w:adjustRightInd w:val="0"/>
              <w:snapToGrid w:val="0"/>
              <w:spacing w:line="36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一、共同体意识教育基地建设</w:t>
            </w:r>
          </w:p>
          <w:p>
            <w:pPr>
              <w:adjustRightInd w:val="0"/>
              <w:snapToGrid w:val="0"/>
              <w:spacing w:line="360" w:lineRule="exac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清华大学共同体意识教育实践基地建设；民族团结进步示范县、示范单位、示范窗口、示范新村创建工作；红色文化教育宣传；森工文化及公路文化整理、博物馆建设；对口帮扶、东西扶贫协作历史记录等。</w:t>
            </w:r>
          </w:p>
          <w:p>
            <w:pPr>
              <w:adjustRightInd w:val="0"/>
              <w:snapToGrid w:val="0"/>
              <w:spacing w:line="36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二、共同体意识教育制度建设</w:t>
            </w:r>
          </w:p>
          <w:p>
            <w:pPr>
              <w:adjustRightInd w:val="0"/>
              <w:snapToGrid w:val="0"/>
              <w:spacing w:line="360" w:lineRule="exact"/>
              <w:ind w:firstLine="480" w:firstLineChars="200"/>
              <w:rPr>
                <w:rFonts w:ascii="Times New Roman" w:hAnsi="Times New Roman" w:eastAsia="仿宋" w:cs="Times New Roman"/>
                <w:sz w:val="30"/>
                <w:szCs w:val="30"/>
              </w:rPr>
            </w:pPr>
            <w:r>
              <w:rPr>
                <w:rFonts w:hint="eastAsia" w:ascii="楷体_GB2312" w:hAnsi="楷体_GB2312" w:eastAsia="楷体_GB2312" w:cs="楷体_GB2312"/>
                <w:sz w:val="24"/>
              </w:rPr>
              <w:t>完善《壤塘乡土》《一览壤巴拉》等地方史教育；健全共同体教育相关制度。</w:t>
            </w:r>
          </w:p>
        </w:tc>
      </w:tr>
    </w:tbl>
    <w:p>
      <w:pPr>
        <w:numPr>
          <w:ilvl w:val="0"/>
          <w:numId w:val="1"/>
        </w:numPr>
        <w:spacing w:line="700" w:lineRule="exact"/>
        <w:ind w:left="1760" w:leftChars="0" w:hanging="1760" w:hangingChars="400"/>
        <w:jc w:val="center"/>
        <w:outlineLvl w:val="0"/>
        <w:rPr>
          <w:rFonts w:ascii="Times New Roman" w:hAnsi="Times New Roman" w:eastAsia="方正小标宋_GBK" w:cs="Times New Roman"/>
          <w:sz w:val="44"/>
          <w:szCs w:val="44"/>
        </w:rPr>
      </w:pPr>
      <w:bookmarkStart w:id="71" w:name="_Toc15951"/>
      <w:bookmarkStart w:id="72" w:name="_Toc24179"/>
      <w:bookmarkStart w:id="73" w:name="_Hlk66438422"/>
      <w:r>
        <w:rPr>
          <w:rFonts w:ascii="Times New Roman" w:hAnsi="Times New Roman" w:eastAsia="方正小标宋_GBK" w:cs="Times New Roman"/>
          <w:sz w:val="44"/>
          <w:szCs w:val="44"/>
        </w:rPr>
        <w:t xml:space="preserve"> 实施生态优先发展战略，构建</w:t>
      </w:r>
    </w:p>
    <w:p>
      <w:pPr>
        <w:numPr>
          <w:ilvl w:val="0"/>
          <w:numId w:val="0"/>
        </w:numPr>
        <w:spacing w:line="700" w:lineRule="exact"/>
        <w:ind w:leftChars="-400"/>
        <w:jc w:val="center"/>
        <w:outlineLvl w:val="0"/>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“川甘青结合部河源生态文明示范县”</w:t>
      </w:r>
      <w:bookmarkEnd w:id="71"/>
      <w:bookmarkEnd w:id="72"/>
    </w:p>
    <w:bookmarkEnd w:id="73"/>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以习近平生态文明思想为指导，践行“绿水青山就是金山银山”理念，实施生态优先发展战略，强化“上游意识”，担当“上游责任”，科学优化生态空间布局，全面加强生态资源保护和治理，打好污染防治攻坚硬仗，开展环境卫生综合整治，全面提升防灾减灾能力，实现保护和治理并重，全力推进</w:t>
      </w:r>
      <w:r>
        <w:rPr>
          <w:rFonts w:hint="eastAsia" w:ascii="Times New Roman" w:hAnsi="Times New Roman" w:eastAsia="仿宋_GB2312" w:cs="Times New Roman"/>
          <w:sz w:val="32"/>
          <w:szCs w:val="32"/>
        </w:rPr>
        <w:t>川西北阿坝生态示范区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美丽壤巴拉家园</w:t>
      </w:r>
      <w:r>
        <w:rPr>
          <w:rFonts w:ascii="Times New Roman" w:hAnsi="Times New Roman" w:eastAsia="仿宋_GB2312" w:cs="Times New Roman"/>
          <w:sz w:val="32"/>
          <w:szCs w:val="32"/>
        </w:rPr>
        <w:t>”建设，打造</w:t>
      </w:r>
      <w:r>
        <w:rPr>
          <w:rFonts w:ascii="Times New Roman" w:hAnsi="Times New Roman" w:eastAsia="楷体_GB2312" w:cs="Times New Roman"/>
          <w:b/>
          <w:bCs/>
          <w:sz w:val="32"/>
          <w:szCs w:val="32"/>
        </w:rPr>
        <w:t>“川甘青结合部河源生态文明示范县”</w:t>
      </w:r>
      <w:r>
        <w:rPr>
          <w:rFonts w:ascii="Times New Roman" w:hAnsi="Times New Roman" w:eastAsia="仿宋_GB2312" w:cs="Times New Roman"/>
          <w:b/>
          <w:bCs/>
          <w:sz w:val="32"/>
          <w:szCs w:val="32"/>
        </w:rPr>
        <w:t>。</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74" w:name="_Toc11376"/>
      <w:bookmarkStart w:id="75" w:name="_Toc8763"/>
      <w:r>
        <w:rPr>
          <w:rFonts w:ascii="Times New Roman" w:hAnsi="Times New Roman" w:eastAsia="宋体" w:cs="Times New Roman"/>
          <w:b/>
          <w:bCs/>
          <w:sz w:val="36"/>
          <w:szCs w:val="36"/>
        </w:rPr>
        <w:t>第一节  优化国土空间布局</w:t>
      </w:r>
      <w:bookmarkEnd w:id="74"/>
      <w:bookmarkEnd w:id="75"/>
    </w:p>
    <w:p>
      <w:pPr>
        <w:spacing w:line="560" w:lineRule="exact"/>
        <w:ind w:firstLine="640" w:firstLineChars="200"/>
        <w:rPr>
          <w:rFonts w:ascii="Times New Roman" w:hAnsi="Times New Roman" w:eastAsia="仿宋_GB2312" w:cs="Times New Roman"/>
          <w:sz w:val="32"/>
          <w:szCs w:val="32"/>
        </w:rPr>
      </w:pP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资源环境承载能力评价和国土空间开发适宜性评价为基础，加快“生态保护红线、环境质量底线、资源利用上线和环境准入负面清单”机制建立，科学布局生产空间、生活空间、生态空间。以空间治理和空间结构优化为主要内容，管控实施“三区三线”，建立匹配壤塘高质量发展要求的空间治理体系。</w:t>
      </w:r>
    </w:p>
    <w:p>
      <w:pPr>
        <w:spacing w:line="540" w:lineRule="exact"/>
        <w:ind w:firstLine="643" w:firstLineChars="200"/>
        <w:outlineLvl w:val="2"/>
        <w:rPr>
          <w:rFonts w:ascii="Times New Roman" w:hAnsi="Times New Roman" w:eastAsia="黑体" w:cs="Times New Roman"/>
          <w:b/>
          <w:bCs/>
          <w:sz w:val="32"/>
          <w:szCs w:val="32"/>
        </w:rPr>
      </w:pPr>
      <w:bookmarkStart w:id="76" w:name="_Toc607"/>
      <w:r>
        <w:rPr>
          <w:rFonts w:ascii="Times New Roman" w:hAnsi="Times New Roman" w:eastAsia="黑体" w:cs="Times New Roman"/>
          <w:b/>
          <w:bCs/>
          <w:sz w:val="32"/>
          <w:szCs w:val="32"/>
        </w:rPr>
        <w:t>一、加强国土空间开发与保护</w:t>
      </w:r>
      <w:bookmarkEnd w:id="76"/>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利用全县编制国土空间总体规划契机，完善国土空间总体规划和用途统筹协调管控制度，统筹划定落实生态保护红线、永久基本农田、城市开发边界等空间管控边界，加强全域全类型国土空间开发保护和用途管制。搭建国土空间基础信息平台，形成统一的国土空间基础信息资源管理与服务体系，建成上下贯通、部门联动、安全可靠、开放共享的分布式基础信息平台。严格落实各类总体规划、详细规划、专项规划三类规划之间的协调联动，以国土空间总体规划为基础统筹各类空间性规划，推进“多规合一”，探索建立统一衔接的空间规划体系。科学有序统筹布局全县生态、农业、城镇空间，为全县高质量发展提供支撑。</w:t>
      </w:r>
    </w:p>
    <w:p>
      <w:pPr>
        <w:spacing w:line="540" w:lineRule="exact"/>
        <w:ind w:firstLine="643" w:firstLineChars="200"/>
        <w:outlineLvl w:val="2"/>
        <w:rPr>
          <w:rFonts w:ascii="Times New Roman" w:hAnsi="Times New Roman" w:eastAsia="黑体" w:cs="Times New Roman"/>
          <w:b/>
          <w:bCs/>
          <w:sz w:val="32"/>
          <w:szCs w:val="32"/>
        </w:rPr>
      </w:pPr>
      <w:bookmarkStart w:id="77" w:name="_Toc3788"/>
      <w:r>
        <w:rPr>
          <w:rFonts w:ascii="Times New Roman" w:hAnsi="Times New Roman" w:eastAsia="黑体" w:cs="Times New Roman"/>
          <w:b/>
          <w:bCs/>
          <w:sz w:val="32"/>
          <w:szCs w:val="32"/>
        </w:rPr>
        <w:t>二、坚定不移落实主体功能区制度</w:t>
      </w:r>
      <w:bookmarkEnd w:id="77"/>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定不移落实国家主体功能区制度，根据各乡镇资源环境承载能力、现有开发密度和发展潜力等要素进行基础设施建设和产业发展布局。推进国土空间综合整治，加快形成高效、协调、可持续的国土空间开发格局。岗木达、中壤塘、南木达、蒲西（上寨）等乡镇利用乡镇区划调整机遇，积极推进高原特色城镇化建设，进一步提高产业和人口聚集度，优化土地利用结构，增加生活空间，拓展生态空间；尕多、宗科、茸木达等主要农产品区继续限制大规模高强度城镇开发，严守耕地保护红线，保障粮食供应安全，提高农产品生产能力；上壤塘、上杜柯、</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等重点生态功能区要以保护和修复生态环境、提供生态产品为首要任务，严控开发活动，增强生态产品供给能力。</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78" w:name="_Toc12617"/>
      <w:bookmarkStart w:id="79" w:name="_Toc28328"/>
      <w:r>
        <w:rPr>
          <w:rFonts w:ascii="Times New Roman" w:hAnsi="Times New Roman" w:eastAsia="宋体" w:cs="Times New Roman"/>
          <w:b/>
          <w:bCs/>
          <w:sz w:val="36"/>
          <w:szCs w:val="36"/>
        </w:rPr>
        <w:t>第二节  加强自然生态保护和治理</w:t>
      </w:r>
      <w:bookmarkEnd w:id="78"/>
      <w:bookmarkEnd w:id="79"/>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全面构建生态安全战略格局，</w:t>
      </w:r>
      <w:r>
        <w:rPr>
          <w:rFonts w:hint="eastAsia" w:ascii="Times New Roman" w:hAnsi="Times New Roman" w:eastAsia="仿宋_GB2312" w:cs="Times New Roman"/>
          <w:sz w:val="32"/>
          <w:szCs w:val="32"/>
        </w:rPr>
        <w:t>推进“绿水青山就是金山银山”实践创新基地建设。</w:t>
      </w:r>
      <w:r>
        <w:rPr>
          <w:rFonts w:ascii="Times New Roman" w:hAnsi="Times New Roman" w:eastAsia="仿宋_GB2312" w:cs="Times New Roman"/>
          <w:sz w:val="32"/>
          <w:szCs w:val="32"/>
        </w:rPr>
        <w:t>加强杜柯河</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rPr>
        <w:t>则曲河两大流域生态保护，推进森林、草原、湿地</w:t>
      </w:r>
      <w:r>
        <w:rPr>
          <w:rFonts w:hint="eastAsia" w:ascii="Times New Roman" w:hAnsi="Times New Roman" w:eastAsia="仿宋_GB2312" w:cs="Times New Roman"/>
          <w:sz w:val="32"/>
          <w:szCs w:val="32"/>
        </w:rPr>
        <w:t>、河湖</w:t>
      </w:r>
      <w:r>
        <w:rPr>
          <w:rFonts w:ascii="Times New Roman" w:hAnsi="Times New Roman" w:eastAsia="仿宋_GB2312" w:cs="Times New Roman"/>
          <w:sz w:val="32"/>
          <w:szCs w:val="32"/>
        </w:rPr>
        <w:t>等生态系统建设，加强中小流域综合治理。增强森林生态系统功能，加强草原生态系统修复，加强水土流失治理，加强湿地保护和恢复，开展大规模</w:t>
      </w:r>
      <w:r>
        <w:rPr>
          <w:rFonts w:ascii="Times New Roman" w:hAnsi="Times New Roman" w:eastAsia="楷体_GB2312" w:cs="Times New Roman"/>
          <w:b/>
          <w:bCs/>
          <w:sz w:val="32"/>
          <w:szCs w:val="32"/>
        </w:rPr>
        <w:t>“绿化全川·壤塘行动”</w:t>
      </w:r>
      <w:r>
        <w:rPr>
          <w:rFonts w:ascii="Times New Roman" w:hAnsi="Times New Roman" w:eastAsia="仿宋_GB2312" w:cs="Times New Roman"/>
          <w:sz w:val="32"/>
          <w:szCs w:val="32"/>
        </w:rPr>
        <w:t>，提升自然生态系统功能。</w:t>
      </w:r>
    </w:p>
    <w:p>
      <w:pPr>
        <w:spacing w:line="560" w:lineRule="exact"/>
        <w:ind w:firstLine="643" w:firstLineChars="200"/>
        <w:outlineLvl w:val="2"/>
        <w:rPr>
          <w:rFonts w:ascii="Times New Roman" w:hAnsi="Times New Roman" w:eastAsia="黑体" w:cs="Times New Roman"/>
          <w:b/>
          <w:bCs/>
          <w:sz w:val="32"/>
          <w:szCs w:val="32"/>
        </w:rPr>
      </w:pPr>
      <w:bookmarkStart w:id="80" w:name="_Toc23353"/>
      <w:r>
        <w:rPr>
          <w:rFonts w:ascii="Times New Roman" w:hAnsi="Times New Roman" w:eastAsia="黑体" w:cs="Times New Roman"/>
          <w:b/>
          <w:bCs/>
          <w:sz w:val="32"/>
          <w:szCs w:val="32"/>
        </w:rPr>
        <w:t>一、加强中小流域综合治理</w:t>
      </w:r>
      <w:bookmarkEnd w:id="80"/>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（一）加强流域综合治理。</w:t>
      </w:r>
      <w:r>
        <w:rPr>
          <w:rFonts w:ascii="Times New Roman" w:hAnsi="Times New Roman" w:eastAsia="仿宋_GB2312" w:cs="Times New Roman"/>
          <w:sz w:val="32"/>
          <w:szCs w:val="32"/>
        </w:rPr>
        <w:t>全面落实河（湖）长制、林长制，以杜柯河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则曲河为重点，全面实施流域治理系统工程项目。采取工程措施、林草措施及农业耕作措施相结合的方式，加大流域综合治理力度，保护、改良与合理利用水土资源。综合运用截污治污、河湖清淤、生物控制等措施，加强杜柯河</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则曲河干流水土保持生态治理。加强宗科河、尕古玛沟、查托沟、布康木达沟、康旭沟、南木达三郎沟、俄拉沟、伊里卡龙沟、宗科甲都科沟、</w:t>
      </w:r>
      <w:r>
        <w:rPr>
          <w:rFonts w:hint="eastAsia" w:ascii="Times New Roman" w:hAnsi="Times New Roman" w:eastAsia="仿宋_GB2312" w:cs="Times New Roman"/>
          <w:sz w:val="32"/>
          <w:szCs w:val="32"/>
        </w:rPr>
        <w:t>吾伊章腊沟、</w:t>
      </w:r>
      <w:r>
        <w:rPr>
          <w:rFonts w:ascii="Times New Roman" w:hAnsi="Times New Roman" w:eastAsia="仿宋_GB2312" w:cs="Times New Roman"/>
          <w:sz w:val="32"/>
          <w:szCs w:val="32"/>
        </w:rPr>
        <w:t>上大石沟等中小河流域治理。积极开展生态清洁小流域建设，禁止破坏水源涵养林。强化江河沿线污染防治，完成沿线城镇污水处理及配套管网项目，因地制宜加快现有污水处理设施改造。加强岗木达、</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、蒲西、</w:t>
      </w:r>
      <w:r>
        <w:rPr>
          <w:rFonts w:hint="eastAsia" w:ascii="Times New Roman" w:hAnsi="Times New Roman" w:eastAsia="仿宋_GB2312" w:cs="Times New Roman"/>
          <w:sz w:val="32"/>
          <w:szCs w:val="32"/>
          <w:lang w:val="en-US" w:eastAsia="zh-CN"/>
        </w:rPr>
        <w:t>上杜柯</w:t>
      </w:r>
      <w:r>
        <w:rPr>
          <w:rFonts w:ascii="Times New Roman" w:hAnsi="Times New Roman" w:eastAsia="仿宋_GB2312" w:cs="Times New Roman"/>
          <w:sz w:val="32"/>
          <w:szCs w:val="32"/>
        </w:rPr>
        <w:t>等河流沿线乡镇防洪堤建设。以尕多、中壤塘为核心，打造则曲河流域生态保护区。</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（二）加强水源地保护。</w:t>
      </w:r>
      <w:r>
        <w:rPr>
          <w:rFonts w:ascii="Times New Roman" w:hAnsi="Times New Roman" w:eastAsia="仿宋_GB2312" w:cs="Times New Roman"/>
          <w:sz w:val="32"/>
          <w:szCs w:val="32"/>
        </w:rPr>
        <w:t>大力加强杜柯河</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rPr>
        <w:t>则曲河流域水生态综合治理，保证全县用水安全。加强流域面源污染防治和点源污染防治，截污减排处理。大规模开展植树造林，加大水源涵养。加强饮用水水源地保护及监测监管，划定保护区域、设置标牌标识、落实管护人员，持续提升饮用水安全保障水平。到“十四五”末，城镇集中式饮用水水源水质达标率、村镇饮用水卫生合格率、农村饮用水源水质达标率均达100%。</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（三）加强水资源监测。</w:t>
      </w:r>
      <w:r>
        <w:rPr>
          <w:rFonts w:ascii="Times New Roman" w:hAnsi="Times New Roman" w:eastAsia="仿宋_GB2312" w:cs="Times New Roman"/>
          <w:sz w:val="32"/>
          <w:szCs w:val="32"/>
        </w:rPr>
        <w:t>加强杜柯河</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rPr>
        <w:t>则曲河流域水资源监测，进一步建立健全水资源监控体系建设，整合气象、水文、水生态等监测站点，加快建立健全监测网点和监测制度。积极开展水生生物、河岸生态监测，形成系统的监测网络。建立健全城镇、工业、农业等用水和排水监测制度。到2025年，辖区内杜柯河流域</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rPr>
        <w:t>则曲河流域出境断面水质达到或优于Ⅲ类水质要求，全县所有河流水质达到省州标准。</w:t>
      </w:r>
    </w:p>
    <w:p>
      <w:pPr>
        <w:spacing w:line="560" w:lineRule="exact"/>
        <w:ind w:firstLine="643" w:firstLineChars="200"/>
        <w:outlineLvl w:val="2"/>
        <w:rPr>
          <w:rFonts w:ascii="Times New Roman" w:hAnsi="Times New Roman" w:eastAsia="黑体" w:cs="Times New Roman"/>
          <w:b/>
          <w:bCs/>
          <w:sz w:val="32"/>
          <w:szCs w:val="32"/>
        </w:rPr>
      </w:pPr>
      <w:bookmarkStart w:id="81" w:name="_Toc12062"/>
      <w:r>
        <w:rPr>
          <w:rFonts w:ascii="Times New Roman" w:hAnsi="Times New Roman" w:eastAsia="黑体" w:cs="Times New Roman"/>
          <w:b/>
          <w:bCs/>
          <w:sz w:val="32"/>
          <w:szCs w:val="32"/>
        </w:rPr>
        <w:t>二、增强森林生态系统功能</w:t>
      </w:r>
      <w:bookmarkEnd w:id="8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大森林廊道建设，增强森林总量。以生态林和水源涵养林为重点，结合壤塘气候特点，选择耐干旱瘠薄、根系发达、速生的树种，加大经济林和公益林建设，加快森林走廊建设。加强防火通道和取水点建设，实施森林防火工程，加强林业有害生物防治、森林生态资源监测等工程体系建设，提高森林保育能力。优化森林质量，通过抚育、补植和优化树种等手段，在县城周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杜柯河</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则曲河两岸</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国省干线沿线，培育营造针阔混交、乔灌草相结合的生态林，提高林木生长状况和质量，扩大森林面积，有效增加森林碳汇。到2025年，森林覆盖率力争达到</w:t>
      </w:r>
      <w:r>
        <w:rPr>
          <w:rFonts w:hint="eastAsia" w:ascii="Times New Roman" w:hAnsi="Times New Roman" w:eastAsia="仿宋_GB2312" w:cs="Times New Roman"/>
          <w:sz w:val="32"/>
          <w:szCs w:val="32"/>
        </w:rPr>
        <w:t>48</w:t>
      </w:r>
      <w:r>
        <w:rPr>
          <w:rFonts w:ascii="Times New Roman" w:hAnsi="Times New Roman" w:eastAsia="仿宋_GB2312" w:cs="Times New Roman"/>
          <w:sz w:val="32"/>
          <w:szCs w:val="32"/>
        </w:rPr>
        <w:t>%。</w:t>
      </w:r>
    </w:p>
    <w:p>
      <w:pPr>
        <w:spacing w:line="560" w:lineRule="exact"/>
        <w:ind w:firstLine="643" w:firstLineChars="200"/>
        <w:outlineLvl w:val="2"/>
        <w:rPr>
          <w:rFonts w:ascii="Times New Roman" w:hAnsi="Times New Roman" w:eastAsia="黑体" w:cs="Times New Roman"/>
          <w:b/>
          <w:bCs/>
          <w:sz w:val="32"/>
          <w:szCs w:val="32"/>
        </w:rPr>
      </w:pPr>
      <w:bookmarkStart w:id="82" w:name="_Toc27775"/>
      <w:r>
        <w:rPr>
          <w:rFonts w:ascii="Times New Roman" w:hAnsi="Times New Roman" w:eastAsia="黑体" w:cs="Times New Roman"/>
          <w:b/>
          <w:bCs/>
          <w:sz w:val="32"/>
          <w:szCs w:val="32"/>
        </w:rPr>
        <w:t>三、加强草原生态系统治理</w:t>
      </w:r>
      <w:bookmarkEnd w:id="8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实施草原生态系统保护和修复工程，以保护草原生态为前提，开展休牧、划区轮牧围栏、草原补播等</w:t>
      </w:r>
      <w:r>
        <w:rPr>
          <w:rFonts w:hint="eastAsia" w:ascii="Times New Roman" w:hAnsi="Times New Roman" w:eastAsia="仿宋_GB2312" w:cs="Times New Roman"/>
          <w:sz w:val="32"/>
          <w:szCs w:val="32"/>
        </w:rPr>
        <w:t>草原修复项目。</w:t>
      </w:r>
      <w:r>
        <w:rPr>
          <w:rFonts w:ascii="Times New Roman" w:hAnsi="Times New Roman" w:eastAsia="仿宋_GB2312" w:cs="Times New Roman"/>
          <w:sz w:val="32"/>
          <w:szCs w:val="32"/>
        </w:rPr>
        <w:t>以转变畜牧业生产方式为主线，</w:t>
      </w:r>
      <w:r>
        <w:rPr>
          <w:rFonts w:hint="eastAsia" w:ascii="Times New Roman" w:hAnsi="Times New Roman" w:eastAsia="仿宋_GB2312" w:cs="Times New Roman"/>
          <w:sz w:val="32"/>
          <w:szCs w:val="32"/>
        </w:rPr>
        <w:t>建设人工饲草地、牲畜棚圈、标准化养殖等，</w:t>
      </w:r>
      <w:r>
        <w:rPr>
          <w:rFonts w:ascii="Times New Roman" w:hAnsi="Times New Roman" w:eastAsia="仿宋_GB2312" w:cs="Times New Roman"/>
          <w:sz w:val="32"/>
          <w:szCs w:val="32"/>
        </w:rPr>
        <w:t>治理严重退化草地。加大草原生态保护和退化草原修复治理力度，继续推进草原保护配套建设，加快沙化草地治理，采用网围栏禁牧、围栏补播改良、播种牧草、人工施肥和后期管护等措施，逐步恢复林草植被，控制沙化土地扩展，完成治理和成果巩固，提高草场植被覆盖率。加强草原防火工程及生态监测点建设，促进草地生态系统良性循环。加强草原生态管护，实施草蓄平衡。加强草畜平衡发展，加速草原生产力转换，适度规模发展牦牛等养殖业，合理布局的家畜养殖区和牧草饲料种植，减轻草原和湿地压力，促进草地生态系统良性循环。到2025年，完成草畜平衡</w:t>
      </w:r>
      <w:r>
        <w:rPr>
          <w:rFonts w:ascii="Times New Roman" w:hAnsi="Times New Roman" w:eastAsia="仿宋_GB2312" w:cs="Times New Roman"/>
          <w:sz w:val="32"/>
          <w:szCs w:val="32"/>
          <w:highlight w:val="none"/>
        </w:rPr>
        <w:t>314</w:t>
      </w:r>
      <w:r>
        <w:rPr>
          <w:rFonts w:ascii="Times New Roman" w:hAnsi="Times New Roman" w:eastAsia="仿宋_GB2312" w:cs="Times New Roman"/>
          <w:sz w:val="32"/>
          <w:szCs w:val="32"/>
        </w:rPr>
        <w:t>万亩，草原禁牧193万亩，力争林草覆盖率达到90%以上，基本实现草畜平衡发展。</w:t>
      </w:r>
    </w:p>
    <w:p>
      <w:pPr>
        <w:spacing w:line="560" w:lineRule="exact"/>
        <w:ind w:firstLine="643" w:firstLineChars="200"/>
        <w:outlineLvl w:val="2"/>
        <w:rPr>
          <w:rFonts w:ascii="Times New Roman" w:hAnsi="Times New Roman" w:eastAsia="黑体" w:cs="Times New Roman"/>
          <w:b/>
          <w:bCs/>
          <w:sz w:val="32"/>
          <w:szCs w:val="32"/>
        </w:rPr>
      </w:pPr>
      <w:bookmarkStart w:id="83" w:name="_Toc16031"/>
      <w:r>
        <w:rPr>
          <w:rFonts w:ascii="Times New Roman" w:hAnsi="Times New Roman" w:eastAsia="黑体" w:cs="Times New Roman"/>
          <w:b/>
          <w:bCs/>
          <w:sz w:val="32"/>
          <w:szCs w:val="32"/>
        </w:rPr>
        <w:t>四、加强水土流失治理</w:t>
      </w:r>
      <w:bookmarkEnd w:id="8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全面推动水土保持科学发展，防止新的水土流失，有效减缓现有水土流失强度和面积，重点推进杜柯河</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rPr>
        <w:t>则曲河沿岸及支流水土流失治理。结合河道治理、乡村公路建设和村镇建设，加固和修建基本农田防护坝，提高其防洪标准和抗冲能力。采取以坡改梯为主，配套坡面水系工程的措施，实施坡耕地水土流失综合治理。实施生态脆弱区生态综合治理工程，把水土流失治理与重点工程造林相结合，针对石里、宗科、尕多等生态脆弱区，综合采取固土保水、太阳能提灌、微水滴灌和林草结合等生态修复新技术，以生态修复等为主，开展生态脆弱治理。对已建水保工程进一步加强维护管理，充分发挥其效能。加快推进沙化、石漠化土地、退化草地、鼠荒地和生态脆弱地区的生态修复，实施草原生态破坏专项整治和生物多样性保护工程。开展全域山体、河流、湿地、绿地、草地、林地等自然生态受损情况排查，全面修复水土流失、工程创面等区域植被。加强对地质灾害高发易发区域和生态脆弱区重大地质灾害的综合治理，减少地质灾害发生。</w:t>
      </w:r>
    </w:p>
    <w:p>
      <w:pPr>
        <w:spacing w:line="560" w:lineRule="exact"/>
        <w:ind w:firstLine="643" w:firstLineChars="200"/>
        <w:outlineLvl w:val="2"/>
        <w:rPr>
          <w:rFonts w:ascii="Times New Roman" w:hAnsi="Times New Roman" w:eastAsia="黑体" w:cs="Times New Roman"/>
          <w:b/>
          <w:bCs/>
          <w:sz w:val="32"/>
          <w:szCs w:val="32"/>
        </w:rPr>
      </w:pPr>
      <w:bookmarkStart w:id="84" w:name="_Toc18724"/>
      <w:r>
        <w:rPr>
          <w:rFonts w:ascii="Times New Roman" w:hAnsi="Times New Roman" w:eastAsia="黑体" w:cs="Times New Roman"/>
          <w:b/>
          <w:bCs/>
          <w:sz w:val="32"/>
          <w:szCs w:val="32"/>
        </w:rPr>
        <w:t>五、加强自然保护区建设</w:t>
      </w:r>
      <w:bookmarkEnd w:id="8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湿地生态系统保护与恢复，遏制湿地退化萎缩趋势，维护河湖生态健康。加强杜苟拉和南莫且湿地自然保护区的建设和管理力度。有力促进高原高寒湿地生态系统、黑颈鹤等物种和基因多样性、生态湿地景观的保护。常态化开展科研监测、科普宣教、监测巡护等工作，进一步提高自然生态保护地区保护效能，有效改善保护区内的环境质量，避免自然生态破坏事件发生，促进自然保护区保护管理与科学利用。</w:t>
      </w:r>
    </w:p>
    <w:p>
      <w:pPr>
        <w:spacing w:line="560" w:lineRule="exact"/>
        <w:ind w:firstLine="643" w:firstLineChars="200"/>
        <w:outlineLvl w:val="2"/>
        <w:rPr>
          <w:rFonts w:ascii="Times New Roman" w:hAnsi="Times New Roman" w:eastAsia="黑体" w:cs="Times New Roman"/>
          <w:b/>
          <w:bCs/>
          <w:sz w:val="32"/>
          <w:szCs w:val="32"/>
        </w:rPr>
      </w:pPr>
      <w:bookmarkStart w:id="85" w:name="_Toc2011"/>
      <w:r>
        <w:rPr>
          <w:rFonts w:ascii="Times New Roman" w:hAnsi="Times New Roman" w:eastAsia="黑体" w:cs="Times New Roman"/>
          <w:b/>
          <w:bCs/>
          <w:sz w:val="32"/>
          <w:szCs w:val="32"/>
        </w:rPr>
        <w:t>六、深入推进生态文明制度建设</w:t>
      </w:r>
      <w:bookmarkEnd w:id="8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持续健全生态建设、环境保护、清洁生产、节能减排等制度。</w:t>
      </w:r>
      <w:r>
        <w:rPr>
          <w:rFonts w:hint="eastAsia" w:ascii="Times New Roman" w:hAnsi="Times New Roman" w:eastAsia="仿宋_GB2312" w:cs="Times New Roman"/>
          <w:sz w:val="32"/>
          <w:szCs w:val="32"/>
        </w:rPr>
        <w:t>制订实施</w:t>
      </w:r>
      <w:r>
        <w:rPr>
          <w:rFonts w:ascii="Times New Roman" w:hAnsi="Times New Roman" w:eastAsia="仿宋_GB2312" w:cs="Times New Roman"/>
          <w:sz w:val="32"/>
          <w:szCs w:val="32"/>
        </w:rPr>
        <w:t>生态政绩考核和责任追究制度，深化跨流域跨区域生态保护合作，探索建立常态化生态补偿机制。争取延长退牧还草等政策实施年限，延续生态公益性岗位补助政策，提高国有林管护补助、公益林补偿、禁牧补助、草畜平衡补贴、退牧还草、湿地生态效益补偿补助标准、扩大补偿范围，建立完善减畜补偿机制。</w:t>
      </w:r>
    </w:p>
    <w:tbl>
      <w:tblPr>
        <w:tblStyle w:val="12"/>
        <w:tblW w:w="8820"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0" w:type="dxa"/>
          </w:tcPr>
          <w:p>
            <w:pPr>
              <w:adjustRightInd w:val="0"/>
              <w:snapToGrid w:val="0"/>
              <w:spacing w:line="5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专栏8  生态文明建设重点项目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0" w:type="dxa"/>
          </w:tcPr>
          <w:p>
            <w:pPr>
              <w:adjustRightInd w:val="0"/>
              <w:snapToGrid w:val="0"/>
              <w:spacing w:line="38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一、流域治理</w:t>
            </w:r>
          </w:p>
          <w:p>
            <w:pPr>
              <w:adjustRightInd w:val="0"/>
              <w:snapToGrid w:val="0"/>
              <w:spacing w:line="380" w:lineRule="atLeast"/>
              <w:ind w:firstLine="480" w:firstLineChars="200"/>
              <w:rPr>
                <w:rFonts w:ascii="Times New Roman" w:hAnsi="Times New Roman" w:eastAsia="楷体" w:cs="Times New Roman"/>
                <w:sz w:val="24"/>
              </w:rPr>
            </w:pPr>
            <w:r>
              <w:rPr>
                <w:rFonts w:hint="eastAsia" w:ascii="楷体_GB2312" w:hAnsi="楷体_GB2312" w:eastAsia="楷体_GB2312" w:cs="楷体_GB2312"/>
                <w:sz w:val="24"/>
              </w:rPr>
              <w:t>大渡河流域水生态保护；小流域综合治理；杜柯河水生态治理及修复；中小河流综合治理；中小河流堤防维修加固；非工程措施山洪沟治理；坡耕地综合治理；重点山洪沟防洪治理；水源地保护等。</w:t>
            </w:r>
            <w:r>
              <w:rPr>
                <w:rFonts w:ascii="Times New Roman" w:hAnsi="Times New Roman" w:eastAsia="楷体" w:cs="Times New Roman"/>
                <w:sz w:val="24"/>
              </w:rPr>
              <w:t xml:space="preserve"> </w:t>
            </w:r>
          </w:p>
          <w:p>
            <w:pPr>
              <w:adjustRightInd w:val="0"/>
              <w:snapToGrid w:val="0"/>
              <w:spacing w:line="38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二、森林保护</w:t>
            </w:r>
          </w:p>
          <w:p>
            <w:pPr>
              <w:adjustRightInd w:val="0"/>
              <w:snapToGrid w:val="0"/>
              <w:spacing w:line="380" w:lineRule="atLeast"/>
              <w:ind w:firstLine="480" w:firstLineChars="200"/>
              <w:rPr>
                <w:rFonts w:ascii="Times New Roman" w:hAnsi="Times New Roman" w:eastAsia="楷体" w:cs="Times New Roman"/>
                <w:sz w:val="24"/>
              </w:rPr>
            </w:pPr>
            <w:r>
              <w:rPr>
                <w:rFonts w:hint="eastAsia" w:ascii="楷体_GB2312" w:hAnsi="楷体_GB2312" w:eastAsia="楷体_GB2312" w:cs="楷体_GB2312"/>
                <w:sz w:val="24"/>
              </w:rPr>
              <w:t>天然林资源保护工程；天然林保护基层管护站标准化建设；封山育林工程；生态管护建设；森林火险预警监测系统及森林防火基础设施建设；森林草原资源保护基础设施；林业有害生物防治等。</w:t>
            </w:r>
          </w:p>
          <w:p>
            <w:pPr>
              <w:adjustRightInd w:val="0"/>
              <w:snapToGrid w:val="0"/>
              <w:spacing w:line="38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三、草原治理</w:t>
            </w:r>
          </w:p>
          <w:p>
            <w:pPr>
              <w:adjustRightInd w:val="0"/>
              <w:snapToGrid w:val="0"/>
              <w:spacing w:line="380" w:lineRule="atLeast"/>
              <w:ind w:firstLine="480" w:firstLineChars="200"/>
              <w:rPr>
                <w:rFonts w:ascii="Times New Roman" w:hAnsi="Times New Roman" w:eastAsia="楷体" w:cs="Times New Roman"/>
                <w:sz w:val="24"/>
              </w:rPr>
            </w:pPr>
            <w:r>
              <w:rPr>
                <w:rFonts w:hint="eastAsia" w:ascii="楷体_GB2312" w:hAnsi="楷体_GB2312" w:eastAsia="楷体_GB2312" w:cs="楷体_GB2312"/>
                <w:sz w:val="24"/>
              </w:rPr>
              <w:t>退牧还草工程；草原防火体系建设；草原生态修复治理；草原有害生物预测预报及防治；数字林草建设；林草科技推广体系；鼠虫害预测预报监测站；森林草原防灭火基础设施等。</w:t>
            </w:r>
          </w:p>
          <w:p>
            <w:pPr>
              <w:adjustRightInd w:val="0"/>
              <w:snapToGrid w:val="0"/>
              <w:spacing w:line="38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四、水土流失治理</w:t>
            </w:r>
          </w:p>
          <w:p>
            <w:pPr>
              <w:adjustRightInd w:val="0"/>
              <w:snapToGrid w:val="0"/>
              <w:spacing w:line="380" w:lineRule="atLeas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沙化土地治理；沙化监测体系建设；生态脆弱区综合治理等。</w:t>
            </w:r>
          </w:p>
          <w:p>
            <w:pPr>
              <w:adjustRightInd w:val="0"/>
              <w:snapToGrid w:val="0"/>
              <w:spacing w:line="38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五、生物多样性保护</w:t>
            </w:r>
          </w:p>
          <w:p>
            <w:pPr>
              <w:adjustRightInd w:val="0"/>
              <w:snapToGrid w:val="0"/>
              <w:spacing w:line="380" w:lineRule="atLeast"/>
              <w:ind w:firstLine="480" w:firstLineChars="200"/>
              <w:rPr>
                <w:rFonts w:ascii="Times New Roman" w:hAnsi="Times New Roman" w:eastAsia="仿宋" w:cs="Times New Roman"/>
                <w:sz w:val="30"/>
                <w:szCs w:val="30"/>
              </w:rPr>
            </w:pPr>
            <w:r>
              <w:rPr>
                <w:rFonts w:hint="eastAsia" w:ascii="楷体_GB2312" w:hAnsi="楷体_GB2312" w:eastAsia="楷体_GB2312" w:cs="楷体_GB2312"/>
                <w:sz w:val="24"/>
              </w:rPr>
              <w:t>南莫且湿地保护修复工程；湿地监测体系；野生动物疫源疫病监测体系；长江源头生态综合治理；野生动植物保护基础设施建设等。</w:t>
            </w:r>
          </w:p>
        </w:tc>
      </w:tr>
    </w:tbl>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86" w:name="_Toc19989"/>
      <w:bookmarkStart w:id="87" w:name="_Toc12296"/>
      <w:r>
        <w:rPr>
          <w:rFonts w:ascii="Times New Roman" w:hAnsi="Times New Roman" w:eastAsia="宋体" w:cs="Times New Roman"/>
          <w:b/>
          <w:bCs/>
          <w:sz w:val="36"/>
          <w:szCs w:val="36"/>
        </w:rPr>
        <w:t>第三节  加强城乡环境综合治理</w:t>
      </w:r>
      <w:bookmarkEnd w:id="86"/>
      <w:bookmarkEnd w:id="87"/>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全面实施最严格环境保护政策，坚决打赢污染防治攻坚战，深化城乡环境综合治理，实施环境治理“三大攻坚战”，推进城镇乡居民生活垃圾、污水处理设施建设，切实改善提升城乡环境。</w:t>
      </w:r>
    </w:p>
    <w:p>
      <w:pPr>
        <w:spacing w:line="560" w:lineRule="exact"/>
        <w:ind w:firstLine="643" w:firstLineChars="200"/>
        <w:outlineLvl w:val="2"/>
        <w:rPr>
          <w:rFonts w:ascii="Times New Roman" w:hAnsi="Times New Roman" w:eastAsia="黑体" w:cs="Times New Roman"/>
          <w:b/>
          <w:bCs/>
          <w:sz w:val="32"/>
          <w:szCs w:val="32"/>
        </w:rPr>
      </w:pPr>
      <w:bookmarkStart w:id="88" w:name="_Toc23736"/>
      <w:r>
        <w:rPr>
          <w:rFonts w:ascii="Times New Roman" w:hAnsi="Times New Roman" w:eastAsia="黑体" w:cs="Times New Roman"/>
          <w:b/>
          <w:bCs/>
          <w:sz w:val="32"/>
          <w:szCs w:val="32"/>
        </w:rPr>
        <w:t>一、打好三大攻坚战</w:t>
      </w:r>
      <w:bookmarkEnd w:id="88"/>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（一）打好大气污染防治攻坚战。</w:t>
      </w:r>
      <w:r>
        <w:rPr>
          <w:rFonts w:ascii="Times New Roman" w:hAnsi="Times New Roman" w:eastAsia="仿宋_GB2312" w:cs="Times New Roman"/>
          <w:sz w:val="32"/>
          <w:szCs w:val="32"/>
        </w:rPr>
        <w:t>落实大气污染防治行动计划，推进大气污染物协同控制、协同减排，持续改善大气环境质量。积极推进清洁能源替代、车用汽柴油提标、淘汰黄标车和老旧车、治理机动车尾气超标等。全力打好污染防治攻坚战，加强道路扬尘、砂石厂扬尘、施工扬尘、露天焚烧、餐厨油烟、佛事用火、取暖用火等方面整治。到2025年，确保全县空气质量优良天数</w:t>
      </w:r>
      <w:r>
        <w:rPr>
          <w:rFonts w:hint="eastAsia" w:ascii="Times New Roman" w:hAnsi="Times New Roman" w:eastAsia="仿宋_GB2312" w:cs="Times New Roman"/>
          <w:sz w:val="32"/>
          <w:szCs w:val="32"/>
        </w:rPr>
        <w:t>达标率</w:t>
      </w:r>
      <w:r>
        <w:rPr>
          <w:rFonts w:ascii="Times New Roman" w:hAnsi="Times New Roman" w:eastAsia="仿宋_GB2312" w:cs="Times New Roman"/>
          <w:sz w:val="32"/>
          <w:szCs w:val="32"/>
        </w:rPr>
        <w:t>95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以上，县城空气质量优良天数达标率95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以上，继续在全省县市中空气质量排名保持前列。</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（二）打好水污染防治攻坚战。</w:t>
      </w:r>
      <w:r>
        <w:rPr>
          <w:rFonts w:ascii="Times New Roman" w:hAnsi="Times New Roman" w:eastAsia="仿宋_GB2312" w:cs="Times New Roman"/>
          <w:sz w:val="32"/>
          <w:szCs w:val="32"/>
        </w:rPr>
        <w:t>落实水污染防治行动计划，不断提高地表水水质优良比例。加强饮用水水源和良好水体保护，全面推进涵养区、源头区等水源地环境整治，确保饮用水安全。强化规模化畜禽养殖等行业污染治理和清洁化改造，严禁在饮用水水源保护区内从事畜禽养殖，实现养殖废水的减量化、资源化和无害化。新建、改建、扩建规模化畜禽养殖场（小区）要实施雨污分流、粪便污水资源化利用。保护杜柯河</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rPr>
        <w:t>则曲河、门底沟水库等重点流域、区域和水库生态环境。加大城镇生活污水处置力度，推动污水处理设施和配套管网建设，推广再生水利用，整治城市黑臭水体。推进重点小流域污染综合整治和农村面源污染防治，严禁超采地下水，加强地下水污染防治。到2025年，县城两个集中式饮用水源地竹青沟、竹柯沟及11个乡镇饮用水水源地水质均达到《地表水环境质量标准》（GB3838—2002）Ⅱ类标准，水质达标率均为100%。</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（三）打好土壤防控治理攻坚战。</w:t>
      </w:r>
      <w:r>
        <w:rPr>
          <w:rFonts w:ascii="Times New Roman" w:hAnsi="Times New Roman" w:eastAsia="仿宋_GB2312" w:cs="Times New Roman"/>
          <w:sz w:val="32"/>
          <w:szCs w:val="32"/>
        </w:rPr>
        <w:t>落实土壤污染防治行动计划，加大城镇、乡村生活垃圾处理及转运设施建设力度，全面开展城镇生活垃圾分类收集和无害化处理。加强固体废弃物污染防治。对医疗废物、危险废物实施全过程监管，实施无害化处置。强化土壤防控治理，实施农用地土壤分类管理，完成种植土壤环境质量类别划定，实施优先保护、安全利用、严格管控。管控各种土壤污染源，规范化肥、农药中重金属等有害成分含量，严控兽药、饲料添加剂的生产和使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从严控制污水灌溉和污泥农用，控制农业生产过程环境污染。对未污染耕地实施严格保护，确保面积不减少、质量不下降。深入开展城乡环境综合治理，加大农村点源污染、面源污染治理力度。加快畜禽养殖面污染设施建设，科学调整畜禽养殖禁养区、限养区。到2025年，全县土壤监测点位达标率为100%，土壤环境状况良好。</w:t>
      </w:r>
    </w:p>
    <w:p>
      <w:pPr>
        <w:spacing w:line="560" w:lineRule="exact"/>
        <w:ind w:firstLine="640" w:firstLineChars="200"/>
        <w:outlineLvl w:val="2"/>
        <w:rPr>
          <w:rFonts w:ascii="Times New Roman" w:hAnsi="Times New Roman" w:eastAsia="黑体" w:cs="Times New Roman"/>
          <w:sz w:val="32"/>
          <w:szCs w:val="32"/>
        </w:rPr>
      </w:pPr>
      <w:bookmarkStart w:id="89" w:name="_Toc5002"/>
      <w:r>
        <w:rPr>
          <w:rFonts w:ascii="Times New Roman" w:hAnsi="Times New Roman" w:eastAsia="黑体" w:cs="Times New Roman"/>
          <w:sz w:val="32"/>
          <w:szCs w:val="32"/>
        </w:rPr>
        <w:t>二、开展城乡环境综合治理</w:t>
      </w:r>
      <w:bookmarkEnd w:id="89"/>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（一）统筹布局城乡垃圾处理。</w:t>
      </w:r>
      <w:r>
        <w:rPr>
          <w:rFonts w:ascii="Times New Roman" w:hAnsi="Times New Roman" w:eastAsia="仿宋_GB2312" w:cs="Times New Roman"/>
          <w:sz w:val="32"/>
          <w:szCs w:val="32"/>
        </w:rPr>
        <w:t>全县统筹安排垃圾处理体系，实现城乡环保设施统一规划、统一建设和统一管理。按照乡镇布局，可划分为三大垃圾处理中心，分别在岗木达、南木达、蒲西等区域中心建设垃圾处理厂。南木达片区辐射上壤塘、中壤塘、尕多、茸木达等乡镇；蒲西片区辐射石里和</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；岗木达辐射县城周边。三大片区的垃圾可按照“户分类、村收集、乡转运、片区中心处理”的方式处理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对宗科、上杜柯等偏远乡镇可通过适当方式就近处理，推行垃圾就地分类减量和资源回收利用，推进农村生活垃圾减量化、资源化、无害化。加强生活垃圾分类、收集、转运和处理设施建设，包括</w:t>
      </w:r>
      <w:r>
        <w:rPr>
          <w:rFonts w:hint="eastAsia" w:ascii="Times New Roman" w:hAnsi="Times New Roman" w:eastAsia="仿宋_GB2312" w:cs="Times New Roman"/>
          <w:sz w:val="32"/>
          <w:szCs w:val="32"/>
          <w:highlight w:val="none"/>
        </w:rPr>
        <w:t>垃圾</w:t>
      </w:r>
      <w:r>
        <w:rPr>
          <w:rFonts w:ascii="Times New Roman" w:hAnsi="Times New Roman" w:eastAsia="仿宋_GB2312" w:cs="Times New Roman"/>
          <w:sz w:val="32"/>
          <w:szCs w:val="32"/>
        </w:rPr>
        <w:t>箱、垃圾池等收集设施，垃圾转运站、运输车辆等转运设施，生活垃圾无害化处理设施及餐厨垃圾处理体系建设。全面建立村庄保洁制度，加快建立分类投放、分类收集、分类运输、分类处理的垃圾处理系统，努力提高垃圾分类制度覆盖范围。到2025年，经过整治村庄，生活垃圾定点存放清运率达到100%，生活垃圾无害化处理率≥70%。</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（二）统筹布局城乡污水处理。</w:t>
      </w:r>
      <w:r>
        <w:rPr>
          <w:rFonts w:ascii="Times New Roman" w:hAnsi="Times New Roman" w:eastAsia="仿宋_GB2312" w:cs="Times New Roman"/>
          <w:sz w:val="32"/>
          <w:szCs w:val="32"/>
        </w:rPr>
        <w:t>加强生活污水处理设施建设，包括污水收集管网、集中式污水处理设施或人工湿地、氧化塘等分散式处理设施。离城镇较近的村庄，污水可通过管网纳入城镇污水处理设施进行处理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离城镇较远且人口较多的村庄，可建设污水集中处理设施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人口较少的村庄可建设人工湿地、氧化塘等分散式污水处理设施。切实保障污染治理设施长效运行。到2025年，全县生活污水处理率≥60%。</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（三）全力实施农村“厕所革命”。</w:t>
      </w:r>
      <w:r>
        <w:rPr>
          <w:rFonts w:ascii="Times New Roman" w:hAnsi="Times New Roman" w:eastAsia="仿宋_GB2312" w:cs="Times New Roman"/>
          <w:sz w:val="32"/>
          <w:szCs w:val="32"/>
        </w:rPr>
        <w:t>按照“一管二改三建四满意”的总体思路，统筹规划、科学布点、分类筹资、分项推进，实施卫生厕所改建工程。结合农村实际和农牧民意愿，因地制宜加快推进农村无害化卫生厕所和户用卫生厕所、旱厕改造，提高农村人居环境质量。到“十四五”末，力争家庭卫生厕所普及率达</w:t>
      </w:r>
      <w:r>
        <w:rPr>
          <w:rFonts w:hint="eastAsia" w:ascii="Times New Roman" w:hAnsi="Times New Roman" w:eastAsia="仿宋_GB2312" w:cs="Times New Roman"/>
          <w:sz w:val="32"/>
          <w:szCs w:val="32"/>
        </w:rPr>
        <w:t>95</w:t>
      </w:r>
      <w:r>
        <w:rPr>
          <w:rFonts w:ascii="Times New Roman" w:hAnsi="Times New Roman" w:eastAsia="仿宋_GB2312" w:cs="Times New Roman"/>
          <w:sz w:val="32"/>
          <w:szCs w:val="32"/>
        </w:rPr>
        <w:t>%。</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（四）畜禽养殖废弃物治理。</w:t>
      </w:r>
      <w:r>
        <w:rPr>
          <w:rFonts w:ascii="Times New Roman" w:hAnsi="Times New Roman" w:eastAsia="仿宋_GB2312" w:cs="Times New Roman"/>
          <w:sz w:val="32"/>
          <w:szCs w:val="32"/>
        </w:rPr>
        <w:t>以就地就近用于农村能源和农用有机肥为主要使用方向，在上壤塘、中壤塘、尕多、蒲西、南木达等畜禽养殖量大、环境问题突出的地区，开展区域畜禽养殖废弃物资源化利用和污染治理。建设堆肥、有机肥等废弃物资源化利用设施和养殖废水处理设施。结合生态农业建设、化肥农药使用量零增长行动、耕地质量保护与提升行动、土壤有机质提升奖励政策等，引导农民增施有机肥。加强畜禽养殖业日常环境监管，依法查处违法行为。经过整治的村庄，畜禽养殖废弃物得到有效处理，畜禽粪便综合利用率≥70%。</w:t>
      </w:r>
    </w:p>
    <w:tbl>
      <w:tblPr>
        <w:tblStyle w:val="12"/>
        <w:tblW w:w="886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5" w:type="dxa"/>
            <w:vAlign w:val="center"/>
          </w:tcPr>
          <w:p>
            <w:pPr>
              <w:spacing w:line="5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专栏9  城乡环境整治重点项目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5" w:type="dxa"/>
          </w:tcPr>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一、垃圾处理</w:t>
            </w:r>
          </w:p>
          <w:p>
            <w:pPr>
              <w:adjustRightInd w:val="0"/>
              <w:snapToGrid w:val="0"/>
              <w:spacing w:line="440" w:lineRule="exac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县城餐厨垃圾处理厂；城区建筑垃圾填埋场；生活垃圾填埋场提升改造；11个乡镇垃圾收集转运体系；牧民定居点环境综合治理示范工程；农村人居环境综合治理；重要乡镇餐厨垃圾处理厂；重要乡镇无害化垃圾处理设施等。</w:t>
            </w:r>
          </w:p>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二、污水处理</w:t>
            </w:r>
          </w:p>
          <w:p>
            <w:pPr>
              <w:adjustRightInd w:val="0"/>
              <w:snapToGrid w:val="0"/>
              <w:spacing w:line="440" w:lineRule="exac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南木达镇污水处理厂；上寨污水处理厂；农村生活污水处理工程；排污管网改扩建；中壤塘镇污水处理厂等。</w:t>
            </w:r>
          </w:p>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三、水污染防治</w:t>
            </w:r>
          </w:p>
          <w:p>
            <w:pPr>
              <w:adjustRightInd w:val="0"/>
              <w:snapToGrid w:val="0"/>
              <w:spacing w:line="440" w:lineRule="exac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长江流域水生态保护及污染防治等。</w:t>
            </w:r>
          </w:p>
          <w:p>
            <w:pPr>
              <w:adjustRightInd w:val="0"/>
              <w:snapToGrid w:val="0"/>
              <w:spacing w:line="440" w:lineRule="exact"/>
              <w:ind w:firstLine="480" w:firstLineChars="200"/>
              <w:rPr>
                <w:rFonts w:ascii="Times New Roman" w:hAnsi="Times New Roman" w:eastAsia="楷体" w:cs="Times New Roman"/>
                <w:sz w:val="24"/>
              </w:rPr>
            </w:pPr>
            <w:r>
              <w:rPr>
                <w:rFonts w:ascii="Times New Roman" w:hAnsi="Times New Roman" w:eastAsia="黑体" w:cs="Times New Roman"/>
                <w:sz w:val="24"/>
              </w:rPr>
              <w:t>四、土壤防治</w:t>
            </w:r>
          </w:p>
          <w:p>
            <w:pPr>
              <w:adjustRightInd w:val="0"/>
              <w:snapToGrid w:val="0"/>
              <w:spacing w:line="440" w:lineRule="exact"/>
              <w:ind w:firstLine="480" w:firstLineChars="200"/>
              <w:rPr>
                <w:rFonts w:ascii="Times New Roman" w:hAnsi="Times New Roman" w:eastAsia="仿宋" w:cs="Times New Roman"/>
                <w:sz w:val="30"/>
                <w:szCs w:val="30"/>
              </w:rPr>
            </w:pPr>
            <w:r>
              <w:rPr>
                <w:rFonts w:hint="eastAsia" w:ascii="楷体_GB2312" w:hAnsi="楷体_GB2312" w:eastAsia="楷体_GB2312" w:cs="楷体_GB2312"/>
                <w:sz w:val="24"/>
              </w:rPr>
              <w:t>全县人畜粪污治理和资源化利用等。</w:t>
            </w:r>
          </w:p>
        </w:tc>
      </w:tr>
    </w:tbl>
    <w:p>
      <w:pPr>
        <w:spacing w:line="560" w:lineRule="exact"/>
        <w:jc w:val="center"/>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numPr>
          <w:ilvl w:val="0"/>
          <w:numId w:val="1"/>
        </w:numPr>
        <w:spacing w:line="700" w:lineRule="exact"/>
        <w:ind w:left="1760" w:leftChars="0" w:hanging="1760" w:hangingChars="400"/>
        <w:jc w:val="center"/>
        <w:outlineLvl w:val="0"/>
        <w:rPr>
          <w:rFonts w:ascii="Times New Roman" w:hAnsi="Times New Roman" w:eastAsia="方正小标宋_GBK" w:cs="Times New Roman"/>
          <w:sz w:val="44"/>
          <w:szCs w:val="44"/>
        </w:rPr>
      </w:pPr>
      <w:bookmarkStart w:id="90" w:name="_Toc28191"/>
      <w:bookmarkStart w:id="91" w:name="_Toc29396"/>
      <w:r>
        <w:rPr>
          <w:rFonts w:ascii="Times New Roman" w:hAnsi="Times New Roman" w:eastAsia="方正小标宋_GBK" w:cs="Times New Roman"/>
          <w:sz w:val="44"/>
          <w:szCs w:val="44"/>
        </w:rPr>
        <w:t xml:space="preserve"> 推动农牧业高质量发展，打造</w:t>
      </w:r>
    </w:p>
    <w:p>
      <w:pPr>
        <w:numPr>
          <w:ilvl w:val="0"/>
          <w:numId w:val="0"/>
        </w:numPr>
        <w:spacing w:line="700" w:lineRule="exact"/>
        <w:ind w:leftChars="-400"/>
        <w:jc w:val="center"/>
        <w:outlineLvl w:val="0"/>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“壤巴拉现代农业产业园”</w:t>
      </w:r>
      <w:bookmarkEnd w:id="90"/>
      <w:bookmarkEnd w:id="91"/>
    </w:p>
    <w:p>
      <w:pPr>
        <w:spacing w:line="480" w:lineRule="exact"/>
        <w:ind w:firstLine="640" w:firstLineChars="200"/>
        <w:rPr>
          <w:rFonts w:ascii="Times New Roman" w:hAnsi="Times New Roman" w:eastAsia="仿宋_GB2312" w:cs="Times New Roman"/>
          <w:sz w:val="32"/>
          <w:szCs w:val="32"/>
        </w:rPr>
      </w:pPr>
    </w:p>
    <w:p>
      <w:pPr>
        <w:spacing w:line="4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实现农业农村现代化主要目标，加快推动农牧业高质量发展。夯实农业发展基础，优化调整产业结构，强化农业科技支撑，促进农业与二三产业深度融合发展，延伸农业产业链、价值链，构建现代农业产业体系、生产体系、经营体系，提高农业综合效益和竞争力。</w:t>
      </w:r>
    </w:p>
    <w:p>
      <w:pPr>
        <w:spacing w:line="480" w:lineRule="exact"/>
        <w:ind w:firstLine="640" w:firstLineChars="200"/>
        <w:rPr>
          <w:rFonts w:ascii="Times New Roman" w:hAnsi="Times New Roman" w:eastAsia="仿宋_GB2312" w:cs="Times New Roman"/>
          <w:sz w:val="32"/>
          <w:szCs w:val="32"/>
        </w:rPr>
      </w:pPr>
    </w:p>
    <w:p>
      <w:pPr>
        <w:spacing w:line="480" w:lineRule="exact"/>
        <w:jc w:val="center"/>
        <w:outlineLvl w:val="1"/>
        <w:rPr>
          <w:rFonts w:ascii="Times New Roman" w:hAnsi="Times New Roman" w:eastAsia="宋体" w:cs="Times New Roman"/>
          <w:b/>
          <w:bCs/>
          <w:sz w:val="36"/>
          <w:szCs w:val="36"/>
        </w:rPr>
      </w:pPr>
      <w:bookmarkStart w:id="92" w:name="_Toc2721"/>
      <w:bookmarkStart w:id="93" w:name="_Toc1507"/>
      <w:r>
        <w:rPr>
          <w:rFonts w:ascii="Times New Roman" w:hAnsi="Times New Roman" w:eastAsia="宋体" w:cs="Times New Roman"/>
          <w:b/>
          <w:bCs/>
          <w:sz w:val="36"/>
          <w:szCs w:val="36"/>
        </w:rPr>
        <w:t>第一节  打造“两带三区”空间布局</w:t>
      </w:r>
      <w:bookmarkEnd w:id="92"/>
      <w:bookmarkEnd w:id="93"/>
    </w:p>
    <w:p>
      <w:pPr>
        <w:spacing w:line="480" w:lineRule="exact"/>
        <w:ind w:firstLine="640" w:firstLineChars="200"/>
        <w:rPr>
          <w:rFonts w:ascii="Times New Roman" w:hAnsi="Times New Roman" w:eastAsia="仿宋_GB2312" w:cs="Times New Roman"/>
          <w:sz w:val="32"/>
          <w:szCs w:val="32"/>
        </w:rPr>
      </w:pPr>
    </w:p>
    <w:p>
      <w:pPr>
        <w:spacing w:line="4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强本固基，提质增效”为总路线，突出“建基地、创品牌、搞加工”，加快建设“壤巴拉高原双低油菜产业园”“壤巴拉高原生态蔬菜产业园”“壤巴拉牦牛产业园”和“壤巴拉林下经济产业园”，整体打造“壤巴拉现代农业产业园”，构建“两带三区”农牧业产业发展空间。</w:t>
      </w:r>
    </w:p>
    <w:p>
      <w:pPr>
        <w:spacing w:line="480" w:lineRule="exact"/>
        <w:ind w:firstLine="640" w:firstLineChars="200"/>
        <w:outlineLvl w:val="2"/>
        <w:rPr>
          <w:rFonts w:ascii="Times New Roman" w:hAnsi="Times New Roman" w:eastAsia="黑体" w:cs="Times New Roman"/>
          <w:sz w:val="32"/>
          <w:szCs w:val="32"/>
        </w:rPr>
      </w:pPr>
      <w:bookmarkStart w:id="94" w:name="_Toc17762"/>
      <w:r>
        <w:rPr>
          <w:rFonts w:ascii="Times New Roman" w:hAnsi="Times New Roman" w:eastAsia="黑体" w:cs="Times New Roman"/>
          <w:sz w:val="32"/>
          <w:szCs w:val="32"/>
        </w:rPr>
        <w:t>一、“两带”</w:t>
      </w:r>
      <w:bookmarkEnd w:id="94"/>
    </w:p>
    <w:p>
      <w:pPr>
        <w:spacing w:line="4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hint="eastAsia" w:ascii="Times New Roman" w:hAnsi="Times New Roman" w:eastAsia="楷体_GB2312" w:cs="Times New Roman"/>
          <w:b/>
          <w:bCs/>
          <w:sz w:val="32"/>
          <w:szCs w:val="32"/>
        </w:rPr>
        <w:t>杜柯河</w:t>
      </w:r>
      <w:r>
        <w:rPr>
          <w:rFonts w:ascii="Times New Roman" w:hAnsi="Times New Roman" w:eastAsia="楷体_GB2312" w:cs="Times New Roman"/>
          <w:b/>
          <w:bCs/>
          <w:sz w:val="32"/>
          <w:szCs w:val="32"/>
        </w:rPr>
        <w:t>流域农旅融合产业发展带。</w:t>
      </w:r>
      <w:r>
        <w:rPr>
          <w:rFonts w:ascii="Times New Roman" w:hAnsi="Times New Roman" w:eastAsia="仿宋_GB2312" w:cs="Times New Roman"/>
          <w:sz w:val="32"/>
          <w:szCs w:val="32"/>
        </w:rPr>
        <w:t>包含上杜柯、岗木达、</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、石里、宗科、蒲西等乡镇。种植业重点发展高原双低油菜、青稞、马铃薯等传统作物，适度</w:t>
      </w:r>
      <w:r>
        <w:rPr>
          <w:rFonts w:hint="eastAsia" w:ascii="Times New Roman" w:hAnsi="Times New Roman" w:eastAsia="仿宋_GB2312" w:cs="Times New Roman"/>
          <w:sz w:val="32"/>
          <w:szCs w:val="32"/>
        </w:rPr>
        <w:t>规模发展</w:t>
      </w:r>
      <w:r>
        <w:rPr>
          <w:rFonts w:ascii="Times New Roman" w:hAnsi="Times New Roman" w:eastAsia="仿宋_GB2312" w:cs="Times New Roman"/>
          <w:sz w:val="32"/>
          <w:szCs w:val="32"/>
        </w:rPr>
        <w:t>生态蔬菜，重点打造“壤巴拉高原双低油菜产业园”，积极种植中药材和中低温食用菌，打造“壤巴拉林下经济产业园区”；养殖业重点发展昂柯牦牛养殖，适度规模养殖藏香猪和中蜂。深入推进农旅融合发展。</w:t>
      </w:r>
    </w:p>
    <w:p>
      <w:pPr>
        <w:spacing w:line="4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则曲河流域现代农牧业产业发展带。</w:t>
      </w:r>
      <w:r>
        <w:rPr>
          <w:rFonts w:ascii="Times New Roman" w:hAnsi="Times New Roman" w:eastAsia="仿宋_GB2312" w:cs="Times New Roman"/>
          <w:sz w:val="32"/>
          <w:szCs w:val="32"/>
        </w:rPr>
        <w:t>包含南木达、尕多、茸木达、中壤塘、上壤塘等乡镇。种植业重点发展生态蔬菜，适度</w:t>
      </w:r>
      <w:r>
        <w:rPr>
          <w:rFonts w:hint="eastAsia" w:ascii="Times New Roman" w:hAnsi="Times New Roman" w:eastAsia="仿宋_GB2312" w:cs="Times New Roman"/>
          <w:sz w:val="32"/>
          <w:szCs w:val="32"/>
        </w:rPr>
        <w:t>发展</w:t>
      </w:r>
      <w:r>
        <w:rPr>
          <w:rFonts w:ascii="Times New Roman" w:hAnsi="Times New Roman" w:eastAsia="仿宋_GB2312" w:cs="Times New Roman"/>
          <w:sz w:val="32"/>
          <w:szCs w:val="32"/>
        </w:rPr>
        <w:t>青稞、马铃薯等传统作物；养殖业重点发展标准化牦牛养殖，引导牧户以生产牦牛肉、奶产品为主；打造“壤巴拉牦牛产业园”和“壤巴拉高原生态蔬菜产业园”。</w:t>
      </w:r>
    </w:p>
    <w:p>
      <w:pPr>
        <w:spacing w:line="480" w:lineRule="exact"/>
        <w:ind w:firstLine="643" w:firstLineChars="200"/>
        <w:outlineLvl w:val="2"/>
        <w:rPr>
          <w:rFonts w:ascii="Times New Roman" w:hAnsi="Times New Roman" w:eastAsia="黑体" w:cs="Times New Roman"/>
          <w:b/>
          <w:bCs/>
          <w:sz w:val="32"/>
          <w:szCs w:val="32"/>
        </w:rPr>
      </w:pPr>
      <w:bookmarkStart w:id="95" w:name="_Toc14995"/>
      <w:r>
        <w:rPr>
          <w:rFonts w:ascii="Times New Roman" w:hAnsi="Times New Roman" w:eastAsia="黑体" w:cs="Times New Roman"/>
          <w:b/>
          <w:bCs/>
          <w:sz w:val="32"/>
          <w:szCs w:val="32"/>
        </w:rPr>
        <w:t>二、“三区”</w:t>
      </w:r>
      <w:bookmarkEnd w:id="95"/>
    </w:p>
    <w:p>
      <w:pPr>
        <w:spacing w:line="4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岗木达片区。</w:t>
      </w:r>
      <w:r>
        <w:rPr>
          <w:rFonts w:ascii="Times New Roman" w:hAnsi="Times New Roman" w:eastAsia="仿宋_GB2312" w:cs="Times New Roman"/>
          <w:sz w:val="32"/>
          <w:szCs w:val="32"/>
        </w:rPr>
        <w:t>包含岗木达、上杜柯、</w:t>
      </w:r>
      <w:r>
        <w:rPr>
          <w:rFonts w:hint="eastAsia" w:ascii="Times New Roman" w:hAnsi="Times New Roman" w:eastAsia="仿宋_GB2312" w:cs="Times New Roman"/>
          <w:sz w:val="32"/>
          <w:szCs w:val="32"/>
        </w:rPr>
        <w:t>吾伊等</w:t>
      </w:r>
      <w:r>
        <w:rPr>
          <w:rFonts w:ascii="Times New Roman" w:hAnsi="Times New Roman" w:eastAsia="仿宋_GB2312" w:cs="Times New Roman"/>
          <w:sz w:val="32"/>
          <w:szCs w:val="32"/>
        </w:rPr>
        <w:t>乡镇，种植业以青稞种植为主，围绕青稞良种繁育科技示范试验基地建设科普教育和体验基地，适当规划种植马铃薯、生态蔬菜等，建设县城</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菜篮子</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基地；养殖业以昂科牦牛保种选育、藏香猪、阿坝中蜂为主，组建具有独立血缘的昂科牦牛选育群，适度推广藏香猪和阿坝中蜂养殖。建立壤巴拉牦牛产业加工基地，推广牦牛标准化养殖场（户）；林下经济以适当发展中药材、食用菌等为主。</w:t>
      </w:r>
    </w:p>
    <w:p>
      <w:pPr>
        <w:spacing w:line="4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南木达片区。</w:t>
      </w:r>
      <w:r>
        <w:rPr>
          <w:rFonts w:ascii="Times New Roman" w:hAnsi="Times New Roman" w:eastAsia="仿宋_GB2312" w:cs="Times New Roman"/>
          <w:sz w:val="32"/>
          <w:szCs w:val="32"/>
        </w:rPr>
        <w:t>包含南木达、茸木达、尕多、中壤塘、上壤塘等乡镇，重点打造“壤巴拉高原生态蔬菜产业园”和“壤巴拉牦牛标准化养殖产业园”。重点发展生态蔬菜种植和牦牛养殖。以尕多乡为中心建设生态蔬菜种植基地，以中壤塘镇、上壤塘乡为中心推行牦牛的标准化养殖，开展畜产品生产加工；在适宜区域适度种植马铃薯、良种青稞，开展人工种植禾本科牧草，实现草畜动态平衡；建设高原生态蔬菜标准化栽培科技示范中试基地和农牧产品体验馆。</w:t>
      </w:r>
    </w:p>
    <w:p>
      <w:pPr>
        <w:spacing w:line="4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上寨片区。</w:t>
      </w:r>
      <w:r>
        <w:rPr>
          <w:rFonts w:ascii="Times New Roman" w:hAnsi="Times New Roman" w:eastAsia="仿宋_GB2312" w:cs="Times New Roman"/>
          <w:sz w:val="32"/>
          <w:szCs w:val="32"/>
        </w:rPr>
        <w:t>包含石里、蒲西、宗科等乡镇。重点打造“壤巴拉高原双低油菜产业园”和“壤巴拉林下经济产业园”。以种植双低油菜和休闲观光农业为主，建设双低油菜标准化种植基地、科技示范中试基地和油菜加工基地；以317国道和旅游节点为基础，集中打造休闲观光农业；适度发展高原中低温食用菌、高原特色蔬菜、小水果种植，稳定青稞、马铃薯种植等传统作物生产。适度推广藏香猪、中蜂养殖，发展林下经济。</w:t>
      </w:r>
    </w:p>
    <w:p>
      <w:pPr>
        <w:spacing w:line="560" w:lineRule="exact"/>
        <w:jc w:val="center"/>
        <w:rPr>
          <w:rFonts w:ascii="Times New Roman" w:hAnsi="Times New Roman" w:eastAsia="仿宋_GB2312" w:cs="Times New Roman"/>
          <w:sz w:val="32"/>
          <w:szCs w:val="32"/>
        </w:rPr>
      </w:pPr>
      <w:r>
        <w:rPr>
          <w:rFonts w:ascii="Times New Roman" w:hAnsi="Times New Roman" w:eastAsia="仿宋" w:cs="Times New Roman"/>
          <w:sz w:val="30"/>
          <w:szCs w:val="30"/>
        </w:rPr>
        <w:drawing>
          <wp:anchor distT="0" distB="0" distL="114300" distR="114300" simplePos="0" relativeHeight="251661312" behindDoc="0" locked="0" layoutInCell="1" allowOverlap="1">
            <wp:simplePos x="0" y="0"/>
            <wp:positionH relativeFrom="margin">
              <wp:posOffset>-170180</wp:posOffset>
            </wp:positionH>
            <wp:positionV relativeFrom="paragraph">
              <wp:posOffset>-6985</wp:posOffset>
            </wp:positionV>
            <wp:extent cx="5965190" cy="8136255"/>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65200" cy="8136000"/>
                    </a:xfrm>
                    <a:prstGeom prst="rect">
                      <a:avLst/>
                    </a:prstGeom>
                  </pic:spPr>
                </pic:pic>
              </a:graphicData>
            </a:graphic>
          </wp:anchor>
        </w:drawing>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30" w:lineRule="exact"/>
        <w:jc w:val="center"/>
        <w:outlineLvl w:val="1"/>
        <w:rPr>
          <w:rFonts w:ascii="Times New Roman" w:hAnsi="Times New Roman" w:eastAsia="宋体" w:cs="Times New Roman"/>
          <w:b/>
          <w:bCs/>
          <w:sz w:val="36"/>
          <w:szCs w:val="36"/>
        </w:rPr>
      </w:pPr>
      <w:bookmarkStart w:id="96" w:name="_Toc22649"/>
      <w:bookmarkStart w:id="97" w:name="_Toc9961"/>
      <w:r>
        <w:rPr>
          <w:rFonts w:ascii="Times New Roman" w:hAnsi="Times New Roman" w:eastAsia="宋体" w:cs="Times New Roman"/>
          <w:b/>
          <w:bCs/>
          <w:sz w:val="36"/>
          <w:szCs w:val="36"/>
        </w:rPr>
        <w:t>第二节  夯实农牧业发展基础</w:t>
      </w:r>
      <w:bookmarkEnd w:id="96"/>
      <w:bookmarkEnd w:id="97"/>
    </w:p>
    <w:p>
      <w:pPr>
        <w:spacing w:line="530" w:lineRule="exact"/>
        <w:ind w:firstLine="640" w:firstLineChars="200"/>
        <w:rPr>
          <w:rFonts w:ascii="Times New Roman" w:hAnsi="Times New Roman" w:eastAsia="仿宋_GB2312" w:cs="Times New Roman"/>
          <w:sz w:val="32"/>
          <w:szCs w:val="32"/>
        </w:rPr>
      </w:pPr>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按照农业高质量发展要求，推动藏粮于地、藏粮于技，完善农业基础设施，实施粮食生产能力提升工程，提高农业综合生产能力，确保粮食种植面积稳定在2万亩以上，保障粮食和主要农产品有效供给。</w:t>
      </w:r>
    </w:p>
    <w:p>
      <w:pPr>
        <w:spacing w:line="530" w:lineRule="exact"/>
        <w:ind w:firstLine="643" w:firstLineChars="200"/>
        <w:outlineLvl w:val="2"/>
        <w:rPr>
          <w:rFonts w:ascii="Times New Roman" w:hAnsi="Times New Roman" w:eastAsia="黑体" w:cs="Times New Roman"/>
          <w:b/>
          <w:bCs/>
          <w:sz w:val="32"/>
          <w:szCs w:val="32"/>
        </w:rPr>
      </w:pPr>
      <w:bookmarkStart w:id="98" w:name="_Toc2395"/>
      <w:r>
        <w:rPr>
          <w:rFonts w:ascii="Times New Roman" w:hAnsi="Times New Roman" w:eastAsia="黑体" w:cs="Times New Roman"/>
          <w:b/>
          <w:bCs/>
          <w:sz w:val="32"/>
          <w:szCs w:val="32"/>
        </w:rPr>
        <w:t>一、切实加强高标准农田建设</w:t>
      </w:r>
      <w:bookmarkEnd w:id="98"/>
      <w:r>
        <w:rPr>
          <w:rFonts w:ascii="Times New Roman" w:hAnsi="Times New Roman" w:eastAsia="黑体" w:cs="Times New Roman"/>
          <w:b/>
          <w:bCs/>
          <w:sz w:val="32"/>
          <w:szCs w:val="32"/>
        </w:rPr>
        <w:t xml:space="preserve"> </w:t>
      </w:r>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最严格的耕地保护制度，全面划定永久基本农田，严守耕地红线。以提升粮食产能为首要目标，以粮食基本自给自足为导向，深入实施增粮增收工程和农业综合开发项目，聚焦南木达、尕多、中壤塘等重点区域，突出抓好耕地保护、地力提升和高效节水灌溉。加快补齐农业基础设施短板，提高水土资源利用效率，切实增强农田防灾抗灾减灾能力，为保障粮食安全提供坚实基础。按照良种良法、旱涝保收、稳产高产、生态友好的要求，继续开展基本农田整理、中低产田改造、撂荒地复垦，通过田土型调整、增厚土层、土壤改良、地力培肥、地边围栏等措施，加快高产稳产基本农田建设，提高农业用地综合效益。统筹各类农田建设资金，做好项目衔接配套</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形成高标准农田建设合力。</w:t>
      </w:r>
    </w:p>
    <w:p>
      <w:pPr>
        <w:spacing w:line="530" w:lineRule="exact"/>
        <w:ind w:firstLine="643" w:firstLineChars="200"/>
        <w:outlineLvl w:val="2"/>
        <w:rPr>
          <w:rFonts w:ascii="Times New Roman" w:hAnsi="Times New Roman" w:eastAsia="黑体" w:cs="Times New Roman"/>
          <w:b/>
          <w:bCs/>
          <w:sz w:val="32"/>
          <w:szCs w:val="32"/>
        </w:rPr>
      </w:pPr>
      <w:bookmarkStart w:id="99" w:name="_Toc2582"/>
      <w:r>
        <w:rPr>
          <w:rFonts w:ascii="Times New Roman" w:hAnsi="Times New Roman" w:eastAsia="黑体" w:cs="Times New Roman"/>
          <w:b/>
          <w:bCs/>
          <w:sz w:val="32"/>
          <w:szCs w:val="32"/>
        </w:rPr>
        <w:t>二、加强农牧业基础设施建设</w:t>
      </w:r>
      <w:bookmarkEnd w:id="99"/>
      <w:r>
        <w:rPr>
          <w:rFonts w:ascii="Times New Roman" w:hAnsi="Times New Roman" w:eastAsia="黑体" w:cs="Times New Roman"/>
          <w:b/>
          <w:bCs/>
          <w:sz w:val="32"/>
          <w:szCs w:val="32"/>
        </w:rPr>
        <w:t xml:space="preserve"> </w:t>
      </w:r>
    </w:p>
    <w:p>
      <w:pPr>
        <w:spacing w:line="53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（一）加强农业基础设施建设。</w:t>
      </w:r>
      <w:r>
        <w:rPr>
          <w:rFonts w:ascii="Times New Roman" w:hAnsi="Times New Roman" w:eastAsia="仿宋_GB2312" w:cs="Times New Roman"/>
          <w:sz w:val="32"/>
          <w:szCs w:val="32"/>
        </w:rPr>
        <w:t>提高农业综合生产能力。推进山、水、田、林、路综合治理。大力整治田间生产便道和农村机耕道，集中连片建成田网、渠网、路网、林网“四网”配套，机械化、规模化、标准化“三化”联动的高标准示范区。加大农牧区水利建设，因地制宜加快建设小型农田水利设施工程、田间节水工程、牧区水利工程、光伏提灌站等水利工程和设施。大力发展节水灌溉，积极推广喷灌、微灌等高效节水灌溉和旱作农业节水技术，大力发展旱作节水农业。加大水利设施达标建设，开展农田水利设施达标提质，加快灌溉渠系建设和修复，做好农村“最后一公里”渠系建设和整治，提高渠系水利用率、提高农牧灌区实灌面积。</w:t>
      </w:r>
    </w:p>
    <w:p>
      <w:pPr>
        <w:spacing w:line="53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（二）加强畜牧业设施建设。</w:t>
      </w:r>
      <w:r>
        <w:rPr>
          <w:rFonts w:ascii="Times New Roman" w:hAnsi="Times New Roman" w:eastAsia="仿宋_GB2312" w:cs="Times New Roman"/>
          <w:sz w:val="32"/>
          <w:szCs w:val="32"/>
        </w:rPr>
        <w:t>加强养殖设施标准化改造，推进畜禽标准化示范场建设。建立以适度规模为引导，以农户标准化为基础的养殖模式，以舍饲、半舍饲相结合的饲养方式，配套和完善牧道、标准化暖棚、防疫巷道圈、分区围栏等现代化畜牧业基础设施建设，促进畜牧业基础设施规范化、牧道建设网络化、人工种草规模化、牧区牦牛养殖规模化、畜产品加工标准化。</w:t>
      </w:r>
    </w:p>
    <w:p>
      <w:pPr>
        <w:spacing w:line="530" w:lineRule="exact"/>
        <w:ind w:firstLine="643" w:firstLineChars="200"/>
        <w:outlineLvl w:val="2"/>
        <w:rPr>
          <w:rFonts w:ascii="Times New Roman" w:hAnsi="Times New Roman" w:eastAsia="黑体" w:cs="Times New Roman"/>
          <w:b/>
          <w:bCs/>
          <w:sz w:val="32"/>
          <w:szCs w:val="32"/>
        </w:rPr>
      </w:pPr>
      <w:bookmarkStart w:id="100" w:name="_Toc29793"/>
      <w:r>
        <w:rPr>
          <w:rFonts w:ascii="Times New Roman" w:hAnsi="Times New Roman" w:eastAsia="黑体" w:cs="Times New Roman"/>
          <w:b/>
          <w:bCs/>
          <w:sz w:val="32"/>
          <w:szCs w:val="32"/>
        </w:rPr>
        <w:t>三、加强现代农业园区（基地）建设</w:t>
      </w:r>
      <w:bookmarkEnd w:id="100"/>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美丽壤巴拉家园”建设，加快现代农业产业示范园区（基地）建设，因地制宜建设一批特色农牧业园区、农业科技示范园区、产业融合发展园区等现代农牧业示范园区。积极探索“大园区、小业主”等多种经营模式，引导新型经营主体向园区集中，支持脱贫村集体在各类园区发展“飞地经济”。推动农牧业园区（基地）与文化旅游业融合发展，打造农文旅综合体。力争到“十四五”末，打造东西协作蔬菜产业示范园、热布卡生态效益农业示范园、布康木达农旅融合综合体、达日药旅融合综合体、孜梭村农旅融合综合体、曼木达农旅融合综合体、双低油菜产业基地（蒲西、宗科、石里、</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）、上杜柯中藏药材人工示范种植基地、宗科高原蔬菜产业基地、岗木达高原蔬菜产业基地等14个农业示范园区（基地）；上杜柯、南木达、尕多等3个牦牛标准化养殖示范基地。</w:t>
      </w:r>
    </w:p>
    <w:p>
      <w:pPr>
        <w:spacing w:line="530" w:lineRule="exact"/>
        <w:ind w:firstLine="643" w:firstLineChars="200"/>
        <w:outlineLvl w:val="2"/>
        <w:rPr>
          <w:rFonts w:ascii="Times New Roman" w:hAnsi="Times New Roman" w:eastAsia="黑体" w:cs="Times New Roman"/>
          <w:b/>
          <w:bCs/>
          <w:sz w:val="32"/>
          <w:szCs w:val="32"/>
        </w:rPr>
      </w:pPr>
      <w:bookmarkStart w:id="101" w:name="_Toc510"/>
      <w:r>
        <w:rPr>
          <w:rFonts w:ascii="Times New Roman" w:hAnsi="Times New Roman" w:eastAsia="黑体" w:cs="Times New Roman"/>
          <w:b/>
          <w:bCs/>
          <w:sz w:val="32"/>
          <w:szCs w:val="32"/>
        </w:rPr>
        <w:t>四、促进农业技术装备提档升级</w:t>
      </w:r>
      <w:bookmarkEnd w:id="101"/>
      <w:r>
        <w:rPr>
          <w:rFonts w:ascii="Times New Roman" w:hAnsi="Times New Roman" w:eastAsia="黑体" w:cs="Times New Roman"/>
          <w:b/>
          <w:bCs/>
          <w:sz w:val="32"/>
          <w:szCs w:val="32"/>
        </w:rPr>
        <w:t xml:space="preserve"> </w:t>
      </w:r>
    </w:p>
    <w:p>
      <w:pPr>
        <w:spacing w:line="5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改善农业技术装备水平，提高农业生产机械化水平。加快推广运用小型农机装备，积极推广拖拉机和联合收割机等高效生态、节能环保小型农业机械，加强机电灌溉设施改造升级，推进太阳能光伏提灌建设。加快无人机病虫防治等机械设备应用，提升设施农业、病虫防治装备水平。优化农业机械制度和政策，以“两规定”“两规范”为核心，建立多样化的农机设施管护机制和运营制度，优化农机购置补贴政策，鼓励农户和新型农业经营主体购置适用农业机械，提升农机装备水平。拓宽农机作业服务领域，扩大农机作业服务规模，提高农机作业服务水平和效率。促进农业机械化提档升级，推进农机深耕深松作业。积极发展畜牧业机械化，提升设施农业、病虫防治装备水平。</w:t>
      </w:r>
    </w:p>
    <w:tbl>
      <w:tblPr>
        <w:tblStyle w:val="12"/>
        <w:tblW w:w="88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855" w:type="dxa"/>
          </w:tcPr>
          <w:p>
            <w:pPr>
              <w:spacing w:line="530" w:lineRule="exact"/>
              <w:jc w:val="center"/>
              <w:rPr>
                <w:rFonts w:ascii="Times New Roman" w:hAnsi="Times New Roman" w:eastAsia="仿宋_GB2312" w:cs="Times New Roman"/>
                <w:sz w:val="32"/>
                <w:szCs w:val="32"/>
              </w:rPr>
            </w:pPr>
            <w:r>
              <w:rPr>
                <w:rFonts w:ascii="Times New Roman" w:hAnsi="Times New Roman" w:eastAsia="黑体" w:cs="Times New Roman"/>
                <w:sz w:val="28"/>
                <w:szCs w:val="28"/>
              </w:rPr>
              <w:t>专栏10  农牧业基础设施建设重点项目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8855" w:type="dxa"/>
          </w:tcPr>
          <w:p>
            <w:pPr>
              <w:adjustRightInd w:val="0"/>
              <w:snapToGrid w:val="0"/>
              <w:spacing w:line="3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一、基础设施建设</w:t>
            </w:r>
          </w:p>
          <w:p>
            <w:pPr>
              <w:adjustRightInd w:val="0"/>
              <w:snapToGrid w:val="0"/>
              <w:spacing w:line="340" w:lineRule="exac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高标准农田建设1万亩；农业面源污染治理，建设废弃农药、薄膜综合回收点180个，土壤治理2万亩，测土配方施肥2万亩；农机购置补贴；中藏医药产业园基础设施建设，建设中藏医药产业集中区，新建园区水电路及标准化厂房3000平方米，种植面积5000亩等基础设施。</w:t>
            </w:r>
          </w:p>
          <w:p>
            <w:pPr>
              <w:adjustRightInd w:val="0"/>
              <w:snapToGrid w:val="0"/>
              <w:spacing w:line="3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二、基地建设</w:t>
            </w:r>
          </w:p>
          <w:p>
            <w:pPr>
              <w:adjustRightInd w:val="0"/>
              <w:snapToGrid w:val="0"/>
              <w:spacing w:line="340" w:lineRule="exact"/>
              <w:ind w:firstLine="480" w:firstLineChars="200"/>
              <w:rPr>
                <w:rFonts w:ascii="楷体_GB2312" w:hAnsi="楷体_GB2312" w:eastAsia="楷体_GB2312" w:cs="楷体_GB2312"/>
                <w:sz w:val="24"/>
              </w:rPr>
            </w:pPr>
            <w:r>
              <w:rPr>
                <w:rFonts w:hint="eastAsia" w:ascii="楷体_GB2312" w:hAnsi="楷体_GB2312" w:eastAsia="楷体_GB2312" w:cs="楷体_GB2312"/>
                <w:sz w:val="24"/>
              </w:rPr>
              <w:t>（1）高原生态蔬菜示范园区（基地）瑟谷村。东西扶贫协作蔬菜产业示范园、生态效益农业示范园、切洛玛农旅融合综合体、曼木达农旅融合综合体等；（2）食用菌种植示范园区（基地）。加大壤古食用菌产业示范园建设；（3）双低油菜示范基地。在蒲西乡、宗科乡、石里乡、吾伊乡建设双低油菜产业园；（4）中藏药材示范基地。以布康木达农旅融合综合体、达日药旅融合综合体、上杜柯中藏药材人工示范种植基地等。</w:t>
            </w:r>
          </w:p>
          <w:p>
            <w:pPr>
              <w:adjustRightInd w:val="0"/>
              <w:snapToGrid w:val="0"/>
              <w:spacing w:line="340" w:lineRule="exact"/>
              <w:ind w:firstLine="480" w:firstLineChars="200"/>
              <w:rPr>
                <w:rFonts w:ascii="Times New Roman" w:hAnsi="Times New Roman" w:eastAsia="楷体" w:cs="Times New Roman"/>
                <w:sz w:val="24"/>
              </w:rPr>
            </w:pPr>
            <w:r>
              <w:rPr>
                <w:rFonts w:ascii="Times New Roman" w:hAnsi="Times New Roman" w:eastAsia="黑体" w:cs="Times New Roman"/>
                <w:sz w:val="24"/>
              </w:rPr>
              <w:t>三、现代农业示范园区</w:t>
            </w:r>
          </w:p>
          <w:p>
            <w:pPr>
              <w:adjustRightInd w:val="0"/>
              <w:snapToGrid w:val="0"/>
              <w:spacing w:line="340" w:lineRule="exact"/>
              <w:ind w:firstLine="480" w:firstLineChars="200"/>
              <w:rPr>
                <w:rFonts w:ascii="Times New Roman" w:hAnsi="Times New Roman" w:eastAsia="仿宋_GB2312" w:cs="Times New Roman"/>
                <w:sz w:val="32"/>
                <w:szCs w:val="32"/>
              </w:rPr>
            </w:pPr>
            <w:r>
              <w:rPr>
                <w:rFonts w:hint="eastAsia" w:ascii="楷体_GB2312" w:hAnsi="楷体_GB2312" w:eastAsia="楷体_GB2312" w:cs="楷体_GB2312"/>
                <w:sz w:val="24"/>
              </w:rPr>
              <w:t>建设东西协作蔬菜产业示范园、热布卡生态效益农业示范园、布康木达农旅融合综合体等。</w:t>
            </w:r>
          </w:p>
        </w:tc>
      </w:tr>
    </w:tbl>
    <w:p>
      <w:pPr>
        <w:spacing w:line="560" w:lineRule="exact"/>
        <w:jc w:val="center"/>
        <w:outlineLvl w:val="1"/>
        <w:rPr>
          <w:rFonts w:ascii="Times New Roman" w:hAnsi="Times New Roman" w:eastAsia="宋体" w:cs="Times New Roman"/>
          <w:b/>
          <w:bCs/>
          <w:sz w:val="36"/>
          <w:szCs w:val="36"/>
        </w:rPr>
      </w:pPr>
      <w:bookmarkStart w:id="102" w:name="_Toc19913"/>
      <w:bookmarkStart w:id="103" w:name="_Toc32224"/>
      <w:r>
        <w:rPr>
          <w:rFonts w:ascii="Times New Roman" w:hAnsi="Times New Roman" w:eastAsia="宋体" w:cs="Times New Roman"/>
          <w:b/>
          <w:bCs/>
          <w:sz w:val="36"/>
          <w:szCs w:val="36"/>
        </w:rPr>
        <w:t>第三节  构建“5+N”农业产业体系</w:t>
      </w:r>
      <w:bookmarkEnd w:id="102"/>
      <w:bookmarkEnd w:id="103"/>
    </w:p>
    <w:p>
      <w:pPr>
        <w:spacing w:line="560" w:lineRule="exact"/>
        <w:ind w:firstLine="640" w:firstLineChars="200"/>
        <w:jc w:val="center"/>
        <w:rPr>
          <w:rFonts w:ascii="Times New Roman" w:hAnsi="Times New Roman" w:eastAsia="仿宋_GB2312" w:cs="Times New Roman"/>
          <w:sz w:val="32"/>
          <w:szCs w:val="32"/>
        </w:rPr>
      </w:pPr>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以绿色生态为导向，坚持</w:t>
      </w:r>
      <w:r>
        <w:rPr>
          <w:rFonts w:ascii="Times New Roman" w:hAnsi="Times New Roman" w:eastAsia="楷体_GB2312" w:cs="Times New Roman"/>
          <w:b/>
          <w:bCs/>
          <w:sz w:val="32"/>
          <w:szCs w:val="32"/>
        </w:rPr>
        <w:t>“调结构、转方式、促升级”</w:t>
      </w:r>
      <w:r>
        <w:rPr>
          <w:rFonts w:ascii="Times New Roman" w:hAnsi="Times New Roman" w:eastAsia="仿宋_GB2312" w:cs="Times New Roman"/>
          <w:sz w:val="32"/>
          <w:szCs w:val="32"/>
        </w:rPr>
        <w:t>的总体思路，结合</w:t>
      </w:r>
      <w:r>
        <w:rPr>
          <w:rFonts w:hint="eastAsia" w:ascii="Times New Roman" w:hAnsi="Times New Roman" w:eastAsia="仿宋_GB2312" w:cs="Times New Roman"/>
          <w:sz w:val="32"/>
          <w:szCs w:val="32"/>
        </w:rPr>
        <w:t>供给侧结构性改革</w:t>
      </w:r>
      <w:r>
        <w:rPr>
          <w:rFonts w:ascii="Times New Roman" w:hAnsi="Times New Roman" w:eastAsia="仿宋_GB2312" w:cs="Times New Roman"/>
          <w:sz w:val="32"/>
          <w:szCs w:val="32"/>
        </w:rPr>
        <w:t>，推动农牧业由增产导向转向提质导向，提高农牧业综合生产能力和质量效益，围绕“粮、油、菜、药、畜”特色优势产业，加快构建</w:t>
      </w:r>
      <w:r>
        <w:rPr>
          <w:rFonts w:ascii="Times New Roman" w:hAnsi="Times New Roman" w:eastAsia="楷体_GB2312" w:cs="Times New Roman"/>
          <w:b/>
          <w:bCs/>
          <w:sz w:val="32"/>
          <w:szCs w:val="32"/>
        </w:rPr>
        <w:t>“5+N”农牧产业体系</w:t>
      </w:r>
      <w:r>
        <w:rPr>
          <w:rFonts w:ascii="Times New Roman" w:hAnsi="Times New Roman" w:eastAsia="仿宋_GB2312" w:cs="Times New Roman"/>
          <w:sz w:val="32"/>
          <w:szCs w:val="32"/>
        </w:rPr>
        <w:t>，着力打造</w:t>
      </w:r>
      <w:r>
        <w:rPr>
          <w:rFonts w:ascii="Times New Roman" w:hAnsi="Times New Roman" w:eastAsia="楷体_GB2312" w:cs="Times New Roman"/>
          <w:b/>
          <w:bCs/>
          <w:sz w:val="32"/>
          <w:szCs w:val="32"/>
        </w:rPr>
        <w:t>“壤巴拉现代农业产业园”</w:t>
      </w:r>
      <w:r>
        <w:rPr>
          <w:rFonts w:ascii="Times New Roman" w:hAnsi="Times New Roman" w:eastAsia="仿宋_GB2312" w:cs="Times New Roman"/>
          <w:sz w:val="32"/>
          <w:szCs w:val="32"/>
        </w:rPr>
        <w:t xml:space="preserve">。 </w:t>
      </w:r>
    </w:p>
    <w:p>
      <w:pPr>
        <w:spacing w:line="530" w:lineRule="exact"/>
        <w:ind w:firstLine="643" w:firstLineChars="200"/>
        <w:outlineLvl w:val="2"/>
        <w:rPr>
          <w:rFonts w:ascii="Times New Roman" w:hAnsi="Times New Roman" w:eastAsia="黑体" w:cs="Times New Roman"/>
          <w:b/>
          <w:bCs/>
          <w:sz w:val="32"/>
          <w:szCs w:val="32"/>
        </w:rPr>
      </w:pPr>
      <w:bookmarkStart w:id="104" w:name="_Toc15742"/>
      <w:r>
        <w:rPr>
          <w:rFonts w:ascii="Times New Roman" w:hAnsi="Times New Roman" w:eastAsia="黑体" w:cs="Times New Roman"/>
          <w:b/>
          <w:bCs/>
          <w:sz w:val="32"/>
          <w:szCs w:val="32"/>
        </w:rPr>
        <w:t>一、高原优质粮油产业</w:t>
      </w:r>
      <w:bookmarkEnd w:id="104"/>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稳步发展高原优质粮食产业，提高优质青稞、双低油菜、马铃薯等传统优势产业质量效益，大力建设优质粮食生产基地。</w:t>
      </w:r>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优质青稞产业。</w:t>
      </w:r>
      <w:r>
        <w:rPr>
          <w:rFonts w:ascii="Times New Roman" w:hAnsi="Times New Roman" w:eastAsia="仿宋_GB2312" w:cs="Times New Roman"/>
          <w:sz w:val="32"/>
          <w:szCs w:val="32"/>
        </w:rPr>
        <w:t>在稳定青稞总产量的前提下，以优质青稞良种</w:t>
      </w:r>
      <w:r>
        <w:rPr>
          <w:rFonts w:hint="eastAsia" w:ascii="Times New Roman" w:hAnsi="Times New Roman" w:eastAsia="仿宋_GB2312" w:cs="Times New Roman"/>
          <w:sz w:val="32"/>
          <w:szCs w:val="32"/>
        </w:rPr>
        <w:t>推广种植</w:t>
      </w:r>
      <w:r>
        <w:rPr>
          <w:rFonts w:ascii="Times New Roman" w:hAnsi="Times New Roman" w:eastAsia="仿宋_GB2312" w:cs="Times New Roman"/>
          <w:sz w:val="32"/>
          <w:szCs w:val="32"/>
        </w:rPr>
        <w:t>为抓手，以粮食高产创建为载体，以增粮增收为目标，确保涉藏地区特殊口粮安全需要。在上杜柯、岗木达规划建设优质青稞良种种源繁育基地，在蒲西片区、南木达片区、中壤塘片区大力发展青稞种植业。到“十四五”末，建成优质青稞种植面积12000亩以上，青稞产量达到2000吨以上。</w:t>
      </w:r>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双低油菜产业。</w:t>
      </w:r>
      <w:r>
        <w:rPr>
          <w:rFonts w:ascii="Times New Roman" w:hAnsi="Times New Roman" w:eastAsia="仿宋_GB2312" w:cs="Times New Roman"/>
          <w:sz w:val="32"/>
          <w:szCs w:val="32"/>
        </w:rPr>
        <w:t>加快推进“壤巴拉高原双低油菜产业园”建设，在蒲西片区示范推广双低油菜高产优质栽培技术，</w:t>
      </w:r>
      <w:r>
        <w:rPr>
          <w:rFonts w:hint="eastAsia" w:ascii="Times New Roman" w:hAnsi="Times New Roman" w:eastAsia="仿宋_GB2312" w:cs="Times New Roman"/>
          <w:sz w:val="32"/>
          <w:szCs w:val="32"/>
        </w:rPr>
        <w:t>实施油菜品种更新更换</w:t>
      </w:r>
      <w:r>
        <w:rPr>
          <w:rFonts w:ascii="Times New Roman" w:hAnsi="Times New Roman" w:eastAsia="仿宋_GB2312" w:cs="Times New Roman"/>
          <w:sz w:val="32"/>
          <w:szCs w:val="32"/>
        </w:rPr>
        <w:t>，稳步推进油菜种植，培育高原绿色生态菜籽油品牌。不断提高商品化率，促进当地农牧群众持续增产增收。到“十四五”末，双低油菜种植面积达到6000亩，产量达到600吨以上。</w:t>
      </w:r>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马铃薯产业。</w:t>
      </w:r>
      <w:r>
        <w:rPr>
          <w:rFonts w:ascii="Times New Roman" w:hAnsi="Times New Roman" w:eastAsia="仿宋_GB2312" w:cs="Times New Roman"/>
          <w:sz w:val="32"/>
          <w:szCs w:val="32"/>
        </w:rPr>
        <w:t>在蒲西片区、岗木达片区、南木达片区，示范推广马铃薯高产优质栽培技术，更新</w:t>
      </w:r>
      <w:r>
        <w:rPr>
          <w:rFonts w:hint="eastAsia" w:ascii="Times New Roman" w:hAnsi="Times New Roman" w:eastAsia="仿宋_GB2312" w:cs="Times New Roman"/>
          <w:sz w:val="32"/>
          <w:szCs w:val="32"/>
        </w:rPr>
        <w:t>更换</w:t>
      </w:r>
      <w:r>
        <w:rPr>
          <w:rFonts w:ascii="Times New Roman" w:hAnsi="Times New Roman" w:eastAsia="仿宋_GB2312" w:cs="Times New Roman"/>
          <w:sz w:val="32"/>
          <w:szCs w:val="32"/>
        </w:rPr>
        <w:t>马铃薯品种，提高马铃薯单产水平，稳定商品马铃薯生产。到“十四五”末，马铃薯种植面积达到8000亩，产量达到10000吨。</w:t>
      </w:r>
    </w:p>
    <w:p>
      <w:pPr>
        <w:spacing w:line="530" w:lineRule="exact"/>
        <w:ind w:firstLine="643" w:firstLineChars="200"/>
        <w:outlineLvl w:val="2"/>
        <w:rPr>
          <w:rFonts w:ascii="Times New Roman" w:hAnsi="Times New Roman" w:eastAsia="黑体" w:cs="Times New Roman"/>
          <w:b/>
          <w:bCs/>
          <w:sz w:val="32"/>
          <w:szCs w:val="32"/>
        </w:rPr>
      </w:pPr>
      <w:bookmarkStart w:id="105" w:name="_Toc16522"/>
      <w:r>
        <w:rPr>
          <w:rFonts w:ascii="Times New Roman" w:hAnsi="Times New Roman" w:eastAsia="黑体" w:cs="Times New Roman"/>
          <w:b/>
          <w:bCs/>
          <w:sz w:val="32"/>
          <w:szCs w:val="32"/>
        </w:rPr>
        <w:t>二、生态蔬菜产业</w:t>
      </w:r>
      <w:bookmarkEnd w:id="105"/>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高原生态蔬菜。</w:t>
      </w:r>
      <w:r>
        <w:rPr>
          <w:rFonts w:ascii="Times New Roman" w:hAnsi="Times New Roman" w:eastAsia="仿宋_GB2312" w:cs="Times New Roman"/>
          <w:sz w:val="32"/>
          <w:szCs w:val="32"/>
        </w:rPr>
        <w:t>积极推进“壤巴拉高原生态蔬菜产业园”建设，以莴笋、大白菜、莲白、萝卜、花菜等为主要品种，以蒲西、岗木达、尕多为核心区域，带动</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 xml:space="preserve">、南木达、茸木达、中壤塘等乡镇发展。积极推行节水灌溉、设施大棚、地膜覆盖等现代种植设施和技术，良种良法推广率达100%。到“十四五”末，发展高原生态蔬菜5000亩，产量达到5000吨。 </w:t>
      </w:r>
    </w:p>
    <w:p>
      <w:pPr>
        <w:spacing w:line="53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中低温食用菌。</w:t>
      </w:r>
      <w:r>
        <w:rPr>
          <w:rFonts w:ascii="Times New Roman" w:hAnsi="Times New Roman" w:eastAsia="仿宋_GB2312" w:cs="Times New Roman"/>
          <w:sz w:val="32"/>
          <w:szCs w:val="32"/>
        </w:rPr>
        <w:t>以尕多、</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为核心，带动宗科、石里、上杜柯发展中低温食用菌产业，扩大香菇、大球盖菇、木耳、羊肚菌等中低温食用菌种植规模。到“十四五”末，中低温食用菌栽培达100万袋，产量达到420吨。</w:t>
      </w:r>
    </w:p>
    <w:p>
      <w:pPr>
        <w:spacing w:line="520" w:lineRule="exact"/>
        <w:ind w:firstLine="643" w:firstLineChars="200"/>
        <w:outlineLvl w:val="2"/>
        <w:rPr>
          <w:rFonts w:ascii="Times New Roman" w:hAnsi="Times New Roman" w:eastAsia="黑体" w:cs="Times New Roman"/>
          <w:b/>
          <w:bCs/>
          <w:sz w:val="32"/>
          <w:szCs w:val="32"/>
        </w:rPr>
      </w:pPr>
      <w:bookmarkStart w:id="106" w:name="_Toc7841"/>
      <w:r>
        <w:rPr>
          <w:rFonts w:ascii="Times New Roman" w:hAnsi="Times New Roman" w:eastAsia="黑体" w:cs="Times New Roman"/>
          <w:b/>
          <w:bCs/>
          <w:sz w:val="32"/>
          <w:szCs w:val="32"/>
        </w:rPr>
        <w:t>三、特色畜牧产业</w:t>
      </w:r>
      <w:bookmarkEnd w:id="106"/>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大力推进“壤巴拉牦牛产业园”建设，在南木达片区、杜柯片区等牦牛主产区，建立牦牛标准化养殖区，着力扶持牦牛、绵羊生态养殖示范户、优质牧草种植示范户，建立禾本科牧草饲料生产加工基地；在上杜柯、南木达、尕多新建牦牛标准化养殖基地（点），推进“昂柯牦牛”本品种选育；在杜柯片区建立昂柯牦牛选育、扩繁和标准化牦牛养殖区，实施牦牛提纯复壮工程；在上寨片区发展特色养殖业，扶持藏香猪生态养殖示范户，建立藏香猪、中蜂、土鸡等特色养殖区，并建立豆科牧草饲料基地。加强优质牧草种植；在上壤塘等纯牧业或以牧业为主的乡镇推行人工牧草种植，引导农牧民利用牧户卧圈、农闲地、撂荒地等进行人工种草；在上寨片区推广高产青饲玉米示范种植，建设青贮饲料加工示范工作站。全县范围内新建、维修基层畜牧兽医站，对基层畜牧兽医技术服务推广人员、村防疫员进行培训。加快建设冷链设施及新建实验室，完善重大动物疫病防控检查站。</w:t>
      </w:r>
    </w:p>
    <w:p>
      <w:pPr>
        <w:spacing w:line="520" w:lineRule="exact"/>
        <w:ind w:firstLine="643" w:firstLineChars="200"/>
        <w:outlineLvl w:val="2"/>
        <w:rPr>
          <w:rFonts w:ascii="Times New Roman" w:hAnsi="Times New Roman" w:eastAsia="黑体" w:cs="Times New Roman"/>
          <w:b/>
          <w:bCs/>
          <w:sz w:val="32"/>
          <w:szCs w:val="32"/>
        </w:rPr>
      </w:pPr>
      <w:bookmarkStart w:id="107" w:name="_Toc2008"/>
      <w:r>
        <w:rPr>
          <w:rFonts w:ascii="Times New Roman" w:hAnsi="Times New Roman" w:eastAsia="黑体" w:cs="Times New Roman"/>
          <w:b/>
          <w:bCs/>
          <w:sz w:val="32"/>
          <w:szCs w:val="32"/>
        </w:rPr>
        <w:t>四、林下经济产业</w:t>
      </w:r>
      <w:bookmarkEnd w:id="107"/>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积极推进“壤巴拉林下经济产业园”建设。积极发展多层次多种类的立体林下经济产业，建设食用菌生产基地1个，生产袋料香菇100万袋，芍药、百合、羌活、大黄、秦艽等推广种植1000亩，林下养殖藏香猪800头，阿坝中蜂养殖基地一个，高原</w:t>
      </w:r>
      <w:r>
        <w:rPr>
          <w:rFonts w:hint="eastAsia" w:ascii="Times New Roman" w:hAnsi="Times New Roman" w:eastAsia="仿宋_GB2312" w:cs="Times New Roman"/>
          <w:sz w:val="32"/>
          <w:szCs w:val="32"/>
        </w:rPr>
        <w:t>珍稀</w:t>
      </w:r>
      <w:r>
        <w:rPr>
          <w:rFonts w:ascii="Times New Roman" w:hAnsi="Times New Roman" w:eastAsia="仿宋_GB2312" w:cs="Times New Roman"/>
          <w:sz w:val="32"/>
          <w:szCs w:val="32"/>
        </w:rPr>
        <w:t>绿化植物保护与综合利用研究示范基地，壤巴拉跑山鸡养殖推广10000羽，食用菌料加工基地1个，建设冷链加工基地1个，完善相关配套设施。</w:t>
      </w:r>
    </w:p>
    <w:tbl>
      <w:tblPr>
        <w:tblStyle w:val="12"/>
        <w:tblW w:w="8775"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276"/>
        <w:gridCol w:w="2835"/>
        <w:gridCol w:w="3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8775" w:type="dxa"/>
            <w:gridSpan w:val="4"/>
            <w:vAlign w:val="center"/>
          </w:tcPr>
          <w:p>
            <w:pPr>
              <w:adjustRightInd w:val="0"/>
              <w:snapToGrid w:val="0"/>
              <w:spacing w:line="52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专栏11  11个乡镇产业发展导引表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713" w:type="dxa"/>
            <w:vAlign w:val="center"/>
          </w:tcPr>
          <w:p>
            <w:pPr>
              <w:spacing w:line="560" w:lineRule="exact"/>
              <w:jc w:val="center"/>
              <w:rPr>
                <w:rFonts w:ascii="Times New Roman" w:hAnsi="Times New Roman" w:eastAsia="黑体" w:cs="Times New Roman"/>
                <w:sz w:val="24"/>
              </w:rPr>
            </w:pPr>
            <w:r>
              <w:rPr>
                <w:rFonts w:ascii="Times New Roman" w:hAnsi="Times New Roman" w:eastAsia="黑体" w:cs="Times New Roman"/>
                <w:sz w:val="24"/>
              </w:rPr>
              <w:t>序号</w:t>
            </w:r>
          </w:p>
        </w:tc>
        <w:tc>
          <w:tcPr>
            <w:tcW w:w="1276" w:type="dxa"/>
            <w:vAlign w:val="center"/>
          </w:tcPr>
          <w:p>
            <w:pPr>
              <w:spacing w:line="560" w:lineRule="exact"/>
              <w:jc w:val="center"/>
              <w:rPr>
                <w:rFonts w:ascii="Times New Roman" w:hAnsi="Times New Roman" w:eastAsia="黑体" w:cs="Times New Roman"/>
                <w:sz w:val="24"/>
              </w:rPr>
            </w:pPr>
            <w:r>
              <w:rPr>
                <w:rFonts w:ascii="Times New Roman" w:hAnsi="Times New Roman" w:eastAsia="黑体" w:cs="Times New Roman"/>
                <w:sz w:val="24"/>
              </w:rPr>
              <w:t>乡 镇</w:t>
            </w:r>
          </w:p>
        </w:tc>
        <w:tc>
          <w:tcPr>
            <w:tcW w:w="2835" w:type="dxa"/>
            <w:vAlign w:val="center"/>
          </w:tcPr>
          <w:p>
            <w:pPr>
              <w:spacing w:line="560" w:lineRule="exact"/>
              <w:jc w:val="center"/>
              <w:rPr>
                <w:rFonts w:ascii="Times New Roman" w:hAnsi="Times New Roman" w:eastAsia="黑体" w:cs="Times New Roman"/>
                <w:sz w:val="24"/>
              </w:rPr>
            </w:pPr>
            <w:r>
              <w:rPr>
                <w:rFonts w:ascii="Times New Roman" w:hAnsi="Times New Roman" w:eastAsia="黑体" w:cs="Times New Roman"/>
                <w:sz w:val="24"/>
              </w:rPr>
              <w:t>主导产业</w:t>
            </w:r>
          </w:p>
        </w:tc>
        <w:tc>
          <w:tcPr>
            <w:tcW w:w="3951" w:type="dxa"/>
            <w:vAlign w:val="center"/>
          </w:tcPr>
          <w:p>
            <w:pPr>
              <w:spacing w:line="560" w:lineRule="exact"/>
              <w:jc w:val="center"/>
              <w:rPr>
                <w:rFonts w:ascii="Times New Roman" w:hAnsi="Times New Roman" w:eastAsia="黑体" w:cs="Times New Roman"/>
                <w:sz w:val="24"/>
              </w:rPr>
            </w:pPr>
            <w:r>
              <w:rPr>
                <w:rFonts w:ascii="Times New Roman" w:hAnsi="Times New Roman" w:eastAsia="黑体" w:cs="Times New Roman"/>
                <w:sz w:val="24"/>
              </w:rPr>
              <w:t>特色产业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w:t>
            </w:r>
          </w:p>
        </w:tc>
        <w:tc>
          <w:tcPr>
            <w:tcW w:w="127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岗木达镇</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文化旅游、商贸物流、特色加工业</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双低油菜、高原生态蔬菜、中等低温食用菌、清洁能源。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2</w:t>
            </w:r>
          </w:p>
        </w:tc>
        <w:tc>
          <w:tcPr>
            <w:tcW w:w="127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中壤塘镇</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文化旅游</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牧草、牦牛养殖、中藏药材等。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3</w:t>
            </w:r>
          </w:p>
        </w:tc>
        <w:tc>
          <w:tcPr>
            <w:tcW w:w="127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南木达镇</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中冷温食用菌、牦牛养殖</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高原生态蔬菜等。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4</w:t>
            </w:r>
          </w:p>
        </w:tc>
        <w:tc>
          <w:tcPr>
            <w:tcW w:w="127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上壤塘乡</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牦牛养殖</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牧旅融合、牧草等。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5</w:t>
            </w:r>
          </w:p>
        </w:tc>
        <w:tc>
          <w:tcPr>
            <w:tcW w:w="127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尕多乡</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青稞种植、生态蔬菜</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牦牛养殖、中低温食用菌等。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6</w:t>
            </w:r>
          </w:p>
        </w:tc>
        <w:tc>
          <w:tcPr>
            <w:tcW w:w="127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茸木达乡</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文化旅游、蔬菜种植</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牦牛养殖、牧草、黑青稞等。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7</w:t>
            </w:r>
          </w:p>
        </w:tc>
        <w:tc>
          <w:tcPr>
            <w:tcW w:w="127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蒲西乡</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双低油菜、中低温食用菌</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中藏药材、阿坝中蜂、特色林果、花椒等。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8</w:t>
            </w:r>
          </w:p>
        </w:tc>
        <w:tc>
          <w:tcPr>
            <w:tcW w:w="127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石里乡</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双低油菜、中低温食用菌</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特色林果、阿坝中蜂、跑山鸡等。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9</w:t>
            </w:r>
          </w:p>
        </w:tc>
        <w:tc>
          <w:tcPr>
            <w:tcW w:w="1276" w:type="dxa"/>
            <w:vAlign w:val="center"/>
          </w:tcPr>
          <w:p>
            <w:pPr>
              <w:jc w:val="center"/>
              <w:rPr>
                <w:rFonts w:ascii="Times New Roman" w:hAnsi="Times New Roman" w:eastAsia="仿宋" w:cs="Times New Roman"/>
                <w:sz w:val="24"/>
              </w:rPr>
            </w:pPr>
            <w:r>
              <w:rPr>
                <w:rFonts w:hint="eastAsia" w:ascii="Times New Roman" w:hAnsi="Times New Roman" w:eastAsia="仿宋" w:cs="Times New Roman"/>
                <w:sz w:val="24"/>
              </w:rPr>
              <w:t>吾伊</w:t>
            </w:r>
            <w:r>
              <w:rPr>
                <w:rFonts w:ascii="Times New Roman" w:hAnsi="Times New Roman" w:eastAsia="仿宋" w:cs="Times New Roman"/>
                <w:sz w:val="24"/>
              </w:rPr>
              <w:t>乡</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双低油菜、中低温食用菌、 文化旅游</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生态蔬菜、阿坝中蜂、中低温食用菌等。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10</w:t>
            </w:r>
          </w:p>
        </w:tc>
        <w:tc>
          <w:tcPr>
            <w:tcW w:w="127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宗科乡</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双低油菜、文化旅游、生态蔬菜</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阿坝中蜂、藏香猪等。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3"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11</w:t>
            </w:r>
          </w:p>
        </w:tc>
        <w:tc>
          <w:tcPr>
            <w:tcW w:w="1276" w:type="dxa"/>
            <w:vAlign w:val="center"/>
          </w:tcPr>
          <w:p>
            <w:pPr>
              <w:jc w:val="center"/>
              <w:rPr>
                <w:rFonts w:ascii="Times New Roman" w:hAnsi="Times New Roman" w:eastAsia="仿宋" w:cs="Times New Roman"/>
                <w:sz w:val="24"/>
              </w:rPr>
            </w:pPr>
            <w:r>
              <w:rPr>
                <w:rFonts w:ascii="Times New Roman" w:hAnsi="Times New Roman" w:eastAsia="仿宋" w:cs="Times New Roman"/>
                <w:sz w:val="24"/>
              </w:rPr>
              <w:t>上杜柯乡</w:t>
            </w:r>
          </w:p>
        </w:tc>
        <w:tc>
          <w:tcPr>
            <w:tcW w:w="2835" w:type="dxa"/>
            <w:vAlign w:val="center"/>
          </w:tcPr>
          <w:p>
            <w:pPr>
              <w:rPr>
                <w:rFonts w:ascii="Times New Roman" w:hAnsi="Times New Roman" w:eastAsia="仿宋" w:cs="Times New Roman"/>
                <w:sz w:val="24"/>
              </w:rPr>
            </w:pPr>
            <w:r>
              <w:rPr>
                <w:rFonts w:ascii="Times New Roman" w:hAnsi="Times New Roman" w:eastAsia="仿宋" w:cs="Times New Roman"/>
                <w:sz w:val="24"/>
              </w:rPr>
              <w:t xml:space="preserve">林下产业、牦牛养殖 </w:t>
            </w:r>
          </w:p>
        </w:tc>
        <w:tc>
          <w:tcPr>
            <w:tcW w:w="3951" w:type="dxa"/>
            <w:vAlign w:val="center"/>
          </w:tcPr>
          <w:p>
            <w:pPr>
              <w:rPr>
                <w:rFonts w:ascii="Times New Roman" w:hAnsi="Times New Roman" w:eastAsia="仿宋" w:cs="Times New Roman"/>
                <w:sz w:val="24"/>
              </w:rPr>
            </w:pPr>
            <w:r>
              <w:rPr>
                <w:rFonts w:ascii="Times New Roman" w:hAnsi="Times New Roman" w:eastAsia="仿宋" w:cs="Times New Roman"/>
                <w:sz w:val="24"/>
              </w:rPr>
              <w:t>蔬菜、中藏药材、优质青稞繁育等。</w:t>
            </w:r>
          </w:p>
        </w:tc>
      </w:tr>
    </w:tbl>
    <w:p>
      <w:pPr>
        <w:spacing w:line="560" w:lineRule="exact"/>
        <w:jc w:val="center"/>
        <w:outlineLvl w:val="1"/>
        <w:rPr>
          <w:rFonts w:ascii="Times New Roman" w:hAnsi="Times New Roman" w:eastAsia="宋体" w:cs="Times New Roman"/>
          <w:b/>
          <w:bCs/>
          <w:sz w:val="36"/>
          <w:szCs w:val="36"/>
        </w:rPr>
      </w:pPr>
      <w:bookmarkStart w:id="108" w:name="_Toc22068"/>
      <w:bookmarkStart w:id="109" w:name="_Toc13954"/>
      <w:r>
        <w:rPr>
          <w:rFonts w:ascii="Times New Roman" w:hAnsi="Times New Roman" w:eastAsia="宋体" w:cs="Times New Roman"/>
          <w:b/>
          <w:bCs/>
          <w:sz w:val="36"/>
          <w:szCs w:val="36"/>
        </w:rPr>
        <w:t>第四节  构建新型农牧业经营体系</w:t>
      </w:r>
      <w:bookmarkEnd w:id="108"/>
      <w:bookmarkEnd w:id="109"/>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坚持家庭经营基础性地位，创新发展多种经营模式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推动完善家庭经营、集体经营、合作经营、企业经营等共同发展的新型农业经营体系，提高农牧业集约化、专业化、组织化、社会化水平，提高农牧业发展综合效益。</w:t>
      </w:r>
    </w:p>
    <w:p>
      <w:pPr>
        <w:spacing w:line="560" w:lineRule="exact"/>
        <w:ind w:firstLine="643" w:firstLineChars="200"/>
        <w:outlineLvl w:val="2"/>
        <w:rPr>
          <w:rFonts w:ascii="Times New Roman" w:hAnsi="Times New Roman" w:eastAsia="黑体" w:cs="Times New Roman"/>
          <w:b/>
          <w:bCs/>
          <w:sz w:val="32"/>
          <w:szCs w:val="32"/>
        </w:rPr>
      </w:pPr>
      <w:bookmarkStart w:id="110" w:name="_Toc20428"/>
      <w:r>
        <w:rPr>
          <w:rFonts w:ascii="Times New Roman" w:hAnsi="Times New Roman" w:eastAsia="黑体" w:cs="Times New Roman"/>
          <w:b/>
          <w:bCs/>
          <w:sz w:val="32"/>
          <w:szCs w:val="32"/>
        </w:rPr>
        <w:t>一、培育壮大农牧业新型经营主体</w:t>
      </w:r>
      <w:bookmarkEnd w:id="110"/>
      <w:r>
        <w:rPr>
          <w:rFonts w:ascii="Times New Roman" w:hAnsi="Times New Roman" w:eastAsia="黑体" w:cs="Times New Roman"/>
          <w:b/>
          <w:bCs/>
          <w:sz w:val="32"/>
          <w:szCs w:val="32"/>
        </w:rPr>
        <w:t xml:space="preserve">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稳定农牧区土地、草场、林地承包关系，完善所有权、承包权、经营权分置的有效办法，依法推进土地经营权有序流转，构建培育新型农牧业经营主体的政策体系，促进多种形式适度规模经营。培育现代“种养加”生态农业新模式，推进社会化服务向产前、产中、产后延伸。统筹发展农业适度规模经营和扶持小农户生产，改善小农户生产条件，提高抵御自然风险能力。鼓励专业大户、家庭农场、农民专业合作社、集体经济组织、龙头企业等多元新型经营主体与小农户发展多种形式的联合与合作，建立契约型、股权型利益联结机制，积极探索“龙头企业+合作社+基地+农户”“专业市场+合作社+农户”“集体经济组织+基地+农户”等经营模式。推行合同订单、股份合作、联耕联种等经营模式，带动小农户专业化生产，切实把小农户带入现代农业发展轨道，分享产业增值效益。鼓励有条件的合作社向现代企业、混合所有制转变，探索建立由村集体控股、村民入股的股份制公司。到“十四五”末，培育形成农牧民专业合作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规范社100家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家庭牧场200户。</w:t>
      </w:r>
    </w:p>
    <w:p>
      <w:pPr>
        <w:spacing w:line="560" w:lineRule="exact"/>
        <w:ind w:firstLine="643" w:firstLineChars="200"/>
        <w:outlineLvl w:val="2"/>
        <w:rPr>
          <w:rFonts w:ascii="Times New Roman" w:hAnsi="Times New Roman" w:eastAsia="黑体" w:cs="Times New Roman"/>
          <w:b/>
          <w:bCs/>
          <w:sz w:val="32"/>
          <w:szCs w:val="32"/>
        </w:rPr>
      </w:pPr>
      <w:bookmarkStart w:id="111" w:name="_Toc27884"/>
      <w:r>
        <w:rPr>
          <w:rFonts w:ascii="Times New Roman" w:hAnsi="Times New Roman" w:eastAsia="黑体" w:cs="Times New Roman"/>
          <w:b/>
          <w:bCs/>
          <w:sz w:val="32"/>
          <w:szCs w:val="32"/>
        </w:rPr>
        <w:t>二、培育壮大农村集体经济</w:t>
      </w:r>
      <w:bookmarkEnd w:id="111"/>
      <w:r>
        <w:rPr>
          <w:rFonts w:ascii="Times New Roman" w:hAnsi="Times New Roman" w:eastAsia="黑体" w:cs="Times New Roman"/>
          <w:b/>
          <w:bCs/>
          <w:sz w:val="32"/>
          <w:szCs w:val="32"/>
        </w:rPr>
        <w:t xml:space="preserve">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积极探索农村集体产权制度改革。开展农村集体资产清产核资，分类登记经营性资产、非经营性资产和资源性资产，积极探索集体经济组织成员和集体资产股权“双固化”，逐步建立农村集体经济组织制度。创新农村集体经济多模式发展。引导支持农村集体经济组织立足自身资产、资源、区位</w:t>
      </w:r>
      <w:r>
        <w:rPr>
          <w:rFonts w:hint="eastAsia" w:ascii="Times New Roman" w:hAnsi="Times New Roman" w:eastAsia="仿宋_GB2312" w:cs="Times New Roman"/>
          <w:sz w:val="32"/>
          <w:szCs w:val="32"/>
        </w:rPr>
        <w:t>和其他</w:t>
      </w:r>
      <w:r>
        <w:rPr>
          <w:rFonts w:ascii="Times New Roman" w:hAnsi="Times New Roman" w:eastAsia="仿宋_GB2312" w:cs="Times New Roman"/>
          <w:sz w:val="32"/>
          <w:szCs w:val="32"/>
        </w:rPr>
        <w:t xml:space="preserve">条件，积极探索资产租赁型经济、资源整合型经济、稳健投资型经济、区位特色型经济、服务创收型经济等多种模式。探索并推广资源变资产、资金变股金、农民变股东的“三变”改革模式，用好用活产业扶持基金。探索“四荒”资源开发的新模式，促进集体经济良性运转、集体资产保值增值，确保广大村民切实受益增收。加强农村集体经济组织管理，完善“村财民理乡监管”“农村会计委托代理制”等管理办法，推动农村集体资产财务管理制度化、规范化、信息化。加大对农村集体经济组织的扶持。鼓励村级组织领办创办农民专业合作社、农业产业化龙头企业，鼓励经济实力强的农村集体组织辐射带动周边村庄共同发展。 </w:t>
      </w:r>
    </w:p>
    <w:p>
      <w:pPr>
        <w:spacing w:line="560" w:lineRule="exact"/>
        <w:ind w:firstLine="643" w:firstLineChars="200"/>
        <w:outlineLvl w:val="2"/>
        <w:rPr>
          <w:rFonts w:ascii="Times New Roman" w:hAnsi="Times New Roman" w:eastAsia="黑体" w:cs="Times New Roman"/>
          <w:b/>
          <w:bCs/>
          <w:sz w:val="32"/>
          <w:szCs w:val="32"/>
        </w:rPr>
      </w:pPr>
      <w:bookmarkStart w:id="112" w:name="_Toc4098"/>
      <w:r>
        <w:rPr>
          <w:rFonts w:ascii="Times New Roman" w:hAnsi="Times New Roman" w:eastAsia="黑体" w:cs="Times New Roman"/>
          <w:b/>
          <w:bCs/>
          <w:sz w:val="32"/>
          <w:szCs w:val="32"/>
        </w:rPr>
        <w:t>三、加快构建</w:t>
      </w:r>
      <w:r>
        <w:rPr>
          <w:rFonts w:hint="eastAsia" w:ascii="Times New Roman" w:hAnsi="Times New Roman" w:eastAsia="黑体" w:cs="Times New Roman"/>
          <w:b/>
          <w:bCs/>
          <w:sz w:val="32"/>
          <w:szCs w:val="32"/>
        </w:rPr>
        <w:t>高素质</w:t>
      </w:r>
      <w:r>
        <w:rPr>
          <w:rFonts w:ascii="Times New Roman" w:hAnsi="Times New Roman" w:eastAsia="黑体" w:cs="Times New Roman"/>
          <w:b/>
          <w:bCs/>
          <w:sz w:val="32"/>
          <w:szCs w:val="32"/>
        </w:rPr>
        <w:t>农民队伍</w:t>
      </w:r>
      <w:bookmarkEnd w:id="11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加快培养</w:t>
      </w:r>
      <w:r>
        <w:rPr>
          <w:rFonts w:hint="eastAsia" w:ascii="Times New Roman" w:hAnsi="Times New Roman" w:eastAsia="仿宋_GB2312" w:cs="Times New Roman"/>
          <w:sz w:val="32"/>
          <w:szCs w:val="32"/>
        </w:rPr>
        <w:t>高素质</w:t>
      </w:r>
      <w:r>
        <w:rPr>
          <w:rFonts w:ascii="Times New Roman" w:hAnsi="Times New Roman" w:eastAsia="仿宋_GB2312" w:cs="Times New Roman"/>
          <w:sz w:val="32"/>
          <w:szCs w:val="32"/>
        </w:rPr>
        <w:t>农牧民。择优扶持一批专业大户、家庭农牧场、专业合作社和农牧业产业化企业，提升集约化种田养畜水平。加大农村实用人才带头人、现代青年农（牧）场主、农村青年创业致富“领头雁”和新型经营主体带头人培训力度。鼓励农民采取“半农半读”等方式就近</w:t>
      </w:r>
      <w:r>
        <w:rPr>
          <w:rFonts w:hint="eastAsia" w:ascii="Times New Roman" w:hAnsi="Times New Roman" w:eastAsia="仿宋_GB2312" w:cs="Times New Roman"/>
          <w:sz w:val="32"/>
          <w:szCs w:val="32"/>
          <w:highlight w:val="none"/>
        </w:rPr>
        <w:t>就地接受</w:t>
      </w:r>
      <w:r>
        <w:rPr>
          <w:rFonts w:ascii="Times New Roman" w:hAnsi="Times New Roman" w:eastAsia="仿宋_GB2312" w:cs="Times New Roman"/>
          <w:sz w:val="32"/>
          <w:szCs w:val="32"/>
        </w:rPr>
        <w:t>职业教育。建立教育培训、规范管理、政策扶持相衔接配套的</w:t>
      </w:r>
      <w:r>
        <w:rPr>
          <w:rFonts w:hint="eastAsia" w:ascii="Times New Roman" w:hAnsi="Times New Roman" w:eastAsia="仿宋_GB2312" w:cs="Times New Roman"/>
          <w:sz w:val="32"/>
          <w:szCs w:val="32"/>
        </w:rPr>
        <w:t>高素质</w:t>
      </w:r>
      <w:r>
        <w:rPr>
          <w:rFonts w:ascii="Times New Roman" w:hAnsi="Times New Roman" w:eastAsia="仿宋_GB2312" w:cs="Times New Roman"/>
          <w:sz w:val="32"/>
          <w:szCs w:val="32"/>
        </w:rPr>
        <w:t>农民培育制度。实现新型经营主体带头人定期轮训。建立创业就业服务平台，强化信息发布、技能培训、创业指导等服务。实施农民工等人员返乡创业行动计划，引导有志投身现代农业建设的农村青年、返乡农民工、农村大中专毕业生创办领办家庭农（牧）场、农民合作社和农业企业。</w:t>
      </w:r>
    </w:p>
    <w:p>
      <w:pPr>
        <w:spacing w:line="560" w:lineRule="exact"/>
        <w:ind w:firstLine="643" w:firstLineChars="200"/>
        <w:outlineLvl w:val="2"/>
        <w:rPr>
          <w:rFonts w:ascii="Times New Roman" w:hAnsi="Times New Roman" w:eastAsia="黑体" w:cs="Times New Roman"/>
          <w:b/>
          <w:bCs/>
          <w:sz w:val="32"/>
          <w:szCs w:val="32"/>
        </w:rPr>
      </w:pPr>
      <w:bookmarkStart w:id="113" w:name="_Toc11981"/>
      <w:r>
        <w:rPr>
          <w:rFonts w:ascii="Times New Roman" w:hAnsi="Times New Roman" w:eastAsia="黑体" w:cs="Times New Roman"/>
          <w:b/>
          <w:bCs/>
          <w:sz w:val="32"/>
          <w:szCs w:val="32"/>
        </w:rPr>
        <w:t>四、稳定完善农村基本经营制度</w:t>
      </w:r>
      <w:bookmarkEnd w:id="11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稳定完善农村基本经营制度。落实好农村土地承包关系稳定并长久不变政策，衔接落实好第二轮土地承包到期后再延30年的政策。落实集体所有权，稳定农户承包权，放活土地经营权，完善“三权”分置办法。在有条件的地方稳妥推进进城落户农民土地承包权有偿退出试点。深化农村集体产权制度改革，着力推进农村集体资产确权到户和股份合作制改革，赋予农民对集体资产股份占有、收益、有偿退出及抵押、担保、继承权。全面完成农村“多权同确”和登记颁证，在依法保护集体所有权和农户承包权前提下，平等保护土地经营权。完善牧区草原家庭经营责任制，推广草原确权登记颁证试点。完善集体林权制度，拓展经营权能，引导林权规范有序流转，鼓励发展家庭林场、股份合作林场。加强农村产权交易体系建设，建立农村产权交易平台，加强土地经营权流转和规模经营的管理服务，促进农地合理流转和适度规模经营。</w:t>
      </w:r>
    </w:p>
    <w:p>
      <w:pPr>
        <w:spacing w:line="560" w:lineRule="exact"/>
        <w:jc w:val="center"/>
        <w:rPr>
          <w:rFonts w:ascii="Times New Roman" w:hAnsi="Times New Roman" w:eastAsia="宋体" w:cs="Times New Roman"/>
          <w:b/>
          <w:bCs/>
          <w:sz w:val="36"/>
          <w:szCs w:val="36"/>
        </w:rPr>
      </w:pPr>
    </w:p>
    <w:p>
      <w:pPr>
        <w:spacing w:line="560" w:lineRule="exact"/>
        <w:jc w:val="center"/>
        <w:outlineLvl w:val="1"/>
        <w:rPr>
          <w:rFonts w:ascii="Times New Roman" w:hAnsi="Times New Roman" w:eastAsia="宋体" w:cs="Times New Roman"/>
          <w:b/>
          <w:bCs/>
          <w:sz w:val="36"/>
          <w:szCs w:val="36"/>
        </w:rPr>
      </w:pPr>
      <w:bookmarkStart w:id="114" w:name="_Toc5116"/>
      <w:bookmarkStart w:id="115" w:name="_Toc13002"/>
      <w:r>
        <w:rPr>
          <w:rFonts w:ascii="Times New Roman" w:hAnsi="Times New Roman" w:eastAsia="宋体" w:cs="Times New Roman"/>
          <w:b/>
          <w:bCs/>
          <w:sz w:val="36"/>
          <w:szCs w:val="36"/>
        </w:rPr>
        <w:t>第五节  加强品牌质量建设</w:t>
      </w:r>
      <w:bookmarkEnd w:id="114"/>
      <w:bookmarkEnd w:id="115"/>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强化市场和品牌建设，实施质量品牌提升计划，打响高原、有机、生态等健康牌，培育“壤巴拉”“悬天净土”等农产品品牌，加强农产品地理标志保护，建设无公害、绿色和有机食品生产基地，提高特色产品附加值和中高端市场占有率。</w:t>
      </w:r>
    </w:p>
    <w:p>
      <w:pPr>
        <w:spacing w:line="560" w:lineRule="exact"/>
        <w:ind w:firstLine="643" w:firstLineChars="200"/>
        <w:outlineLvl w:val="2"/>
        <w:rPr>
          <w:rFonts w:ascii="Times New Roman" w:hAnsi="Times New Roman" w:eastAsia="黑体" w:cs="Times New Roman"/>
          <w:b/>
          <w:bCs/>
          <w:sz w:val="32"/>
          <w:szCs w:val="32"/>
        </w:rPr>
      </w:pPr>
      <w:bookmarkStart w:id="116" w:name="_Toc21165"/>
      <w:r>
        <w:rPr>
          <w:rFonts w:ascii="Times New Roman" w:hAnsi="Times New Roman" w:eastAsia="黑体" w:cs="Times New Roman"/>
          <w:b/>
          <w:bCs/>
          <w:sz w:val="32"/>
          <w:szCs w:val="32"/>
        </w:rPr>
        <w:t>一、加大质量安全监管建设</w:t>
      </w:r>
      <w:bookmarkEnd w:id="116"/>
      <w:r>
        <w:rPr>
          <w:rFonts w:ascii="Times New Roman" w:hAnsi="Times New Roman" w:eastAsia="黑体" w:cs="Times New Roman"/>
          <w:b/>
          <w:bCs/>
          <w:sz w:val="32"/>
          <w:szCs w:val="32"/>
        </w:rPr>
        <w:t xml:space="preserve">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加强产地环境保护与治理，健全农业生物资源保护与利用体系，积极开展化肥农药“零增长”行动，完善农业生物质剩余物、畜禽粪污、废旧农膜、农药包装废弃物等农业副产物回收和资源化利用制度，实现“</w:t>
      </w:r>
      <w:r>
        <w:rPr>
          <w:rFonts w:hint="eastAsia" w:ascii="Times New Roman" w:hAnsi="Times New Roman" w:eastAsia="仿宋_GB2312" w:cs="Times New Roman"/>
          <w:sz w:val="32"/>
          <w:szCs w:val="32"/>
          <w:highlight w:val="none"/>
        </w:rPr>
        <w:t>两减</w:t>
      </w:r>
      <w:r>
        <w:rPr>
          <w:rFonts w:ascii="Times New Roman" w:hAnsi="Times New Roman" w:eastAsia="仿宋_GB2312" w:cs="Times New Roman"/>
          <w:sz w:val="32"/>
          <w:szCs w:val="32"/>
        </w:rPr>
        <w:t xml:space="preserve">三基本”目标。加快县级农产品质量安全检测体系建设，开展农产品质量追溯网格化管理体系建设，逐步实现农产品从生产、加工、流通全程可追溯，健全从农田到餐桌的农产品质量安全全过程监管体系和追溯体系。加强动植物防疫检疫工作，加强源头治理，推进标准化生产，强化农业标准的推行和实施，切实加强生产过程管控。加大质量安全检测机构建设，积极推进农产品质量安全检验检测机构建设和资质认证，鼓励企业建立农产品、食品安全质量检测专业机构，提供第三方检测服务。到“十四五”末，农产品质量安全抽检合格率达到98%。 </w:t>
      </w:r>
    </w:p>
    <w:p>
      <w:pPr>
        <w:spacing w:line="560" w:lineRule="exact"/>
        <w:ind w:firstLine="643" w:firstLineChars="200"/>
        <w:outlineLvl w:val="2"/>
        <w:rPr>
          <w:rFonts w:ascii="Times New Roman" w:hAnsi="Times New Roman" w:eastAsia="黑体" w:cs="Times New Roman"/>
          <w:b/>
          <w:bCs/>
          <w:sz w:val="32"/>
          <w:szCs w:val="32"/>
        </w:rPr>
      </w:pPr>
      <w:bookmarkStart w:id="117" w:name="_Toc29449"/>
      <w:r>
        <w:rPr>
          <w:rFonts w:ascii="Times New Roman" w:hAnsi="Times New Roman" w:eastAsia="黑体" w:cs="Times New Roman"/>
          <w:b/>
          <w:bCs/>
          <w:sz w:val="32"/>
          <w:szCs w:val="32"/>
        </w:rPr>
        <w:t>二、加强“壤巴拉”品牌体系建设</w:t>
      </w:r>
      <w:bookmarkEnd w:id="117"/>
      <w:r>
        <w:rPr>
          <w:rFonts w:ascii="Times New Roman" w:hAnsi="Times New Roman" w:eastAsia="黑体" w:cs="Times New Roman"/>
          <w:b/>
          <w:bCs/>
          <w:sz w:val="32"/>
          <w:szCs w:val="32"/>
        </w:rPr>
        <w:t xml:space="preserve"> </w:t>
      </w:r>
    </w:p>
    <w:p>
      <w:pPr>
        <w:spacing w:line="55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（一）大力培育“壤巴拉”品牌。</w:t>
      </w:r>
      <w:r>
        <w:rPr>
          <w:rFonts w:ascii="Times New Roman" w:hAnsi="Times New Roman" w:eastAsia="仿宋_GB2312" w:cs="Times New Roman"/>
          <w:sz w:val="32"/>
          <w:szCs w:val="32"/>
        </w:rPr>
        <w:t>整合全县农牧产品，加强市场营销推广力度。开展多渠道品牌推广营销，统筹利用县内外各类宣传平台渠道和电商、微商、互联网等新兴手段，加强“壤巴拉”系列品牌市场营销和推广。推进特色农牧产品积极参加西博会、农交会、川货全国行、惠民购物全川行等展会活动，把壤塘“土特产”送进全国“大市场”，不断提升农牧产品品牌影响力，提高农牧产品附加值和经济效益。</w:t>
      </w:r>
    </w:p>
    <w:p>
      <w:pPr>
        <w:spacing w:line="55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（二）加强“三品一标”认证。</w:t>
      </w:r>
      <w:r>
        <w:rPr>
          <w:rFonts w:ascii="Times New Roman" w:hAnsi="Times New Roman" w:eastAsia="仿宋_GB2312" w:cs="Times New Roman"/>
          <w:sz w:val="32"/>
          <w:szCs w:val="32"/>
        </w:rPr>
        <w:t>积极推进无公害农产品</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 xml:space="preserve">绿色食品、有机食品、农产品地理标志认证和争创全州、全省、国家著名商标工作。围绕四大园区建设，引导新型经营主体开展驰名商标、名牌产品、著名商标创建，积极申报无公害、绿色、有机农产品地理标志。到2025年，“三品一标”认证农畜产品覆盖面达45%以上，无公害、绿色、有机农畜产品认证使用累计达到50个，绿色、有机认证比例达30%左右。争创1个以上四川省著名商标、四川省名牌产品。 </w:t>
      </w:r>
    </w:p>
    <w:p>
      <w:pPr>
        <w:spacing w:line="550" w:lineRule="exact"/>
        <w:ind w:firstLine="643" w:firstLineChars="200"/>
        <w:outlineLvl w:val="2"/>
        <w:rPr>
          <w:rFonts w:ascii="Times New Roman" w:hAnsi="Times New Roman" w:eastAsia="黑体" w:cs="Times New Roman"/>
          <w:b/>
          <w:bCs/>
          <w:sz w:val="32"/>
          <w:szCs w:val="32"/>
        </w:rPr>
      </w:pPr>
      <w:bookmarkStart w:id="118" w:name="_Toc18198"/>
      <w:r>
        <w:rPr>
          <w:rFonts w:ascii="Times New Roman" w:hAnsi="Times New Roman" w:eastAsia="黑体" w:cs="Times New Roman"/>
          <w:b/>
          <w:bCs/>
          <w:sz w:val="32"/>
          <w:szCs w:val="32"/>
        </w:rPr>
        <w:t>三、完善市场体系</w:t>
      </w:r>
      <w:bookmarkEnd w:id="118"/>
    </w:p>
    <w:p>
      <w:pPr>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完善农产品市场流通体系。支持农产品批发市场和流通企业跨区域发展，加强重要农产品集散地、优势农产品产地市场、主要农产品集配中心建设。健全冷链物流体系，实施农产品产区预冷工程，建设农产品冷链物流配送中心和配送站。打造农产品营销公共服务平台，推广农社、农企等形式的产销对接，支持在县城、G317国道上寨等销售网点、旅游景区景点设立鲜活农产品直销网点，推进商贸流通、供销、快递物流等服务网络和设施为农服务。加快发展农产品电子商务，完善服务体系，引导新型经营主体对接各类电子商务平台。</w:t>
      </w:r>
    </w:p>
    <w:p>
      <w:pPr>
        <w:spacing w:line="560" w:lineRule="exact"/>
        <w:jc w:val="center"/>
        <w:outlineLvl w:val="1"/>
        <w:rPr>
          <w:rFonts w:ascii="Times New Roman" w:hAnsi="Times New Roman" w:eastAsia="宋体" w:cs="Times New Roman"/>
          <w:b/>
          <w:bCs/>
          <w:sz w:val="36"/>
          <w:szCs w:val="36"/>
        </w:rPr>
      </w:pPr>
      <w:bookmarkStart w:id="119" w:name="_Toc3136"/>
      <w:bookmarkStart w:id="120" w:name="_Toc10567"/>
      <w:r>
        <w:rPr>
          <w:rFonts w:ascii="Times New Roman" w:hAnsi="Times New Roman" w:eastAsia="宋体" w:cs="Times New Roman"/>
          <w:b/>
          <w:bCs/>
          <w:sz w:val="36"/>
          <w:szCs w:val="36"/>
        </w:rPr>
        <w:t>第六节  完善农牧业科技支撑体系</w:t>
      </w:r>
      <w:bookmarkEnd w:id="119"/>
      <w:bookmarkEnd w:id="120"/>
      <w:r>
        <w:rPr>
          <w:rFonts w:ascii="Times New Roman" w:hAnsi="Times New Roman" w:eastAsia="宋体" w:cs="Times New Roman"/>
          <w:b/>
          <w:bCs/>
          <w:sz w:val="36"/>
          <w:szCs w:val="36"/>
        </w:rPr>
        <w:t xml:space="preserve"> </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加快现代农业科技创新推广体系建设，完善种养业良种培育、选育和引育体系，推动农业农村信息化建设，提高农业发展支撑能力。</w:t>
      </w:r>
    </w:p>
    <w:p>
      <w:pPr>
        <w:spacing w:line="560" w:lineRule="exact"/>
        <w:ind w:firstLine="643" w:firstLineChars="200"/>
        <w:outlineLvl w:val="2"/>
        <w:rPr>
          <w:rFonts w:ascii="Times New Roman" w:hAnsi="Times New Roman" w:eastAsia="黑体" w:cs="Times New Roman"/>
          <w:b/>
          <w:bCs/>
          <w:sz w:val="32"/>
          <w:szCs w:val="32"/>
        </w:rPr>
      </w:pPr>
      <w:bookmarkStart w:id="121" w:name="_Toc5829"/>
      <w:r>
        <w:rPr>
          <w:rFonts w:ascii="Times New Roman" w:hAnsi="Times New Roman" w:eastAsia="黑体" w:cs="Times New Roman"/>
          <w:b/>
          <w:bCs/>
          <w:sz w:val="32"/>
          <w:szCs w:val="32"/>
        </w:rPr>
        <w:t>一、开展农牧业技术创新</w:t>
      </w:r>
      <w:bookmarkEnd w:id="121"/>
      <w:r>
        <w:rPr>
          <w:rFonts w:ascii="Times New Roman" w:hAnsi="Times New Roman" w:eastAsia="黑体" w:cs="Times New Roman"/>
          <w:b/>
          <w:bCs/>
          <w:sz w:val="32"/>
          <w:szCs w:val="32"/>
        </w:rPr>
        <w:t xml:space="preserve">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 xml:space="preserve">强化产学研技术创新。加强与西南民族大学等科研院校合作，着力构建“产学研”结合的生态特色农业创新体系，实施优质品种培育引进工程，引进培育青稞、油菜、羊肚菌等农作物新品种。建立优质品种繁育体系，加强青稞良种更新更换、阿坝中蜂扩繁、昂柯牦牛保种扩繁、牦牛提纯复壮等工程建设，加快形成一批高产、优质、多抗、高效新品种，全面提高农牧产品质量。完善良种繁育基地设施条件，推进主要农作物新一轮品种更新换代。加强农牧业设施技术创新，加快设施农业、节约农业、循环农业等关键领域技术创新，逐步用新技术改造替代传统技术。 </w:t>
      </w:r>
    </w:p>
    <w:p>
      <w:pPr>
        <w:spacing w:line="560" w:lineRule="exact"/>
        <w:ind w:firstLine="643" w:firstLineChars="200"/>
        <w:outlineLvl w:val="2"/>
        <w:rPr>
          <w:rFonts w:ascii="Times New Roman" w:hAnsi="Times New Roman" w:eastAsia="黑体" w:cs="Times New Roman"/>
          <w:b/>
          <w:bCs/>
          <w:sz w:val="32"/>
          <w:szCs w:val="32"/>
        </w:rPr>
      </w:pPr>
      <w:bookmarkStart w:id="122" w:name="_Toc20314"/>
      <w:r>
        <w:rPr>
          <w:rFonts w:ascii="Times New Roman" w:hAnsi="Times New Roman" w:eastAsia="黑体" w:cs="Times New Roman"/>
          <w:b/>
          <w:bCs/>
          <w:sz w:val="32"/>
          <w:szCs w:val="32"/>
        </w:rPr>
        <w:t>二、加大农牧业科技推广</w:t>
      </w:r>
      <w:bookmarkEnd w:id="122"/>
      <w:r>
        <w:rPr>
          <w:rFonts w:ascii="Times New Roman" w:hAnsi="Times New Roman" w:eastAsia="黑体" w:cs="Times New Roman"/>
          <w:b/>
          <w:bCs/>
          <w:sz w:val="32"/>
          <w:szCs w:val="32"/>
        </w:rPr>
        <w:t xml:space="preserve">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加强与科研</w:t>
      </w:r>
      <w:r>
        <w:rPr>
          <w:rFonts w:hint="eastAsia" w:ascii="Times New Roman" w:hAnsi="Times New Roman" w:eastAsia="仿宋_GB2312" w:cs="Times New Roman"/>
          <w:sz w:val="32"/>
          <w:szCs w:val="32"/>
        </w:rPr>
        <w:t>院所</w:t>
      </w:r>
      <w:r>
        <w:rPr>
          <w:rFonts w:ascii="Times New Roman" w:hAnsi="Times New Roman" w:eastAsia="仿宋_GB2312" w:cs="Times New Roman"/>
          <w:sz w:val="32"/>
          <w:szCs w:val="32"/>
        </w:rPr>
        <w:t>和“四川科技扶贫在线”平台对接，着力构建线上、线下科技推广服务两大体系，促进农技推广、农民培训与农业生产环节科技服务无缝衔接。完善农业综合服务中心和农技服务站建设，加强基层农技队伍建设。紧紧围绕省科技厅“四川科技扶贫在线”平台，力争扩大到所有村，在每个村遴选1—2名科技信息员，提供及时有效的科技需求信息，实现人人享科技。加大青稞、马铃薯、双低油菜、高原生态蔬菜、昂柯牦牛等良种推广力度。继续推广以大黄、秦艽等药材为重点的规范化种植技术。到“十四五”末，农牧业科学技术普及率和实用技术培训覆盖率分别达到85%和80%；青稞、高原生态蔬菜、双低油菜良种良法推广率达100%；农牧业科技成果转化率达到50%；农牧业科技成果进步贡献率达到55%。</w:t>
      </w:r>
    </w:p>
    <w:p>
      <w:pPr>
        <w:spacing w:line="560" w:lineRule="exact"/>
        <w:ind w:firstLine="643" w:firstLineChars="200"/>
        <w:outlineLvl w:val="2"/>
        <w:rPr>
          <w:rFonts w:ascii="Times New Roman" w:hAnsi="Times New Roman" w:eastAsia="黑体" w:cs="Times New Roman"/>
          <w:b/>
          <w:bCs/>
          <w:sz w:val="32"/>
          <w:szCs w:val="32"/>
        </w:rPr>
      </w:pPr>
      <w:bookmarkStart w:id="123" w:name="_Toc10909"/>
      <w:r>
        <w:rPr>
          <w:rFonts w:ascii="Times New Roman" w:hAnsi="Times New Roman" w:eastAsia="黑体" w:cs="Times New Roman"/>
          <w:b/>
          <w:bCs/>
          <w:sz w:val="32"/>
          <w:szCs w:val="32"/>
        </w:rPr>
        <w:t>三、提升农牧业信息化水平</w:t>
      </w:r>
      <w:bookmarkEnd w:id="123"/>
      <w:r>
        <w:rPr>
          <w:rFonts w:ascii="Times New Roman" w:hAnsi="Times New Roman" w:eastAsia="黑体" w:cs="Times New Roman"/>
          <w:b/>
          <w:bCs/>
          <w:sz w:val="32"/>
          <w:szCs w:val="32"/>
        </w:rPr>
        <w:t xml:space="preserve"> </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农业农村信息化发展，实施“互联网+”现代农业行动。加快推进涉农数据资源整合共享开放，强化农业资源要素数据的综合利用，推进信息技术与农业生产、经营、管理、服务深度融合，提升农业农村信息化水平。加快开展农产品质量安全追溯体系、农业综合信息服务体系、农业农村大数据工程、林业信息化建设、信息进村入户等专项行动，推动物联网、大数据、智能装备等现代信息技术在种植业、养殖业、畜牧业、林业、农产品加工业生产过程的全面深度融合和应用。建立健全智能化、网络化农业生产经营体系，加快农业现代化进程。提升农牧民手机、电脑等信息终端的应用技能。推动智慧气象和农业遥感技术应用，加强农业信息监测预警和发布，提高农业综合信息服务水平。到2025年，农业物联网等信息技术应用比例达到30%、农村互联网普及率达到80%、信息进村入户村级信息服务站覆盖率达到100%。</w:t>
      </w:r>
    </w:p>
    <w:p>
      <w:pPr>
        <w:spacing w:line="560" w:lineRule="exact"/>
        <w:ind w:firstLine="640" w:firstLineChars="200"/>
        <w:rPr>
          <w:rFonts w:ascii="Times New Roman" w:hAnsi="Times New Roman" w:eastAsia="仿宋_GB2312" w:cs="Times New Roman"/>
          <w:sz w:val="32"/>
          <w:szCs w:val="32"/>
        </w:rPr>
      </w:pPr>
    </w:p>
    <w:tbl>
      <w:tblPr>
        <w:tblStyle w:val="12"/>
        <w:tblW w:w="886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5" w:type="dxa"/>
          </w:tcPr>
          <w:p>
            <w:pPr>
              <w:adjustRightInd w:val="0"/>
              <w:snapToGrid w:val="0"/>
              <w:spacing w:line="4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专栏12  农牧产业发展重点项目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5" w:type="dxa"/>
          </w:tcPr>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一、粮食稳产增效</w:t>
            </w:r>
          </w:p>
          <w:p>
            <w:pPr>
              <w:adjustRightInd w:val="0"/>
              <w:snapToGrid w:val="0"/>
              <w:spacing w:line="440" w:lineRule="atLeas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优质青稞10000亩/年；马铃薯8000亩/年。</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二、特色生态农业</w:t>
            </w:r>
          </w:p>
          <w:p>
            <w:pPr>
              <w:adjustRightInd w:val="0"/>
              <w:snapToGrid w:val="0"/>
              <w:spacing w:line="440" w:lineRule="atLeas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高原双低油菜</w:t>
            </w:r>
            <w:r>
              <w:rPr>
                <w:rFonts w:ascii="Times New Roman" w:hAnsi="Times New Roman" w:eastAsia="楷体_GB2312" w:cs="Times New Roman"/>
                <w:sz w:val="24"/>
              </w:rPr>
              <w:t xml:space="preserve">3000 </w:t>
            </w:r>
            <w:r>
              <w:rPr>
                <w:rFonts w:hint="eastAsia" w:ascii="Times New Roman" w:hAnsi="Times New Roman" w:eastAsia="楷体_GB2312" w:cs="Times New Roman"/>
                <w:sz w:val="24"/>
              </w:rPr>
              <w:t>亩/年；高原生态蔬菜3000</w:t>
            </w:r>
            <w:r>
              <w:rPr>
                <w:rFonts w:ascii="Times New Roman" w:hAnsi="Times New Roman" w:eastAsia="楷体_GB2312" w:cs="Times New Roman"/>
                <w:sz w:val="24"/>
              </w:rPr>
              <w:t xml:space="preserve"> </w:t>
            </w:r>
            <w:r>
              <w:rPr>
                <w:rFonts w:hint="eastAsia" w:ascii="Times New Roman" w:hAnsi="Times New Roman" w:eastAsia="楷体_GB2312" w:cs="Times New Roman"/>
                <w:sz w:val="24"/>
              </w:rPr>
              <w:t>亩/年；食用菌栽培和加工；中藏药材种植推广种植</w:t>
            </w:r>
            <w:r>
              <w:rPr>
                <w:rFonts w:ascii="Times New Roman" w:hAnsi="Times New Roman" w:eastAsia="楷体_GB2312" w:cs="Times New Roman"/>
                <w:sz w:val="24"/>
              </w:rPr>
              <w:t xml:space="preserve"> </w:t>
            </w:r>
            <w:r>
              <w:rPr>
                <w:rFonts w:hint="eastAsia" w:ascii="Times New Roman" w:hAnsi="Times New Roman" w:eastAsia="楷体_GB2312" w:cs="Times New Roman"/>
                <w:sz w:val="24"/>
              </w:rPr>
              <w:t>500亩、野生抚育500亩；壤巴拉高原优质青稞基地及初加工建设，青稞生产基地建设8000亩，配套初加工设施设备20座等。</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三、特色畜牧业</w:t>
            </w:r>
          </w:p>
          <w:p>
            <w:pPr>
              <w:adjustRightInd w:val="0"/>
              <w:snapToGrid w:val="0"/>
              <w:spacing w:line="440" w:lineRule="atLeast"/>
              <w:ind w:firstLine="480" w:firstLineChars="200"/>
              <w:rPr>
                <w:rFonts w:ascii="Times New Roman" w:hAnsi="Times New Roman" w:eastAsia="黑体" w:cs="Times New Roman"/>
                <w:sz w:val="24"/>
              </w:rPr>
            </w:pPr>
            <w:r>
              <w:rPr>
                <w:rFonts w:hint="eastAsia" w:ascii="Times New Roman" w:hAnsi="Times New Roman" w:eastAsia="楷体_GB2312" w:cs="Times New Roman"/>
                <w:sz w:val="24"/>
              </w:rPr>
              <w:t>（1）牦牛养殖基地建设。在上杜柯乡、南木达镇、尕多乡新建牦牛标准化养殖基地（点）3个；（2）“昂柯牦牛”畜种繁育；（3）牦牛提纯复壮工程；（4）藏系绵羊保种选育工程；（5）藏香猪、藏鸡等畜禽养殖；（6）阿坝中蜂养殖；（7）优质牧草种植新增1万亩。</w:t>
            </w:r>
          </w:p>
          <w:p>
            <w:pPr>
              <w:adjustRightInd w:val="0"/>
              <w:snapToGrid w:val="0"/>
              <w:spacing w:line="440" w:lineRule="atLeast"/>
              <w:ind w:firstLine="480" w:firstLineChars="200"/>
              <w:rPr>
                <w:rFonts w:ascii="Times New Roman" w:hAnsi="Times New Roman" w:eastAsia="黑体" w:cs="Times New Roman"/>
                <w:sz w:val="24"/>
              </w:rPr>
            </w:pPr>
            <w:r>
              <w:rPr>
                <w:rFonts w:hint="eastAsia" w:ascii="Times New Roman" w:hAnsi="Times New Roman" w:eastAsia="黑体" w:cs="Times New Roman"/>
                <w:sz w:val="24"/>
              </w:rPr>
              <w:t>四</w:t>
            </w:r>
            <w:r>
              <w:rPr>
                <w:rFonts w:ascii="Times New Roman" w:hAnsi="Times New Roman" w:eastAsia="黑体" w:cs="Times New Roman"/>
                <w:sz w:val="24"/>
              </w:rPr>
              <w:t>、品牌质量建设</w:t>
            </w:r>
          </w:p>
          <w:p>
            <w:pPr>
              <w:adjustRightInd w:val="0"/>
              <w:snapToGrid w:val="0"/>
              <w:spacing w:line="440" w:lineRule="atLeas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“三品一标”建设；农产品质量安全体系建设，改造提升全县各乡镇农产品质量安全检测站，配套建设相应设施设备。</w:t>
            </w:r>
          </w:p>
          <w:p>
            <w:pPr>
              <w:adjustRightInd w:val="0"/>
              <w:snapToGrid w:val="0"/>
              <w:spacing w:line="440" w:lineRule="atLeast"/>
              <w:ind w:firstLine="480" w:firstLineChars="200"/>
              <w:rPr>
                <w:rFonts w:ascii="Times New Roman" w:hAnsi="Times New Roman" w:eastAsia="黑体" w:cs="Times New Roman"/>
                <w:sz w:val="24"/>
              </w:rPr>
            </w:pPr>
            <w:r>
              <w:rPr>
                <w:rFonts w:hint="eastAsia" w:ascii="Times New Roman" w:hAnsi="Times New Roman" w:eastAsia="黑体" w:cs="Times New Roman"/>
                <w:sz w:val="24"/>
              </w:rPr>
              <w:t>五</w:t>
            </w:r>
            <w:r>
              <w:rPr>
                <w:rFonts w:ascii="Times New Roman" w:hAnsi="Times New Roman" w:eastAsia="黑体" w:cs="Times New Roman"/>
                <w:sz w:val="24"/>
              </w:rPr>
              <w:t>、农牧业科技支撑体系</w:t>
            </w:r>
          </w:p>
          <w:p>
            <w:pPr>
              <w:adjustRightInd w:val="0"/>
              <w:snapToGrid w:val="0"/>
              <w:spacing w:line="440" w:lineRule="atLeas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 xml:space="preserve">良种繁育体系建设；牦牛本品种提纯复壮建设，新建牦牛选育核心区1个， 6个选育群，建选育圈舍3000平方米及相应附属设施。 </w:t>
            </w:r>
          </w:p>
          <w:p>
            <w:pPr>
              <w:adjustRightInd w:val="0"/>
              <w:snapToGrid w:val="0"/>
              <w:spacing w:line="440" w:lineRule="atLeast"/>
              <w:ind w:firstLine="480" w:firstLineChars="200"/>
              <w:rPr>
                <w:rFonts w:ascii="Times New Roman" w:hAnsi="Times New Roman" w:eastAsia="黑体" w:cs="Times New Roman"/>
                <w:sz w:val="24"/>
              </w:rPr>
            </w:pPr>
            <w:r>
              <w:rPr>
                <w:rFonts w:hint="eastAsia" w:ascii="Times New Roman" w:hAnsi="Times New Roman" w:eastAsia="黑体" w:cs="Times New Roman"/>
                <w:sz w:val="24"/>
              </w:rPr>
              <w:t>六</w:t>
            </w:r>
            <w:r>
              <w:rPr>
                <w:rFonts w:ascii="Times New Roman" w:hAnsi="Times New Roman" w:eastAsia="黑体" w:cs="Times New Roman"/>
                <w:sz w:val="24"/>
              </w:rPr>
              <w:t>、其他</w:t>
            </w:r>
          </w:p>
          <w:p>
            <w:pPr>
              <w:adjustRightInd w:val="0"/>
              <w:snapToGrid w:val="0"/>
              <w:spacing w:line="440" w:lineRule="atLeast"/>
              <w:ind w:firstLine="480" w:firstLineChars="200"/>
              <w:rPr>
                <w:rFonts w:ascii="Times New Roman" w:hAnsi="Times New Roman" w:eastAsia="仿宋" w:cs="Times New Roman"/>
                <w:sz w:val="30"/>
                <w:szCs w:val="30"/>
              </w:rPr>
            </w:pPr>
            <w:r>
              <w:rPr>
                <w:rFonts w:hint="eastAsia" w:ascii="Times New Roman" w:hAnsi="Times New Roman" w:eastAsia="楷体_GB2312" w:cs="Times New Roman"/>
                <w:sz w:val="24"/>
              </w:rPr>
              <w:t>县级动物疫病预防控制中心建设；重大动物疫病防控体系建设；牦牛标准化养殖建设等。</w:t>
            </w:r>
          </w:p>
        </w:tc>
      </w:tr>
    </w:tbl>
    <w:p>
      <w:pPr>
        <w:spacing w:line="560" w:lineRule="exact"/>
        <w:jc w:val="center"/>
        <w:rPr>
          <w:rFonts w:ascii="Times New Roman" w:hAnsi="Times New Roman" w:eastAsia="仿宋_GB2312" w:cs="Times New Roman"/>
          <w:sz w:val="32"/>
          <w:szCs w:val="32"/>
        </w:rPr>
      </w:pPr>
      <w:r>
        <w:rPr>
          <w:rFonts w:ascii="Times New Roman" w:hAnsi="Times New Roman" w:eastAsia="仿宋" w:cs="Times New Roman"/>
          <w:sz w:val="30"/>
          <w:szCs w:val="30"/>
        </w:rPr>
        <w:br w:type="page"/>
      </w:r>
    </w:p>
    <w:p>
      <w:pPr>
        <w:numPr>
          <w:ilvl w:val="0"/>
          <w:numId w:val="1"/>
        </w:numPr>
        <w:spacing w:line="700" w:lineRule="exact"/>
        <w:ind w:left="1760" w:leftChars="0" w:hanging="1760" w:hangingChars="400"/>
        <w:jc w:val="center"/>
        <w:outlineLvl w:val="0"/>
        <w:rPr>
          <w:rFonts w:ascii="Times New Roman" w:hAnsi="Times New Roman" w:eastAsia="方正小标宋_GBK" w:cs="Times New Roman"/>
          <w:sz w:val="44"/>
          <w:szCs w:val="44"/>
        </w:rPr>
      </w:pPr>
      <w:bookmarkStart w:id="124" w:name="_Toc6085"/>
      <w:bookmarkStart w:id="125" w:name="_Toc8574"/>
      <w:r>
        <w:rPr>
          <w:rFonts w:ascii="Times New Roman" w:hAnsi="Times New Roman" w:eastAsia="方正小标宋_GBK" w:cs="Times New Roman"/>
          <w:sz w:val="44"/>
          <w:szCs w:val="44"/>
        </w:rPr>
        <w:t xml:space="preserve"> 优化文化旅游发展格局，建设</w:t>
      </w:r>
    </w:p>
    <w:p>
      <w:pPr>
        <w:numPr>
          <w:ilvl w:val="0"/>
          <w:numId w:val="0"/>
        </w:numPr>
        <w:spacing w:line="700" w:lineRule="exact"/>
        <w:ind w:leftChars="-400"/>
        <w:jc w:val="center"/>
        <w:outlineLvl w:val="0"/>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“川甘青结合部文旅融合发展示范县”</w:t>
      </w:r>
      <w:bookmarkEnd w:id="124"/>
      <w:bookmarkEnd w:id="125"/>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创建“全域旅游示范区”为目标优化文化旅游发展格局，以品牌创建为重点提高文旅产业发展质量，以“旅游+”融合发展为重点丰富文化旅游业态，以新媒体运用为重点开展营销推广，扎实推动壤塘文旅资源开发转型升级，着力打造</w:t>
      </w:r>
      <w:r>
        <w:rPr>
          <w:rFonts w:ascii="Times New Roman" w:hAnsi="Times New Roman" w:eastAsia="楷体_GB2312" w:cs="Times New Roman"/>
          <w:b/>
          <w:bCs/>
          <w:sz w:val="32"/>
          <w:szCs w:val="32"/>
        </w:rPr>
        <w:t>“川甘青结合部文旅融合发展示范县”</w:t>
      </w:r>
      <w:r>
        <w:rPr>
          <w:rFonts w:ascii="Times New Roman" w:hAnsi="Times New Roman" w:eastAsia="仿宋_GB2312" w:cs="Times New Roman"/>
          <w:sz w:val="32"/>
          <w:szCs w:val="32"/>
        </w:rPr>
        <w:t>。</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26" w:name="_Toc7118"/>
      <w:bookmarkStart w:id="127" w:name="_Toc23201"/>
      <w:r>
        <w:rPr>
          <w:rFonts w:ascii="Times New Roman" w:hAnsi="Times New Roman" w:eastAsia="宋体" w:cs="Times New Roman"/>
          <w:b/>
          <w:bCs/>
          <w:sz w:val="36"/>
          <w:szCs w:val="36"/>
        </w:rPr>
        <w:t>第一节  优化文化旅游发展格局</w:t>
      </w:r>
      <w:bookmarkEnd w:id="126"/>
      <w:bookmarkEnd w:id="127"/>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围绕G317中国最美景观大道和岗木达镇、中壤塘镇两个发展龙头带动全域旅游发展，形成以中壤塘为核心引擎、县城为承接枢纽、景区为活力点缀、旅游乡村为明珠的全域旅游发展格局。</w:t>
      </w:r>
    </w:p>
    <w:p>
      <w:pPr>
        <w:spacing w:line="560" w:lineRule="exact"/>
        <w:ind w:firstLine="643" w:firstLineChars="200"/>
        <w:outlineLvl w:val="2"/>
        <w:rPr>
          <w:rFonts w:ascii="Times New Roman" w:hAnsi="Times New Roman" w:eastAsia="黑体" w:cs="Times New Roman"/>
          <w:b/>
          <w:bCs/>
          <w:sz w:val="32"/>
          <w:szCs w:val="32"/>
        </w:rPr>
      </w:pPr>
      <w:bookmarkStart w:id="128" w:name="_Toc25907"/>
      <w:r>
        <w:rPr>
          <w:rFonts w:ascii="Times New Roman" w:hAnsi="Times New Roman" w:eastAsia="黑体" w:cs="Times New Roman"/>
          <w:b/>
          <w:bCs/>
          <w:sz w:val="32"/>
          <w:szCs w:val="32"/>
        </w:rPr>
        <w:t>一、构建“两廊两心”发展格局</w:t>
      </w:r>
      <w:bookmarkEnd w:id="128"/>
    </w:p>
    <w:p>
      <w:pPr>
        <w:spacing w:line="560"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（一）“两廊”</w:t>
      </w:r>
    </w:p>
    <w:p>
      <w:pPr>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仿宋_GB2312" w:cs="Times New Roman"/>
          <w:b/>
          <w:bCs/>
          <w:sz w:val="32"/>
          <w:szCs w:val="32"/>
        </w:rPr>
        <w:t>G317文化旅游产业</w:t>
      </w:r>
      <w:r>
        <w:rPr>
          <w:rFonts w:hint="eastAsia" w:ascii="Times New Roman" w:hAnsi="Times New Roman" w:eastAsia="仿宋_GB2312" w:cs="Times New Roman"/>
          <w:b/>
          <w:bCs/>
          <w:sz w:val="32"/>
          <w:szCs w:val="32"/>
        </w:rPr>
        <w:t>廊道</w:t>
      </w:r>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利用G317中国最美景观大道人流、物流、资金流、信息流，按照“大美317·慢游壤巴拉”发展思路，打造G317文化旅游产业</w:t>
      </w:r>
      <w:r>
        <w:rPr>
          <w:rFonts w:hint="eastAsia" w:ascii="Times New Roman" w:hAnsi="Times New Roman" w:eastAsia="仿宋_GB2312" w:cs="Times New Roman"/>
          <w:sz w:val="32"/>
          <w:szCs w:val="32"/>
        </w:rPr>
        <w:t>廊道</w:t>
      </w:r>
      <w:r>
        <w:rPr>
          <w:rFonts w:ascii="Times New Roman" w:hAnsi="Times New Roman" w:eastAsia="仿宋_GB2312" w:cs="Times New Roman"/>
          <w:sz w:val="32"/>
          <w:szCs w:val="32"/>
        </w:rPr>
        <w:t>。推动“通道经济”与文化旅游、非遗工艺、生态农业联动，以上寨为中心，G317腾都—黑桥沿线休憩驿站、加油站、旅游厕所、停车点为支撑，带动G317沿途形成集观光、住宿、餐饮、展销、引流为一体的丰富节点，全面打造“G317文化旅游产业</w:t>
      </w:r>
      <w:r>
        <w:rPr>
          <w:rFonts w:hint="eastAsia" w:ascii="Times New Roman" w:hAnsi="Times New Roman" w:eastAsia="仿宋_GB2312" w:cs="Times New Roman"/>
          <w:sz w:val="32"/>
          <w:szCs w:val="32"/>
        </w:rPr>
        <w:t>廊道</w:t>
      </w:r>
      <w:r>
        <w:rPr>
          <w:rFonts w:ascii="Times New Roman" w:hAnsi="Times New Roman" w:eastAsia="仿宋_GB2312" w:cs="Times New Roman"/>
          <w:sz w:val="32"/>
          <w:szCs w:val="32"/>
        </w:rPr>
        <w:t>”。</w:t>
      </w:r>
    </w:p>
    <w:p>
      <w:pPr>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仿宋_GB2312" w:cs="Times New Roman"/>
          <w:b/>
          <w:bCs/>
          <w:sz w:val="32"/>
          <w:szCs w:val="32"/>
        </w:rPr>
        <w:t>G227多元文化体验</w:t>
      </w:r>
      <w:r>
        <w:rPr>
          <w:rFonts w:hint="eastAsia" w:ascii="Times New Roman" w:hAnsi="Times New Roman" w:eastAsia="仿宋_GB2312" w:cs="Times New Roman"/>
          <w:b/>
          <w:bCs/>
          <w:sz w:val="32"/>
          <w:szCs w:val="32"/>
        </w:rPr>
        <w:t>廊道</w:t>
      </w:r>
      <w:r>
        <w:rPr>
          <w:rFonts w:ascii="Times New Roman" w:hAnsi="Times New Roman" w:eastAsia="仿宋_GB2312" w:cs="Times New Roman"/>
          <w:b/>
          <w:bCs/>
          <w:sz w:val="32"/>
          <w:szCs w:val="32"/>
        </w:rPr>
        <w:t>。</w:t>
      </w:r>
      <w:r>
        <w:rPr>
          <w:rFonts w:ascii="Times New Roman" w:hAnsi="Times New Roman" w:eastAsia="仿宋_GB2312" w:cs="Times New Roman"/>
          <w:sz w:val="32"/>
          <w:szCs w:val="32"/>
        </w:rPr>
        <w:t>利用G227改造升级，串联</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、岗木达、南木达、茸木达，辐射中壤塘和尕多，依托沿线“悬天藏寨”、曾克寺、</w:t>
      </w:r>
      <w:r>
        <w:rPr>
          <w:rFonts w:hint="eastAsia" w:ascii="Times New Roman" w:hAnsi="Times New Roman" w:eastAsia="仿宋_GB2312" w:cs="Times New Roman"/>
          <w:sz w:val="32"/>
          <w:szCs w:val="32"/>
        </w:rPr>
        <w:t>高原</w:t>
      </w:r>
      <w:r>
        <w:rPr>
          <w:rFonts w:ascii="Times New Roman" w:hAnsi="Times New Roman" w:eastAsia="仿宋_GB2312" w:cs="Times New Roman"/>
          <w:sz w:val="32"/>
          <w:szCs w:val="32"/>
        </w:rPr>
        <w:t>林海秀城、棒托石刻公园等景点以及丰富的民族文化、宗教文化、民俗文化、红色文化资源，打造G227多元文化体验走廊，加强重点文化项目建设和文化产品开发，完善相关基础服务配套设施及功能，将沿线文化资源优势转化为文化产业优势，借助区位和交通条件，支撑和引领川甘青三省结合部的多元民族文化融合发展。</w:t>
      </w:r>
    </w:p>
    <w:p>
      <w:pPr>
        <w:spacing w:line="550"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（二）“两心”</w:t>
      </w:r>
    </w:p>
    <w:p>
      <w:pPr>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仿宋_GB2312" w:cs="Times New Roman"/>
          <w:b/>
          <w:bCs/>
          <w:sz w:val="32"/>
          <w:szCs w:val="32"/>
        </w:rPr>
        <w:t>岗木达旅游集散中心。</w:t>
      </w:r>
      <w:r>
        <w:rPr>
          <w:rFonts w:ascii="Times New Roman" w:hAnsi="Times New Roman" w:eastAsia="仿宋_GB2312" w:cs="Times New Roman"/>
          <w:sz w:val="32"/>
          <w:szCs w:val="32"/>
        </w:rPr>
        <w:t>推动岗木达镇建设全县文化旅游集散中心，加大基础设施和配套服务设施建设力度，逐步形成集游客集散、餐饮住宿、娱乐购物、风情演艺、民俗体验于一体的壤塘旅游展示窗口和旅游集散中心。</w:t>
      </w:r>
    </w:p>
    <w:p>
      <w:pPr>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仿宋_GB2312" w:cs="Times New Roman"/>
          <w:b/>
          <w:bCs/>
          <w:sz w:val="32"/>
          <w:szCs w:val="32"/>
        </w:rPr>
        <w:t>中壤塘文化旅游中心。</w:t>
      </w:r>
      <w:r>
        <w:rPr>
          <w:rFonts w:ascii="Times New Roman" w:hAnsi="Times New Roman" w:eastAsia="仿宋_GB2312" w:cs="Times New Roman"/>
          <w:sz w:val="32"/>
          <w:szCs w:val="32"/>
        </w:rPr>
        <w:t>立足壤巴拉文化，以非遗文化传承创新为特色，以文化旅游和文创产业为支撑，将中壤塘镇打造为国内外知名的“中国非遗小镇”，塑造形象和品牌，形成全县文化旅游吸引中心，形成国内知名的非遗文创产业基地和藏文化深度体验旅游目的地。</w:t>
      </w:r>
    </w:p>
    <w:p>
      <w:pPr>
        <w:spacing w:line="560" w:lineRule="exact"/>
        <w:ind w:firstLine="643" w:firstLineChars="200"/>
        <w:outlineLvl w:val="2"/>
        <w:rPr>
          <w:rFonts w:ascii="Times New Roman" w:hAnsi="Times New Roman" w:eastAsia="黑体" w:cs="Times New Roman"/>
          <w:b/>
          <w:bCs/>
          <w:sz w:val="32"/>
          <w:szCs w:val="32"/>
        </w:rPr>
      </w:pPr>
      <w:bookmarkStart w:id="129" w:name="_Toc8307"/>
      <w:r>
        <w:rPr>
          <w:rFonts w:ascii="Times New Roman" w:hAnsi="Times New Roman" w:eastAsia="黑体" w:cs="Times New Roman"/>
          <w:b/>
          <w:bCs/>
          <w:sz w:val="32"/>
          <w:szCs w:val="32"/>
        </w:rPr>
        <w:t>二、构建开放合作全域旅游发展新格局</w:t>
      </w:r>
      <w:bookmarkEnd w:id="129"/>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（一）加强景区开发。</w:t>
      </w:r>
      <w:r>
        <w:rPr>
          <w:rFonts w:ascii="Times New Roman" w:hAnsi="Times New Roman" w:eastAsia="仿宋_GB2312" w:cs="Times New Roman"/>
          <w:sz w:val="32"/>
          <w:szCs w:val="32"/>
        </w:rPr>
        <w:t>深度开发壤巴拉文化旅游景区，提升棒托石刻公园、</w:t>
      </w:r>
      <w:r>
        <w:rPr>
          <w:rFonts w:hint="eastAsia" w:ascii="Times New Roman" w:hAnsi="Times New Roman" w:eastAsia="仿宋_GB2312" w:cs="Times New Roman"/>
          <w:sz w:val="32"/>
          <w:szCs w:val="32"/>
        </w:rPr>
        <w:t>“高原林海”</w:t>
      </w:r>
      <w:r>
        <w:rPr>
          <w:rFonts w:ascii="Times New Roman" w:hAnsi="Times New Roman" w:eastAsia="仿宋_GB2312" w:cs="Times New Roman"/>
          <w:sz w:val="32"/>
          <w:szCs w:val="32"/>
        </w:rPr>
        <w:t>生态旅游示范区；推动宗科沟、海</w:t>
      </w:r>
    </w:p>
    <w:p>
      <w:pPr>
        <w:spacing w:line="560" w:lineRule="exact"/>
        <w:ind w:firstLine="640" w:firstLineChars="200"/>
        <w:rPr>
          <w:rFonts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Times New Roman" w:hAnsi="Times New Roman" w:eastAsia="仿宋_GB2312" w:cs="Times New Roman"/>
          <w:sz w:val="32"/>
          <w:szCs w:val="32"/>
        </w:rPr>
      </w:pPr>
      <w:r>
        <w:rPr>
          <w:rFonts w:ascii="Times New Roman" w:hAnsi="Times New Roman" w:cs="Times New Roman"/>
        </w:rPr>
        <w:drawing>
          <wp:anchor distT="0" distB="0" distL="114300" distR="114300" simplePos="0" relativeHeight="251663360" behindDoc="0" locked="0" layoutInCell="1" allowOverlap="1">
            <wp:simplePos x="0" y="0"/>
            <wp:positionH relativeFrom="margin">
              <wp:posOffset>-168910</wp:posOffset>
            </wp:positionH>
            <wp:positionV relativeFrom="paragraph">
              <wp:posOffset>-6985</wp:posOffset>
            </wp:positionV>
            <wp:extent cx="5975985" cy="7772400"/>
            <wp:effectExtent l="0" t="0" r="5715"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76000" cy="7772400"/>
                    </a:xfrm>
                    <a:prstGeom prst="rect">
                      <a:avLst/>
                    </a:prstGeom>
                    <a:noFill/>
                    <a:ln>
                      <a:noFill/>
                    </a:ln>
                  </pic:spPr>
                </pic:pic>
              </a:graphicData>
            </a:graphic>
          </wp:anchor>
        </w:drawing>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rPr>
          <w:rFonts w:ascii="Times New Roman" w:hAnsi="Times New Roman" w:eastAsia="仿宋_GB2312" w:cs="Times New Roman"/>
          <w:sz w:val="32"/>
          <w:szCs w:val="32"/>
        </w:rPr>
      </w:pPr>
      <w:r>
        <w:rPr>
          <w:rFonts w:ascii="Times New Roman" w:hAnsi="Times New Roman" w:eastAsia="仿宋_GB2312" w:cs="Times New Roman"/>
          <w:sz w:val="32"/>
          <w:szCs w:val="32"/>
        </w:rPr>
        <w:t>子山—南莫且湿地、香拉东吉圣山、野人谷、杜柯大峡谷等旅游景区开发，完善交通道路等基础设施和配套设施，提高游客接待能力。</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（二）发展乡村旅游。</w:t>
      </w:r>
      <w:r>
        <w:rPr>
          <w:rFonts w:hint="eastAsia" w:ascii="Times New Roman" w:hAnsi="Times New Roman" w:eastAsia="仿宋_GB2312" w:cs="Times New Roman"/>
          <w:sz w:val="32"/>
          <w:szCs w:val="32"/>
        </w:rPr>
        <w:t>抓住乡村振兴契机，</w:t>
      </w:r>
      <w:r>
        <w:rPr>
          <w:rFonts w:ascii="Times New Roman" w:hAnsi="Times New Roman" w:eastAsia="仿宋_GB2312" w:cs="Times New Roman"/>
          <w:sz w:val="32"/>
          <w:szCs w:val="32"/>
        </w:rPr>
        <w:t>围绕境内丰富的乡村旅游资源和文化遗产，以及县城周边丰富的乡村旅游资源，加大加斯满村、伊里村、修卡村、尕日寨、昂柯村、查卡村、南木达村、茸木达村等特色旅游资源挖掘，实施差异化经营，打造分布全域的乡村旅游节点，增强游客吸引力和接待能力。</w:t>
      </w:r>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（三）构建开放合作旅游新格局。</w:t>
      </w:r>
      <w:r>
        <w:rPr>
          <w:rFonts w:ascii="Times New Roman" w:hAnsi="Times New Roman" w:eastAsia="仿宋_GB2312" w:cs="Times New Roman"/>
          <w:sz w:val="32"/>
          <w:szCs w:val="32"/>
        </w:rPr>
        <w:t>结合周边色达、神座、莲宝叶则三个重要旅游目的地，串联G317“中国最美景观大道”，加强</w:t>
      </w:r>
      <w:r>
        <w:rPr>
          <w:rFonts w:hint="eastAsia" w:ascii="Times New Roman" w:hAnsi="Times New Roman" w:eastAsia="仿宋_GB2312" w:cs="Times New Roman"/>
          <w:sz w:val="32"/>
          <w:szCs w:val="32"/>
          <w:highlight w:val="none"/>
        </w:rPr>
        <w:t>与久</w:t>
      </w:r>
      <w:r>
        <w:rPr>
          <w:rFonts w:ascii="Times New Roman" w:hAnsi="Times New Roman" w:eastAsia="仿宋_GB2312" w:cs="Times New Roman"/>
          <w:sz w:val="32"/>
          <w:szCs w:val="32"/>
        </w:rPr>
        <w:t>马高速、汶马高速重要节点串联，对接九黄机场、红原机场、甘孜机场的落地自驾线路，形成川甘青旅游目的地体系中的重要节点。</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30" w:name="_Toc10004"/>
      <w:bookmarkStart w:id="131" w:name="_Toc6778"/>
      <w:r>
        <w:rPr>
          <w:rFonts w:ascii="Times New Roman" w:hAnsi="Times New Roman" w:eastAsia="宋体" w:cs="Times New Roman"/>
          <w:b/>
          <w:bCs/>
          <w:sz w:val="36"/>
          <w:szCs w:val="36"/>
        </w:rPr>
        <w:t>第二节  夯实文化旅游发展基础</w:t>
      </w:r>
      <w:bookmarkEnd w:id="130"/>
      <w:bookmarkEnd w:id="131"/>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抓住新时代西部大开发和新基建机遇，围绕制约全县文化旅游发展短板，有效提升文化旅游基础设施和配套设施，提升文化旅游服务管理水平。</w:t>
      </w:r>
    </w:p>
    <w:p>
      <w:pPr>
        <w:spacing w:line="560" w:lineRule="exact"/>
        <w:ind w:firstLine="643" w:firstLineChars="200"/>
        <w:outlineLvl w:val="2"/>
        <w:rPr>
          <w:rFonts w:ascii="Times New Roman" w:hAnsi="Times New Roman" w:eastAsia="黑体" w:cs="Times New Roman"/>
          <w:b/>
          <w:bCs/>
          <w:sz w:val="32"/>
          <w:szCs w:val="32"/>
        </w:rPr>
      </w:pPr>
      <w:bookmarkStart w:id="132" w:name="_Toc11777"/>
      <w:r>
        <w:rPr>
          <w:rFonts w:ascii="Times New Roman" w:hAnsi="Times New Roman" w:eastAsia="黑体" w:cs="Times New Roman"/>
          <w:b/>
          <w:bCs/>
          <w:sz w:val="32"/>
          <w:szCs w:val="32"/>
        </w:rPr>
        <w:t>一、提升文化旅游基础设施</w:t>
      </w:r>
      <w:bookmarkEnd w:id="132"/>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（一）加快旅游服务配套设施建设。</w:t>
      </w:r>
      <w:r>
        <w:rPr>
          <w:rFonts w:ascii="Times New Roman" w:hAnsi="Times New Roman" w:eastAsia="仿宋_GB2312" w:cs="Times New Roman"/>
          <w:sz w:val="32"/>
          <w:szCs w:val="32"/>
        </w:rPr>
        <w:t>前瞻性推进智慧停车场、充电桩、5G网络等旅游新基建。增加一批文化广场、绿道、观景台、滨水廊道、微公园、微景观、微田园等项目。持续开展旅游厕所革命，力争实现文化旅游景区、旅游线路沿线、交通集散点、旅游餐馆、旅游娱乐场所、休闲步行区等厕所全覆盖达标。</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（二）完善标识系统和信息服务体系。</w:t>
      </w:r>
      <w:r>
        <w:rPr>
          <w:rFonts w:ascii="Times New Roman" w:hAnsi="Times New Roman" w:eastAsia="仿宋_GB2312" w:cs="Times New Roman"/>
          <w:sz w:val="32"/>
          <w:szCs w:val="32"/>
        </w:rPr>
        <w:t>加强中壤塘等景区景点的标识标牌体系建设，形成覆盖全域的完善旅游通道、景区（点）、乡村旅游点的道路交通指示系统、解说系统、外文标志标识。加快推进“智慧旅游”建设，建成便捷式、人性化的自助游、自驾游等服务体系。</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（三）推进文化旅游智慧化。</w:t>
      </w:r>
      <w:r>
        <w:rPr>
          <w:rFonts w:ascii="Times New Roman" w:hAnsi="Times New Roman" w:eastAsia="仿宋_GB2312" w:cs="Times New Roman"/>
          <w:sz w:val="32"/>
          <w:szCs w:val="32"/>
        </w:rPr>
        <w:t>开展文化旅游服务质量提升活动，构建文化旅游服务信息平台，加快数字博物馆、数字非遗馆、数字美术馆建设。建设智慧旅游信息系统，加强景区景点的智慧化服务，为游客提供更加便利化、智能化、个性化服务。</w:t>
      </w:r>
    </w:p>
    <w:p>
      <w:pPr>
        <w:spacing w:line="560" w:lineRule="exact"/>
        <w:ind w:firstLine="643" w:firstLineChars="200"/>
        <w:outlineLvl w:val="2"/>
        <w:rPr>
          <w:rFonts w:ascii="Times New Roman" w:hAnsi="Times New Roman" w:eastAsia="黑体" w:cs="Times New Roman"/>
          <w:b/>
          <w:bCs/>
          <w:sz w:val="32"/>
          <w:szCs w:val="32"/>
        </w:rPr>
      </w:pPr>
      <w:bookmarkStart w:id="133" w:name="_Toc15613"/>
      <w:r>
        <w:rPr>
          <w:rFonts w:ascii="Times New Roman" w:hAnsi="Times New Roman" w:eastAsia="黑体" w:cs="Times New Roman"/>
          <w:b/>
          <w:bCs/>
          <w:sz w:val="32"/>
          <w:szCs w:val="32"/>
        </w:rPr>
        <w:t>二、优化文化旅游公共服务</w:t>
      </w:r>
      <w:bookmarkEnd w:id="133"/>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（一）加强</w:t>
      </w:r>
      <w:r>
        <w:rPr>
          <w:rFonts w:hint="eastAsia" w:ascii="Times New Roman" w:hAnsi="Times New Roman" w:eastAsia="楷体_GB2312" w:cs="Times New Roman"/>
          <w:b/>
          <w:bCs/>
          <w:sz w:val="32"/>
          <w:szCs w:val="32"/>
        </w:rPr>
        <w:t>文旅</w:t>
      </w:r>
      <w:r>
        <w:rPr>
          <w:rFonts w:ascii="Times New Roman" w:hAnsi="Times New Roman" w:eastAsia="楷体_GB2312" w:cs="Times New Roman"/>
          <w:b/>
          <w:bCs/>
          <w:sz w:val="32"/>
          <w:szCs w:val="32"/>
        </w:rPr>
        <w:t>从业人员培训。</w:t>
      </w:r>
      <w:r>
        <w:rPr>
          <w:rFonts w:ascii="Times New Roman" w:hAnsi="Times New Roman" w:eastAsia="仿宋_GB2312" w:cs="Times New Roman"/>
          <w:sz w:val="32"/>
          <w:szCs w:val="32"/>
        </w:rPr>
        <w:t>提高文化旅游从业人员素质，培养一批普通话标准、通晓旅游业基本规则和惯例的旅游从业人员。加快文化创意、市场营销、酒店管理、导游讲解等紧缺专门人才的培训和引进。实施乡村旅游带头人培养计划。发展一批能扎根乡村、从事乡村旅游经营管理并引导当地农民实现脱贫致富的乡村旅游带头人。</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（二）加强</w:t>
      </w:r>
      <w:r>
        <w:rPr>
          <w:rFonts w:hint="eastAsia" w:ascii="Times New Roman" w:hAnsi="Times New Roman" w:eastAsia="楷体_GB2312" w:cs="Times New Roman"/>
          <w:b/>
          <w:bCs/>
          <w:sz w:val="32"/>
          <w:szCs w:val="32"/>
        </w:rPr>
        <w:t>文旅</w:t>
      </w:r>
      <w:r>
        <w:rPr>
          <w:rFonts w:ascii="Times New Roman" w:hAnsi="Times New Roman" w:eastAsia="楷体_GB2312" w:cs="Times New Roman"/>
          <w:b/>
          <w:bCs/>
          <w:sz w:val="32"/>
          <w:szCs w:val="32"/>
        </w:rPr>
        <w:t>市场管理。</w:t>
      </w:r>
      <w:r>
        <w:rPr>
          <w:rFonts w:ascii="Times New Roman" w:hAnsi="Times New Roman" w:eastAsia="仿宋_GB2312" w:cs="Times New Roman"/>
          <w:sz w:val="32"/>
          <w:szCs w:val="32"/>
        </w:rPr>
        <w:t>健全旅游投诉处理和服务质量监督机制，强化市场监管，坚决整治欺客宰客等涉旅乱象，建立旅游市场“黑名单”制度。加强舆情监管，切实提高负面舆情的预判预警和应变处置能力。在旅游旺季实施常态化整治，规范旅游市场秩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净化旅游市场环境。健全文化旅游应急管理体系。做好地震、交通、治安、疫情等突发应急预案，建立多元化旅游应急救援队伍。</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34" w:name="_Toc2097"/>
      <w:bookmarkStart w:id="135" w:name="_Toc26452"/>
      <w:r>
        <w:rPr>
          <w:rFonts w:ascii="Times New Roman" w:hAnsi="Times New Roman" w:eastAsia="宋体" w:cs="Times New Roman"/>
          <w:b/>
          <w:bCs/>
          <w:sz w:val="36"/>
          <w:szCs w:val="36"/>
        </w:rPr>
        <w:t>第三节  创建多层次文旅品牌体系</w:t>
      </w:r>
      <w:bookmarkEnd w:id="134"/>
      <w:bookmarkEnd w:id="135"/>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充分挖掘生态优势、自然禀赋、特色文化、乡土气息，创建多层次的文化旅游品牌，以创建工作为抓手提升品牌影响力，构建活力充盈、品牌突出、特色鲜明的文化旅游品牌体系。建设一批“留得住、玩得好、能消费、促回头”的特色旅游目的地，构建以深度文化体验旅游为引领，集生态旅游、户外娱乐、研学旅游等特色业态为一体的文化旅游品牌体系。</w:t>
      </w:r>
    </w:p>
    <w:p>
      <w:pPr>
        <w:spacing w:line="560" w:lineRule="exact"/>
        <w:ind w:firstLine="643" w:firstLineChars="200"/>
        <w:outlineLvl w:val="2"/>
        <w:rPr>
          <w:rFonts w:ascii="Times New Roman" w:hAnsi="Times New Roman" w:eastAsia="黑体" w:cs="Times New Roman"/>
          <w:b/>
          <w:bCs/>
          <w:sz w:val="32"/>
          <w:szCs w:val="32"/>
        </w:rPr>
      </w:pPr>
      <w:bookmarkStart w:id="136" w:name="_Toc21450"/>
      <w:r>
        <w:rPr>
          <w:rFonts w:ascii="Times New Roman" w:hAnsi="Times New Roman" w:eastAsia="黑体" w:cs="Times New Roman"/>
          <w:b/>
          <w:bCs/>
          <w:sz w:val="32"/>
          <w:szCs w:val="32"/>
        </w:rPr>
        <w:t>一、创建一批文化旅游产业品牌</w:t>
      </w:r>
      <w:bookmarkEnd w:id="136"/>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（一）加强生态旅游示范</w:t>
      </w:r>
      <w:r>
        <w:rPr>
          <w:rFonts w:hint="eastAsia" w:ascii="Times New Roman" w:hAnsi="Times New Roman" w:eastAsia="楷体_GB2312" w:cs="Times New Roman"/>
          <w:b/>
          <w:bCs/>
          <w:sz w:val="32"/>
          <w:szCs w:val="32"/>
        </w:rPr>
        <w:t>度假</w:t>
      </w:r>
      <w:r>
        <w:rPr>
          <w:rFonts w:ascii="Times New Roman" w:hAnsi="Times New Roman" w:eastAsia="楷体_GB2312" w:cs="Times New Roman"/>
          <w:b/>
          <w:bCs/>
          <w:sz w:val="32"/>
          <w:szCs w:val="32"/>
        </w:rPr>
        <w:t>区创建。</w:t>
      </w:r>
      <w:r>
        <w:rPr>
          <w:rFonts w:ascii="Times New Roman" w:hAnsi="Times New Roman" w:eastAsia="仿宋_GB2312" w:cs="Times New Roman"/>
          <w:sz w:val="32"/>
          <w:szCs w:val="32"/>
        </w:rPr>
        <w:t>提高中壤塘壤巴拉文化旅游景区品质，推动日斯满巴碉房、海子山—南莫且湿地、香拉东吉圣山、野人谷创建省级生态旅游示范区。</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（二）推动中壤塘创四川文旅特色小镇。</w:t>
      </w:r>
      <w:r>
        <w:rPr>
          <w:rFonts w:ascii="Times New Roman" w:hAnsi="Times New Roman" w:eastAsia="仿宋_GB2312" w:cs="Times New Roman"/>
          <w:sz w:val="32"/>
          <w:szCs w:val="32"/>
        </w:rPr>
        <w:t>以建设“中国非遗小镇”为主题，按照四川省文旅特色小镇创建标准对中壤塘进行软硬件项目提升，完善旅游产品及基础配套设施，打造文化旅游主题鲜明、特色产业突出、旅游功能完善、生态生产生活融合、宜游宜业宜商的文化旅游目的地。</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w:t>
      </w:r>
      <w:r>
        <w:rPr>
          <w:rFonts w:hint="eastAsia" w:ascii="Times New Roman" w:hAnsi="Times New Roman" w:eastAsia="楷体_GB2312" w:cs="Times New Roman"/>
          <w:b/>
          <w:bCs/>
          <w:sz w:val="32"/>
          <w:szCs w:val="32"/>
        </w:rPr>
        <w:t>三</w:t>
      </w:r>
      <w:r>
        <w:rPr>
          <w:rFonts w:ascii="Times New Roman" w:hAnsi="Times New Roman" w:eastAsia="楷体_GB2312" w:cs="Times New Roman"/>
          <w:b/>
          <w:bCs/>
          <w:sz w:val="32"/>
          <w:szCs w:val="32"/>
        </w:rPr>
        <w:t>）建设一批精品乡村旅游示范村。</w:t>
      </w:r>
      <w:r>
        <w:rPr>
          <w:rFonts w:ascii="Times New Roman" w:hAnsi="Times New Roman" w:eastAsia="仿宋_GB2312" w:cs="Times New Roman"/>
          <w:sz w:val="32"/>
          <w:szCs w:val="32"/>
        </w:rPr>
        <w:t>推动宗科乡加斯满村，蒲西乡伊里村、</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乡修卡村、岗木达镇尕日寨、岗木达镇昂柯村、上壤塘乡查卡村、南木达镇南木达村、茸木达乡茸木达村提升改造，完善乡村旅游产品及服务设施，积极发展乡村民宿，争创省级乡村旅游重点村。</w:t>
      </w:r>
    </w:p>
    <w:p>
      <w:pPr>
        <w:spacing w:line="560" w:lineRule="exact"/>
        <w:ind w:firstLine="643" w:firstLineChars="200"/>
        <w:outlineLvl w:val="2"/>
        <w:rPr>
          <w:rFonts w:ascii="Times New Roman" w:hAnsi="Times New Roman" w:eastAsia="黑体" w:cs="Times New Roman"/>
          <w:b/>
          <w:bCs/>
          <w:sz w:val="32"/>
          <w:szCs w:val="32"/>
        </w:rPr>
      </w:pPr>
      <w:bookmarkStart w:id="137" w:name="_Toc26710"/>
      <w:r>
        <w:rPr>
          <w:rFonts w:ascii="Times New Roman" w:hAnsi="Times New Roman" w:eastAsia="黑体" w:cs="Times New Roman"/>
          <w:b/>
          <w:bCs/>
          <w:sz w:val="32"/>
          <w:szCs w:val="32"/>
        </w:rPr>
        <w:t>二、培育一批文化旅游市场品牌</w:t>
      </w:r>
      <w:bookmarkEnd w:id="137"/>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（一）实施壤塘文化旅游品牌培育行动。</w:t>
      </w:r>
      <w:r>
        <w:rPr>
          <w:rFonts w:ascii="Times New Roman" w:hAnsi="Times New Roman" w:eastAsia="仿宋_GB2312" w:cs="Times New Roman"/>
          <w:sz w:val="32"/>
          <w:szCs w:val="32"/>
        </w:rPr>
        <w:t>集中挖掘整理非遗文化和特色农产品，借助文化旅游带来的流量和知名度，以“悬天净土·壤巴拉”公用品牌推动唐卡、陶艺、石刻、藏纸、藏香以及野生菌、双低油菜、马铃薯等优势产品打开市场。</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（二）做好文化旅游节庆和文化演艺品牌。</w:t>
      </w:r>
      <w:r>
        <w:rPr>
          <w:rFonts w:ascii="Times New Roman" w:hAnsi="Times New Roman" w:eastAsia="仿宋_GB2312" w:cs="Times New Roman"/>
          <w:sz w:val="32"/>
          <w:szCs w:val="32"/>
        </w:rPr>
        <w:t>依托草原和藏乡田园，做大作响</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壤巴拉节</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云宗节等节庆活动；策划承办壤巴拉非遗节、非遗文创论坛、财神（财富）文化论坛等文化交流活动；继续壮大壤巴拉艺术团、壤巴拉藏戏团，打造一批实景演出和剧场演出相结合的文化旅游演艺产品，逐步形成品牌。</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38" w:name="_Toc10881"/>
      <w:bookmarkStart w:id="139" w:name="_Toc2012"/>
      <w:r>
        <w:rPr>
          <w:rFonts w:ascii="Times New Roman" w:hAnsi="Times New Roman" w:eastAsia="宋体" w:cs="Times New Roman"/>
          <w:b/>
          <w:bCs/>
          <w:sz w:val="36"/>
          <w:szCs w:val="36"/>
        </w:rPr>
        <w:t>第四节  推动“旅游+”多业态发展</w:t>
      </w:r>
      <w:bookmarkEnd w:id="138"/>
      <w:bookmarkEnd w:id="139"/>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旅游+”为导向，全面拓展文化旅游广度和深度，加快形成多点支撑、多业融合的业态体系。拓展文化旅游、生态旅游、乡村旅游、户外运动、研学旅游等新型业态，延伸发展非遗创意产业，加大文创产品的设计制造和生产，打造一个全域化、特色化、品质化的文化旅游目的地。</w:t>
      </w:r>
    </w:p>
    <w:p>
      <w:pPr>
        <w:spacing w:line="560" w:lineRule="exact"/>
        <w:ind w:firstLine="643" w:firstLineChars="200"/>
        <w:outlineLvl w:val="2"/>
        <w:rPr>
          <w:rFonts w:ascii="Times New Roman" w:hAnsi="Times New Roman" w:eastAsia="黑体" w:cs="Times New Roman"/>
          <w:b/>
          <w:bCs/>
          <w:sz w:val="32"/>
          <w:szCs w:val="32"/>
        </w:rPr>
      </w:pPr>
      <w:bookmarkStart w:id="140" w:name="_Toc2105"/>
      <w:r>
        <w:rPr>
          <w:rFonts w:ascii="Times New Roman" w:hAnsi="Times New Roman" w:eastAsia="黑体" w:cs="Times New Roman"/>
          <w:b/>
          <w:bCs/>
          <w:sz w:val="32"/>
          <w:szCs w:val="32"/>
        </w:rPr>
        <w:t>一、推动“旅游+文化”深度融合</w:t>
      </w:r>
      <w:bookmarkEnd w:id="14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促进“旅游+文化”融合，打造文化创意旅游业态。大力发展具有“文化气息+优质服务”的深度文化体验旅游产品，挖掘非遗文化、</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文化、生态文化、民</w:t>
      </w:r>
      <w:r>
        <w:rPr>
          <w:rFonts w:hint="eastAsia" w:ascii="Times New Roman" w:hAnsi="Times New Roman" w:eastAsia="仿宋_GB2312" w:cs="Times New Roman"/>
          <w:sz w:val="32"/>
          <w:szCs w:val="32"/>
        </w:rPr>
        <w:t>俗</w:t>
      </w:r>
      <w:r>
        <w:rPr>
          <w:rFonts w:ascii="Times New Roman" w:hAnsi="Times New Roman" w:eastAsia="仿宋_GB2312" w:cs="Times New Roman"/>
          <w:sz w:val="32"/>
          <w:szCs w:val="32"/>
        </w:rPr>
        <w:t>文化、饮食文化等丰富内涵，促进文化旅游叠加融合。巩固壤巴拉文化产业园品牌效应。依托非遗文化资源和人才优势，建设一批文化传习所和体验馆，加快文化旅游场所的提档升级和规模扩张，策划长短结合、辐射全域的文化旅游线路，重点开发唐卡、石刻等体验型文化旅游项目及骑马、舞蹈、戏剧等表演类文化旅游项目，推动文化旅游产业向精致、特色、中高端方向迈进。大力引进特色主题、精品度假酒店及民俗，打响“悬天藏寨”旅宿品牌。深度发掘生态餐饮文化，依托野人谷品牌效应在G317沿线开发推出“野人”系列特色餐饮。打造一批“最佳旅游摄影点”，积极发展婚庆摄影写生基地。按文博文创、藏乡田园、建筑文化、神山湿地等分类编排摄影旅游专线，通过举办摄影展等活动，做好专业市场，积累旅游人气。</w:t>
      </w:r>
    </w:p>
    <w:p>
      <w:pPr>
        <w:spacing w:line="560" w:lineRule="exact"/>
        <w:ind w:firstLine="643" w:firstLineChars="200"/>
        <w:outlineLvl w:val="2"/>
        <w:rPr>
          <w:rFonts w:ascii="Times New Roman" w:hAnsi="Times New Roman" w:eastAsia="黑体" w:cs="Times New Roman"/>
          <w:b/>
          <w:bCs/>
          <w:sz w:val="32"/>
          <w:szCs w:val="32"/>
        </w:rPr>
      </w:pPr>
      <w:bookmarkStart w:id="141" w:name="_Toc18180"/>
      <w:r>
        <w:rPr>
          <w:rFonts w:ascii="Times New Roman" w:hAnsi="Times New Roman" w:eastAsia="黑体" w:cs="Times New Roman"/>
          <w:b/>
          <w:bCs/>
          <w:sz w:val="32"/>
          <w:szCs w:val="32"/>
        </w:rPr>
        <w:t>二、推动“旅游+商业”深度融合</w:t>
      </w:r>
      <w:bookmarkEnd w:id="14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促进“旅游+商业”融合，推动优势资源向产品转化。以中壤塘为中心，促进特色商业街区、艺术酒店、文化商品交易市场等业态建设，打响“中国非遗小镇”品牌，培育文创产品生产基地和线上线下交易平台。研究出台文创产业鼓励政策，做大文化产业发展基地的市场影响力。有序引导阿坝州文化创意产业向中壤塘集聚，着力培育非遗制作、文化互动、民俗民事等文化旅游消费新热点。在旅游景区、县城、G317沿线规划建设和提升改造一批特色街区和购物场所，引导社会资本投资酒店民宿、特色餐饮、非遗文创、特色农产品等特色文旅业态。</w:t>
      </w:r>
    </w:p>
    <w:p>
      <w:pPr>
        <w:spacing w:line="560" w:lineRule="exact"/>
        <w:ind w:firstLine="643" w:firstLineChars="200"/>
        <w:outlineLvl w:val="2"/>
        <w:rPr>
          <w:rFonts w:ascii="Times New Roman" w:hAnsi="Times New Roman" w:eastAsia="黑体" w:cs="Times New Roman"/>
          <w:b/>
          <w:bCs/>
          <w:sz w:val="32"/>
          <w:szCs w:val="32"/>
        </w:rPr>
      </w:pPr>
      <w:bookmarkStart w:id="142" w:name="_Toc29932"/>
      <w:r>
        <w:rPr>
          <w:rFonts w:ascii="Times New Roman" w:hAnsi="Times New Roman" w:eastAsia="黑体" w:cs="Times New Roman"/>
          <w:b/>
          <w:bCs/>
          <w:sz w:val="32"/>
          <w:szCs w:val="32"/>
        </w:rPr>
        <w:t>三、推动“旅游+乡村”提档升级</w:t>
      </w:r>
      <w:bookmarkEnd w:id="14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促进“旅游+乡村”融合，打造主题村落旅游业态。根据不同村落的特点开发不同特色的旅游产品，加快形成“一村一景、移步换景”的藏乡田园风貌。在G317周边依托村庄节点做好品牌展示和文旅商贸服务，全面提升沿途业态品质，积极发展旅游住宿、特色餐饮、文创商品、农特产品等业态，形成特色各异的文化旅游窗口。在中壤塘片区依托</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文化资源和海子、草原、湿地等生态资源，开发民宿客栈、非遗展示、乡村民俗体验等特色产品，促进民居及非遗、生态资源与旅游的深度融合，打造文化体验厚重、生态体验丰富的多元化乡村旅游产品。在上杜柯片区依托香拉东吉圣山，做好生态旅游接待和配套导游服务。充分保护利用藏乡景观、民宅建筑，策划实施骑马、登山、锅庄、篝火晚会、星空露营等娱乐项目，提升乡村旅游文化娱乐内涵。</w:t>
      </w:r>
    </w:p>
    <w:p>
      <w:pPr>
        <w:spacing w:line="560" w:lineRule="exact"/>
        <w:ind w:firstLine="643" w:firstLineChars="200"/>
        <w:outlineLvl w:val="2"/>
        <w:rPr>
          <w:rFonts w:ascii="Times New Roman" w:hAnsi="Times New Roman" w:eastAsia="黑体" w:cs="Times New Roman"/>
          <w:b/>
          <w:bCs/>
          <w:sz w:val="32"/>
          <w:szCs w:val="32"/>
        </w:rPr>
      </w:pPr>
      <w:bookmarkStart w:id="143" w:name="_Toc28292"/>
      <w:r>
        <w:rPr>
          <w:rFonts w:ascii="Times New Roman" w:hAnsi="Times New Roman" w:eastAsia="黑体" w:cs="Times New Roman"/>
          <w:b/>
          <w:bCs/>
          <w:sz w:val="32"/>
          <w:szCs w:val="32"/>
        </w:rPr>
        <w:t>四、推动“旅游+生态”产品开发</w:t>
      </w:r>
      <w:bookmarkEnd w:id="143"/>
    </w:p>
    <w:p>
      <w:pPr>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促进“旅游+生态”融合，打造生态研学旅游业态。依托得天独厚的生态资源，开发海子山—南莫且湿地、野人谷、香拉东吉圣山旅游区，推进生态旅游资源向旅游产品转化。开发以县城周边休闲、草原休闲、山地休闲、乡村休闲为主题的休闲产品；围绕山地生态、森林生态、湿地生态、草原生态等主题，建设一批生态旅游研学基地。支持建设对环境影响小、社会效益显著的乡村精品酒店、帐篷酒店、休闲农庄和房车营地等生态旅游业态，形成适合不同群体的生态度假产品。</w:t>
      </w:r>
    </w:p>
    <w:p>
      <w:pPr>
        <w:spacing w:line="550" w:lineRule="exact"/>
        <w:ind w:firstLine="643" w:firstLineChars="200"/>
        <w:outlineLvl w:val="2"/>
        <w:rPr>
          <w:rFonts w:ascii="Times New Roman" w:hAnsi="Times New Roman" w:eastAsia="黑体" w:cs="Times New Roman"/>
          <w:b/>
          <w:bCs/>
          <w:sz w:val="32"/>
          <w:szCs w:val="32"/>
        </w:rPr>
      </w:pPr>
      <w:bookmarkStart w:id="144" w:name="_Toc28990"/>
      <w:r>
        <w:rPr>
          <w:rFonts w:ascii="Times New Roman" w:hAnsi="Times New Roman" w:eastAsia="黑体" w:cs="Times New Roman"/>
          <w:b/>
          <w:bCs/>
          <w:sz w:val="32"/>
          <w:szCs w:val="32"/>
        </w:rPr>
        <w:t>五、推动“旅游+体育”融合发展</w:t>
      </w:r>
      <w:bookmarkEnd w:id="144"/>
    </w:p>
    <w:p>
      <w:pPr>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促进“旅游+体育”融合，打造运动旅游业态。串联开发尚蓝天路、林海秀城步道等资源，深度开发适合户外拓展、徒步骑行、登山越野等运动型旅游产品。建设南木达</w:t>
      </w:r>
      <w:r>
        <w:rPr>
          <w:rFonts w:hint="eastAsia" w:ascii="Times New Roman" w:hAnsi="Times New Roman" w:eastAsia="仿宋_GB2312" w:cs="Times New Roman"/>
          <w:sz w:val="32"/>
          <w:szCs w:val="32"/>
        </w:rPr>
        <w:t>文旅体</w:t>
      </w:r>
      <w:r>
        <w:rPr>
          <w:rFonts w:ascii="Times New Roman" w:hAnsi="Times New Roman" w:eastAsia="仿宋_GB2312" w:cs="Times New Roman"/>
          <w:sz w:val="32"/>
          <w:szCs w:val="32"/>
        </w:rPr>
        <w:t>基地、G317自驾车（房车）营地、中壤塘自驾车（房车）营地、野人谷户外探险基地</w:t>
      </w:r>
      <w:r>
        <w:rPr>
          <w:rFonts w:hint="eastAsia" w:ascii="Times New Roman" w:hAnsi="Times New Roman" w:eastAsia="仿宋_GB2312" w:cs="Times New Roman"/>
          <w:sz w:val="32"/>
          <w:szCs w:val="32"/>
        </w:rPr>
        <w:t>、打造野人谷索道项目</w:t>
      </w:r>
      <w:r>
        <w:rPr>
          <w:rFonts w:ascii="Times New Roman" w:hAnsi="Times New Roman" w:eastAsia="仿宋_GB2312" w:cs="Times New Roman"/>
          <w:sz w:val="32"/>
          <w:szCs w:val="32"/>
        </w:rPr>
        <w:t>等，丰富野外拓展、户外露营、骑游等体验性体育旅游业态，形成多元化、系列化、适应不同层次需求的体育旅游产品。</w:t>
      </w:r>
    </w:p>
    <w:p>
      <w:pPr>
        <w:spacing w:line="550" w:lineRule="exact"/>
        <w:ind w:firstLine="643" w:firstLineChars="200"/>
        <w:outlineLvl w:val="2"/>
        <w:rPr>
          <w:rFonts w:ascii="Times New Roman" w:hAnsi="Times New Roman" w:eastAsia="黑体" w:cs="Times New Roman"/>
          <w:b/>
          <w:bCs/>
          <w:sz w:val="32"/>
          <w:szCs w:val="32"/>
        </w:rPr>
      </w:pPr>
      <w:bookmarkStart w:id="145" w:name="_Toc28221"/>
      <w:r>
        <w:rPr>
          <w:rFonts w:ascii="Times New Roman" w:hAnsi="Times New Roman" w:eastAsia="黑体" w:cs="Times New Roman"/>
          <w:b/>
          <w:bCs/>
          <w:sz w:val="32"/>
          <w:szCs w:val="32"/>
        </w:rPr>
        <w:t>六、培育“旅游+企业”优质经营主体</w:t>
      </w:r>
      <w:bookmarkEnd w:id="145"/>
    </w:p>
    <w:p>
      <w:pPr>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促进“旅游+企业”融合，打造专业经营平台。坚持转型升级、增效做强，以文化旅游发展促进现代服务业协调发展。依托壤塘县中小微企业园区，组建壤塘县文化旅游开发公司，以中壤塘非遗文创产品开发为核心，系统性开发文化旅游资源，带动提升文化旅游市场能力、经营能力，加强与研学、影视机构的对接合作，打造文创研学基地。引进国内知名企业，建设乡村精品酒店、帐篷酒店、休闲农庄和房车基地，扩大“悬天藏寨”新型民宿业态的市场影响力，逐步形成中高端旅游度假服务体系。积极打造精品文化客栈服务体系，鼓励乡村能人发展特色藏家乐，加强监管和政策引导，优化普通宾馆旅馆等大众旅游接待服务设施。</w:t>
      </w:r>
    </w:p>
    <w:p>
      <w:pPr>
        <w:spacing w:line="560" w:lineRule="exact"/>
        <w:jc w:val="center"/>
        <w:outlineLvl w:val="1"/>
        <w:rPr>
          <w:rFonts w:ascii="Times New Roman" w:hAnsi="Times New Roman" w:eastAsia="宋体" w:cs="Times New Roman"/>
          <w:b/>
          <w:bCs/>
          <w:sz w:val="36"/>
          <w:szCs w:val="36"/>
        </w:rPr>
      </w:pPr>
      <w:bookmarkStart w:id="146" w:name="_Toc11436"/>
      <w:bookmarkStart w:id="147" w:name="_Toc14075"/>
      <w:r>
        <w:rPr>
          <w:rFonts w:ascii="Times New Roman" w:hAnsi="Times New Roman" w:eastAsia="宋体" w:cs="Times New Roman"/>
          <w:b/>
          <w:bCs/>
          <w:sz w:val="36"/>
          <w:szCs w:val="36"/>
        </w:rPr>
        <w:t>第五节  塑造文化旅游特色形象</w:t>
      </w:r>
      <w:bookmarkEnd w:id="146"/>
      <w:bookmarkEnd w:id="147"/>
    </w:p>
    <w:p>
      <w:pPr>
        <w:spacing w:line="540" w:lineRule="exact"/>
        <w:ind w:firstLine="640" w:firstLineChars="200"/>
        <w:rPr>
          <w:rFonts w:ascii="Times New Roman" w:hAnsi="Times New Roman" w:eastAsia="仿宋_GB2312" w:cs="Times New Roman"/>
          <w:sz w:val="32"/>
          <w:szCs w:val="32"/>
        </w:rPr>
      </w:pPr>
    </w:p>
    <w:p>
      <w:pPr>
        <w:spacing w:line="540" w:lineRule="exact"/>
        <w:ind w:firstLine="643" w:firstLineChars="200"/>
        <w:outlineLvl w:val="2"/>
        <w:rPr>
          <w:rFonts w:ascii="Times New Roman" w:hAnsi="Times New Roman" w:eastAsia="黑体" w:cs="Times New Roman"/>
          <w:b/>
          <w:bCs/>
          <w:sz w:val="32"/>
          <w:szCs w:val="32"/>
        </w:rPr>
      </w:pPr>
      <w:bookmarkStart w:id="148" w:name="_Toc16974"/>
      <w:r>
        <w:rPr>
          <w:rFonts w:ascii="Times New Roman" w:hAnsi="Times New Roman" w:eastAsia="黑体" w:cs="Times New Roman"/>
          <w:b/>
          <w:bCs/>
          <w:sz w:val="32"/>
          <w:szCs w:val="32"/>
        </w:rPr>
        <w:t>一、创新文化旅游营销方式</w:t>
      </w:r>
      <w:bookmarkEnd w:id="148"/>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把握5G时代机遇，创新营销方式，积极进行整合营销和精准营销，重点结合移动互联网展开文化旅游品牌传播。高效运用抖音、快手直播带货等新营销方式，提升壤塘“悬天净土”公共品牌知名度，带动中壤塘文创产品以及野生菌、中药材、双低菜籽油等优势文化旅游产品的销售。</w:t>
      </w:r>
    </w:p>
    <w:p>
      <w:pPr>
        <w:spacing w:line="540" w:lineRule="exact"/>
        <w:ind w:firstLine="643" w:firstLineChars="200"/>
        <w:outlineLvl w:val="2"/>
        <w:rPr>
          <w:rFonts w:ascii="Times New Roman" w:hAnsi="Times New Roman" w:eastAsia="黑体" w:cs="Times New Roman"/>
          <w:b/>
          <w:bCs/>
          <w:sz w:val="32"/>
          <w:szCs w:val="32"/>
        </w:rPr>
      </w:pPr>
      <w:bookmarkStart w:id="149" w:name="_Toc31495"/>
      <w:r>
        <w:rPr>
          <w:rFonts w:ascii="Times New Roman" w:hAnsi="Times New Roman" w:eastAsia="黑体" w:cs="Times New Roman"/>
          <w:b/>
          <w:bCs/>
          <w:sz w:val="32"/>
          <w:szCs w:val="32"/>
        </w:rPr>
        <w:t>二、将宣传渠道向新媒体倾斜</w:t>
      </w:r>
      <w:bookmarkEnd w:id="149"/>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悬天净土”“壤巴拉文化”“中国非遗小镇”等特色，统筹全县文化旅游营销资源，加强与媒体和专业旅游平台合作，在深度文化体验产品上精准发力，推出一批网红打卡点及一批非遗网红、电商网红，线上线下共同塑造壤塘文化旅游新形象。</w:t>
      </w:r>
    </w:p>
    <w:p>
      <w:pPr>
        <w:spacing w:line="540" w:lineRule="exact"/>
        <w:ind w:firstLine="643" w:firstLineChars="200"/>
        <w:outlineLvl w:val="2"/>
        <w:rPr>
          <w:rFonts w:ascii="Times New Roman" w:hAnsi="Times New Roman" w:eastAsia="黑体" w:cs="Times New Roman"/>
          <w:b/>
          <w:bCs/>
          <w:sz w:val="32"/>
          <w:szCs w:val="32"/>
        </w:rPr>
      </w:pPr>
      <w:bookmarkStart w:id="150" w:name="_Toc24240"/>
      <w:r>
        <w:rPr>
          <w:rFonts w:ascii="Times New Roman" w:hAnsi="Times New Roman" w:eastAsia="黑体" w:cs="Times New Roman"/>
          <w:b/>
          <w:bCs/>
          <w:sz w:val="32"/>
          <w:szCs w:val="32"/>
        </w:rPr>
        <w:t>三、提高营销精准度</w:t>
      </w:r>
      <w:bookmarkEnd w:id="150"/>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积极参加省州组织的系列文化旅游专场推介会，依托西博会、旅交会等重大活动推进专项营销，扩大壤塘文化旅游市场的覆盖面和知名度。实施精准营销，紧抓川青高速建设机遇，主攻成渝双城经济圈及北上广重点市场，开拓文化深度旅游专项客源市场，充分融入阿坝世界旅游目的地和G317文旅产业廊道，形成阿坝州文化旅游重要新兴旅游目的地。</w:t>
      </w:r>
    </w:p>
    <w:tbl>
      <w:tblPr>
        <w:tblStyle w:val="12"/>
        <w:tblW w:w="8868"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8868" w:type="dxa"/>
            <w:vAlign w:val="center"/>
          </w:tcPr>
          <w:p>
            <w:pPr>
              <w:adjustRightInd w:val="0"/>
              <w:snapToGrid w:val="0"/>
              <w:spacing w:line="34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专栏13  文化旅游产业发展重点项目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8" w:type="dxa"/>
          </w:tcPr>
          <w:p>
            <w:pPr>
              <w:adjustRightInd w:val="0"/>
              <w:snapToGrid w:val="0"/>
              <w:spacing w:line="4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一、旅游基础设施</w:t>
            </w:r>
          </w:p>
          <w:p>
            <w:pPr>
              <w:adjustRightInd w:val="0"/>
              <w:snapToGrid w:val="0"/>
              <w:spacing w:line="420" w:lineRule="exact"/>
              <w:ind w:firstLine="480" w:firstLineChars="200"/>
              <w:rPr>
                <w:rFonts w:ascii="Times New Roman" w:hAnsi="Times New Roman" w:eastAsia="楷体" w:cs="Times New Roman"/>
                <w:sz w:val="24"/>
              </w:rPr>
            </w:pPr>
            <w:r>
              <w:rPr>
                <w:rFonts w:ascii="Times New Roman" w:hAnsi="Times New Roman" w:eastAsia="楷体" w:cs="Times New Roman"/>
                <w:sz w:val="24"/>
              </w:rPr>
              <w:t>旅游厕所革命；智慧景区基础设施建设，包括智慧停车场、充电桩、5G网络旅游新基建；文化旅游标识系统及解说系统；壤巴拉旅游基础设施；中壤塘旅游基础设施；高原林海旅游基础设施；秀沟旅游区基础设施；</w:t>
            </w:r>
            <w:r>
              <w:rPr>
                <w:rFonts w:hint="eastAsia" w:ascii="Times New Roman" w:hAnsi="Times New Roman" w:eastAsia="楷体" w:cs="Times New Roman"/>
                <w:sz w:val="24"/>
              </w:rPr>
              <w:t>吾伊</w:t>
            </w:r>
            <w:r>
              <w:rPr>
                <w:rFonts w:ascii="Times New Roman" w:hAnsi="Times New Roman" w:eastAsia="楷体" w:cs="Times New Roman"/>
                <w:sz w:val="24"/>
              </w:rPr>
              <w:t>乡克久旅游基础设施；全县乡村旅游基础设施；旅游景区污水处理设施等。</w:t>
            </w:r>
          </w:p>
          <w:p>
            <w:pPr>
              <w:adjustRightInd w:val="0"/>
              <w:snapToGrid w:val="0"/>
              <w:spacing w:line="4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二、旅游景区景点</w:t>
            </w:r>
          </w:p>
          <w:p>
            <w:pPr>
              <w:adjustRightInd w:val="0"/>
              <w:snapToGrid w:val="0"/>
              <w:spacing w:line="420" w:lineRule="exact"/>
              <w:ind w:firstLine="480" w:firstLineChars="200"/>
              <w:rPr>
                <w:rFonts w:ascii="Times New Roman" w:hAnsi="Times New Roman" w:eastAsia="楷体" w:cs="Times New Roman"/>
                <w:sz w:val="24"/>
              </w:rPr>
            </w:pPr>
            <w:r>
              <w:rPr>
                <w:rFonts w:ascii="Times New Roman" w:hAnsi="Times New Roman" w:eastAsia="黑体" w:cs="Times New Roman"/>
                <w:sz w:val="24"/>
              </w:rPr>
              <w:t>（1）旅游品牌创建：</w:t>
            </w:r>
            <w:r>
              <w:rPr>
                <w:rFonts w:ascii="Times New Roman" w:hAnsi="Times New Roman" w:eastAsia="楷体" w:cs="Times New Roman"/>
                <w:sz w:val="24"/>
              </w:rPr>
              <w:t>壤塘</w:t>
            </w:r>
            <w:r>
              <w:rPr>
                <w:rFonts w:hint="eastAsia" w:ascii="Times New Roman" w:hAnsi="Times New Roman" w:eastAsia="楷体" w:cs="Times New Roman"/>
                <w:sz w:val="24"/>
              </w:rPr>
              <w:t>县</w:t>
            </w:r>
            <w:r>
              <w:rPr>
                <w:rFonts w:ascii="Times New Roman" w:hAnsi="Times New Roman" w:eastAsia="楷体" w:cs="Times New Roman"/>
                <w:sz w:val="24"/>
              </w:rPr>
              <w:t>壤巴拉文化旅游景区；海子山—南莫且湿地、香拉东吉圣山、野人谷创建省级生态旅游示范区；G317文旅产业廊道；推动中壤塘创建四川省文旅特色小镇；推动宗科乡加斯满村，蒲西乡伊里村、</w:t>
            </w:r>
            <w:r>
              <w:rPr>
                <w:rFonts w:hint="eastAsia" w:ascii="Times New Roman" w:hAnsi="Times New Roman" w:eastAsia="楷体" w:cs="Times New Roman"/>
                <w:sz w:val="24"/>
              </w:rPr>
              <w:t>吾伊</w:t>
            </w:r>
            <w:r>
              <w:rPr>
                <w:rFonts w:ascii="Times New Roman" w:hAnsi="Times New Roman" w:eastAsia="楷体" w:cs="Times New Roman"/>
                <w:sz w:val="24"/>
              </w:rPr>
              <w:t>乡修卡村、岗木达镇尕日寨、岗木达镇昂柯村、上壤塘乡查卡村、南木达镇南木达村、茸木达乡茸木达村等创建省级乡村旅游重点村。</w:t>
            </w:r>
          </w:p>
          <w:p>
            <w:pPr>
              <w:adjustRightInd w:val="0"/>
              <w:snapToGrid w:val="0"/>
              <w:spacing w:line="420" w:lineRule="exact"/>
              <w:ind w:firstLine="480" w:firstLineChars="200"/>
              <w:rPr>
                <w:rFonts w:ascii="Times New Roman" w:hAnsi="Times New Roman" w:eastAsia="楷体" w:cs="Times New Roman"/>
                <w:sz w:val="24"/>
              </w:rPr>
            </w:pPr>
            <w:r>
              <w:rPr>
                <w:rFonts w:ascii="Times New Roman" w:hAnsi="Times New Roman" w:eastAsia="黑体" w:cs="Times New Roman"/>
                <w:sz w:val="24"/>
              </w:rPr>
              <w:t>（2）旅游景区景点建设：</w:t>
            </w:r>
            <w:r>
              <w:rPr>
                <w:rFonts w:ascii="Times New Roman" w:hAnsi="Times New Roman" w:eastAsia="楷体" w:cs="Times New Roman"/>
                <w:sz w:val="24"/>
              </w:rPr>
              <w:t>棒托石刻公园、海子山—南莫且湿地旅游区、香拉东吉圣山旅游区、宗科沟—野人谷旅游区、上杜柯旅游区5大精品景区建设。</w:t>
            </w:r>
          </w:p>
          <w:p>
            <w:pPr>
              <w:adjustRightInd w:val="0"/>
              <w:snapToGrid w:val="0"/>
              <w:spacing w:line="4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三、文化产业发展</w:t>
            </w:r>
          </w:p>
          <w:p>
            <w:pPr>
              <w:adjustRightInd w:val="0"/>
              <w:snapToGrid w:val="0"/>
              <w:spacing w:line="420" w:lineRule="exact"/>
              <w:ind w:firstLine="480" w:firstLineChars="200"/>
              <w:rPr>
                <w:rFonts w:ascii="Times New Roman" w:hAnsi="Times New Roman" w:eastAsia="楷体" w:cs="Times New Roman"/>
                <w:sz w:val="24"/>
              </w:rPr>
            </w:pPr>
            <w:r>
              <w:rPr>
                <w:rFonts w:ascii="Times New Roman" w:hAnsi="Times New Roman" w:eastAsia="黑体" w:cs="Times New Roman"/>
                <w:sz w:val="24"/>
              </w:rPr>
              <w:t>（1）旅游商品：</w:t>
            </w:r>
            <w:r>
              <w:rPr>
                <w:rFonts w:ascii="Times New Roman" w:hAnsi="Times New Roman" w:eastAsia="楷体" w:cs="Times New Roman"/>
                <w:sz w:val="24"/>
              </w:rPr>
              <w:t>打造唐卡、石刻、藏香、藏纸等文创产品及野生菌、中药材、双低菜籽油等特色农产品品牌。</w:t>
            </w:r>
          </w:p>
          <w:p>
            <w:pPr>
              <w:adjustRightInd w:val="0"/>
              <w:snapToGrid w:val="0"/>
              <w:spacing w:line="420" w:lineRule="exact"/>
              <w:ind w:firstLine="480" w:firstLineChars="200"/>
              <w:rPr>
                <w:rFonts w:ascii="Times New Roman" w:hAnsi="Times New Roman" w:eastAsia="楷体" w:cs="Times New Roman"/>
                <w:sz w:val="24"/>
              </w:rPr>
            </w:pPr>
            <w:r>
              <w:rPr>
                <w:rFonts w:ascii="Times New Roman" w:hAnsi="Times New Roman" w:eastAsia="黑体" w:cs="Times New Roman"/>
                <w:sz w:val="24"/>
              </w:rPr>
              <w:t>（2）旅游节庆：</w:t>
            </w:r>
            <w:r>
              <w:rPr>
                <w:rFonts w:ascii="Times New Roman" w:hAnsi="Times New Roman" w:eastAsia="楷体" w:cs="Times New Roman"/>
                <w:sz w:val="24"/>
              </w:rPr>
              <w:t>开展壤巴拉节、壤巴拉非遗文化节，非遗文创论坛、壤巴拉文化论坛等节庆活动。</w:t>
            </w:r>
          </w:p>
          <w:p>
            <w:pPr>
              <w:adjustRightInd w:val="0"/>
              <w:snapToGrid w:val="0"/>
              <w:spacing w:line="420" w:lineRule="exact"/>
              <w:ind w:firstLine="480" w:firstLineChars="200"/>
              <w:rPr>
                <w:rFonts w:ascii="Times New Roman" w:hAnsi="Times New Roman" w:eastAsia="楷体" w:cs="Times New Roman"/>
                <w:sz w:val="24"/>
              </w:rPr>
            </w:pPr>
            <w:r>
              <w:rPr>
                <w:rFonts w:ascii="Times New Roman" w:hAnsi="Times New Roman" w:eastAsia="黑体" w:cs="Times New Roman"/>
                <w:sz w:val="24"/>
              </w:rPr>
              <w:t>（3）文化产业</w:t>
            </w:r>
            <w:r>
              <w:rPr>
                <w:rFonts w:ascii="Times New Roman" w:hAnsi="Times New Roman" w:eastAsia="楷体" w:cs="Times New Roman"/>
                <w:sz w:val="24"/>
              </w:rPr>
              <w:t>：宗科等乡镇红色旅游基础设施；民俗文化产业基础设施建设；壤塘县唐卡产业创意研发基地；文化创意产业创新基地（中心）；文化产业园建设（壤巴拉非遗文化产业园、壤巴拉宗科文化产业园、壤巴拉壤柯文化产业园）；动漫开发等。</w:t>
            </w:r>
          </w:p>
          <w:p>
            <w:pPr>
              <w:adjustRightInd w:val="0"/>
              <w:snapToGrid w:val="0"/>
              <w:spacing w:line="4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四、文化保护与传承</w:t>
            </w:r>
          </w:p>
          <w:p>
            <w:pPr>
              <w:adjustRightInd w:val="0"/>
              <w:snapToGrid w:val="0"/>
              <w:spacing w:line="420" w:lineRule="exact"/>
              <w:ind w:firstLine="480" w:firstLineChars="200"/>
              <w:rPr>
                <w:rFonts w:ascii="Times New Roman" w:hAnsi="Times New Roman" w:eastAsia="楷体" w:cs="Times New Roman"/>
                <w:sz w:val="24"/>
              </w:rPr>
            </w:pPr>
            <w:r>
              <w:rPr>
                <w:rFonts w:ascii="Times New Roman" w:hAnsi="Times New Roman" w:eastAsia="楷体" w:cs="Times New Roman"/>
                <w:sz w:val="24"/>
              </w:rPr>
              <w:t>壤塘文化旅游服务信息平台；数字博物馆、数字美术馆；博物馆建设；非遗文化数据档案库建设；《赤松德赞》《金城公主》藏戏打造等。</w:t>
            </w:r>
          </w:p>
          <w:p>
            <w:pPr>
              <w:adjustRightInd w:val="0"/>
              <w:snapToGrid w:val="0"/>
              <w:spacing w:line="4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五、农文旅融合发展</w:t>
            </w:r>
          </w:p>
          <w:p>
            <w:pPr>
              <w:adjustRightInd w:val="0"/>
              <w:snapToGrid w:val="0"/>
              <w:spacing w:line="420" w:lineRule="exact"/>
              <w:ind w:firstLine="480" w:firstLineChars="200"/>
              <w:rPr>
                <w:rFonts w:ascii="Times New Roman" w:hAnsi="Times New Roman" w:eastAsia="楷体" w:cs="Times New Roman"/>
                <w:sz w:val="24"/>
              </w:rPr>
            </w:pPr>
            <w:r>
              <w:rPr>
                <w:rFonts w:ascii="Times New Roman" w:hAnsi="Times New Roman" w:eastAsia="楷体" w:cs="Times New Roman"/>
                <w:sz w:val="24"/>
              </w:rPr>
              <w:t>农旅融合综合体建设（切洛玛村、曼木达村、布康木达村、以达日村）；打造“悬天藏寨”主题民宿酒店；打造乡村民宿接待户200户；G317线驿站建设；克久温泉小镇等</w:t>
            </w:r>
            <w:r>
              <w:rPr>
                <w:rFonts w:hint="eastAsia" w:ascii="Times New Roman" w:hAnsi="Times New Roman" w:eastAsia="楷体" w:cs="Times New Roman"/>
                <w:sz w:val="24"/>
              </w:rPr>
              <w:t>。</w:t>
            </w:r>
          </w:p>
          <w:p>
            <w:pPr>
              <w:adjustRightInd w:val="0"/>
              <w:snapToGrid w:val="0"/>
              <w:spacing w:line="4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六、旅游人才培训</w:t>
            </w:r>
          </w:p>
          <w:p>
            <w:pPr>
              <w:adjustRightInd w:val="0"/>
              <w:snapToGrid w:val="0"/>
              <w:spacing w:line="420" w:lineRule="exact"/>
              <w:ind w:firstLine="480" w:firstLineChars="200"/>
              <w:rPr>
                <w:rFonts w:ascii="Times New Roman" w:hAnsi="Times New Roman" w:eastAsia="楷体" w:cs="Times New Roman"/>
                <w:sz w:val="24"/>
              </w:rPr>
            </w:pPr>
            <w:r>
              <w:rPr>
                <w:rFonts w:ascii="Times New Roman" w:hAnsi="Times New Roman" w:eastAsia="楷体" w:cs="Times New Roman"/>
                <w:sz w:val="24"/>
              </w:rPr>
              <w:t>加快旅游管理人才、乡村旅游带头人培训，开展旅游从业人员技能培训。</w:t>
            </w:r>
          </w:p>
          <w:p>
            <w:pPr>
              <w:adjustRightInd w:val="0"/>
              <w:snapToGrid w:val="0"/>
              <w:spacing w:line="4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七、其他项目</w:t>
            </w:r>
          </w:p>
          <w:p>
            <w:pPr>
              <w:adjustRightInd w:val="0"/>
              <w:snapToGrid w:val="0"/>
              <w:spacing w:line="420" w:lineRule="exact"/>
              <w:ind w:firstLine="480" w:firstLineChars="200"/>
              <w:rPr>
                <w:rFonts w:ascii="Times New Roman" w:hAnsi="Times New Roman" w:eastAsia="楷体" w:cs="Times New Roman"/>
                <w:sz w:val="24"/>
              </w:rPr>
            </w:pPr>
            <w:r>
              <w:rPr>
                <w:rFonts w:ascii="Times New Roman" w:hAnsi="Times New Roman" w:eastAsia="楷体" w:cs="Times New Roman"/>
                <w:sz w:val="24"/>
              </w:rPr>
              <w:t>长征文化公园。</w:t>
            </w:r>
          </w:p>
        </w:tc>
      </w:tr>
    </w:tbl>
    <w:p>
      <w:pPr>
        <w:numPr>
          <w:ilvl w:val="0"/>
          <w:numId w:val="1"/>
        </w:numPr>
        <w:spacing w:line="700" w:lineRule="exact"/>
        <w:ind w:left="1760" w:leftChars="0" w:hanging="1760" w:hangingChars="400"/>
        <w:jc w:val="center"/>
        <w:outlineLvl w:val="0"/>
        <w:rPr>
          <w:rFonts w:ascii="Times New Roman" w:hAnsi="Times New Roman" w:eastAsia="方正小标宋_GBK" w:cs="Times New Roman"/>
          <w:sz w:val="44"/>
          <w:szCs w:val="44"/>
        </w:rPr>
      </w:pPr>
      <w:bookmarkStart w:id="151" w:name="_Toc22017"/>
      <w:bookmarkStart w:id="152" w:name="_Toc23082"/>
      <w:r>
        <w:rPr>
          <w:rFonts w:ascii="Times New Roman" w:hAnsi="Times New Roman" w:eastAsia="方正小标宋_GBK" w:cs="Times New Roman"/>
          <w:sz w:val="44"/>
          <w:szCs w:val="44"/>
        </w:rPr>
        <w:t xml:space="preserve"> 利用特色优势资源，加快</w:t>
      </w:r>
    </w:p>
    <w:p>
      <w:pPr>
        <w:numPr>
          <w:ilvl w:val="0"/>
          <w:numId w:val="0"/>
        </w:numPr>
        <w:spacing w:line="700" w:lineRule="exact"/>
        <w:ind w:leftChars="-400"/>
        <w:jc w:val="center"/>
        <w:outlineLvl w:val="0"/>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建设“3+N”生态工业体系</w:t>
      </w:r>
      <w:bookmarkEnd w:id="151"/>
      <w:bookmarkEnd w:id="152"/>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围绕高质量发展目标，依托特色优势资源，坚持走高原生态环保绿色发展的新型工业化道路。在生态环境容量许可范围内，突出</w:t>
      </w:r>
      <w:r>
        <w:rPr>
          <w:rFonts w:ascii="Times New Roman" w:hAnsi="Times New Roman" w:eastAsia="楷体_GB2312" w:cs="Times New Roman"/>
          <w:b/>
          <w:bCs/>
          <w:sz w:val="32"/>
          <w:szCs w:val="32"/>
        </w:rPr>
        <w:t>“绿色加工业、清洁能源业、民族工艺”</w:t>
      </w:r>
      <w:r>
        <w:rPr>
          <w:rFonts w:ascii="Times New Roman" w:hAnsi="Times New Roman" w:eastAsia="仿宋_GB2312" w:cs="Times New Roman"/>
          <w:sz w:val="32"/>
          <w:szCs w:val="32"/>
        </w:rPr>
        <w:t>三个主攻方向，积极发展碳汇交易、电力消纳等新兴产业，形成</w:t>
      </w:r>
      <w:r>
        <w:rPr>
          <w:rFonts w:ascii="Times New Roman" w:hAnsi="Times New Roman" w:eastAsia="楷体_GB2312" w:cs="Times New Roman"/>
          <w:b/>
          <w:bCs/>
          <w:sz w:val="32"/>
          <w:szCs w:val="32"/>
        </w:rPr>
        <w:t>“3+N”生态工业体系。</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53" w:name="_Toc6212"/>
      <w:bookmarkStart w:id="154" w:name="_Toc17547"/>
      <w:r>
        <w:rPr>
          <w:rFonts w:ascii="Times New Roman" w:hAnsi="Times New Roman" w:eastAsia="宋体" w:cs="Times New Roman"/>
          <w:b/>
          <w:bCs/>
          <w:sz w:val="36"/>
          <w:szCs w:val="36"/>
        </w:rPr>
        <w:t>第一节  加快发展绿色加工业</w:t>
      </w:r>
      <w:bookmarkEnd w:id="153"/>
      <w:bookmarkEnd w:id="154"/>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以市场需求为导向，围绕供给侧结构性改革，以促进农业提质增效、农民就业增收和激活农村发展活力为目标，着力推进全产业链和全价值链建设，加快推进绿色加工业发展。</w:t>
      </w:r>
    </w:p>
    <w:p>
      <w:pPr>
        <w:spacing w:line="560" w:lineRule="exact"/>
        <w:ind w:firstLine="643" w:firstLineChars="200"/>
        <w:outlineLvl w:val="2"/>
        <w:rPr>
          <w:rFonts w:ascii="Times New Roman" w:hAnsi="Times New Roman" w:eastAsia="黑体" w:cs="Times New Roman"/>
          <w:b/>
          <w:bCs/>
          <w:sz w:val="32"/>
          <w:szCs w:val="32"/>
        </w:rPr>
      </w:pPr>
      <w:bookmarkStart w:id="155" w:name="_Toc15983"/>
      <w:r>
        <w:rPr>
          <w:rFonts w:ascii="Times New Roman" w:hAnsi="Times New Roman" w:eastAsia="黑体" w:cs="Times New Roman"/>
          <w:b/>
          <w:bCs/>
          <w:sz w:val="32"/>
          <w:szCs w:val="32"/>
        </w:rPr>
        <w:t>一、优化加工业布局</w:t>
      </w:r>
      <w:bookmarkEnd w:id="15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建设</w:t>
      </w:r>
      <w:r>
        <w:rPr>
          <w:rFonts w:ascii="Times New Roman" w:hAnsi="Times New Roman" w:eastAsia="楷体_GB2312" w:cs="Times New Roman"/>
          <w:b/>
          <w:bCs/>
          <w:sz w:val="32"/>
          <w:szCs w:val="32"/>
        </w:rPr>
        <w:t>“壤塘县中小微企业园区”</w:t>
      </w:r>
      <w:r>
        <w:rPr>
          <w:rFonts w:ascii="Times New Roman" w:hAnsi="Times New Roman" w:eastAsia="仿宋_GB2312" w:cs="Times New Roman"/>
          <w:sz w:val="32"/>
          <w:szCs w:val="32"/>
        </w:rPr>
        <w:t>；在上寨发展以双低油菜为主的农特产品集中加工区，带动G317上的腾都、伊里村、二戈武、黑桥等销售网点；在中壤塘发展以唐卡、石刻、藏香等为主的民族特色手工艺加工业；在南木达镇发展以牦牛肉、牛奶等为主的畜产品和特色农产品加工业。多点布局，全域协同，形成“一园多点”发展格局。</w:t>
      </w:r>
    </w:p>
    <w:p>
      <w:pPr>
        <w:spacing w:line="560" w:lineRule="exact"/>
        <w:ind w:firstLine="643" w:firstLineChars="200"/>
        <w:outlineLvl w:val="2"/>
        <w:rPr>
          <w:rFonts w:ascii="Times New Roman" w:hAnsi="Times New Roman" w:eastAsia="黑体" w:cs="Times New Roman"/>
          <w:b/>
          <w:bCs/>
          <w:sz w:val="32"/>
          <w:szCs w:val="32"/>
        </w:rPr>
      </w:pPr>
      <w:bookmarkStart w:id="156" w:name="_Toc30552"/>
      <w:r>
        <w:rPr>
          <w:rFonts w:ascii="Times New Roman" w:hAnsi="Times New Roman" w:eastAsia="黑体" w:cs="Times New Roman"/>
          <w:b/>
          <w:bCs/>
          <w:sz w:val="32"/>
          <w:szCs w:val="32"/>
        </w:rPr>
        <w:t>二、做强农畜产品加工业</w:t>
      </w:r>
      <w:bookmarkEnd w:id="156"/>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（一）大力发展农畜产品产地初加工。</w:t>
      </w:r>
      <w:r>
        <w:rPr>
          <w:rFonts w:ascii="Times New Roman" w:hAnsi="Times New Roman" w:eastAsia="仿宋_GB2312" w:cs="Times New Roman"/>
          <w:sz w:val="32"/>
          <w:szCs w:val="32"/>
        </w:rPr>
        <w:t>大力发展油菜、青稞、马铃薯、菌类、牦牛肉、奶制品等农产品的干燥、储藏保鲜等初加工，鼓励和支持农民合作社和家庭农场等新型经营主体发展保鲜、储藏、分级、包装等设施建设，促进农产品顺利进入终端市场和后续加工环节。积极支持发展“粮变粉、肉变肠、奶变酪”等初级加工产品项目，在南木达片区建设粮食烘储加工中心，在上杜柯建设菌类包装加工中心等。大力推进畜禽屠宰工艺升级，强化减损降耗、分等分级，着重开展牦牛骨、血、脏器等畜副产物的综合利用。发展适合不同消费者需求的特色乳制品和功能性产品。结合物联网、移动互联网等信息化技术，积极推动初加工设施综合利用，推进初加工全链条水平提升，加快农产品冷链物流发展，实现生产、加工、流通、消费有效衔接。</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（二）加快发展农畜产品精深加工。</w:t>
      </w:r>
      <w:r>
        <w:rPr>
          <w:rFonts w:ascii="Times New Roman" w:hAnsi="Times New Roman" w:eastAsia="仿宋_GB2312" w:cs="Times New Roman"/>
          <w:sz w:val="32"/>
          <w:szCs w:val="32"/>
        </w:rPr>
        <w:t>大力发展高原特色农畜产品加工业、高原生物和绿色食（饮）品业。鼓励研发以青稞、油菜、菌类等本地资源为原料，研制生产一批营养、安全、美味、健康、方便、实惠的高原特色绿色有机食品。进一步开发高原特色农产品，继续加强与科研院所合作，开展青稞茶、青稞食品等高端食品开发力度。加快推进马铃薯加工、畜产品加工和野生食用菌加工。加强与健康、养生、养老、旅游等产业融合对接，开发功能性及特殊人群膳食相关产品，创新开发鲜品、冻干品、干品、罐头、饮品、保健品等产品。扶持培育一批农畜产品深加工龙头企业，培育壮大农畜产品加工基地，支持畜产品加工、中藏医药加工和旅游产品加工业发展，打造一批有特色、上规模、附加值高、竞争力强的知名品牌。</w:t>
      </w:r>
    </w:p>
    <w:p>
      <w:pPr>
        <w:spacing w:line="560" w:lineRule="exact"/>
        <w:ind w:firstLine="643" w:firstLineChars="200"/>
        <w:outlineLvl w:val="2"/>
        <w:rPr>
          <w:rFonts w:ascii="Times New Roman" w:hAnsi="Times New Roman" w:eastAsia="黑体" w:cs="Times New Roman"/>
          <w:b/>
          <w:bCs/>
          <w:sz w:val="32"/>
          <w:szCs w:val="32"/>
        </w:rPr>
      </w:pPr>
      <w:bookmarkStart w:id="157" w:name="_Toc9163"/>
      <w:r>
        <w:rPr>
          <w:rFonts w:ascii="Times New Roman" w:hAnsi="Times New Roman" w:eastAsia="黑体" w:cs="Times New Roman"/>
          <w:b/>
          <w:bCs/>
          <w:sz w:val="32"/>
          <w:szCs w:val="32"/>
        </w:rPr>
        <w:t>三、加快建设农畜产品加工区</w:t>
      </w:r>
      <w:bookmarkEnd w:id="157"/>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结合全县优势特色农畜产品布局，加快布局农产品加工园区。结合壤塘交通布局和城镇化趋势，引导加工业向G317等骨干交通沿线（上寨）、南木达或岗木达集聚。坚持集聚发展和融合互动，打造集原料基地、加工转化、现代物流、营销展示为一体的农产品加工园区，培育标准化原料基地、集约化加工园区、体系化物流配送和营销网络“三位一体”的农产品加工园区。努力提升加工园区建设水平，为农产品加工业创新发展和转型升级提供有力支撑。以农产品加工园区为载体，推动产业融合试点示范。</w:t>
      </w:r>
    </w:p>
    <w:p>
      <w:pPr>
        <w:spacing w:line="560" w:lineRule="exact"/>
        <w:ind w:firstLine="643" w:firstLineChars="200"/>
        <w:outlineLvl w:val="2"/>
        <w:rPr>
          <w:rFonts w:ascii="Times New Roman" w:hAnsi="Times New Roman" w:eastAsia="黑体" w:cs="Times New Roman"/>
          <w:b/>
          <w:bCs/>
          <w:sz w:val="32"/>
          <w:szCs w:val="32"/>
        </w:rPr>
      </w:pPr>
      <w:bookmarkStart w:id="158" w:name="_Toc30744"/>
      <w:r>
        <w:rPr>
          <w:rFonts w:ascii="Times New Roman" w:hAnsi="Times New Roman" w:eastAsia="黑体" w:cs="Times New Roman"/>
          <w:b/>
          <w:bCs/>
          <w:sz w:val="32"/>
          <w:szCs w:val="32"/>
        </w:rPr>
        <w:t>四、培育壮大农畜产品加工龙头企业</w:t>
      </w:r>
      <w:bookmarkEnd w:id="158"/>
      <w:r>
        <w:rPr>
          <w:rFonts w:ascii="Times New Roman" w:hAnsi="Times New Roman" w:eastAsia="黑体" w:cs="Times New Roman"/>
          <w:b/>
          <w:bCs/>
          <w:sz w:val="32"/>
          <w:szCs w:val="32"/>
        </w:rPr>
        <w:t xml:space="preserve"> </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依托中小微企业园区、种植基地和养殖基地，整合佳禾惠农、林源菌业、粮油收储、慧科农业等企业，重点发展菜籽油、食用菌、牦牛肉加工，培育具有一定规模的县域龙头企业。依托中藏药材种植基地，积极引进和培育中藏药材加工企业，</w:t>
      </w:r>
      <w:r>
        <w:rPr>
          <w:rFonts w:hint="eastAsia" w:ascii="Times New Roman" w:hAnsi="Times New Roman" w:eastAsia="仿宋_GB2312" w:cs="Times New Roman"/>
          <w:sz w:val="32"/>
          <w:szCs w:val="32"/>
          <w:highlight w:val="none"/>
        </w:rPr>
        <w:t>做响</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藏香、壤巴拉特色藏医药品牌。积极向州级部门争取成阿、德阿工业园区产值“飞地”企业税收分享政策。到“十四五”末，培育规模以上工业企业2家，累计建成油菜、牦牛肉、肉干、酸奶、奶酪、牦牛绒毛等加工厂10个以上。在上杜柯、南木达片区各建设奶产品加工基地1个，在上杜柯片区建设菌类加工厂1个，在南木达片区建设年处理牦牛1000头以上的肉产品加工基地1个。</w:t>
      </w:r>
    </w:p>
    <w:p>
      <w:pPr>
        <w:keepNext w:val="0"/>
        <w:keepLines w:val="0"/>
        <w:pageBreakBefore w:val="0"/>
        <w:widowControl w:val="0"/>
        <w:kinsoku/>
        <w:wordWrap/>
        <w:overflowPunct/>
        <w:topLinePunct w:val="0"/>
        <w:autoSpaceDE/>
        <w:autoSpaceDN/>
        <w:bidi w:val="0"/>
        <w:adjustRightInd/>
        <w:snapToGrid/>
        <w:spacing w:line="570" w:lineRule="exact"/>
        <w:ind w:firstLine="640" w:firstLineChars="200"/>
        <w:textAlignment w:val="auto"/>
        <w:rPr>
          <w:rFonts w:ascii="Times New Roman" w:hAnsi="Times New Roman" w:eastAsia="仿宋_GB2312" w:cs="Times New Roman"/>
          <w:sz w:val="32"/>
          <w:szCs w:val="32"/>
        </w:rPr>
      </w:pPr>
    </w:p>
    <w:p>
      <w:pPr>
        <w:spacing w:line="560" w:lineRule="exact"/>
        <w:ind w:firstLine="643" w:firstLineChars="200"/>
        <w:outlineLvl w:val="2"/>
        <w:rPr>
          <w:rFonts w:ascii="Times New Roman" w:hAnsi="Times New Roman" w:eastAsia="黑体" w:cs="Times New Roman"/>
          <w:b/>
          <w:bCs/>
          <w:sz w:val="32"/>
          <w:szCs w:val="32"/>
        </w:rPr>
      </w:pPr>
      <w:bookmarkStart w:id="159" w:name="_Toc4273"/>
      <w:r>
        <w:rPr>
          <w:rFonts w:ascii="Times New Roman" w:hAnsi="Times New Roman" w:eastAsia="黑体" w:cs="Times New Roman"/>
          <w:b/>
          <w:bCs/>
          <w:sz w:val="32"/>
          <w:szCs w:val="32"/>
        </w:rPr>
        <w:t>五、推动加工业链式发展</w:t>
      </w:r>
      <w:bookmarkEnd w:id="15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采取政府引导、市场运作、多方参与的方式，鼓励和支持农业产业化龙头企业、农民合作社、家庭农场、物流企业、农产品电商平台、专业协会等积极开展“种养加”结合型、农产品加工业引领型、休闲农业带动型、“互联网+”支撑型、产业园区整合型等多种产业融合模式的试点示范。完善利益联结机制，让农民从产业链增值中获取更多利益，合理分享初级产品进入加工销售领域后的增值利润。实现各类规模种养、加工、物流、流通无缝对接融合，提高农业综合效益。结合实施产业融合“千乡万村”工程，依托农产品加工业园区、现代农业示范区和农业产业化示范基地等平台，积极创建产业融合先导区。</w:t>
      </w:r>
    </w:p>
    <w:tbl>
      <w:tblPr>
        <w:tblStyle w:val="12"/>
        <w:tblW w:w="8760"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0" w:type="dxa"/>
          </w:tcPr>
          <w:p>
            <w:pPr>
              <w:adjustRightInd w:val="0"/>
              <w:snapToGrid w:val="0"/>
              <w:spacing w:line="560" w:lineRule="atLeast"/>
              <w:jc w:val="center"/>
              <w:rPr>
                <w:rFonts w:ascii="Times New Roman" w:hAnsi="Times New Roman" w:eastAsia="黑体" w:cs="Times New Roman"/>
                <w:sz w:val="30"/>
                <w:szCs w:val="30"/>
              </w:rPr>
            </w:pPr>
            <w:r>
              <w:rPr>
                <w:rFonts w:ascii="Times New Roman" w:hAnsi="Times New Roman" w:eastAsia="黑体" w:cs="Times New Roman"/>
                <w:sz w:val="30"/>
                <w:szCs w:val="30"/>
              </w:rPr>
              <w:t>专栏14  绿色加工业重点项目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60" w:type="dxa"/>
          </w:tcPr>
          <w:p>
            <w:pPr>
              <w:adjustRightInd w:val="0"/>
              <w:snapToGrid w:val="0"/>
              <w:spacing w:line="36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一、绿色加工业</w:t>
            </w:r>
          </w:p>
          <w:p>
            <w:pPr>
              <w:adjustRightInd w:val="0"/>
              <w:snapToGrid w:val="0"/>
              <w:spacing w:line="360" w:lineRule="exac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岗木达镇农特产品加工园区；南木达畜产品加工园区；慧科产业园等。</w:t>
            </w:r>
          </w:p>
          <w:p>
            <w:pPr>
              <w:adjustRightInd w:val="0"/>
              <w:snapToGrid w:val="0"/>
              <w:spacing w:line="36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二、企业培育</w:t>
            </w:r>
          </w:p>
          <w:p>
            <w:pPr>
              <w:adjustRightInd w:val="0"/>
              <w:snapToGrid w:val="0"/>
              <w:spacing w:line="360" w:lineRule="exact"/>
              <w:ind w:firstLine="480" w:firstLineChars="200"/>
              <w:rPr>
                <w:rFonts w:ascii="Times New Roman" w:hAnsi="Times New Roman" w:eastAsia="仿宋" w:cs="Times New Roman"/>
                <w:sz w:val="30"/>
                <w:szCs w:val="30"/>
              </w:rPr>
            </w:pPr>
            <w:r>
              <w:rPr>
                <w:rFonts w:hint="eastAsia" w:ascii="Times New Roman" w:hAnsi="Times New Roman" w:eastAsia="楷体_GB2312" w:cs="Times New Roman"/>
                <w:sz w:val="24"/>
              </w:rPr>
              <w:t>培育5—8家农畜产品加工企业，其中1家规上企业。</w:t>
            </w:r>
          </w:p>
        </w:tc>
      </w:tr>
    </w:tbl>
    <w:p>
      <w:pPr>
        <w:spacing w:line="520" w:lineRule="exact"/>
        <w:jc w:val="center"/>
        <w:rPr>
          <w:rFonts w:ascii="Times New Roman" w:hAnsi="Times New Roman" w:eastAsia="仿宋_GB2312" w:cs="Times New Roman"/>
          <w:sz w:val="32"/>
          <w:szCs w:val="32"/>
        </w:rPr>
      </w:pPr>
    </w:p>
    <w:p>
      <w:pPr>
        <w:spacing w:line="520" w:lineRule="exact"/>
        <w:jc w:val="center"/>
        <w:outlineLvl w:val="1"/>
        <w:rPr>
          <w:rFonts w:ascii="Times New Roman" w:hAnsi="Times New Roman" w:eastAsia="宋体" w:cs="Times New Roman"/>
          <w:b/>
          <w:bCs/>
          <w:sz w:val="36"/>
          <w:szCs w:val="36"/>
        </w:rPr>
      </w:pPr>
      <w:bookmarkStart w:id="160" w:name="_Toc24347"/>
      <w:bookmarkStart w:id="161" w:name="_Toc28008"/>
      <w:r>
        <w:rPr>
          <w:rFonts w:ascii="Times New Roman" w:hAnsi="Times New Roman" w:eastAsia="宋体" w:cs="Times New Roman"/>
          <w:b/>
          <w:bCs/>
          <w:sz w:val="36"/>
          <w:szCs w:val="36"/>
        </w:rPr>
        <w:t>第二节  有序发展清洁能源业</w:t>
      </w:r>
      <w:bookmarkEnd w:id="160"/>
      <w:bookmarkEnd w:id="161"/>
    </w:p>
    <w:p>
      <w:pPr>
        <w:spacing w:line="52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在保护生态环境前提下，根据国家产业政策，有序开发水电资源，积极发展太阳能和风能，因地制宜形成风、光、水多能互补的能源体系。</w:t>
      </w:r>
    </w:p>
    <w:p>
      <w:pPr>
        <w:spacing w:line="520" w:lineRule="exact"/>
        <w:ind w:firstLine="643" w:firstLineChars="200"/>
        <w:outlineLvl w:val="2"/>
        <w:rPr>
          <w:rFonts w:ascii="Times New Roman" w:hAnsi="Times New Roman" w:eastAsia="黑体" w:cs="Times New Roman"/>
          <w:b/>
          <w:bCs/>
          <w:sz w:val="32"/>
          <w:szCs w:val="32"/>
        </w:rPr>
      </w:pPr>
      <w:bookmarkStart w:id="162" w:name="_Toc24877"/>
      <w:r>
        <w:rPr>
          <w:rFonts w:ascii="Times New Roman" w:hAnsi="Times New Roman" w:eastAsia="黑体" w:cs="Times New Roman"/>
          <w:b/>
          <w:bCs/>
          <w:sz w:val="32"/>
          <w:szCs w:val="32"/>
        </w:rPr>
        <w:t>一、稳步推进水电开发</w:t>
      </w:r>
      <w:bookmarkEnd w:id="162"/>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坚持以水电为主的能源开发方针，着力调整优化水电开发结构。积极推动绰斯甲水电站建设，积极协调与金川在建和运营期间税收分成</w:t>
      </w:r>
      <w:r>
        <w:rPr>
          <w:rFonts w:hint="eastAsia" w:ascii="Times New Roman" w:hAnsi="Times New Roman" w:eastAsia="仿宋_GB2312" w:cs="Times New Roman"/>
          <w:sz w:val="32"/>
          <w:szCs w:val="32"/>
        </w:rPr>
        <w:t>及</w:t>
      </w:r>
      <w:r>
        <w:rPr>
          <w:rFonts w:ascii="Times New Roman" w:hAnsi="Times New Roman" w:eastAsia="仿宋_GB2312" w:cs="Times New Roman"/>
          <w:sz w:val="32"/>
          <w:szCs w:val="32"/>
        </w:rPr>
        <w:t>相关管理工作。积极争取国家对杜柯河水电开发项目的支持，推进配套送出线路规划建设，推进杜柯河水电基地建设。</w:t>
      </w:r>
    </w:p>
    <w:p>
      <w:pPr>
        <w:spacing w:line="520" w:lineRule="exact"/>
        <w:ind w:firstLine="643" w:firstLineChars="200"/>
        <w:outlineLvl w:val="2"/>
        <w:rPr>
          <w:rFonts w:ascii="Times New Roman" w:hAnsi="Times New Roman" w:eastAsia="黑体" w:cs="Times New Roman"/>
          <w:b/>
          <w:bCs/>
          <w:sz w:val="32"/>
          <w:szCs w:val="32"/>
        </w:rPr>
      </w:pPr>
      <w:bookmarkStart w:id="163" w:name="_Toc12595"/>
      <w:r>
        <w:rPr>
          <w:rFonts w:ascii="Times New Roman" w:hAnsi="Times New Roman" w:eastAsia="黑体" w:cs="Times New Roman"/>
          <w:b/>
          <w:bCs/>
          <w:sz w:val="32"/>
          <w:szCs w:val="32"/>
        </w:rPr>
        <w:t>二、加快发展新能源</w:t>
      </w:r>
      <w:bookmarkEnd w:id="163"/>
    </w:p>
    <w:p>
      <w:pPr>
        <w:spacing w:line="52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（一）加快发展太阳能发电。</w:t>
      </w:r>
      <w:r>
        <w:rPr>
          <w:rFonts w:ascii="Times New Roman" w:hAnsi="Times New Roman" w:eastAsia="仿宋_GB2312" w:cs="Times New Roman"/>
          <w:sz w:val="32"/>
          <w:szCs w:val="32"/>
        </w:rPr>
        <w:t>结合新能源项目送出条件，科学有序开发太阳能资源，优先发展分布式光伏发电，重点支持技术先进、综合利用的光伏发电项目和光伏扶贫项目。推进南木达村（三郎）、热格炯、尕卡等地光伏电站建设。在光照条件较好、具备建设和接网条件、外部环境较好的地区，建设一批光伏扶贫电站，实现脱贫对象稳定增收和可持续发展。</w:t>
      </w:r>
    </w:p>
    <w:p>
      <w:pPr>
        <w:spacing w:line="52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（二）适时推进风能发电。</w:t>
      </w:r>
      <w:r>
        <w:rPr>
          <w:rFonts w:ascii="Times New Roman" w:hAnsi="Times New Roman" w:eastAsia="仿宋_GB2312" w:cs="Times New Roman"/>
          <w:sz w:val="32"/>
          <w:szCs w:val="32"/>
        </w:rPr>
        <w:t>积极推动企业落实风电资源的合作开发框架协议，推进风电测风工作</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优化风电开发布局，总量控制，适度开发，依据阿坝州已批准实施的风电基地规划，进一步优化建设时序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动茸木达风能开发建设项目落地。到2025年，力争全县风电建设取得重大突破。充分发挥风、光、水清洁能源资源优势，积极推进杜柯河等流域风光水多能互补开发示范，探索新能源开发与水电开发协调发展、打捆外送的有效路径。</w:t>
      </w:r>
    </w:p>
    <w:tbl>
      <w:tblPr>
        <w:tblStyle w:val="12"/>
        <w:tblW w:w="8745" w:type="dxa"/>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8745" w:type="dxa"/>
            <w:vAlign w:val="center"/>
          </w:tcPr>
          <w:p>
            <w:pPr>
              <w:adjustRightInd w:val="0"/>
              <w:snapToGrid w:val="0"/>
              <w:spacing w:line="560" w:lineRule="atLeast"/>
              <w:jc w:val="center"/>
              <w:rPr>
                <w:rFonts w:ascii="Times New Roman" w:hAnsi="Times New Roman" w:eastAsia="黑体" w:cs="Times New Roman"/>
                <w:sz w:val="30"/>
                <w:szCs w:val="30"/>
              </w:rPr>
            </w:pPr>
            <w:r>
              <w:rPr>
                <w:rFonts w:ascii="Times New Roman" w:hAnsi="Times New Roman" w:eastAsia="黑体" w:cs="Times New Roman"/>
                <w:sz w:val="30"/>
                <w:szCs w:val="30"/>
              </w:rPr>
              <w:t>专栏15  清洁能源重点项目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1" w:hRule="atLeast"/>
        </w:trPr>
        <w:tc>
          <w:tcPr>
            <w:tcW w:w="8745" w:type="dxa"/>
          </w:tcPr>
          <w:p>
            <w:pPr>
              <w:adjustRightInd w:val="0"/>
              <w:snapToGrid w:val="0"/>
              <w:spacing w:line="36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一、水电开发</w:t>
            </w:r>
          </w:p>
          <w:p>
            <w:pPr>
              <w:adjustRightInd w:val="0"/>
              <w:snapToGrid w:val="0"/>
              <w:spacing w:line="360" w:lineRule="atLeas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绰斯甲水电站；明达电站增效扩容等。</w:t>
            </w:r>
          </w:p>
          <w:p>
            <w:pPr>
              <w:adjustRightInd w:val="0"/>
              <w:snapToGrid w:val="0"/>
              <w:spacing w:line="36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二、光伏开发</w:t>
            </w:r>
          </w:p>
          <w:p>
            <w:pPr>
              <w:adjustRightInd w:val="0"/>
              <w:snapToGrid w:val="0"/>
              <w:spacing w:line="360" w:lineRule="atLeas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南木达村（三郎）、热格炯、尕卡等地太阳能光伏开发等。</w:t>
            </w:r>
          </w:p>
          <w:p>
            <w:pPr>
              <w:adjustRightInd w:val="0"/>
              <w:snapToGrid w:val="0"/>
              <w:spacing w:line="36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三、风能开发</w:t>
            </w:r>
          </w:p>
          <w:p>
            <w:pPr>
              <w:adjustRightInd w:val="0"/>
              <w:snapToGrid w:val="0"/>
              <w:spacing w:line="360" w:lineRule="atLeast"/>
              <w:ind w:firstLine="480" w:firstLineChars="200"/>
              <w:rPr>
                <w:rFonts w:ascii="Times New Roman" w:hAnsi="Times New Roman" w:eastAsia="仿宋" w:cs="Times New Roman"/>
                <w:sz w:val="30"/>
                <w:szCs w:val="30"/>
              </w:rPr>
            </w:pPr>
            <w:r>
              <w:rPr>
                <w:rFonts w:hint="eastAsia" w:ascii="Times New Roman" w:hAnsi="Times New Roman" w:eastAsia="楷体_GB2312" w:cs="Times New Roman"/>
                <w:sz w:val="24"/>
              </w:rPr>
              <w:t>茸木达风电项目；南木达阿斯玛村风能发电开发等。</w:t>
            </w:r>
          </w:p>
        </w:tc>
      </w:tr>
    </w:tbl>
    <w:p>
      <w:pPr>
        <w:bidi w:val="0"/>
      </w:pPr>
      <w:bookmarkStart w:id="164" w:name="_Toc9186"/>
      <w:bookmarkStart w:id="165" w:name="_Toc27745"/>
    </w:p>
    <w:p>
      <w:pPr>
        <w:spacing w:line="560" w:lineRule="exact"/>
        <w:jc w:val="center"/>
        <w:outlineLvl w:val="1"/>
        <w:rPr>
          <w:rFonts w:ascii="Times New Roman" w:hAnsi="Times New Roman" w:eastAsia="宋体" w:cs="Times New Roman"/>
          <w:b/>
          <w:bCs/>
          <w:sz w:val="36"/>
          <w:szCs w:val="36"/>
        </w:rPr>
      </w:pPr>
      <w:r>
        <w:rPr>
          <w:rFonts w:ascii="Times New Roman" w:hAnsi="Times New Roman" w:eastAsia="宋体" w:cs="Times New Roman"/>
          <w:b/>
          <w:bCs/>
          <w:sz w:val="36"/>
          <w:szCs w:val="36"/>
        </w:rPr>
        <w:t>第三节  繁荣发展民族工艺</w:t>
      </w:r>
      <w:bookmarkEnd w:id="164"/>
      <w:bookmarkEnd w:id="165"/>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w:t>
      </w:r>
      <w:r>
        <w:rPr>
          <w:rFonts w:hint="eastAsia" w:ascii="Times New Roman" w:hAnsi="Times New Roman" w:eastAsia="楷体_GB2312" w:cs="Times New Roman"/>
          <w:b/>
          <w:bCs/>
          <w:sz w:val="32"/>
          <w:szCs w:val="32"/>
        </w:rPr>
        <w:t>“文化壤塘”</w:t>
      </w:r>
      <w:r>
        <w:rPr>
          <w:rFonts w:ascii="Times New Roman" w:hAnsi="Times New Roman" w:eastAsia="仿宋_GB2312" w:cs="Times New Roman"/>
          <w:sz w:val="32"/>
          <w:szCs w:val="32"/>
        </w:rPr>
        <w:t>建设目标，以民族特色文化资源的传承保护和开发利用为基础，以创新创意为动力，以发展“名、优、特、精、新”产品为方向，以完善体制机制和扶持政策为保障，促进传统工艺与现代科技和时代元素结合，积极发展民族工艺，打造“川甘青结合部民族工艺发展高地”。</w:t>
      </w:r>
    </w:p>
    <w:p>
      <w:pPr>
        <w:spacing w:line="560" w:lineRule="exact"/>
        <w:ind w:firstLine="643" w:firstLineChars="200"/>
        <w:outlineLvl w:val="2"/>
        <w:rPr>
          <w:rFonts w:ascii="Times New Roman" w:hAnsi="Times New Roman" w:eastAsia="黑体" w:cs="Times New Roman"/>
          <w:b/>
          <w:bCs/>
          <w:sz w:val="32"/>
          <w:szCs w:val="32"/>
        </w:rPr>
      </w:pPr>
      <w:bookmarkStart w:id="166" w:name="_Toc13123"/>
      <w:r>
        <w:rPr>
          <w:rFonts w:ascii="Times New Roman" w:hAnsi="Times New Roman" w:eastAsia="黑体" w:cs="Times New Roman"/>
          <w:b/>
          <w:bCs/>
          <w:sz w:val="32"/>
          <w:szCs w:val="32"/>
        </w:rPr>
        <w:t>一、实施分类指导调整产业结构</w:t>
      </w:r>
      <w:bookmarkEnd w:id="166"/>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（一）实施分类指导。</w:t>
      </w:r>
      <w:r>
        <w:rPr>
          <w:rFonts w:ascii="Times New Roman" w:hAnsi="Times New Roman" w:eastAsia="仿宋_GB2312" w:cs="Times New Roman"/>
          <w:sz w:val="32"/>
          <w:szCs w:val="32"/>
        </w:rPr>
        <w:t>对壤塘民族工艺企业类型和产品类别进行科学归类和划分，制定分类指导和扶持发展战略。针对具有各级非物质文化遗产的产品品类，坚持适应高端消费和满足大众需求“两条腿”走路原则，以品牌为导向，既保留传统工艺，制造精品，服务高端消费人群，又通过适度引进现代化设备，实现标准化和规模化生产，降低生产成本，满足中低端消费需求。</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（二）坚持“园内+园外”布局。</w:t>
      </w:r>
      <w:r>
        <w:rPr>
          <w:rFonts w:ascii="Times New Roman" w:hAnsi="Times New Roman" w:eastAsia="仿宋_GB2312" w:cs="Times New Roman"/>
          <w:sz w:val="32"/>
          <w:szCs w:val="32"/>
        </w:rPr>
        <w:t>以壤巴拉文化产业园为核心和基础，吸纳龙头企业和特色企业、专业合作社</w:t>
      </w:r>
      <w:r>
        <w:rPr>
          <w:rFonts w:hint="eastAsia" w:ascii="Times New Roman" w:hAnsi="Times New Roman" w:eastAsia="仿宋_GB2312" w:cs="Times New Roman"/>
          <w:sz w:val="32"/>
          <w:szCs w:val="32"/>
        </w:rPr>
        <w:t>或其他</w:t>
      </w:r>
      <w:r>
        <w:rPr>
          <w:rFonts w:ascii="Times New Roman" w:hAnsi="Times New Roman" w:eastAsia="仿宋_GB2312" w:cs="Times New Roman"/>
          <w:sz w:val="32"/>
          <w:szCs w:val="32"/>
        </w:rPr>
        <w:t>实体。对具有规模化发展基础的唐卡、陶艺、藏香、石刻等民族手工业，引入园区发展，发挥规模经济优势，带动</w:t>
      </w:r>
      <w:r>
        <w:rPr>
          <w:rFonts w:hint="eastAsia" w:ascii="Times New Roman" w:hAnsi="Times New Roman" w:eastAsia="仿宋_GB2312" w:cs="Times New Roman"/>
          <w:sz w:val="32"/>
          <w:szCs w:val="32"/>
        </w:rPr>
        <w:t>其他</w:t>
      </w:r>
      <w:r>
        <w:rPr>
          <w:rFonts w:ascii="Times New Roman" w:hAnsi="Times New Roman" w:eastAsia="仿宋_GB2312" w:cs="Times New Roman"/>
          <w:sz w:val="32"/>
          <w:szCs w:val="32"/>
        </w:rPr>
        <w:t>企业发展。对具有特色的小微企业、专业合作社</w:t>
      </w:r>
      <w:r>
        <w:rPr>
          <w:rFonts w:hint="eastAsia" w:ascii="Times New Roman" w:hAnsi="Times New Roman" w:eastAsia="仿宋_GB2312" w:cs="Times New Roman"/>
          <w:sz w:val="32"/>
          <w:szCs w:val="32"/>
        </w:rPr>
        <w:t>或其他</w:t>
      </w:r>
      <w:r>
        <w:rPr>
          <w:rFonts w:ascii="Times New Roman" w:hAnsi="Times New Roman" w:eastAsia="仿宋_GB2312" w:cs="Times New Roman"/>
          <w:sz w:val="32"/>
          <w:szCs w:val="32"/>
        </w:rPr>
        <w:t>实体，鼓励其走专、特、精发展之路，努力塑造特色产品和特色品牌。积极推进“农户/作坊+专业合作社/公司”的民族手工业发展模式，引导和鼓励农牧区分散的民族手工业作坊向专业合作社、企业化经营方式转变，实现科学分工，逐步形成布局集聚化，产品特色化，经营企业化的现代民族手工业发展格局。</w:t>
      </w:r>
    </w:p>
    <w:p>
      <w:pPr>
        <w:spacing w:line="560" w:lineRule="exact"/>
        <w:ind w:firstLine="643" w:firstLineChars="200"/>
        <w:outlineLvl w:val="2"/>
        <w:rPr>
          <w:rFonts w:ascii="Times New Roman" w:hAnsi="Times New Roman" w:eastAsia="黑体" w:cs="Times New Roman"/>
          <w:b/>
          <w:bCs/>
          <w:sz w:val="32"/>
          <w:szCs w:val="32"/>
        </w:rPr>
      </w:pPr>
      <w:bookmarkStart w:id="167" w:name="_Toc24515"/>
      <w:r>
        <w:rPr>
          <w:rFonts w:ascii="Times New Roman" w:hAnsi="Times New Roman" w:eastAsia="黑体" w:cs="Times New Roman"/>
          <w:b/>
          <w:bCs/>
          <w:sz w:val="32"/>
          <w:szCs w:val="32"/>
        </w:rPr>
        <w:t>二、推动技术创新提升产品质量</w:t>
      </w:r>
      <w:bookmarkEnd w:id="167"/>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（一）建设“壤巴拉民族文创产品保护与研发中心”。</w:t>
      </w:r>
      <w:r>
        <w:rPr>
          <w:rFonts w:ascii="Times New Roman" w:hAnsi="Times New Roman" w:eastAsia="仿宋_GB2312" w:cs="Times New Roman"/>
          <w:sz w:val="32"/>
          <w:szCs w:val="32"/>
        </w:rPr>
        <w:t>由政府建立“壤巴拉民族工艺产品保护与研发中心”，传承和保护壤塘民族民间工艺技术，弘扬民族优秀传统文化。推动民族工艺技术、产品的改进和创新。鼓励民族工艺企业加快提升产品开发设计能力，着力开发突出藏文化元素和地域特征的特色旅游商品，以增加新品种供给和品质提升满足市场新需求。积极引导大学、科研机构开展与民族工艺及产品相关的技术研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定期与企业之间开展信息、技术和人才交流，加大研究成果的转化和应用。适时引入现代技术和设备，推动民族手工传统工艺与现代装备、技术的结合，提高民族工艺企业装备技术水平。</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（二）推进主要民族工艺品种标准体系建设。</w:t>
      </w:r>
      <w:r>
        <w:rPr>
          <w:rFonts w:ascii="Times New Roman" w:hAnsi="Times New Roman" w:eastAsia="仿宋_GB2312" w:cs="Times New Roman"/>
          <w:sz w:val="32"/>
          <w:szCs w:val="32"/>
        </w:rPr>
        <w:t>加快制定</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唐卡、藏香、石刻等民族工艺主要品种的技术标准，对原材料选用、制作工艺、技术要求、产品分类、品牌标志、设计包装等多个环节进行规范，指导各生产企业、专业合作社和个体作坊进行规范化生产，适度推进民族工艺产品生产的专业化、标准化，加快主要民族工艺品国家地理标志申报和认证。</w:t>
      </w:r>
    </w:p>
    <w:p>
      <w:pPr>
        <w:spacing w:line="560" w:lineRule="exact"/>
        <w:ind w:firstLine="643" w:firstLineChars="200"/>
        <w:outlineLvl w:val="2"/>
        <w:rPr>
          <w:rFonts w:ascii="Times New Roman" w:hAnsi="Times New Roman" w:eastAsia="黑体" w:cs="Times New Roman"/>
          <w:b/>
          <w:bCs/>
          <w:sz w:val="32"/>
          <w:szCs w:val="32"/>
        </w:rPr>
      </w:pPr>
      <w:bookmarkStart w:id="168" w:name="_Toc22412"/>
      <w:r>
        <w:rPr>
          <w:rFonts w:ascii="Times New Roman" w:hAnsi="Times New Roman" w:eastAsia="黑体" w:cs="Times New Roman"/>
          <w:b/>
          <w:bCs/>
          <w:sz w:val="32"/>
          <w:szCs w:val="32"/>
        </w:rPr>
        <w:t>三、提升打造壤巴拉文化产业园</w:t>
      </w:r>
      <w:bookmarkEnd w:id="168"/>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（一）做大做强</w:t>
      </w:r>
      <w:r>
        <w:rPr>
          <w:rFonts w:hint="eastAsia" w:ascii="Times New Roman" w:hAnsi="Times New Roman" w:eastAsia="楷体_GB2312" w:cs="Times New Roman"/>
          <w:b/>
          <w:bCs/>
          <w:sz w:val="32"/>
          <w:szCs w:val="32"/>
          <w:highlight w:val="none"/>
        </w:rPr>
        <w:t>做响</w:t>
      </w:r>
      <w:r>
        <w:rPr>
          <w:rFonts w:ascii="Times New Roman" w:hAnsi="Times New Roman" w:eastAsia="楷体_GB2312" w:cs="Times New Roman"/>
          <w:b/>
          <w:bCs/>
          <w:sz w:val="32"/>
          <w:szCs w:val="32"/>
        </w:rPr>
        <w:t>壤巴拉文化产业园。</w:t>
      </w:r>
      <w:r>
        <w:rPr>
          <w:rFonts w:ascii="Times New Roman" w:hAnsi="Times New Roman" w:eastAsia="仿宋_GB2312" w:cs="Times New Roman"/>
          <w:sz w:val="32"/>
          <w:szCs w:val="32"/>
        </w:rPr>
        <w:t>加快推进壤巴拉文化产业园建设，促进产业融合和集聚发展。完善园区及基地交通、</w:t>
      </w:r>
      <w:r>
        <w:rPr>
          <w:rFonts w:hint="eastAsia" w:ascii="Times New Roman" w:hAnsi="Times New Roman" w:eastAsia="仿宋_GB2312" w:cs="Times New Roman"/>
          <w:sz w:val="32"/>
          <w:szCs w:val="32"/>
          <w:highlight w:val="none"/>
        </w:rPr>
        <w:t>通讯</w:t>
      </w:r>
      <w:r>
        <w:rPr>
          <w:rFonts w:ascii="Times New Roman" w:hAnsi="Times New Roman" w:eastAsia="仿宋_GB2312" w:cs="Times New Roman"/>
          <w:sz w:val="32"/>
          <w:szCs w:val="32"/>
        </w:rPr>
        <w:t>、网络、水电等基础设施建设和功能提升改造，引导民族手工企业入园发展，推动企业有序集聚，提升园区集聚效应，增强园区孵化功能。探索民族工艺与旅游文化业融合发展模式，充分利用</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唐卡、陶艺、藏香、藏药、石刻、</w:t>
      </w:r>
      <w:r>
        <w:rPr>
          <w:rFonts w:hint="eastAsia" w:ascii="Times New Roman" w:hAnsi="Times New Roman" w:eastAsia="仿宋_GB2312" w:cs="Times New Roman"/>
          <w:sz w:val="32"/>
          <w:szCs w:val="32"/>
        </w:rPr>
        <w:t>藏</w:t>
      </w:r>
      <w:r>
        <w:rPr>
          <w:rFonts w:ascii="Times New Roman" w:hAnsi="Times New Roman" w:eastAsia="仿宋_GB2312" w:cs="Times New Roman"/>
          <w:sz w:val="32"/>
          <w:szCs w:val="32"/>
        </w:rPr>
        <w:t>毯等民族工艺品生产过程的观赏性，将民族工艺发展与文化旅游开发相结合，吸引游客参与传统民族工艺品生产制作，实施体验营销，深度挖掘购买潜力。结合藏文化历史，积极发展动漫产业，推动《喜》系列、《格萨尔王》等动漫拍摄。到“十四五”末，力争把壤巴拉文化产业园建成亿元级产业园区。</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（二）加强非遗传习所建设。</w:t>
      </w:r>
      <w:r>
        <w:rPr>
          <w:rFonts w:ascii="Times New Roman" w:hAnsi="Times New Roman" w:eastAsia="仿宋_GB2312" w:cs="Times New Roman"/>
          <w:sz w:val="32"/>
          <w:szCs w:val="32"/>
        </w:rPr>
        <w:t>积极推动非遗传习所“公司化”发展，实现文化资源向文化资本转变。根据不同发展阶段，制定不同发展模式和支持办法。“十四五”期间，重点加强非遗传习所基础设施、品牌建设、市场拓展、产品营销等建设。利用</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唐卡、藏经石刻等非物质文化遗产，积极打造“中国非遗之乡”“中国藏经石刻艺术之乡”。以民族性与时尚性结合为切入点，推动民族工艺创新发展，不断开发符合现代审美标准和个性消费需求的壤巴拉民族工艺产品，以满足社会发展、旅游市场、文化交流和藏族群众生活品质提升需要。</w:t>
      </w:r>
    </w:p>
    <w:p>
      <w:pPr>
        <w:spacing w:line="560" w:lineRule="exact"/>
        <w:ind w:firstLine="643" w:firstLineChars="200"/>
        <w:outlineLvl w:val="2"/>
        <w:rPr>
          <w:rFonts w:ascii="Times New Roman" w:hAnsi="Times New Roman" w:eastAsia="黑体" w:cs="Times New Roman"/>
          <w:b/>
          <w:bCs/>
          <w:sz w:val="32"/>
          <w:szCs w:val="32"/>
        </w:rPr>
      </w:pPr>
      <w:bookmarkStart w:id="169" w:name="_Toc4287"/>
      <w:r>
        <w:rPr>
          <w:rFonts w:ascii="Times New Roman" w:hAnsi="Times New Roman" w:eastAsia="黑体" w:cs="Times New Roman"/>
          <w:b/>
          <w:bCs/>
          <w:sz w:val="32"/>
          <w:szCs w:val="32"/>
        </w:rPr>
        <w:t>四、加强营销平台和渠道建设</w:t>
      </w:r>
      <w:bookmarkEnd w:id="16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旅游业发展，积极发展民族工艺名优产品展示、展销市场和平台，拓宽营销渠道。加快推进电子商务，引导民族工艺企业和生产者采用“互联网＋”营销模式，充分利用淘宝、京东、天猫、云背篓等现有的综合平台开展网络营销，主动适应商业发展新业态要求。鼓励民族工艺品线上线下融合发展，在阿坝州重点旅游景区、成都市以及对口帮扶地区开设一批“壤巴拉民族工艺品”线下体检店，扩大壤塘民族工艺品网络营销规模，引导民族工艺与电子商务融合发展。依托传统节假日活动、文化旅游节、文化产业博览会等向社会各界推介大师和优秀民族工艺人及其作品，积极组织国家级、省级大师优秀作品和骨干企业、民间艺人参加各类文化产业博览会、工艺美术精品博览会、经贸展销会。重视运用新媒体传播民族工艺文化形式和特色，以时尚、商业定制、公益教育等形式探索开发合适的传播渠道，借力新媒体平台，扩大壤塘民族工艺文化的影响力。</w:t>
      </w:r>
    </w:p>
    <w:p>
      <w:pPr>
        <w:spacing w:line="560" w:lineRule="exact"/>
        <w:ind w:firstLine="643" w:firstLineChars="200"/>
        <w:outlineLvl w:val="2"/>
        <w:rPr>
          <w:rFonts w:ascii="Times New Roman" w:hAnsi="Times New Roman" w:eastAsia="黑体" w:cs="Times New Roman"/>
          <w:b/>
          <w:bCs/>
          <w:sz w:val="32"/>
          <w:szCs w:val="32"/>
        </w:rPr>
      </w:pPr>
      <w:bookmarkStart w:id="170" w:name="_Toc31277"/>
      <w:r>
        <w:rPr>
          <w:rFonts w:ascii="Times New Roman" w:hAnsi="Times New Roman" w:eastAsia="黑体" w:cs="Times New Roman"/>
          <w:b/>
          <w:bCs/>
          <w:sz w:val="32"/>
          <w:szCs w:val="32"/>
        </w:rPr>
        <w:t>五、加强民族工艺人才培养</w:t>
      </w:r>
      <w:bookmarkEnd w:id="17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民族工艺人才培养，坚持师徒传承与多种培养、教育模式相结合，将培育精益求精的工匠精神融入民族工艺人才培养体系，健全各层次民族工艺人才的资助和奖励机制，为民族工艺的传承和发展奠定人才基础。加快制定“壤塘民间艺人管理办法”，对民间艺人开展规范化管理，更好地发挥民间艺人在弘扬特色文化和传承传统技艺方面的突出作用。完善师承制度，依托国家级和省级工艺美术大师、非物质文化遗产传承人、民间艺人等优势资源，通过技艺传承，培养民族工艺骨干人才队伍。制定科学、标准、量化的民族工艺大师和工匠评定办法，认定一批壤塘民族工艺大师和匠人，切实提高社会待遇。支持企业建立民族工艺技艺培训中心，发挥传承人突出作用，以传帮带等形式重点培养唐卡、藏香、旅游纪念品等开发设计、制作人员，推进民族工艺人才队伍职业化发展。鼓励成立大师工作室，支持行业协会建立民族工艺交流平台，促进民族工艺企业间相互交流与沟通。</w:t>
      </w:r>
    </w:p>
    <w:p>
      <w:pPr>
        <w:spacing w:line="560" w:lineRule="exact"/>
        <w:ind w:firstLine="643" w:firstLineChars="200"/>
        <w:outlineLvl w:val="2"/>
        <w:rPr>
          <w:rFonts w:ascii="Times New Roman" w:hAnsi="Times New Roman" w:eastAsia="黑体" w:cs="Times New Roman"/>
          <w:b/>
          <w:bCs/>
          <w:sz w:val="32"/>
          <w:szCs w:val="32"/>
        </w:rPr>
      </w:pPr>
      <w:bookmarkStart w:id="171" w:name="_Toc23232"/>
      <w:r>
        <w:rPr>
          <w:rFonts w:ascii="Times New Roman" w:hAnsi="Times New Roman" w:eastAsia="黑体" w:cs="Times New Roman"/>
          <w:b/>
          <w:bCs/>
          <w:sz w:val="32"/>
          <w:szCs w:val="32"/>
        </w:rPr>
        <w:t>六、加快建立民族手工业协会</w:t>
      </w:r>
      <w:bookmarkEnd w:id="17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建立“壤塘县民族手工业协会”及藏香、唐卡、石刻等分行业协会。依托行业协会，全面调查、登记、收集和整理壤塘民族民间工艺技术、人才、原材料等档案，建立“壤塘民间工艺图文资料数据库”，摸清民族手工业家底，掌握民族手工业动态，从民族民间文化遗产存续和保护角度对具有重要历史、文化价值或濒临消亡的民族民间工艺予以梳理和认定，尽快确立保护工艺和重点项目，对其进行抢救、挖掘、整理与恢复。定期举办“民族民间工艺艺人技能大赛”。加强技术标准的研究制订和行业的规范自律，发挥其在政府和企业间的桥梁作用。</w:t>
      </w:r>
    </w:p>
    <w:tbl>
      <w:tblPr>
        <w:tblStyle w:val="12"/>
        <w:tblW w:w="8700"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00" w:type="dxa"/>
          </w:tcPr>
          <w:p>
            <w:pPr>
              <w:adjustRightInd w:val="0"/>
              <w:snapToGrid w:val="0"/>
              <w:spacing w:line="5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专栏16  民族工艺重点项目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5" w:hRule="atLeast"/>
        </w:trPr>
        <w:tc>
          <w:tcPr>
            <w:tcW w:w="8700" w:type="dxa"/>
            <w:vAlign w:val="center"/>
          </w:tcPr>
          <w:p>
            <w:pPr>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一、非遗传承与保护</w:t>
            </w:r>
          </w:p>
          <w:p>
            <w:pPr>
              <w:spacing w:line="440" w:lineRule="exac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壤巴拉非遗传习创业园基础设施提升；壤巴拉非遗传习创业园藏医药中心、雕刻传习中心、摩尼喜旋服饰传习中心等；文化产业园（壤巴拉非遗传习创业园）学员独立创作室；壤巴拉非遗传习创业园藏毯传习所等。</w:t>
            </w:r>
          </w:p>
          <w:p>
            <w:pPr>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二、园区建设</w:t>
            </w:r>
          </w:p>
          <w:p>
            <w:pPr>
              <w:spacing w:line="440" w:lineRule="exac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民族文化创业孵化中心；青年创业孵化园；文化生态保护园区；茸木达乡棒托石刻公园文化旅游综合体等。</w:t>
            </w:r>
          </w:p>
        </w:tc>
      </w:tr>
    </w:tbl>
    <w:p>
      <w:pPr>
        <w:spacing w:line="560" w:lineRule="exact"/>
        <w:jc w:val="center"/>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72" w:name="_Toc15804"/>
      <w:bookmarkStart w:id="173" w:name="_Toc3743"/>
      <w:r>
        <w:rPr>
          <w:rFonts w:ascii="Times New Roman" w:hAnsi="Times New Roman" w:eastAsia="宋体" w:cs="Times New Roman"/>
          <w:b/>
          <w:bCs/>
          <w:sz w:val="36"/>
          <w:szCs w:val="36"/>
        </w:rPr>
        <w:t>第四节  积极发展新兴经济</w:t>
      </w:r>
      <w:bookmarkEnd w:id="172"/>
      <w:bookmarkEnd w:id="173"/>
    </w:p>
    <w:p>
      <w:pPr>
        <w:spacing w:line="550" w:lineRule="exact"/>
        <w:ind w:firstLine="640" w:firstLineChars="200"/>
        <w:rPr>
          <w:rFonts w:ascii="Times New Roman" w:hAnsi="Times New Roman" w:eastAsia="仿宋_GB2312" w:cs="Times New Roman"/>
          <w:sz w:val="32"/>
          <w:szCs w:val="32"/>
        </w:rPr>
      </w:pPr>
    </w:p>
    <w:p>
      <w:pPr>
        <w:spacing w:line="55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利用丰富的生态资源、电力资源以及良好的气候条件，借助成阿、德阿等</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飞地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园区成熟的产业配套，积极发展碳汇交易、大数据产业等新兴经济，促进全县经济高质量发展。</w:t>
      </w:r>
    </w:p>
    <w:p>
      <w:pPr>
        <w:spacing w:line="550" w:lineRule="exact"/>
        <w:ind w:firstLine="643" w:firstLineChars="200"/>
        <w:outlineLvl w:val="2"/>
        <w:rPr>
          <w:rFonts w:ascii="Times New Roman" w:hAnsi="Times New Roman" w:eastAsia="黑体" w:cs="Times New Roman"/>
          <w:b/>
          <w:bCs/>
          <w:sz w:val="32"/>
          <w:szCs w:val="32"/>
        </w:rPr>
      </w:pPr>
      <w:bookmarkStart w:id="174" w:name="_Toc11689"/>
      <w:r>
        <w:rPr>
          <w:rFonts w:ascii="Times New Roman" w:hAnsi="Times New Roman" w:eastAsia="黑体" w:cs="Times New Roman"/>
          <w:b/>
          <w:bCs/>
          <w:sz w:val="32"/>
          <w:szCs w:val="32"/>
        </w:rPr>
        <w:t>一、适时发展碳汇交易</w:t>
      </w:r>
      <w:bookmarkEnd w:id="174"/>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结合我国高度重视绿色发展和生态文明建设的宏观环境，利用全县丰富的森林碳汇、草地碳汇和湿地碳汇，适时启动碳汇交易。加强与浙江等对口帮扶地区的对接，启动碳汇交易和碳排放权交易。加强森林资源建设，加大湿地保护力度，通过增加森林碳汇、稳定湿地碳汇、减少林业排放等方式增汇减排，积极争取进入国家和省州碳排放交易试点县名单。</w:t>
      </w:r>
    </w:p>
    <w:p>
      <w:pPr>
        <w:spacing w:line="550" w:lineRule="exact"/>
        <w:ind w:firstLine="643" w:firstLineChars="200"/>
        <w:outlineLvl w:val="2"/>
        <w:rPr>
          <w:rFonts w:ascii="Times New Roman" w:hAnsi="Times New Roman" w:eastAsia="黑体" w:cs="Times New Roman"/>
          <w:b/>
          <w:bCs/>
          <w:sz w:val="32"/>
          <w:szCs w:val="32"/>
        </w:rPr>
      </w:pPr>
      <w:bookmarkStart w:id="175" w:name="_Toc11845"/>
      <w:r>
        <w:rPr>
          <w:rFonts w:ascii="Times New Roman" w:hAnsi="Times New Roman" w:eastAsia="黑体" w:cs="Times New Roman"/>
          <w:b/>
          <w:bCs/>
          <w:sz w:val="32"/>
          <w:szCs w:val="32"/>
        </w:rPr>
        <w:t>二、努力争取发展电力消纳产业</w:t>
      </w:r>
      <w:bookmarkEnd w:id="175"/>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加强与成阿园区、德阿园区共建合作，利用上寨、上杜柯等地区电力供应稳定、气候条件适宜、环境质量优良、交通条件便利等优势在上寨打造全县电力消纳产业示范区，以大数据产业为主业态，数据处理服务为主业务，附加存储备份、设备监测、安全系统、远程维护、高性能云计算、机柜租赁等增值服务和其他配套产业。按照招商引资或合作模式，积极组织开展重点工商业与水电企业对接，建立长期战略合作机制，促成直购电合作。利用成阿园区、德阿园区留存电量低电价优势，吸引企业入驻成阿、德阿园区，促进富余电力消纳。推进园区共建，形成优势互补、效益共赢、成果共享的电力消纳产业发展模式。</w:t>
      </w:r>
      <w:r>
        <w:rPr>
          <w:rFonts w:ascii="Times New Roman" w:hAnsi="Times New Roman" w:eastAsia="仿宋_GB2312" w:cs="Times New Roman"/>
          <w:sz w:val="32"/>
          <w:szCs w:val="32"/>
        </w:rPr>
        <w:br w:type="page"/>
      </w:r>
    </w:p>
    <w:p>
      <w:pPr>
        <w:numPr>
          <w:ilvl w:val="0"/>
          <w:numId w:val="1"/>
        </w:numPr>
        <w:spacing w:line="700" w:lineRule="exact"/>
        <w:ind w:left="1760" w:leftChars="0" w:hanging="1760" w:hangingChars="400"/>
        <w:jc w:val="center"/>
        <w:outlineLvl w:val="0"/>
        <w:rPr>
          <w:rFonts w:ascii="Times New Roman" w:hAnsi="Times New Roman" w:eastAsia="方正小标宋_GBK" w:cs="Times New Roman"/>
          <w:sz w:val="44"/>
          <w:szCs w:val="44"/>
        </w:rPr>
      </w:pPr>
      <w:bookmarkStart w:id="176" w:name="_Toc10807"/>
      <w:bookmarkStart w:id="177" w:name="_Toc17034"/>
      <w:r>
        <w:rPr>
          <w:rFonts w:ascii="Times New Roman" w:hAnsi="Times New Roman" w:eastAsia="方正小标宋_GBK" w:cs="Times New Roman"/>
          <w:sz w:val="44"/>
          <w:szCs w:val="44"/>
        </w:rPr>
        <w:t xml:space="preserve"> 加快发展现代服务业，构建</w:t>
      </w:r>
    </w:p>
    <w:p>
      <w:pPr>
        <w:numPr>
          <w:ilvl w:val="0"/>
          <w:numId w:val="0"/>
        </w:numPr>
        <w:spacing w:line="700" w:lineRule="exact"/>
        <w:ind w:leftChars="-400"/>
        <w:jc w:val="center"/>
        <w:outlineLvl w:val="0"/>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“3+N”现代服务业体系</w:t>
      </w:r>
      <w:bookmarkEnd w:id="176"/>
      <w:bookmarkEnd w:id="177"/>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w:t>
      </w:r>
      <w:r>
        <w:rPr>
          <w:rFonts w:ascii="Times New Roman" w:hAnsi="Times New Roman" w:eastAsia="楷体_GB2312" w:cs="Times New Roman"/>
          <w:b/>
          <w:bCs/>
          <w:sz w:val="32"/>
          <w:szCs w:val="32"/>
        </w:rPr>
        <w:t>“幸福壤塘”</w:t>
      </w:r>
      <w:r>
        <w:rPr>
          <w:rFonts w:ascii="Times New Roman" w:hAnsi="Times New Roman" w:eastAsia="仿宋_GB2312" w:cs="Times New Roman"/>
          <w:sz w:val="32"/>
          <w:szCs w:val="32"/>
        </w:rPr>
        <w:t>目标，把加快服务业发展作为经济转型升级的战略支点，全力以赴做好生产性服务业和生活性服务业，着力构建以现代物流业、电子商务业、商贸流通业为主，健康养老、农村金融等为辅的</w:t>
      </w:r>
      <w:r>
        <w:rPr>
          <w:rFonts w:ascii="Times New Roman" w:hAnsi="Times New Roman" w:eastAsia="楷体_GB2312" w:cs="Times New Roman"/>
          <w:b/>
          <w:bCs/>
          <w:sz w:val="32"/>
          <w:szCs w:val="32"/>
        </w:rPr>
        <w:t>“3+N”现代服务业体系</w:t>
      </w:r>
      <w:r>
        <w:rPr>
          <w:rFonts w:ascii="Times New Roman" w:hAnsi="Times New Roman" w:eastAsia="仿宋_GB2312" w:cs="Times New Roman"/>
          <w:sz w:val="32"/>
          <w:szCs w:val="32"/>
        </w:rPr>
        <w:t>，提高服务业在国民经济中的比重和贡献率。</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78" w:name="_Toc14402"/>
      <w:bookmarkStart w:id="179" w:name="_Toc24174"/>
      <w:r>
        <w:rPr>
          <w:rFonts w:ascii="Times New Roman" w:hAnsi="Times New Roman" w:eastAsia="宋体" w:cs="Times New Roman"/>
          <w:b/>
          <w:bCs/>
          <w:sz w:val="36"/>
          <w:szCs w:val="36"/>
        </w:rPr>
        <w:t>第一节  积极发展现代物流业</w:t>
      </w:r>
      <w:bookmarkEnd w:id="178"/>
      <w:bookmarkEnd w:id="179"/>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依托G317和G227的改造升级，重点发展以G317和G227打造物流节点和商贸物流发展轴（</w:t>
      </w:r>
      <w:r>
        <w:rPr>
          <w:rFonts w:hint="eastAsia" w:ascii="Times New Roman" w:hAnsi="Times New Roman" w:eastAsia="仿宋_GB2312" w:cs="Times New Roman"/>
          <w:sz w:val="32"/>
          <w:szCs w:val="32"/>
          <w:highlight w:val="none"/>
        </w:rPr>
        <w:t>后备箱</w:t>
      </w:r>
      <w:r>
        <w:rPr>
          <w:rFonts w:ascii="Times New Roman" w:hAnsi="Times New Roman" w:eastAsia="仿宋_GB2312" w:cs="Times New Roman"/>
          <w:sz w:val="32"/>
          <w:szCs w:val="32"/>
        </w:rPr>
        <w:t>经济带）。在上寨、岗木达镇建设现代物流园区（节点）。大力发展第三方物流，重点发展冷链物流、应急物流（仓储）等。加强农畜产品、蔬菜批发交易市场的建设和改造提升力度，新建商品配送仓库，在县城或</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乡克久建设冷链物流配送中心，建立乡镇超市、连锁农家店等现代流通网点。完善跨区域运输的城镇物流配送网络，实现干线运输与城镇配送的有效衔接。打造县、乡（镇）、村三级物流网络，促进快递业发展。</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80" w:name="_Toc22254"/>
      <w:bookmarkStart w:id="181" w:name="_Toc3335"/>
      <w:r>
        <w:rPr>
          <w:rFonts w:ascii="Times New Roman" w:hAnsi="Times New Roman" w:eastAsia="宋体" w:cs="Times New Roman"/>
          <w:b/>
          <w:bCs/>
          <w:sz w:val="36"/>
          <w:szCs w:val="36"/>
        </w:rPr>
        <w:t>第二节  加快发展电子商务业</w:t>
      </w:r>
      <w:bookmarkEnd w:id="180"/>
      <w:bookmarkEnd w:id="181"/>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实施“互联网+”行动计划，扶持和培育电子商务服务企业发展，充分利用云背篓生态农业有限公司、扶贫832、央企平台等推广</w:t>
      </w:r>
      <w:r>
        <w:rPr>
          <w:rFonts w:hint="eastAsia" w:ascii="Times New Roman" w:hAnsi="Times New Roman" w:eastAsia="仿宋_GB2312" w:cs="Times New Roman"/>
          <w:sz w:val="32"/>
          <w:szCs w:val="32"/>
        </w:rPr>
        <w:t>“悬天净土·壤巴拉”区域公共品牌和</w:t>
      </w:r>
      <w:r>
        <w:rPr>
          <w:rFonts w:ascii="Times New Roman" w:hAnsi="Times New Roman" w:eastAsia="仿宋_GB2312" w:cs="Times New Roman"/>
          <w:sz w:val="32"/>
          <w:szCs w:val="32"/>
        </w:rPr>
        <w:t>“壤巴拉”产品。在淘宝、京东、拼多多等各大知名电商平台建立以</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唐卡、</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石刻、藏香、牦牛肉等壤塘特色产品展示销售于一体的“壤塘特色馆”，形成集聚效应，开展壤塘地方特色商品线上推广与销售。积极发展</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唐卡、石刻、藏香、藏药等非遗产品网上定制等业务。大力发展农牧区电商，建立产供销一体的农畜产品专业网络销售市场。继续做大做精“云端牦牛”，加强壤塘牦牛及特色产品的网络销售。</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82" w:name="_Toc30002"/>
      <w:bookmarkStart w:id="183" w:name="_Toc14046"/>
      <w:r>
        <w:rPr>
          <w:rFonts w:ascii="Times New Roman" w:hAnsi="Times New Roman" w:eastAsia="宋体" w:cs="Times New Roman"/>
          <w:b/>
          <w:bCs/>
          <w:sz w:val="36"/>
          <w:szCs w:val="36"/>
        </w:rPr>
        <w:t>第三节  繁荣发展商贸流通业</w:t>
      </w:r>
      <w:bookmarkEnd w:id="182"/>
      <w:bookmarkEnd w:id="183"/>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全域旅游业布局，巩固发展传统商贸流通业，积极完善城市生活服务配套，重点发展宾馆酒店住宿、特色餐饮、连锁品牌餐饮、超市、购物广场以及休闲娱乐等产业，增加有效服务供给，保障基本消费，扩大品质消费。发展网络化服务新业态，适应线上与线下互动、传统商贸与电子商务融合发展的新形势，改造提升传统商贸业，实现多业态发展。积极建设农牧区骨干商品流通体系，引导和支持商贸服务向农牧区延伸。大力发展文化产业园，为各类民族特色手工艺品、纺织品提供生产、展示、销售平台，打造融旅游、展示、销售等功能于一体的特色商贸经济。有序推进节会经济的发展，打造一批质量高、底蕴深、特色</w:t>
      </w:r>
      <w:r>
        <w:rPr>
          <w:rFonts w:hint="eastAsia" w:ascii="Times New Roman" w:hAnsi="Times New Roman" w:eastAsia="仿宋_GB2312" w:cs="Times New Roman"/>
          <w:sz w:val="32"/>
          <w:szCs w:val="32"/>
        </w:rPr>
        <w:t>浓</w:t>
      </w:r>
      <w:r>
        <w:rPr>
          <w:rFonts w:ascii="Times New Roman" w:hAnsi="Times New Roman" w:eastAsia="仿宋_GB2312" w:cs="Times New Roman"/>
          <w:sz w:val="32"/>
          <w:szCs w:val="32"/>
        </w:rPr>
        <w:t>的民族节会。依托县、乡（镇）、村三级零售商业体系以及“万村千乡”农家店网络，有效扶持特需商品生产企业与流通企业，保障并丰富民族特需商品</w:t>
      </w:r>
      <w:r>
        <w:rPr>
          <w:rFonts w:hint="eastAsia" w:ascii="Times New Roman" w:hAnsi="Times New Roman" w:eastAsia="仿宋_GB2312" w:cs="Times New Roman"/>
          <w:sz w:val="32"/>
          <w:szCs w:val="32"/>
          <w:highlight w:val="none"/>
        </w:rPr>
        <w:t>的供给</w:t>
      </w:r>
      <w:r>
        <w:rPr>
          <w:rFonts w:ascii="Times New Roman" w:hAnsi="Times New Roman" w:eastAsia="仿宋_GB2312" w:cs="Times New Roman"/>
          <w:sz w:val="32"/>
          <w:szCs w:val="32"/>
        </w:rPr>
        <w:t>。充分利用绵阳、温州等对口援藏地区人口和区位优势，积极建设“壤巴拉”商品售卖专店。</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84" w:name="_Toc28032"/>
      <w:bookmarkStart w:id="185" w:name="_Toc8993"/>
      <w:r>
        <w:rPr>
          <w:rFonts w:ascii="Times New Roman" w:hAnsi="Times New Roman" w:eastAsia="宋体" w:cs="Times New Roman"/>
          <w:b/>
          <w:bCs/>
          <w:sz w:val="36"/>
          <w:szCs w:val="36"/>
        </w:rPr>
        <w:t>第四节  重视发展其他服务业</w:t>
      </w:r>
      <w:bookmarkEnd w:id="184"/>
      <w:bookmarkEnd w:id="185"/>
    </w:p>
    <w:p>
      <w:pPr>
        <w:spacing w:line="560" w:lineRule="exact"/>
        <w:ind w:firstLine="640" w:firstLineChars="200"/>
        <w:rPr>
          <w:rFonts w:ascii="Times New Roman" w:hAnsi="Times New Roman" w:eastAsia="仿宋_GB2312" w:cs="Times New Roman"/>
          <w:sz w:val="32"/>
          <w:szCs w:val="32"/>
        </w:rPr>
      </w:pPr>
    </w:p>
    <w:p>
      <w:pPr>
        <w:spacing w:line="560" w:lineRule="exact"/>
        <w:ind w:firstLine="643" w:firstLineChars="200"/>
        <w:outlineLvl w:val="2"/>
        <w:rPr>
          <w:rFonts w:ascii="Times New Roman" w:hAnsi="Times New Roman" w:eastAsia="黑体" w:cs="Times New Roman"/>
          <w:b/>
          <w:bCs/>
          <w:sz w:val="32"/>
          <w:szCs w:val="32"/>
        </w:rPr>
      </w:pPr>
      <w:bookmarkStart w:id="186" w:name="_Toc1402"/>
      <w:r>
        <w:rPr>
          <w:rFonts w:ascii="Times New Roman" w:hAnsi="Times New Roman" w:eastAsia="黑体" w:cs="Times New Roman"/>
          <w:b/>
          <w:bCs/>
          <w:sz w:val="32"/>
          <w:szCs w:val="32"/>
        </w:rPr>
        <w:t>一、创新发展农村金融业</w:t>
      </w:r>
      <w:bookmarkEnd w:id="18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进一步扩大金融对“三农”发展领域的推动作用，加大信贷投放力度，提高金融服务能力。试点发展村镇银行。创新金融服务模式及产品，提高金融服务实体经济的效率，降低企业融资成本。大力发展普惠金融，着力加强对中小微企业、农牧区特别是乡村振兴的金融服务。支持并规范第三方支付等互联网金融在农牧区的发展。大力发展现代保险业，提升商业保险在种植业、养殖业、加工业、文化旅游等产业发展中的服务管理功能。</w:t>
      </w:r>
    </w:p>
    <w:p>
      <w:pPr>
        <w:spacing w:line="560" w:lineRule="exact"/>
        <w:ind w:firstLine="643" w:firstLineChars="200"/>
        <w:outlineLvl w:val="2"/>
        <w:rPr>
          <w:rFonts w:ascii="Times New Roman" w:hAnsi="Times New Roman" w:eastAsia="黑体" w:cs="Times New Roman"/>
          <w:b/>
          <w:bCs/>
          <w:sz w:val="32"/>
          <w:szCs w:val="32"/>
        </w:rPr>
      </w:pPr>
      <w:bookmarkStart w:id="187" w:name="_Toc3146"/>
      <w:r>
        <w:rPr>
          <w:rFonts w:ascii="Times New Roman" w:hAnsi="Times New Roman" w:eastAsia="黑体" w:cs="Times New Roman"/>
          <w:b/>
          <w:bCs/>
          <w:sz w:val="32"/>
          <w:szCs w:val="32"/>
        </w:rPr>
        <w:t>二、探索发展健康养老业</w:t>
      </w:r>
      <w:bookmarkEnd w:id="18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构建以居家为基础、社区为依托、机构为补充，医养融合式健康养老服务体系。鼓励民间资本进入健康养老领域。鼓励农牧区发展具有当地特点和民族特色的养老服务。引导社会力量兴办或托管社区老年人日间照料中心、老年服务中心等养老服务设施，提高高龄老人补贴，在蒲西、南木达、岗木达建设壤塘养老服务示范基地，促进医养融合发展。围绕提升全民健康素质和水平，鼓励发展多样化健康养老服务。</w:t>
      </w:r>
    </w:p>
    <w:tbl>
      <w:tblPr>
        <w:tblStyle w:val="12"/>
        <w:tblW w:w="8715" w:type="dxa"/>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5" w:type="dxa"/>
          </w:tcPr>
          <w:p>
            <w:pPr>
              <w:spacing w:line="5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专栏17  现代服务业重点项目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5" w:type="dxa"/>
          </w:tcPr>
          <w:p>
            <w:pPr>
              <w:adjustRightInd w:val="0"/>
              <w:snapToGrid w:val="0"/>
              <w:spacing w:line="400" w:lineRule="exact"/>
              <w:ind w:firstLine="480" w:firstLineChars="200"/>
              <w:rPr>
                <w:rFonts w:ascii="Times New Roman" w:hAnsi="Times New Roman" w:eastAsia="楷体" w:cs="Times New Roman"/>
                <w:sz w:val="24"/>
              </w:rPr>
            </w:pPr>
            <w:r>
              <w:rPr>
                <w:rFonts w:ascii="Times New Roman" w:hAnsi="Times New Roman" w:eastAsia="黑体" w:cs="Times New Roman"/>
                <w:sz w:val="24"/>
              </w:rPr>
              <w:t>一、农贸市场建设</w:t>
            </w:r>
          </w:p>
          <w:p>
            <w:pPr>
              <w:adjustRightInd w:val="0"/>
              <w:snapToGrid w:val="0"/>
              <w:spacing w:line="400" w:lineRule="exac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县城农贸市场以及中壤塘镇、南木达镇、上寨等集镇农贸市场建设等。</w:t>
            </w:r>
          </w:p>
          <w:p>
            <w:pPr>
              <w:adjustRightInd w:val="0"/>
              <w:snapToGrid w:val="0"/>
              <w:spacing w:line="40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二、物流服务体系</w:t>
            </w:r>
          </w:p>
          <w:p>
            <w:pPr>
              <w:adjustRightInd w:val="0"/>
              <w:snapToGrid w:val="0"/>
              <w:spacing w:line="400" w:lineRule="exac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物流服务网络（配送站、服务网点等）建设；县级物流配送中心，包括普通商品仓储区、物流快递区、冷链仓储区、分级分拣区、物流车辆停放区、农产品初加工区、办公区、购置冷链车等；公共配送投递中心；冷链物流中心；川青甘结合部电子商务中心；电子商务平台系统；多式联运示范工程；应急配送中心；城乡物流配送网点等。</w:t>
            </w:r>
          </w:p>
          <w:p>
            <w:pPr>
              <w:adjustRightInd w:val="0"/>
              <w:snapToGrid w:val="0"/>
              <w:spacing w:line="40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三、市场</w:t>
            </w:r>
            <w:r>
              <w:rPr>
                <w:rFonts w:hint="eastAsia" w:ascii="Times New Roman" w:hAnsi="Times New Roman" w:eastAsia="黑体" w:cs="Times New Roman"/>
                <w:sz w:val="24"/>
              </w:rPr>
              <w:t>监管体系建设</w:t>
            </w:r>
            <w:r>
              <w:rPr>
                <w:rFonts w:ascii="Times New Roman" w:hAnsi="Times New Roman" w:eastAsia="黑体" w:cs="Times New Roman"/>
                <w:sz w:val="24"/>
              </w:rPr>
              <w:t>及其他</w:t>
            </w:r>
          </w:p>
          <w:p>
            <w:pPr>
              <w:adjustRightInd w:val="0"/>
              <w:snapToGrid w:val="0"/>
              <w:spacing w:line="400" w:lineRule="exac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市场监管基层能力建设；市场监管信息化建设；中壤塘、上寨等市场监管所建设等。</w:t>
            </w:r>
          </w:p>
        </w:tc>
      </w:tr>
    </w:tbl>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700" w:lineRule="exact"/>
        <w:ind w:left="1760" w:leftChars="0" w:hanging="1760" w:hangingChars="400"/>
        <w:jc w:val="center"/>
        <w:textAlignment w:val="auto"/>
        <w:outlineLvl w:val="0"/>
        <w:rPr>
          <w:rFonts w:hint="eastAsia" w:ascii="Times New Roman" w:hAnsi="Times New Roman" w:eastAsia="方正小标宋_GBK" w:cs="Times New Roman"/>
          <w:sz w:val="44"/>
          <w:szCs w:val="44"/>
          <w:lang w:eastAsia="zh-CN"/>
        </w:rPr>
      </w:pPr>
      <w:bookmarkStart w:id="188" w:name="_Toc16628"/>
      <w:bookmarkStart w:id="189" w:name="_Toc22349"/>
      <w:r>
        <w:rPr>
          <w:rFonts w:ascii="Times New Roman" w:hAnsi="Times New Roman" w:eastAsia="方正小标宋_GBK" w:cs="Times New Roman"/>
          <w:sz w:val="44"/>
          <w:szCs w:val="44"/>
        </w:rPr>
        <w:t xml:space="preserve"> 统筹推进城镇化和乡村振兴</w:t>
      </w:r>
      <w:r>
        <w:rPr>
          <w:rFonts w:hint="eastAsia" w:ascii="Times New Roman" w:hAnsi="Times New Roman" w:eastAsia="方正小标宋_GBK" w:cs="Times New Roman"/>
          <w:sz w:val="44"/>
          <w:szCs w:val="4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700" w:lineRule="exact"/>
        <w:ind w:leftChars="-400"/>
        <w:jc w:val="center"/>
        <w:textAlignment w:val="auto"/>
        <w:outlineLvl w:val="0"/>
        <w:rPr>
          <w:rFonts w:ascii="Times New Roman" w:hAnsi="Times New Roman" w:eastAsia="方正小标宋_GBK" w:cs="Times New Roman"/>
          <w:sz w:val="44"/>
          <w:szCs w:val="44"/>
        </w:rPr>
      </w:pP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构建城乡融合发展新格局</w:t>
      </w:r>
      <w:bookmarkEnd w:id="188"/>
      <w:bookmarkEnd w:id="189"/>
    </w:p>
    <w:p>
      <w:pPr>
        <w:spacing w:line="500" w:lineRule="exact"/>
        <w:ind w:firstLine="640" w:firstLineChars="200"/>
        <w:rPr>
          <w:rFonts w:ascii="Times New Roman" w:hAnsi="Times New Roman" w:eastAsia="仿宋_GB2312" w:cs="Times New Roman"/>
          <w:sz w:val="32"/>
          <w:szCs w:val="32"/>
        </w:rPr>
      </w:pPr>
    </w:p>
    <w:p>
      <w:pPr>
        <w:spacing w:line="50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w:t>
      </w:r>
      <w:r>
        <w:rPr>
          <w:rFonts w:ascii="Times New Roman" w:hAnsi="Times New Roman" w:eastAsia="楷体_GB2312" w:cs="Times New Roman"/>
          <w:b/>
          <w:bCs/>
          <w:sz w:val="32"/>
          <w:szCs w:val="32"/>
        </w:rPr>
        <w:t>“美丽壤塘”</w:t>
      </w:r>
      <w:r>
        <w:rPr>
          <w:rFonts w:ascii="Times New Roman" w:hAnsi="Times New Roman" w:eastAsia="仿宋_GB2312" w:cs="Times New Roman"/>
          <w:sz w:val="32"/>
          <w:szCs w:val="32"/>
        </w:rPr>
        <w:t>目标，统筹推进城镇化和乡村振兴，高质量推进城乡建设，优化城镇空间布局和形态，促进城乡空间布局一体、基础设施互联、公共服务共享、各类要素自由流动，加快形成城乡互补、全面融合、共同繁荣的新型城乡格局。</w:t>
      </w:r>
    </w:p>
    <w:p>
      <w:pPr>
        <w:spacing w:line="50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190" w:name="_Toc8156"/>
      <w:bookmarkStart w:id="191" w:name="_Toc13533"/>
      <w:r>
        <w:rPr>
          <w:rFonts w:ascii="Times New Roman" w:hAnsi="Times New Roman" w:eastAsia="宋体" w:cs="Times New Roman"/>
          <w:b/>
          <w:bCs/>
          <w:sz w:val="36"/>
          <w:szCs w:val="36"/>
        </w:rPr>
        <w:t>第</w:t>
      </w:r>
      <w:r>
        <w:rPr>
          <w:rFonts w:hint="eastAsia" w:ascii="Times New Roman" w:hAnsi="Times New Roman" w:eastAsia="宋体" w:cs="Times New Roman"/>
          <w:b/>
          <w:bCs/>
          <w:sz w:val="36"/>
          <w:szCs w:val="36"/>
        </w:rPr>
        <w:t>一</w:t>
      </w:r>
      <w:r>
        <w:rPr>
          <w:rFonts w:ascii="Times New Roman" w:hAnsi="Times New Roman" w:eastAsia="宋体" w:cs="Times New Roman"/>
          <w:b/>
          <w:bCs/>
          <w:sz w:val="36"/>
          <w:szCs w:val="36"/>
        </w:rPr>
        <w:t>节  持续巩固脱贫攻坚成果</w:t>
      </w:r>
      <w:bookmarkEnd w:id="190"/>
      <w:bookmarkEnd w:id="191"/>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“十四五”期间，把解决相对贫困，防止返贫及新增贫困群体作为重点工作，强化巩固脱贫攻坚成果与乡村振兴战略有</w:t>
      </w:r>
      <w:r>
        <w:rPr>
          <w:rFonts w:hint="eastAsia" w:ascii="Times New Roman" w:hAnsi="Times New Roman" w:eastAsia="仿宋_GB2312" w:cs="Times New Roman"/>
          <w:sz w:val="32"/>
          <w:szCs w:val="32"/>
        </w:rPr>
        <w:t>效</w:t>
      </w:r>
      <w:r>
        <w:rPr>
          <w:rFonts w:ascii="Times New Roman" w:hAnsi="Times New Roman" w:eastAsia="仿宋_GB2312" w:cs="Times New Roman"/>
          <w:sz w:val="32"/>
          <w:szCs w:val="32"/>
        </w:rPr>
        <w:t>衔接。进一步完善产业发展、社会事业、稳岗就业、兜底保障等政策和措施，确保最终实现巩固脱贫攻坚成果，解决相对贫困，筑牢防返贫底线，实现共同富裕。</w:t>
      </w:r>
    </w:p>
    <w:p>
      <w:pPr>
        <w:spacing w:line="560" w:lineRule="exact"/>
        <w:ind w:firstLine="643" w:firstLineChars="200"/>
        <w:outlineLvl w:val="2"/>
        <w:rPr>
          <w:rFonts w:ascii="Times New Roman" w:hAnsi="Times New Roman" w:eastAsia="黑体" w:cs="Times New Roman"/>
          <w:b/>
          <w:bCs/>
          <w:sz w:val="32"/>
          <w:szCs w:val="32"/>
        </w:rPr>
      </w:pPr>
      <w:bookmarkStart w:id="192" w:name="_Toc2451"/>
      <w:r>
        <w:rPr>
          <w:rFonts w:ascii="Times New Roman" w:hAnsi="Times New Roman" w:eastAsia="黑体" w:cs="Times New Roman"/>
          <w:b/>
          <w:bCs/>
          <w:sz w:val="32"/>
          <w:szCs w:val="32"/>
        </w:rPr>
        <w:t>一、健全防返贫监测和帮扶机制</w:t>
      </w:r>
      <w:bookmarkEnd w:id="192"/>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按照“摘帽不摘责任、摘帽不摘政策、摘帽不摘帮扶、摘帽不摘监管”的要求，建立健全防止返贫长效机制。提高稳定脱贫的长效性和群众满意度，全面巩固脱贫攻坚成果，确保稳定脱贫不群体性返贫。对脱贫不稳定人口和边缘人口进行预警监测</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常态化开展帮扶对象“回头看”“回头帮”。建立解决相对贫困长效机制，坚持常态监测、定期比对、动态调整，实现脱贫攻坚成果巩固和乡村振兴有</w:t>
      </w:r>
      <w:r>
        <w:rPr>
          <w:rFonts w:hint="eastAsia" w:ascii="Times New Roman" w:hAnsi="Times New Roman" w:eastAsia="仿宋_GB2312" w:cs="Times New Roman"/>
          <w:sz w:val="32"/>
          <w:szCs w:val="32"/>
        </w:rPr>
        <w:t>效</w:t>
      </w:r>
      <w:r>
        <w:rPr>
          <w:rFonts w:ascii="Times New Roman" w:hAnsi="Times New Roman" w:eastAsia="仿宋_GB2312" w:cs="Times New Roman"/>
          <w:sz w:val="32"/>
          <w:szCs w:val="32"/>
        </w:rPr>
        <w:t>衔接。</w:t>
      </w:r>
    </w:p>
    <w:p>
      <w:pPr>
        <w:spacing w:line="560" w:lineRule="exact"/>
        <w:ind w:firstLine="643" w:firstLineChars="200"/>
        <w:outlineLvl w:val="2"/>
        <w:rPr>
          <w:rFonts w:ascii="Times New Roman" w:hAnsi="Times New Roman" w:eastAsia="黑体" w:cs="Times New Roman"/>
          <w:b/>
          <w:bCs/>
          <w:sz w:val="32"/>
          <w:szCs w:val="32"/>
        </w:rPr>
      </w:pPr>
      <w:bookmarkStart w:id="193" w:name="_Toc1966"/>
      <w:r>
        <w:rPr>
          <w:rFonts w:ascii="Times New Roman" w:hAnsi="Times New Roman" w:eastAsia="黑体" w:cs="Times New Roman"/>
          <w:b/>
          <w:bCs/>
          <w:sz w:val="32"/>
          <w:szCs w:val="32"/>
        </w:rPr>
        <w:t>二、多渠道巩固脱贫攻坚成果</w:t>
      </w:r>
      <w:bookmarkEnd w:id="19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大力发展特色产业，促进产业发展，发挥产业龙头企业带动作用，进一步抓牢抓实集体经济，增强相对贫困人口自身“造血功能”；大力实施就业帮扶，做好相对贫困人口就业调查摸底工作，根据劳动者就业创业和技能培训意愿“量身定制”帮扶措施，加大公益性岗位开发力度；继续实施消费扶贫行动，用好“四川扶贫”公益性集体商标，鼓励对口援藏地区、部门和单位优先采购“四川扶贫”“净土阿坝”壤塘扶贫产品；加快农村电子商务销售服务站、乡村物流网点建设，大力推动扶贫产品进商超、进食堂、进企业。抓好市场拓展活动，组织好产销对接，畅通农产品销售渠道，解决农产品难运难卖的问题；始终坚持治穷治愚相结合，扶贫与扶志</w:t>
      </w:r>
      <w:r>
        <w:rPr>
          <w:rFonts w:hint="eastAsia" w:ascii="Times New Roman" w:hAnsi="Times New Roman" w:eastAsia="仿宋_GB2312" w:cs="Times New Roman"/>
          <w:sz w:val="32"/>
          <w:szCs w:val="32"/>
        </w:rPr>
        <w:t>、扶智相</w:t>
      </w:r>
      <w:r>
        <w:rPr>
          <w:rFonts w:ascii="Times New Roman" w:hAnsi="Times New Roman" w:eastAsia="仿宋_GB2312" w:cs="Times New Roman"/>
          <w:sz w:val="32"/>
          <w:szCs w:val="32"/>
        </w:rPr>
        <w:t>结合，提升相对脱贫人口基本素质，激发群众的内生动力，增强脱贫人口致富的信心和勇气，巩固脱贫成果；加大公共基础设施和公共服务的运营维护，建立后续长效管护措施，使其发挥长期效益；立足长远实施文化帮扶，通过创建“传习基地”、开展“生产性保护”、培育“活态化传承”等方式，培养大量文化稀缺性技能人才，实现稳定就业促增收的“文化+扶贫”模式，为脱贫人口增收找准最有效的出路；促进脱贫攻坚政策与实施乡村振兴战略的有效衔接，确保脱贫后项目正常对接不断档，逐步解决好农村基础设施短板，接续乡村振兴。</w:t>
      </w:r>
    </w:p>
    <w:tbl>
      <w:tblPr>
        <w:tblStyle w:val="12"/>
        <w:tblW w:w="8790"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tcPr>
          <w:p>
            <w:pPr>
              <w:spacing w:line="56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w:t>
            </w:r>
            <w:r>
              <w:rPr>
                <w:rFonts w:hint="eastAsia" w:ascii="Times New Roman" w:hAnsi="Times New Roman" w:eastAsia="黑体" w:cs="Times New Roman"/>
                <w:sz w:val="28"/>
                <w:szCs w:val="28"/>
              </w:rPr>
              <w:t>18</w:t>
            </w:r>
            <w:r>
              <w:rPr>
                <w:rFonts w:ascii="Times New Roman" w:hAnsi="Times New Roman" w:eastAsia="黑体" w:cs="Times New Roman"/>
                <w:sz w:val="28"/>
                <w:szCs w:val="28"/>
              </w:rPr>
              <w:t xml:space="preserve">  巩固脱贫攻坚重点项目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tcPr>
          <w:p>
            <w:pPr>
              <w:adjustRightInd w:val="0"/>
              <w:snapToGrid w:val="0"/>
              <w:spacing w:line="420" w:lineRule="atLeas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一、乡镇脱贫攻坚基础设施提升。</w:t>
            </w:r>
          </w:p>
          <w:p>
            <w:pPr>
              <w:adjustRightInd w:val="0"/>
              <w:snapToGrid w:val="0"/>
              <w:spacing w:line="420" w:lineRule="atLeas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二、易地搬迁后续产业发展。</w:t>
            </w:r>
          </w:p>
        </w:tc>
      </w:tr>
    </w:tbl>
    <w:p>
      <w:pPr>
        <w:spacing w:line="560" w:lineRule="exact"/>
        <w:jc w:val="center"/>
        <w:outlineLvl w:val="1"/>
        <w:rPr>
          <w:rFonts w:ascii="Times New Roman" w:hAnsi="Times New Roman" w:eastAsia="宋体" w:cs="Times New Roman"/>
          <w:b/>
          <w:bCs/>
          <w:sz w:val="36"/>
          <w:szCs w:val="36"/>
        </w:rPr>
      </w:pPr>
      <w:bookmarkStart w:id="194" w:name="_Toc31088"/>
      <w:bookmarkStart w:id="195" w:name="_Toc2904"/>
      <w:r>
        <w:rPr>
          <w:rFonts w:ascii="Times New Roman" w:hAnsi="Times New Roman" w:eastAsia="宋体" w:cs="Times New Roman"/>
          <w:b/>
          <w:bCs/>
          <w:sz w:val="36"/>
          <w:szCs w:val="36"/>
        </w:rPr>
        <w:t>第二节  大力实施乡村振兴战略</w:t>
      </w:r>
      <w:bookmarkEnd w:id="194"/>
      <w:bookmarkEnd w:id="195"/>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全面推进乡村建设，加强脱贫攻坚后续扶持与实施乡村振兴战略</w:t>
      </w:r>
      <w:r>
        <w:rPr>
          <w:rFonts w:hint="eastAsia" w:ascii="Times New Roman" w:hAnsi="Times New Roman" w:eastAsia="仿宋_GB2312" w:cs="Times New Roman"/>
          <w:sz w:val="32"/>
          <w:szCs w:val="32"/>
        </w:rPr>
        <w:t>有效衔接</w:t>
      </w:r>
      <w:r>
        <w:rPr>
          <w:rFonts w:ascii="Times New Roman" w:hAnsi="Times New Roman" w:eastAsia="仿宋_GB2312" w:cs="Times New Roman"/>
          <w:sz w:val="32"/>
          <w:szCs w:val="32"/>
        </w:rPr>
        <w:t>，巩固脱贫攻坚成效，推动全县乡村产业振兴、人才振兴、文化振兴、生态振兴和组织振兴。</w:t>
      </w:r>
    </w:p>
    <w:p>
      <w:pPr>
        <w:spacing w:line="560" w:lineRule="exact"/>
        <w:ind w:firstLine="643" w:firstLineChars="200"/>
        <w:outlineLvl w:val="2"/>
        <w:rPr>
          <w:rFonts w:ascii="Times New Roman" w:hAnsi="Times New Roman" w:eastAsia="黑体" w:cs="Times New Roman"/>
          <w:b/>
          <w:bCs/>
          <w:sz w:val="32"/>
          <w:szCs w:val="32"/>
        </w:rPr>
      </w:pPr>
      <w:bookmarkStart w:id="196" w:name="_Toc28253"/>
      <w:r>
        <w:rPr>
          <w:rFonts w:ascii="Times New Roman" w:hAnsi="Times New Roman" w:eastAsia="黑体" w:cs="Times New Roman"/>
          <w:b/>
          <w:bCs/>
          <w:sz w:val="32"/>
          <w:szCs w:val="32"/>
        </w:rPr>
        <w:t>一、全力推动乡村产业振兴</w:t>
      </w:r>
      <w:bookmarkEnd w:id="196"/>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（一）全力推动乡村生态农牧业振兴。</w:t>
      </w:r>
      <w:r>
        <w:rPr>
          <w:rFonts w:ascii="Times New Roman" w:hAnsi="Times New Roman" w:eastAsia="仿宋_GB2312" w:cs="Times New Roman"/>
          <w:sz w:val="32"/>
          <w:szCs w:val="32"/>
        </w:rPr>
        <w:t>推动乡村产业振兴，坚持生态优先，以农牧业供给侧结构性改革为主线，围绕打造“壤巴拉现代农业产业园”总体目标，按照“调结构、转方式、建园区、促升级”的思路，加强产业结构优化，采用宜农则农、宜牧则牧的方式，加快优化农牧产业结构和现代农业园区建设。加快转变农业发展方式，着力推动农牧业由增产导向转向提质导向，提高农牧业综合生产能力和质量效益，推动农牧业绿色化、优质化、特色化、品牌化发展。培育新型产业经营主体，示范推广“新品种、新技术、新模式、新机制”，稳步发展传统农作物、高原商品蔬菜、高原双低油菜、食用菌产业、牦牛科学饲养等特色产业，构建高效生态农牧业生产体系，推进农牧业提质增效。</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（二）全力推动乡村旅游业振兴。</w:t>
      </w:r>
      <w:r>
        <w:rPr>
          <w:rFonts w:ascii="Times New Roman" w:hAnsi="Times New Roman" w:eastAsia="仿宋_GB2312" w:cs="Times New Roman"/>
          <w:sz w:val="32"/>
          <w:szCs w:val="32"/>
        </w:rPr>
        <w:t>依托壤塘自然生态文化、壤巴拉文化、民俗文化、红色文化等资源，围绕打造“川甘青结合部文旅融合发展示范县”总体目标，推出“</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文化体验、藏族民俗体验、游牧生活体验、藏医药文化康养”四大品牌旅游产品，以文旅融合为抓手，带动以观光旅游为基础，以文化体验为核心，以高原乡村旅游为特色的产品体系快速发展。积极探索文旅融合新模式新途径，形成以文化为灵魂，以旅游为载体的文旅融合发展新格局，助推全县乡村旅游提档升级。</w:t>
      </w:r>
    </w:p>
    <w:p>
      <w:pPr>
        <w:spacing w:line="560" w:lineRule="exact"/>
        <w:ind w:firstLine="643" w:firstLineChars="200"/>
        <w:outlineLvl w:val="2"/>
        <w:rPr>
          <w:rFonts w:ascii="Times New Roman" w:hAnsi="Times New Roman" w:eastAsia="黑体" w:cs="Times New Roman"/>
          <w:b/>
          <w:bCs/>
          <w:sz w:val="32"/>
          <w:szCs w:val="32"/>
        </w:rPr>
      </w:pPr>
      <w:bookmarkStart w:id="197" w:name="_Toc880"/>
      <w:r>
        <w:rPr>
          <w:rFonts w:ascii="Times New Roman" w:hAnsi="Times New Roman" w:eastAsia="黑体" w:cs="Times New Roman"/>
          <w:b/>
          <w:bCs/>
          <w:sz w:val="32"/>
          <w:szCs w:val="32"/>
        </w:rPr>
        <w:t>二、积极推动乡村人才振兴</w:t>
      </w:r>
      <w:bookmarkEnd w:id="19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实施乡村人才振兴工程，坚持实行更加积极、更加开放、更加有效的人才政策，推动乡村人才振兴。激发人才要素活力，大力培育造就乡土人才，鼓励和引导各类人才投身乡村建设。发挥在农村居住生产生活的农民、外出务工人员和返乡创业人员的作用，造就更多乡土人才，鼓励和引导各类人才投身乡村振兴，打造一支强大的乡村振兴队伍。加快建设以新型职业农民为基础、乡土技能服务人才为主体、以专业人才为支撑、以“三农”干部队伍为保障的乡村振兴“四支人才队伍”建设。结合全县文化旅游产业发展，大力加强非遗技艺人才队伍培育。完善创新乡村人才培养、发展和激励机制，采用交流挂职、定向培养、岗位培训、建立人才培养机构等多元方式，破除制约人才稳定发展的体制机制性障碍，全力改善乡村人才发展环境。建立引进人才和留住人才激励机制，继续实施“硕博进壤塘”行动，“订单式”开展农村实用型人才、企业经营管理人才培训。力争到2025年，乡村人才比例提高至30%左右。</w:t>
      </w:r>
    </w:p>
    <w:p>
      <w:pPr>
        <w:spacing w:line="560" w:lineRule="exact"/>
        <w:ind w:firstLine="643" w:firstLineChars="200"/>
        <w:outlineLvl w:val="2"/>
        <w:rPr>
          <w:rFonts w:ascii="Times New Roman" w:hAnsi="Times New Roman" w:eastAsia="黑体" w:cs="Times New Roman"/>
          <w:b/>
          <w:bCs/>
          <w:sz w:val="32"/>
          <w:szCs w:val="32"/>
        </w:rPr>
      </w:pPr>
      <w:bookmarkStart w:id="198" w:name="_Toc12607"/>
      <w:r>
        <w:rPr>
          <w:rFonts w:ascii="Times New Roman" w:hAnsi="Times New Roman" w:eastAsia="黑体" w:cs="Times New Roman"/>
          <w:b/>
          <w:bCs/>
          <w:sz w:val="32"/>
          <w:szCs w:val="32"/>
        </w:rPr>
        <w:t>三、着实推动乡村文化振兴</w:t>
      </w:r>
      <w:bookmarkEnd w:id="19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深化社会主义核心价值观教育示范基地建设，用社会主义先进文化占领农村文化阵地，把社会主义核心价值观融入乡村治理，广泛开展爱国主义、深化群众性精神文明创建活动，加强宣传教育，引导农民树立正确价值观，深化壤巴拉公民学校建设和发展。弘扬乡村文明新风，推动文明村镇、文明院落、文明家庭等创建活动</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示范带动乡风民风建设和农村人居环境改善。开展家规家风示范点建设，设立壤巴拉好人榜、民风廊、文化廊等，发挥好家风、好家训、好家规育人化人作用。完善壤塘县道德模范评选标准，常态化开展“壤塘好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最美人物”系列先进典型人物评选活动。大力开展“好邻居”“好婆媳”“文明之星”“道德之星”“壤塘新乡贤”等评选活动，充分发挥各类先进典型的示范带动作用，涵育文明乡风。深入推进移风易俗活动，开展专项文明建设，养成文明、科学、健康、向上的生活方式和行为习惯，树立时代新风正气。加强传统村落保护，加大对特色藏寨、民居、古树名木保护力度。</w:t>
      </w:r>
    </w:p>
    <w:p>
      <w:pPr>
        <w:spacing w:line="560" w:lineRule="exact"/>
        <w:ind w:firstLine="643" w:firstLineChars="200"/>
        <w:outlineLvl w:val="2"/>
        <w:rPr>
          <w:rFonts w:ascii="Times New Roman" w:hAnsi="Times New Roman" w:eastAsia="黑体" w:cs="Times New Roman"/>
          <w:b/>
          <w:bCs/>
          <w:sz w:val="32"/>
          <w:szCs w:val="32"/>
        </w:rPr>
      </w:pPr>
      <w:bookmarkStart w:id="199" w:name="_Toc10861"/>
      <w:r>
        <w:rPr>
          <w:rFonts w:ascii="Times New Roman" w:hAnsi="Times New Roman" w:eastAsia="黑体" w:cs="Times New Roman"/>
          <w:b/>
          <w:bCs/>
          <w:sz w:val="32"/>
          <w:szCs w:val="32"/>
        </w:rPr>
        <w:t>四、全面推动乡村生态振兴</w:t>
      </w:r>
      <w:bookmarkEnd w:id="19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立足国家重点生态功能区定位和川西北生态示范区建设，深入践行“绿水青山就是金山银山”理念，坚持生态“大保护”，不</w:t>
      </w:r>
      <w:r>
        <w:rPr>
          <w:rFonts w:hint="eastAsia" w:ascii="Times New Roman" w:hAnsi="Times New Roman" w:eastAsia="仿宋_GB2312" w:cs="Times New Roman"/>
          <w:sz w:val="32"/>
          <w:szCs w:val="32"/>
        </w:rPr>
        <w:t>碰</w:t>
      </w:r>
      <w:r>
        <w:rPr>
          <w:rFonts w:ascii="Times New Roman" w:hAnsi="Times New Roman" w:eastAsia="仿宋_GB2312" w:cs="Times New Roman"/>
          <w:sz w:val="32"/>
          <w:szCs w:val="32"/>
        </w:rPr>
        <w:t>红线，不触底线，完善生态环保工作长效机制。立足壤塘县情，坚决落实生态发展与环境保护责任，大力实施各类环境保护工程，打好蓝天、碧水、净土“三大保卫战”，为建设川西北生态示范区贡献壤塘力量。实施新村建设，加强乡村环境整治，大力推进农村“厕所革命”，着力改善村容村貌，提升群众环境保护意识、生态维护意识。积极推进农村生活设施配套完善，促进乡村风貌整体提升，分类有序推进全域乡村建设，因地制宜提高乡村居家环境，推动乡村功能品质升级，实现环境舒适、繁荣宜居的</w:t>
      </w:r>
      <w:r>
        <w:rPr>
          <w:rFonts w:hint="eastAsia" w:ascii="Times New Roman" w:hAnsi="Times New Roman" w:eastAsia="仿宋_GB2312" w:cs="Times New Roman"/>
          <w:sz w:val="32"/>
          <w:szCs w:val="32"/>
        </w:rPr>
        <w:t>“</w:t>
      </w:r>
      <w:r>
        <w:rPr>
          <w:rFonts w:ascii="Times New Roman" w:hAnsi="Times New Roman" w:eastAsia="楷体_GB2312" w:cs="Times New Roman"/>
          <w:b/>
          <w:bCs/>
          <w:sz w:val="32"/>
          <w:szCs w:val="32"/>
        </w:rPr>
        <w:t>幸福壤塘</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、温馨壤塘新乡村。</w:t>
      </w:r>
    </w:p>
    <w:p>
      <w:pPr>
        <w:spacing w:line="560" w:lineRule="exact"/>
        <w:ind w:firstLine="643" w:firstLineChars="200"/>
        <w:outlineLvl w:val="2"/>
        <w:rPr>
          <w:rFonts w:ascii="Times New Roman" w:hAnsi="Times New Roman" w:eastAsia="黑体" w:cs="Times New Roman"/>
          <w:b/>
          <w:bCs/>
          <w:sz w:val="32"/>
          <w:szCs w:val="32"/>
        </w:rPr>
      </w:pPr>
      <w:bookmarkStart w:id="200" w:name="_Toc6657"/>
      <w:r>
        <w:rPr>
          <w:rFonts w:ascii="Times New Roman" w:hAnsi="Times New Roman" w:eastAsia="黑体" w:cs="Times New Roman"/>
          <w:b/>
          <w:bCs/>
          <w:sz w:val="32"/>
          <w:szCs w:val="32"/>
        </w:rPr>
        <w:t>五、全面强化乡村组织振兴</w:t>
      </w:r>
      <w:bookmarkEnd w:id="20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加强农村基层党组织建设，配齐配强村“两委”班子，选好用好带头人，全面强化农村基层党组织领导核心地位，</w:t>
      </w:r>
      <w:r>
        <w:rPr>
          <w:rFonts w:hint="eastAsia" w:ascii="Times New Roman" w:hAnsi="Times New Roman" w:eastAsia="仿宋_GB2312" w:cs="Times New Roman"/>
          <w:sz w:val="32"/>
          <w:szCs w:val="32"/>
        </w:rPr>
        <w:t>进一步</w:t>
      </w:r>
      <w:r>
        <w:rPr>
          <w:rFonts w:ascii="Times New Roman" w:hAnsi="Times New Roman" w:eastAsia="仿宋_GB2312" w:cs="Times New Roman"/>
          <w:sz w:val="32"/>
          <w:szCs w:val="32"/>
        </w:rPr>
        <w:t>健全基层组织体系</w:t>
      </w:r>
      <w:r>
        <w:rPr>
          <w:rFonts w:hint="eastAsia" w:ascii="Times New Roman" w:hAnsi="Times New Roman" w:eastAsia="仿宋_GB2312" w:cs="Times New Roman"/>
          <w:sz w:val="32"/>
          <w:szCs w:val="32"/>
        </w:rPr>
        <w:t>建设</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做好乡镇行政区划和村级建制调整改革“后半篇”文章，</w:t>
      </w:r>
      <w:r>
        <w:rPr>
          <w:rFonts w:ascii="Times New Roman" w:hAnsi="Times New Roman" w:eastAsia="仿宋_GB2312" w:cs="Times New Roman"/>
          <w:sz w:val="32"/>
          <w:szCs w:val="32"/>
        </w:rPr>
        <w:t>推动乡村组织振兴。优化基层党组织设置，健全以村党组织为核心，村民委员会、村务监督委员会、集体经济和群团组织等广泛参与的“一核多元”村级治理架构。完善农村基层管理机制与服务体系，科学设置乡镇机构，构建简约高效的基层管理体制，健全农村基层服务体系，夯实乡村治理基础。加强以党组织为核心的乡村各类组织建设，健全完善乡村组织体系，激发乡村各类组织活力。秉持“以人民为中心”的核心理念，尊重乡村社会发展规律，构建以党组织为核心、自治为基础、法治为根本、德治为支撑的“一核三治、共建共享”的新型乡村社区治理体系，提升乡村治理能力现代化水平，确保乡村社会充满活力、和谐有序。</w:t>
      </w:r>
    </w:p>
    <w:p>
      <w:pPr>
        <w:spacing w:line="500" w:lineRule="exact"/>
        <w:jc w:val="center"/>
        <w:rPr>
          <w:rFonts w:ascii="Times New Roman" w:hAnsi="Times New Roman" w:eastAsia="宋体" w:cs="Times New Roman"/>
          <w:b/>
          <w:bCs/>
          <w:sz w:val="36"/>
          <w:szCs w:val="36"/>
        </w:rPr>
      </w:pPr>
    </w:p>
    <w:p>
      <w:pPr>
        <w:spacing w:line="500" w:lineRule="exact"/>
        <w:jc w:val="center"/>
        <w:outlineLvl w:val="1"/>
        <w:rPr>
          <w:rFonts w:ascii="Times New Roman" w:hAnsi="Times New Roman" w:eastAsia="宋体" w:cs="Times New Roman"/>
          <w:b/>
          <w:bCs/>
          <w:sz w:val="36"/>
          <w:szCs w:val="36"/>
        </w:rPr>
      </w:pPr>
      <w:bookmarkStart w:id="201" w:name="_Toc20767"/>
      <w:bookmarkStart w:id="202" w:name="_Toc27516"/>
      <w:r>
        <w:rPr>
          <w:rFonts w:ascii="Times New Roman" w:hAnsi="Times New Roman" w:eastAsia="宋体" w:cs="Times New Roman"/>
          <w:b/>
          <w:bCs/>
          <w:sz w:val="36"/>
          <w:szCs w:val="36"/>
        </w:rPr>
        <w:t>第</w:t>
      </w:r>
      <w:r>
        <w:rPr>
          <w:rFonts w:hint="eastAsia" w:ascii="Times New Roman" w:hAnsi="Times New Roman" w:eastAsia="宋体" w:cs="Times New Roman"/>
          <w:b/>
          <w:bCs/>
          <w:sz w:val="36"/>
          <w:szCs w:val="36"/>
        </w:rPr>
        <w:t>三</w:t>
      </w:r>
      <w:r>
        <w:rPr>
          <w:rFonts w:ascii="Times New Roman" w:hAnsi="Times New Roman" w:eastAsia="宋体" w:cs="Times New Roman"/>
          <w:b/>
          <w:bCs/>
          <w:sz w:val="36"/>
          <w:szCs w:val="36"/>
        </w:rPr>
        <w:t>节  加强高原特色城镇化建设</w:t>
      </w:r>
      <w:bookmarkEnd w:id="201"/>
      <w:bookmarkEnd w:id="202"/>
    </w:p>
    <w:p>
      <w:pPr>
        <w:spacing w:line="50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抓住国家新时代推动西部大开发战略机遇，优化与资源环境承载能力相匹配的城镇空间布局，通过“以核连心、以心带点”的方式，充分发挥区域中心镇对周边乡镇的辐射带动作用，合理引导全县城镇化合理布局和健康发展。</w:t>
      </w:r>
    </w:p>
    <w:p>
      <w:pPr>
        <w:spacing w:line="560" w:lineRule="exact"/>
        <w:ind w:firstLine="643" w:firstLineChars="200"/>
        <w:outlineLvl w:val="2"/>
        <w:rPr>
          <w:rFonts w:ascii="Times New Roman" w:hAnsi="Times New Roman" w:eastAsia="黑体" w:cs="Times New Roman"/>
          <w:b/>
          <w:bCs/>
          <w:sz w:val="32"/>
          <w:szCs w:val="32"/>
        </w:rPr>
      </w:pPr>
      <w:bookmarkStart w:id="203" w:name="_Toc5282"/>
      <w:r>
        <w:rPr>
          <w:rFonts w:ascii="Times New Roman" w:hAnsi="Times New Roman" w:eastAsia="黑体" w:cs="Times New Roman"/>
          <w:b/>
          <w:bCs/>
          <w:sz w:val="32"/>
          <w:szCs w:val="32"/>
        </w:rPr>
        <w:t>一、培育“一核三心多点”的城乡格局</w:t>
      </w:r>
      <w:bookmarkEnd w:id="20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积极构建以岗木达镇为核心，以中壤塘镇、南木达镇、上寨（蒲西）为支撑，宗科、茸木达、</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等其他乡为补充的“一核三心多点”的城乡融合发展格局。</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“一核”，即岗木达镇。</w:t>
      </w:r>
      <w:r>
        <w:rPr>
          <w:rFonts w:ascii="Times New Roman" w:hAnsi="Times New Roman" w:eastAsia="仿宋_GB2312" w:cs="Times New Roman"/>
          <w:sz w:val="32"/>
          <w:szCs w:val="32"/>
        </w:rPr>
        <w:t>大力推动岗木达镇向政治、经济、文化、商贸中心转型升级发展，辐射带动上杜柯乡。以建设“高原林海秀城”为目标，加强市政基础设施和教育、医疗、卫生等公共服务建设，优化和提升岗木达镇城镇功能，提高人口承载能力和吸纳能力。</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“三心”，即中壤塘镇、南木达镇、上寨（蒲西）。</w:t>
      </w:r>
      <w:r>
        <w:rPr>
          <w:rFonts w:ascii="Times New Roman" w:hAnsi="Times New Roman" w:eastAsia="仿宋_GB2312" w:cs="Times New Roman"/>
          <w:sz w:val="32"/>
          <w:szCs w:val="32"/>
        </w:rPr>
        <w:t>将中壤塘镇打造成文化旅游中心，辐射带动上壤塘和尕多，以</w:t>
      </w:r>
      <w:r>
        <w:rPr>
          <w:rFonts w:hint="eastAsia" w:ascii="Times New Roman" w:hAnsi="Times New Roman" w:eastAsia="仿宋_GB2312" w:cs="Times New Roman"/>
          <w:sz w:val="32"/>
          <w:szCs w:val="32"/>
        </w:rPr>
        <w:t>壤巴拉</w:t>
      </w:r>
      <w:r>
        <w:rPr>
          <w:rFonts w:ascii="Times New Roman" w:hAnsi="Times New Roman" w:eastAsia="仿宋_GB2312" w:cs="Times New Roman"/>
          <w:sz w:val="32"/>
          <w:szCs w:val="32"/>
        </w:rPr>
        <w:t>文化为品牌，重点发展现代旅游业和文化产业，加强基础设施和配套服务建设，提升旅游形象，打造“中国非遗小镇”；将南木达镇打造成北部区域服务业和加工业中心，辐射带动尕多乡和茸木达乡，推动建设农贸产品重要集散地和中转站，带动该区域积极发展现代生态农牧业和特色加工业；将上寨（蒲西）打造成南部区域服务业和商贸物流中心，加强基础设施建设，提升旅游接待配套设施，发展旅游接待服务，力争建成G317中国最美景观大道上的重要驿站，积极推动上寨行政区划调整升级。辐射带动宗科、石里和</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，积极发展生态农业、养殖业和商贸物流业，形成壤塘县对外开放的南部窗口。</w:t>
      </w: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w:t>
      </w:r>
      <w:r>
        <w:rPr>
          <w:rFonts w:ascii="Times New Roman" w:hAnsi="Times New Roman" w:eastAsia="楷体_GB2312" w:cs="Times New Roman"/>
          <w:b/>
          <w:bCs/>
          <w:sz w:val="32"/>
          <w:szCs w:val="32"/>
        </w:rPr>
        <w:t>“多点”，即宗科、</w:t>
      </w:r>
      <w:r>
        <w:rPr>
          <w:rFonts w:hint="eastAsia" w:ascii="Times New Roman" w:hAnsi="Times New Roman" w:eastAsia="楷体_GB2312" w:cs="Times New Roman"/>
          <w:b/>
          <w:bCs/>
          <w:sz w:val="32"/>
          <w:szCs w:val="32"/>
        </w:rPr>
        <w:t>吾伊</w:t>
      </w:r>
      <w:r>
        <w:rPr>
          <w:rFonts w:ascii="Times New Roman" w:hAnsi="Times New Roman" w:eastAsia="楷体_GB2312" w:cs="Times New Roman"/>
          <w:b/>
          <w:bCs/>
          <w:sz w:val="32"/>
          <w:szCs w:val="32"/>
        </w:rPr>
        <w:t>、石里、尕多、上壤塘、茸木达等其他乡镇。</w:t>
      </w:r>
      <w:r>
        <w:rPr>
          <w:rFonts w:ascii="Times New Roman" w:hAnsi="Times New Roman" w:eastAsia="仿宋_GB2312" w:cs="Times New Roman"/>
          <w:sz w:val="32"/>
          <w:szCs w:val="32"/>
        </w:rPr>
        <w:t>根据交通区位、资源禀赋、人口规模，实现差异化、特色化发展，合理布局</w:t>
      </w:r>
      <w:r>
        <w:rPr>
          <w:rFonts w:hint="eastAsia" w:ascii="Times New Roman" w:hAnsi="Times New Roman" w:eastAsia="仿宋_GB2312" w:cs="Times New Roman"/>
          <w:sz w:val="32"/>
          <w:szCs w:val="32"/>
        </w:rPr>
        <w:t>垃圾</w:t>
      </w:r>
      <w:r>
        <w:rPr>
          <w:rFonts w:ascii="Times New Roman" w:hAnsi="Times New Roman" w:eastAsia="仿宋_GB2312" w:cs="Times New Roman"/>
          <w:sz w:val="32"/>
          <w:szCs w:val="32"/>
        </w:rPr>
        <w:t>、污水、管网等市政基础设施，完善公共服务配套，增强生产生活和公共服务能力。</w:t>
      </w:r>
    </w:p>
    <w:p>
      <w:pPr>
        <w:spacing w:line="560" w:lineRule="exact"/>
        <w:ind w:firstLine="643" w:firstLineChars="200"/>
        <w:outlineLvl w:val="2"/>
        <w:rPr>
          <w:rFonts w:ascii="Times New Roman" w:hAnsi="Times New Roman" w:eastAsia="黑体" w:cs="Times New Roman"/>
          <w:b/>
          <w:bCs/>
          <w:sz w:val="32"/>
          <w:szCs w:val="32"/>
        </w:rPr>
      </w:pPr>
      <w:bookmarkStart w:id="204" w:name="_Toc24628"/>
      <w:r>
        <w:rPr>
          <w:rFonts w:ascii="Times New Roman" w:hAnsi="Times New Roman" w:eastAsia="黑体" w:cs="Times New Roman"/>
          <w:b/>
          <w:bCs/>
          <w:sz w:val="32"/>
          <w:szCs w:val="32"/>
        </w:rPr>
        <w:t>二、促进区域统筹协调发展</w:t>
      </w:r>
      <w:bookmarkEnd w:id="20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根据城乡区位分布和交通布局，全县空间布局大致分为北部片区、中部片区和南部片区。其中，北部片区包含上壤塘、中壤塘、尕多、茸木达、南木达；中部片区包含岗木达和上杜柯；南部片区包含蒲西、石里、宗科和</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。从产业布局、基础设施布局和生产要素配套方面，实现三个区域统筹协调。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（一）中部聚集：岗木达片区。</w:t>
      </w:r>
      <w:r>
        <w:rPr>
          <w:rFonts w:ascii="Times New Roman" w:hAnsi="Times New Roman" w:eastAsia="仿宋_GB2312" w:cs="Times New Roman"/>
          <w:sz w:val="32"/>
          <w:szCs w:val="32"/>
        </w:rPr>
        <w:t>增强人口聚集能力，做强岗木达镇。发挥交通枢纽、人口聚集以及教育、卫生、文化等公共服务配套优势，重点凸显岗木达镇的对内聚集功能。借助壤柯镇和岗木达镇区划调整契机，加快县城向S453</w:t>
      </w:r>
      <w:r>
        <w:rPr>
          <w:rFonts w:hint="eastAsia" w:ascii="Times New Roman" w:hAnsi="Times New Roman" w:eastAsia="仿宋_GB2312" w:cs="Times New Roman"/>
          <w:sz w:val="32"/>
          <w:szCs w:val="32"/>
        </w:rPr>
        <w:t>岗木达</w:t>
      </w:r>
      <w:r>
        <w:rPr>
          <w:rFonts w:ascii="Times New Roman" w:hAnsi="Times New Roman" w:eastAsia="仿宋_GB2312" w:cs="Times New Roman"/>
          <w:sz w:val="32"/>
          <w:szCs w:val="32"/>
        </w:rPr>
        <w:t>方向拓展，增加城市发展空间，提高人口承载能力。推动产城融合发展，统筹产业发展功能、服务配套功能和居住功能。强化城镇综合聚集辐射功能，全面提高对外开放水平，将岗木达镇建成全县政治经济文化中心、商贸物流中心、旅游集散中心。</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（二）北部融合：南木达片区。</w:t>
      </w:r>
      <w:r>
        <w:rPr>
          <w:rFonts w:ascii="Times New Roman" w:hAnsi="Times New Roman" w:eastAsia="仿宋_GB2312" w:cs="Times New Roman"/>
          <w:sz w:val="32"/>
          <w:szCs w:val="32"/>
        </w:rPr>
        <w:t>一体化连片打造北部片区。统筹布局五个乡镇的基础设施和公共服务设施，把中壤塘镇打造成北部区域中心，其他乡镇围绕中壤塘镇配套发展相关产业和基础设施布局。依托中壤塘镇自身文化资源优势，借助G227改造升级和尚蓝天路建成通车，县内旅游环线打通的机遇，加快连通与马尔康等周边地区公路，扩大对外开放，创新区域合作机制，加强与青海省班玛县，四川阿坝县、色达县、马尔康</w:t>
      </w:r>
      <w:r>
        <w:rPr>
          <w:rFonts w:hint="eastAsia" w:ascii="Times New Roman" w:hAnsi="Times New Roman" w:eastAsia="仿宋_GB2312" w:cs="Times New Roman"/>
          <w:sz w:val="32"/>
          <w:szCs w:val="32"/>
        </w:rPr>
        <w:t>市</w:t>
      </w:r>
      <w:r>
        <w:rPr>
          <w:rFonts w:ascii="Times New Roman" w:hAnsi="Times New Roman" w:eastAsia="仿宋_GB2312" w:cs="Times New Roman"/>
          <w:sz w:val="32"/>
          <w:szCs w:val="32"/>
        </w:rPr>
        <w:t>等周边地区旅游合作发展，深度融入川甘青结合部旅游一体化，共同打造“川甘青结合部旅游合作联盟”，把中壤塘打造成旅游业“名片”，建设成川甘青结合部文化旅游“高地”。同时，大力发展生态农牧业和有机农畜产品加工业，加快传统农牧业向高原特色农牧业转型，推动传统加工业向规模化、园区化方向发展，不断增强北部区域产业的整体实力。</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（三）南部崛起：上寨片区。</w:t>
      </w:r>
      <w:r>
        <w:rPr>
          <w:rFonts w:ascii="Times New Roman" w:hAnsi="Times New Roman" w:eastAsia="仿宋_GB2312" w:cs="Times New Roman"/>
          <w:sz w:val="32"/>
          <w:szCs w:val="32"/>
        </w:rPr>
        <w:t>把上寨打造成区域发展新引擎。以上寨为中心，日斯满巴碉房、香拉东吉圣山和野人谷等旅游景区为支撑，打造成G317最美景观大道重要驿站和商贸物流集散地，成为展示经济社会文化的重要窗口。加强基础设施建设，大力发展生态观光农业，开展农旅融合，将休闲观光旅游打造成南部发展的突破口。协同推进商贸物流和加工业，把G317蒲西乡斯跃武村至</w:t>
      </w:r>
      <w:r>
        <w:rPr>
          <w:rFonts w:hint="eastAsia" w:ascii="Times New Roman" w:hAnsi="Times New Roman" w:eastAsia="仿宋_GB2312" w:cs="Times New Roman"/>
          <w:sz w:val="32"/>
          <w:szCs w:val="32"/>
        </w:rPr>
        <w:t>吾伊</w:t>
      </w:r>
      <w:r>
        <w:rPr>
          <w:rFonts w:ascii="Times New Roman" w:hAnsi="Times New Roman" w:eastAsia="仿宋_GB2312" w:cs="Times New Roman"/>
          <w:sz w:val="32"/>
          <w:szCs w:val="32"/>
        </w:rPr>
        <w:t>黑桥段，打造成G317“</w:t>
      </w:r>
      <w:r>
        <w:rPr>
          <w:rFonts w:hint="eastAsia" w:ascii="Times New Roman" w:hAnsi="Times New Roman" w:eastAsia="仿宋_GB2312" w:cs="Times New Roman"/>
          <w:sz w:val="32"/>
          <w:szCs w:val="32"/>
          <w:highlight w:val="none"/>
        </w:rPr>
        <w:t>后备箱</w:t>
      </w:r>
      <w:r>
        <w:rPr>
          <w:rFonts w:ascii="Times New Roman" w:hAnsi="Times New Roman" w:eastAsia="仿宋_GB2312" w:cs="Times New Roman"/>
          <w:sz w:val="32"/>
          <w:szCs w:val="32"/>
        </w:rPr>
        <w:t>经济发展示范带”。积极扶持和培育一批龙头企业和规模化、集约化的专业合作组织，大力发展有机农畜产品精深加工，全力助推南部崛起发展。</w:t>
      </w:r>
    </w:p>
    <w:p>
      <w:pPr>
        <w:spacing w:line="560" w:lineRule="exact"/>
        <w:jc w:val="center"/>
        <w:rPr>
          <w:rFonts w:ascii="Times New Roman" w:hAnsi="Times New Roman" w:eastAsia="仿宋_GB2312" w:cs="Times New Roman"/>
          <w:sz w:val="32"/>
          <w:szCs w:val="32"/>
        </w:rPr>
      </w:pPr>
    </w:p>
    <w:p>
      <w:pPr>
        <w:spacing w:line="560" w:lineRule="exact"/>
        <w:jc w:val="center"/>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00" w:firstLineChars="200"/>
        <w:rPr>
          <w:rFonts w:ascii="Times New Roman" w:hAnsi="Times New Roman" w:eastAsia="仿宋_GB2312" w:cs="Times New Roman"/>
          <w:sz w:val="32"/>
          <w:szCs w:val="32"/>
        </w:rPr>
      </w:pPr>
      <w:r>
        <w:rPr>
          <w:rFonts w:ascii="Times New Roman" w:hAnsi="Times New Roman" w:eastAsia="仿宋" w:cs="Times New Roman"/>
          <w:sz w:val="30"/>
          <w:szCs w:val="30"/>
        </w:rPr>
        <w:drawing>
          <wp:anchor distT="0" distB="0" distL="114300" distR="114300" simplePos="0" relativeHeight="251664384" behindDoc="0" locked="0" layoutInCell="1" allowOverlap="1">
            <wp:simplePos x="0" y="0"/>
            <wp:positionH relativeFrom="margin">
              <wp:posOffset>-168910</wp:posOffset>
            </wp:positionH>
            <wp:positionV relativeFrom="paragraph">
              <wp:posOffset>-6985</wp:posOffset>
            </wp:positionV>
            <wp:extent cx="5975985" cy="8060690"/>
            <wp:effectExtent l="0" t="0" r="571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76000" cy="8060400"/>
                    </a:xfrm>
                    <a:prstGeom prst="rect">
                      <a:avLst/>
                    </a:prstGeom>
                  </pic:spPr>
                </pic:pic>
              </a:graphicData>
            </a:graphic>
          </wp:anchor>
        </w:drawing>
      </w:r>
    </w:p>
    <w:p>
      <w:pPr>
        <w:spacing w:line="560" w:lineRule="exact"/>
        <w:ind w:firstLine="643" w:firstLineChars="200"/>
        <w:outlineLvl w:val="2"/>
        <w:rPr>
          <w:rFonts w:ascii="Times New Roman" w:hAnsi="Times New Roman" w:eastAsia="黑体" w:cs="Times New Roman"/>
          <w:b/>
          <w:bCs/>
          <w:sz w:val="32"/>
          <w:szCs w:val="32"/>
        </w:rPr>
      </w:pPr>
      <w:bookmarkStart w:id="205" w:name="_Toc2334"/>
      <w:r>
        <w:rPr>
          <w:rFonts w:ascii="Times New Roman" w:hAnsi="Times New Roman" w:eastAsia="黑体" w:cs="Times New Roman"/>
          <w:b/>
          <w:bCs/>
          <w:sz w:val="32"/>
          <w:szCs w:val="32"/>
        </w:rPr>
        <w:t>三、加强市政基础设施建设</w:t>
      </w:r>
      <w:bookmarkEnd w:id="205"/>
    </w:p>
    <w:p>
      <w:pPr>
        <w:spacing w:line="560" w:lineRule="exact"/>
        <w:ind w:firstLine="643" w:firstLineChars="200"/>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（一）加强市政基础设施建设。</w:t>
      </w:r>
      <w:r>
        <w:rPr>
          <w:rFonts w:ascii="Times New Roman" w:hAnsi="Times New Roman" w:eastAsia="仿宋_GB2312" w:cs="Times New Roman"/>
          <w:sz w:val="32"/>
          <w:szCs w:val="32"/>
        </w:rPr>
        <w:t>推进“创新、绿色、智慧、人文”城市建设，打造和谐宜居、富有活力、具有高原特色和壤塘人文气质的现代高原城市。重点加快岗木达镇、中壤塘镇、南木达镇城市管网、市政道路、停车场、电力、通信、供排水、污水处理、环卫设施、绿化工程以及供暖、供气、供氧等设施建设，完善城镇基础设施体系。加强城镇绿化、亮化、美化、净化以及规范化建设，提升城镇形象。加强一般集镇水、电、路及排污、垃圾处理等设施建设，全面完善城镇服务功能，改善人居环境。加大城镇危旧房、老旧小区改造力度。科学规划城镇空间布局，合理划定城镇开发边界，完善和优化城镇功能，推进部分乡镇的风貌建设，提高城镇规划建设水平和空间利用效率。推进以人为本的城镇化，不断提升城镇环境质量和人民生活质量，大力解决普遍存在的重建设轻管理、城镇环境脏乱差、管理混乱等问题，让人民群众在城镇生活得更方便、更舒心、更美好，进一步增强城镇吸引力。</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（二）推进“智慧城市”建设。</w:t>
      </w:r>
      <w:r>
        <w:rPr>
          <w:rFonts w:ascii="Times New Roman" w:hAnsi="Times New Roman" w:eastAsia="仿宋_GB2312" w:cs="Times New Roman"/>
          <w:sz w:val="32"/>
          <w:szCs w:val="32"/>
        </w:rPr>
        <w:t>加强城市管理数字化平台建设和功能整合，建设综合性城市管理数据库。加强城市智能化终端设施、智慧城市大数据中心、综合性城市管理数据库建设，整合相关功能，搭建城市管理数字化平台。推动云计算、大数据、人工智能、物联网、5G等新一代信息技术在文化旅游、应急管理、城市治理、电子商务、民生服务等领域创新应用，实施智慧政务、智慧旅游、智慧教育、智慧应急、智慧城管等工程，全力提升城市治理水平。</w:t>
      </w:r>
    </w:p>
    <w:tbl>
      <w:tblPr>
        <w:tblStyle w:val="12"/>
        <w:tblW w:w="8865"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5" w:type="dxa"/>
          </w:tcPr>
          <w:p>
            <w:pPr>
              <w:spacing w:line="5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专栏1</w:t>
            </w:r>
            <w:r>
              <w:rPr>
                <w:rFonts w:hint="eastAsia" w:ascii="Times New Roman" w:hAnsi="Times New Roman" w:eastAsia="黑体" w:cs="Times New Roman"/>
                <w:sz w:val="30"/>
                <w:szCs w:val="30"/>
              </w:rPr>
              <w:t>9</w:t>
            </w:r>
            <w:r>
              <w:rPr>
                <w:rFonts w:ascii="Times New Roman" w:hAnsi="Times New Roman" w:eastAsia="黑体" w:cs="Times New Roman"/>
                <w:sz w:val="30"/>
                <w:szCs w:val="30"/>
              </w:rPr>
              <w:t>市政基础设施重点项目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5" w:type="dxa"/>
          </w:tcPr>
          <w:p>
            <w:pPr>
              <w:adjustRightInd w:val="0"/>
              <w:snapToGrid w:val="0"/>
              <w:spacing w:line="440" w:lineRule="atLeast"/>
              <w:ind w:firstLine="480" w:firstLineChars="200"/>
              <w:rPr>
                <w:rFonts w:ascii="Times New Roman" w:hAnsi="Times New Roman" w:eastAsia="楷体" w:cs="Times New Roman"/>
                <w:sz w:val="24"/>
              </w:rPr>
            </w:pPr>
            <w:r>
              <w:rPr>
                <w:rFonts w:ascii="Times New Roman" w:hAnsi="Times New Roman" w:eastAsia="黑体" w:cs="Times New Roman"/>
                <w:sz w:val="24"/>
              </w:rPr>
              <w:t>一、县城市政基础设施</w:t>
            </w:r>
          </w:p>
          <w:p>
            <w:pPr>
              <w:adjustRightInd w:val="0"/>
              <w:snapToGrid w:val="0"/>
              <w:spacing w:line="440" w:lineRule="atLeas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智慧城市建设；河边街搬迁改造；路灯亮化提升改造；秀城酒店后荒坡微景观打造；房屋节能改造；老旧小区改造；供暖管网工程；岗木达镇规划区绿化、生态修复建设用地综合治理；县城地下综合管廊建设等。</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二、乡镇市政基础设施</w:t>
            </w:r>
          </w:p>
          <w:p>
            <w:pPr>
              <w:adjustRightInd w:val="0"/>
              <w:snapToGrid w:val="0"/>
              <w:spacing w:line="440" w:lineRule="atLeas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蒲西乡伊里村农贸市场改造、尤日村风貌改造；中壤塘镇路灯建设、迎宾大道建设、环形生态休闲栈道、亮化建设、三线入地；南木达镇排水管网改扩建、亮化工程、路灯建设、步行街改造工程；上寨三线入地、排污管道、路灯亮化、生态休闲栈道、滨河路延伸；茸木达乡各村停车场、院坝硬化、风貌提升改造、围墙、排水管等；岗木达</w:t>
            </w:r>
            <w:r>
              <w:rPr>
                <w:rFonts w:hint="eastAsia" w:ascii="Times New Roman" w:hAnsi="Times New Roman" w:eastAsia="楷体_GB2312" w:cs="Times New Roman"/>
                <w:sz w:val="24"/>
                <w:lang w:eastAsia="zh-CN"/>
              </w:rPr>
              <w:t>片</w:t>
            </w:r>
            <w:r>
              <w:rPr>
                <w:rFonts w:hint="eastAsia" w:ascii="Times New Roman" w:hAnsi="Times New Roman" w:eastAsia="楷体_GB2312" w:cs="Times New Roman"/>
                <w:sz w:val="24"/>
              </w:rPr>
              <w:t>区市政基础设施；乡镇区划调整基础设施提升配套等。</w:t>
            </w:r>
          </w:p>
          <w:p>
            <w:pPr>
              <w:adjustRightInd w:val="0"/>
              <w:snapToGrid w:val="0"/>
              <w:spacing w:line="440" w:lineRule="atLeast"/>
              <w:ind w:firstLine="480" w:firstLineChars="200"/>
              <w:rPr>
                <w:rFonts w:ascii="Times New Roman" w:hAnsi="Times New Roman" w:eastAsia="楷体" w:cs="Times New Roman"/>
                <w:sz w:val="24"/>
              </w:rPr>
            </w:pPr>
            <w:r>
              <w:rPr>
                <w:rFonts w:ascii="Times New Roman" w:hAnsi="Times New Roman" w:eastAsia="黑体" w:cs="Times New Roman"/>
                <w:sz w:val="24"/>
              </w:rPr>
              <w:t>三、其他市政基础设施</w:t>
            </w:r>
          </w:p>
          <w:p>
            <w:pPr>
              <w:adjustRightInd w:val="0"/>
              <w:snapToGrid w:val="0"/>
              <w:spacing w:line="440" w:lineRule="atLeas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城乡供暖、城乡供氧、天然气建设等。</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四、住房保障建设</w:t>
            </w:r>
          </w:p>
          <w:p>
            <w:pPr>
              <w:adjustRightInd w:val="0"/>
              <w:snapToGrid w:val="0"/>
              <w:spacing w:line="440" w:lineRule="atLeast"/>
              <w:ind w:firstLine="480" w:firstLineChars="200"/>
              <w:rPr>
                <w:rFonts w:ascii="Times New Roman" w:hAnsi="Times New Roman" w:eastAsia="仿宋" w:cs="Times New Roman"/>
                <w:sz w:val="30"/>
                <w:szCs w:val="30"/>
              </w:rPr>
            </w:pPr>
            <w:r>
              <w:rPr>
                <w:rFonts w:hint="eastAsia" w:ascii="Times New Roman" w:hAnsi="Times New Roman" w:eastAsia="楷体_GB2312" w:cs="Times New Roman"/>
                <w:sz w:val="24"/>
              </w:rPr>
              <w:t>城镇</w:t>
            </w:r>
            <w:r>
              <w:rPr>
                <w:rFonts w:hint="eastAsia" w:ascii="Times New Roman" w:hAnsi="Times New Roman" w:eastAsia="楷体_GB2312" w:cs="Times New Roman"/>
                <w:sz w:val="24"/>
                <w:highlight w:val="none"/>
              </w:rPr>
              <w:t>职工周转</w:t>
            </w:r>
            <w:r>
              <w:rPr>
                <w:rFonts w:hint="eastAsia" w:ascii="Times New Roman" w:hAnsi="Times New Roman" w:eastAsia="楷体_GB2312" w:cs="Times New Roman"/>
                <w:sz w:val="24"/>
              </w:rPr>
              <w:t>宿舍建设；乡镇</w:t>
            </w:r>
            <w:r>
              <w:rPr>
                <w:rFonts w:hint="eastAsia" w:ascii="Times New Roman" w:hAnsi="Times New Roman" w:eastAsia="楷体_GB2312" w:cs="Times New Roman"/>
                <w:sz w:val="24"/>
                <w:highlight w:val="none"/>
              </w:rPr>
              <w:t>职工周转</w:t>
            </w:r>
            <w:r>
              <w:rPr>
                <w:rFonts w:hint="eastAsia" w:ascii="Times New Roman" w:hAnsi="Times New Roman" w:eastAsia="楷体_GB2312" w:cs="Times New Roman"/>
                <w:sz w:val="24"/>
              </w:rPr>
              <w:t>宿舍建设；农村住房保障；岗木达镇危旧房综合整治等。</w:t>
            </w:r>
          </w:p>
        </w:tc>
      </w:tr>
    </w:tbl>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06" w:name="_Toc16816"/>
      <w:bookmarkStart w:id="207" w:name="_Toc13291"/>
      <w:r>
        <w:rPr>
          <w:rFonts w:ascii="Times New Roman" w:hAnsi="Times New Roman" w:eastAsia="宋体" w:cs="Times New Roman"/>
          <w:b/>
          <w:bCs/>
          <w:sz w:val="36"/>
          <w:szCs w:val="36"/>
        </w:rPr>
        <w:t>第</w:t>
      </w:r>
      <w:r>
        <w:rPr>
          <w:rFonts w:hint="eastAsia" w:ascii="Times New Roman" w:hAnsi="Times New Roman" w:eastAsia="宋体" w:cs="Times New Roman"/>
          <w:b/>
          <w:bCs/>
          <w:sz w:val="36"/>
          <w:szCs w:val="36"/>
        </w:rPr>
        <w:t>四</w:t>
      </w:r>
      <w:r>
        <w:rPr>
          <w:rFonts w:ascii="Times New Roman" w:hAnsi="Times New Roman" w:eastAsia="宋体" w:cs="Times New Roman"/>
          <w:b/>
          <w:bCs/>
          <w:sz w:val="36"/>
          <w:szCs w:val="36"/>
        </w:rPr>
        <w:t>节  大力推进城乡融合发展</w:t>
      </w:r>
      <w:bookmarkEnd w:id="206"/>
      <w:bookmarkEnd w:id="207"/>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统筹实施新型城镇化战略与乡村振兴战略，推动城乡发展的空间体系融合，推动城乡公共服务融合，促进城乡要素合理配置，形成合理的城乡融合发展格局。</w:t>
      </w:r>
    </w:p>
    <w:p>
      <w:pPr>
        <w:spacing w:line="560" w:lineRule="exact"/>
        <w:ind w:firstLine="643" w:firstLineChars="200"/>
        <w:outlineLvl w:val="2"/>
        <w:rPr>
          <w:rFonts w:ascii="Times New Roman" w:hAnsi="Times New Roman" w:eastAsia="黑体" w:cs="Times New Roman"/>
          <w:b/>
          <w:bCs/>
          <w:sz w:val="32"/>
          <w:szCs w:val="32"/>
        </w:rPr>
      </w:pPr>
      <w:bookmarkStart w:id="208" w:name="_Toc15223"/>
      <w:r>
        <w:rPr>
          <w:rFonts w:ascii="Times New Roman" w:hAnsi="Times New Roman" w:eastAsia="黑体" w:cs="Times New Roman"/>
          <w:b/>
          <w:bCs/>
          <w:sz w:val="32"/>
          <w:szCs w:val="32"/>
        </w:rPr>
        <w:t>一、推进城乡基础设施融合发展</w:t>
      </w:r>
      <w:bookmarkEnd w:id="208"/>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（一）促进城乡基础设施规划一体化。</w:t>
      </w:r>
      <w:r>
        <w:rPr>
          <w:rFonts w:ascii="Times New Roman" w:hAnsi="Times New Roman" w:eastAsia="仿宋_GB2312" w:cs="Times New Roman"/>
          <w:sz w:val="32"/>
          <w:szCs w:val="32"/>
        </w:rPr>
        <w:t>以县域为整体，统筹规划城乡基础设施，统筹布局道路、供水、供电、信息、广播电视、防洪和垃圾污水处理等设施。把公共基础设施建设重点放在乡村，加快推动乡村基础设施</w:t>
      </w:r>
      <w:r>
        <w:rPr>
          <w:rFonts w:hint="eastAsia" w:ascii="Times New Roman" w:hAnsi="Times New Roman" w:eastAsia="仿宋_GB2312" w:cs="Times New Roman"/>
          <w:sz w:val="32"/>
          <w:szCs w:val="32"/>
        </w:rPr>
        <w:t>提档升级</w:t>
      </w:r>
      <w:r>
        <w:rPr>
          <w:rFonts w:ascii="Times New Roman" w:hAnsi="Times New Roman" w:eastAsia="仿宋_GB2312" w:cs="Times New Roman"/>
          <w:sz w:val="32"/>
          <w:szCs w:val="32"/>
        </w:rPr>
        <w:t>，实现城乡基础设施统一规划、统一建设。统筹规划重要市政公用设施，以岗木达镇、南木达镇、中壤塘镇等区域中心镇为支撑，向附近乡村延伸。以南部、中部、北部三大片区为依托，统筹规划城乡垃圾、污水收运处置体系，因地制宜统筹处理城乡垃圾污水。</w:t>
      </w:r>
    </w:p>
    <w:p>
      <w:pPr>
        <w:spacing w:line="56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（二）推动城乡基础设施建管护一体化。</w:t>
      </w:r>
      <w:r>
        <w:rPr>
          <w:rFonts w:ascii="Times New Roman" w:hAnsi="Times New Roman" w:eastAsia="仿宋_GB2312" w:cs="Times New Roman"/>
          <w:sz w:val="32"/>
          <w:szCs w:val="32"/>
        </w:rPr>
        <w:t>明确乡村基础设施的公共产品定位，健全分级分类投入机制，对乡村道路、水利、公交和邮政等公益性强、经济性差</w:t>
      </w:r>
      <w:r>
        <w:rPr>
          <w:rFonts w:hint="eastAsia" w:ascii="Times New Roman" w:hAnsi="Times New Roman" w:eastAsia="仿宋_GB2312" w:cs="Times New Roman"/>
          <w:sz w:val="32"/>
          <w:szCs w:val="32"/>
          <w:highlight w:val="none"/>
        </w:rPr>
        <w:t>的设施</w:t>
      </w:r>
      <w:r>
        <w:rPr>
          <w:rFonts w:ascii="Times New Roman" w:hAnsi="Times New Roman" w:eastAsia="仿宋_GB2312" w:cs="Times New Roman"/>
          <w:sz w:val="32"/>
          <w:szCs w:val="32"/>
        </w:rPr>
        <w:t>，建设投入以政府为主；对乡村供水、垃圾污水处理和农贸市场等有一定经济收益</w:t>
      </w:r>
      <w:r>
        <w:rPr>
          <w:rFonts w:hint="eastAsia" w:ascii="Times New Roman" w:hAnsi="Times New Roman" w:eastAsia="仿宋_GB2312" w:cs="Times New Roman"/>
          <w:sz w:val="32"/>
          <w:szCs w:val="32"/>
          <w:highlight w:val="none"/>
        </w:rPr>
        <w:t>的设施</w:t>
      </w:r>
      <w:r>
        <w:rPr>
          <w:rFonts w:ascii="Times New Roman" w:hAnsi="Times New Roman" w:eastAsia="仿宋_GB2312" w:cs="Times New Roman"/>
          <w:sz w:val="32"/>
          <w:szCs w:val="32"/>
        </w:rPr>
        <w:t>，加大政府投入力度，积极引入社会资本，并引导农民投入；对乡村供电、</w:t>
      </w:r>
      <w:r>
        <w:rPr>
          <w:rFonts w:hint="eastAsia" w:ascii="Times New Roman" w:hAnsi="Times New Roman" w:eastAsia="仿宋_GB2312" w:cs="Times New Roman"/>
          <w:sz w:val="32"/>
          <w:szCs w:val="32"/>
        </w:rPr>
        <w:t>通</w:t>
      </w:r>
      <w:r>
        <w:rPr>
          <w:rFonts w:ascii="Times New Roman" w:hAnsi="Times New Roman" w:eastAsia="仿宋_GB2312" w:cs="Times New Roman"/>
          <w:sz w:val="32"/>
          <w:szCs w:val="32"/>
        </w:rPr>
        <w:t>信和物流等经营性为主</w:t>
      </w:r>
      <w:r>
        <w:rPr>
          <w:rFonts w:hint="eastAsia" w:ascii="Times New Roman" w:hAnsi="Times New Roman" w:eastAsia="仿宋_GB2312" w:cs="Times New Roman"/>
          <w:sz w:val="32"/>
          <w:szCs w:val="32"/>
          <w:highlight w:val="none"/>
        </w:rPr>
        <w:t>的设施</w:t>
      </w:r>
      <w:r>
        <w:rPr>
          <w:rFonts w:ascii="Times New Roman" w:hAnsi="Times New Roman" w:eastAsia="仿宋_GB2312" w:cs="Times New Roman"/>
          <w:sz w:val="32"/>
          <w:szCs w:val="32"/>
        </w:rPr>
        <w:t>，建设投入以企业为主。建立城乡基础设施一体化管护机制，合理确定城乡基础设施统一管护运行模式，对城乡道路等公益性设施，管护和运行投入纳入一般公共财政预算。明确乡村基础设施产权归属，由产权所有者建立管护制度，落实管护责任。以政府购买服务等方式引入专业化企业，提高管护市场化程度。</w:t>
      </w:r>
    </w:p>
    <w:p>
      <w:pPr>
        <w:spacing w:line="560" w:lineRule="exact"/>
        <w:ind w:firstLine="643" w:firstLineChars="200"/>
        <w:outlineLvl w:val="2"/>
        <w:rPr>
          <w:rFonts w:ascii="Times New Roman" w:hAnsi="Times New Roman" w:eastAsia="黑体" w:cs="Times New Roman"/>
          <w:b/>
          <w:bCs/>
          <w:sz w:val="32"/>
          <w:szCs w:val="32"/>
        </w:rPr>
      </w:pPr>
      <w:bookmarkStart w:id="209" w:name="_Toc27481"/>
      <w:r>
        <w:rPr>
          <w:rFonts w:ascii="Times New Roman" w:hAnsi="Times New Roman" w:eastAsia="黑体" w:cs="Times New Roman"/>
          <w:b/>
          <w:bCs/>
          <w:sz w:val="32"/>
          <w:szCs w:val="32"/>
        </w:rPr>
        <w:t>二、推进城乡公共服务融合发展</w:t>
      </w:r>
      <w:bookmarkEnd w:id="20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动公共服务向农村延伸、社会事业向农村覆盖，健全全民覆盖、普惠共享、城乡一体的基本公共服务体系。推进“放管服”改革向基层延伸，全面提升政务服务水平。实现县乡两级政务大厅和便民服务中心标准化、智慧化建设，最终实现“一号”申请，“一网”通办，“一窗”受理，变“群众跑腿”为“信息跑路”，逐步形成管理更简单、审批更科学、窗口服务更高效、群众办事更方便的一体化政务服务新格局</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促进城乡教育资源均衡配置，优先发展农村教育事业，建立以城带乡、整体推进、城乡一体、均衡发展的义务教育发展机制；多渠道增加乡村普惠性学前教育资源，推动教师资源向乡村倾斜，通过稳步提高待遇等措施增强乡村教师岗位吸引力。</w:t>
      </w:r>
      <w:r>
        <w:rPr>
          <w:rFonts w:hint="eastAsia" w:ascii="Times New Roman" w:hAnsi="Times New Roman" w:eastAsia="仿宋_GB2312" w:cs="Times New Roman"/>
          <w:sz w:val="32"/>
          <w:szCs w:val="32"/>
        </w:rPr>
        <w:t>以建设“川甘青结合部区域卫生健康强县”为目标，</w:t>
      </w:r>
      <w:r>
        <w:rPr>
          <w:rFonts w:ascii="Times New Roman" w:hAnsi="Times New Roman" w:eastAsia="仿宋_GB2312" w:cs="Times New Roman"/>
          <w:sz w:val="32"/>
          <w:szCs w:val="32"/>
        </w:rPr>
        <w:t>健全乡村医疗卫生服务体系，改善乡镇卫生院和村卫生室条件</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增加基层医务人员岗位吸引力，加强乡村医疗卫生人才队伍建设，</w:t>
      </w:r>
      <w:r>
        <w:rPr>
          <w:rFonts w:hint="eastAsia" w:ascii="Times New Roman" w:hAnsi="Times New Roman" w:eastAsia="仿宋_GB2312" w:cs="Times New Roman"/>
          <w:sz w:val="32"/>
          <w:szCs w:val="32"/>
        </w:rPr>
        <w:t>提升医疗服务能力和管理水平。</w:t>
      </w:r>
      <w:r>
        <w:rPr>
          <w:rFonts w:ascii="Times New Roman" w:hAnsi="Times New Roman" w:eastAsia="仿宋_GB2312" w:cs="Times New Roman"/>
          <w:sz w:val="32"/>
          <w:szCs w:val="32"/>
        </w:rPr>
        <w:t>统筹城乡公共文化服务体系，推动文化资源重点向乡村倾斜，提高服务的覆盖面和适用性</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建立文化结对帮扶机制，推动文化工作者和志愿者等投身乡村文化建设</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统筹城乡社会救助体系，做好城乡社会救助兜底工作，织密兜牢困难群众基本生活安全网。</w:t>
      </w:r>
    </w:p>
    <w:p>
      <w:pPr>
        <w:spacing w:line="560" w:lineRule="exact"/>
        <w:ind w:firstLine="643" w:firstLineChars="200"/>
        <w:outlineLvl w:val="2"/>
        <w:rPr>
          <w:rFonts w:ascii="Times New Roman" w:hAnsi="Times New Roman" w:eastAsia="黑体" w:cs="Times New Roman"/>
          <w:b/>
          <w:bCs/>
          <w:sz w:val="32"/>
          <w:szCs w:val="32"/>
        </w:rPr>
      </w:pPr>
      <w:bookmarkStart w:id="210" w:name="_Toc11522"/>
      <w:r>
        <w:rPr>
          <w:rFonts w:ascii="Times New Roman" w:hAnsi="Times New Roman" w:eastAsia="黑体" w:cs="Times New Roman"/>
          <w:b/>
          <w:bCs/>
          <w:sz w:val="32"/>
          <w:szCs w:val="32"/>
        </w:rPr>
        <w:t>三、推进城乡要素合理配置</w:t>
      </w:r>
      <w:bookmarkEnd w:id="21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决破除妨碍城乡要素自由流动和平等交换的体制机制壁垒，促进各类要素更多向乡村流动，在乡村形成人才、土地、资金、产业、信息汇聚的良性循环，为乡村振兴注入新动能。推动农业转移人口市民化机制，有力有序有效深化户籍制度改革，维护进城落户农牧民土地承包权、宅基地使用权、集体收益分配权，支持引导其依法自愿有偿转让上述权益；建立城市人才入乡激励机制，吸引各类人才返乡入乡创业。鼓励原籍普通高校和职业院校毕业生、外出农民工及经商人员回乡创业兴业。鼓励引导高校毕业生到村任职、扎根基层、发挥作用。建立城乡人才合作交流机制，推进城市教科文卫体等工作人员定期服务乡村。推动职称评定、工资待遇等向乡村教师、医生倾斜，优化乡村教师、医生中高级岗位结构比例；改革完善农村承包地制度，保持农村土地承包关系稳定并长久不变，加快完成农村承包地确权登记颁证，探索宅基地所有权、资格权、使用权“三权”分置，落实宅基地集体所有权，保障宅基地农户资格权和农民房屋财产权，适度放活宅基地和农民房屋使用权；健全财政投入保障机制，建立涉农资金统筹整合长效机制，提高资金配置效率。加快完善农业保险制度，推动政策性保险扩面、增品、提标，降低农户生产经营风险。</w:t>
      </w: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p>
    <w:p>
      <w:pPr>
        <w:widowControl/>
        <w:jc w:val="left"/>
        <w:rPr>
          <w:rFonts w:ascii="Times New Roman" w:hAnsi="Times New Roman" w:eastAsia="仿宋_GB2312" w:cs="Times New Roman"/>
          <w:sz w:val="32"/>
          <w:szCs w:val="32"/>
        </w:rPr>
      </w:pPr>
      <w:r>
        <w:rPr>
          <w:rFonts w:ascii="Times New Roman" w:hAnsi="Times New Roman" w:eastAsia="仿宋_GB2312" w:cs="Times New Roman"/>
          <w:sz w:val="32"/>
          <w:szCs w:val="32"/>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0"/>
        <w:rPr>
          <w:rFonts w:ascii="Times New Roman" w:hAnsi="Times New Roman" w:eastAsia="仿宋_GB2312" w:cs="Times New Roman"/>
          <w:sz w:val="32"/>
          <w:szCs w:val="32"/>
        </w:rPr>
      </w:pPr>
      <w:bookmarkStart w:id="211" w:name="_Toc14664"/>
      <w:bookmarkStart w:id="212" w:name="_Toc28183"/>
      <w:r>
        <w:rPr>
          <w:rFonts w:ascii="Times New Roman" w:hAnsi="Times New Roman" w:eastAsia="方正小标宋_GBK" w:cs="Times New Roman"/>
          <w:sz w:val="44"/>
          <w:szCs w:val="44"/>
        </w:rPr>
        <w:t>第十一章  推进基本公共服务均等化，全方位</w:t>
      </w: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推进“幸福壤塘”建设</w:t>
      </w:r>
      <w:bookmarkEnd w:id="211"/>
      <w:bookmarkEnd w:id="212"/>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始终坚持以人民为中心，从解决人民最关心最直接最现实的利益问题入手，建设高质量基本公共服务体系，推进基本公共服务均等化，努力提高城乡居民收入，增强全体人民获得感、幸福感和安全感，全方位推进</w:t>
      </w:r>
      <w:r>
        <w:rPr>
          <w:rFonts w:ascii="Times New Roman" w:hAnsi="Times New Roman" w:eastAsia="楷体_GB2312" w:cs="Times New Roman"/>
          <w:b/>
          <w:bCs/>
          <w:sz w:val="32"/>
          <w:szCs w:val="32"/>
        </w:rPr>
        <w:t>“幸福壤塘”</w:t>
      </w:r>
      <w:r>
        <w:rPr>
          <w:rFonts w:ascii="Times New Roman" w:hAnsi="Times New Roman" w:eastAsia="仿宋_GB2312" w:cs="Times New Roman"/>
          <w:sz w:val="32"/>
          <w:szCs w:val="32"/>
        </w:rPr>
        <w:t>建设。</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13" w:name="_Toc4387"/>
      <w:bookmarkStart w:id="214" w:name="_Toc30615"/>
      <w:r>
        <w:rPr>
          <w:rFonts w:ascii="Times New Roman" w:hAnsi="Times New Roman" w:eastAsia="宋体" w:cs="Times New Roman"/>
          <w:b/>
          <w:bCs/>
          <w:sz w:val="36"/>
          <w:szCs w:val="36"/>
        </w:rPr>
        <w:t>第一节  实施积极就业创业政策</w:t>
      </w:r>
      <w:bookmarkEnd w:id="213"/>
      <w:bookmarkEnd w:id="214"/>
    </w:p>
    <w:p>
      <w:pPr>
        <w:spacing w:line="560" w:lineRule="exact"/>
        <w:ind w:firstLine="640" w:firstLineChars="200"/>
        <w:rPr>
          <w:rFonts w:ascii="Times New Roman" w:hAnsi="Times New Roman" w:eastAsia="仿宋_GB2312" w:cs="Times New Roman"/>
          <w:sz w:val="32"/>
          <w:szCs w:val="32"/>
        </w:rPr>
      </w:pPr>
    </w:p>
    <w:p>
      <w:pPr>
        <w:spacing w:line="560" w:lineRule="exact"/>
        <w:ind w:firstLine="643" w:firstLineChars="200"/>
        <w:outlineLvl w:val="2"/>
        <w:rPr>
          <w:rFonts w:ascii="Times New Roman" w:hAnsi="Times New Roman" w:eastAsia="黑体" w:cs="Times New Roman"/>
          <w:b/>
          <w:bCs/>
          <w:sz w:val="32"/>
          <w:szCs w:val="32"/>
        </w:rPr>
      </w:pPr>
      <w:bookmarkStart w:id="215" w:name="_Toc573"/>
      <w:r>
        <w:rPr>
          <w:rFonts w:ascii="Times New Roman" w:hAnsi="Times New Roman" w:eastAsia="黑体" w:cs="Times New Roman"/>
          <w:b/>
          <w:bCs/>
          <w:sz w:val="32"/>
          <w:szCs w:val="32"/>
        </w:rPr>
        <w:t>一、实施积极就业创业政策</w:t>
      </w:r>
      <w:bookmarkEnd w:id="21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就业是民生之本，实施积极就业政策，创造更多就业岗位。健全有利于更充分更高质量就业的促进机制，实现更高质量和更充分就业。继续实施大学生创业引领计划，推进大学生、退役军人创业孵化基地建设，实施农牧民创新创业行动计划，鼓励和支持农村青年和返乡农民发展新产业新业态，更好发挥创业创新创造对扩大就业的支撑作用。结合全县生态建设、社会治理和产业发展，“十四五”期间，全县每年开发公益性岗位不少于300个，安置就业困难群体人员不少于240人；每年确保高校毕业生见习基地8个以上，安置高校毕业生见习保持在10人以上；对登记高校毕业生就业和创业实行全面跟踪，确保登记高校毕业生就业80%以上；每年扶持高校毕业生成功创业3人以上；城镇</w:t>
      </w:r>
      <w:r>
        <w:rPr>
          <w:rFonts w:hint="eastAsia" w:ascii="Times New Roman" w:hAnsi="Times New Roman" w:eastAsia="仿宋_GB2312" w:cs="Times New Roman"/>
          <w:sz w:val="32"/>
          <w:szCs w:val="32"/>
        </w:rPr>
        <w:t>调查</w:t>
      </w:r>
      <w:r>
        <w:rPr>
          <w:rFonts w:ascii="Times New Roman" w:hAnsi="Times New Roman" w:eastAsia="仿宋_GB2312" w:cs="Times New Roman"/>
          <w:sz w:val="32"/>
          <w:szCs w:val="32"/>
        </w:rPr>
        <w:t>失业率控制在3.7%以内。</w:t>
      </w:r>
    </w:p>
    <w:p>
      <w:pPr>
        <w:spacing w:line="560" w:lineRule="exact"/>
        <w:ind w:firstLine="643" w:firstLineChars="200"/>
        <w:outlineLvl w:val="2"/>
        <w:rPr>
          <w:rFonts w:ascii="Times New Roman" w:hAnsi="Times New Roman" w:eastAsia="黑体" w:cs="Times New Roman"/>
          <w:b/>
          <w:bCs/>
          <w:sz w:val="32"/>
          <w:szCs w:val="32"/>
        </w:rPr>
      </w:pPr>
      <w:bookmarkStart w:id="216" w:name="_Toc14554"/>
      <w:r>
        <w:rPr>
          <w:rFonts w:ascii="Times New Roman" w:hAnsi="Times New Roman" w:eastAsia="黑体" w:cs="Times New Roman"/>
          <w:b/>
          <w:bCs/>
          <w:sz w:val="32"/>
          <w:szCs w:val="32"/>
        </w:rPr>
        <w:t>二、健全就业创业培训制度</w:t>
      </w:r>
      <w:bookmarkEnd w:id="21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健全公共就业服务和终身职业技能培训制度，完善重点群体就业支持体系。大规模开展职业技能培训，注重解决结构性就业矛盾。建立促进创业带动就业、多渠道灵活就业机制，对就业困难人员实行托底帮扶。提供全方位公共就业服务，促进高校毕业生等青年群体、农民工多渠道就业创业。加强农牧民再就业培训，开展培训就业、自谋职业、自主创业等服务，提供即时岗位信息和即时就业服务，增强农牧民培训的实效性，提高就业能力。集中打造壤塘县优势劳务品牌，确保每年培训不少于1000人次。</w:t>
      </w:r>
    </w:p>
    <w:p>
      <w:pPr>
        <w:spacing w:line="560" w:lineRule="exact"/>
        <w:ind w:firstLine="643" w:firstLineChars="200"/>
        <w:outlineLvl w:val="2"/>
        <w:rPr>
          <w:rFonts w:ascii="Times New Roman" w:hAnsi="Times New Roman" w:eastAsia="黑体" w:cs="Times New Roman"/>
          <w:b/>
          <w:bCs/>
          <w:sz w:val="32"/>
          <w:szCs w:val="32"/>
        </w:rPr>
      </w:pPr>
      <w:bookmarkStart w:id="217" w:name="_Toc23409"/>
      <w:r>
        <w:rPr>
          <w:rFonts w:ascii="Times New Roman" w:hAnsi="Times New Roman" w:eastAsia="黑体" w:cs="Times New Roman"/>
          <w:b/>
          <w:bCs/>
          <w:sz w:val="32"/>
          <w:szCs w:val="32"/>
        </w:rPr>
        <w:t>三、营造良好的就业创业环境</w:t>
      </w:r>
      <w:bookmarkEnd w:id="21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决防止和纠正就业歧视，营造公平就业环境。逐步实施就业的各项优惠政策。落实小额担保贷款政策促进创业带动就业，逐步提高贷款额度、延展贷款期限，每年小额担保贷款不少于100万元；破除妨碍劳动力、人才社会性流动的体制机制弊端，使人人都有通过辛勤劳动实现自身发展的机会。促进广大劳动者实现体面劳动、全面发展。完善政府、工会、企业共同参与的协商协调机制，构建和谐劳动关系。</w:t>
      </w:r>
    </w:p>
    <w:tbl>
      <w:tblPr>
        <w:tblStyle w:val="12"/>
        <w:tblW w:w="8775" w:type="dxa"/>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5" w:type="dxa"/>
          </w:tcPr>
          <w:p>
            <w:pPr>
              <w:spacing w:line="56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w:t>
            </w:r>
            <w:r>
              <w:rPr>
                <w:rFonts w:hint="eastAsia" w:ascii="Times New Roman" w:hAnsi="Times New Roman" w:eastAsia="黑体" w:cs="Times New Roman"/>
                <w:sz w:val="28"/>
                <w:szCs w:val="28"/>
              </w:rPr>
              <w:t>20</w:t>
            </w:r>
            <w:r>
              <w:rPr>
                <w:rFonts w:ascii="Times New Roman" w:hAnsi="Times New Roman" w:eastAsia="黑体" w:cs="Times New Roman"/>
                <w:sz w:val="28"/>
                <w:szCs w:val="28"/>
              </w:rPr>
              <w:t xml:space="preserve">  就业创业重点项目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5" w:type="dxa"/>
          </w:tcPr>
          <w:p>
            <w:pPr>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一、就业创业</w:t>
            </w:r>
          </w:p>
          <w:p>
            <w:pPr>
              <w:spacing w:line="440" w:lineRule="exac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返乡创业基地；公共实训基地等。</w:t>
            </w:r>
          </w:p>
          <w:p>
            <w:pPr>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二、培训项目</w:t>
            </w:r>
          </w:p>
          <w:p>
            <w:pPr>
              <w:spacing w:line="440" w:lineRule="exact"/>
              <w:ind w:firstLine="480" w:firstLineChars="200"/>
              <w:rPr>
                <w:rFonts w:ascii="Times New Roman" w:hAnsi="Times New Roman" w:eastAsia="仿宋" w:cs="Times New Roman"/>
                <w:sz w:val="30"/>
                <w:szCs w:val="30"/>
              </w:rPr>
            </w:pPr>
            <w:r>
              <w:rPr>
                <w:rFonts w:hint="eastAsia" w:ascii="Times New Roman" w:hAnsi="Times New Roman" w:eastAsia="楷体_GB2312" w:cs="Times New Roman"/>
                <w:sz w:val="24"/>
              </w:rPr>
              <w:t>人力资源市场和农牧民技能培训中心建设；农村劳动能力转移培训等。</w:t>
            </w:r>
          </w:p>
        </w:tc>
      </w:tr>
    </w:tbl>
    <w:p>
      <w:pPr>
        <w:spacing w:line="560" w:lineRule="exact"/>
        <w:jc w:val="center"/>
        <w:outlineLvl w:val="1"/>
        <w:rPr>
          <w:rFonts w:ascii="Times New Roman" w:hAnsi="Times New Roman" w:eastAsia="宋体" w:cs="Times New Roman"/>
          <w:b/>
          <w:bCs/>
          <w:sz w:val="36"/>
          <w:szCs w:val="36"/>
        </w:rPr>
      </w:pPr>
      <w:bookmarkStart w:id="218" w:name="_Toc13267"/>
      <w:bookmarkStart w:id="219" w:name="_Toc7103"/>
      <w:r>
        <w:rPr>
          <w:rFonts w:ascii="Times New Roman" w:hAnsi="Times New Roman" w:eastAsia="宋体" w:cs="Times New Roman"/>
          <w:b/>
          <w:bCs/>
          <w:sz w:val="36"/>
          <w:szCs w:val="36"/>
        </w:rPr>
        <w:t>第二节  实施教育优先发展战略</w:t>
      </w:r>
      <w:bookmarkEnd w:id="218"/>
      <w:bookmarkEnd w:id="219"/>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坚持教育</w:t>
      </w:r>
      <w:r>
        <w:rPr>
          <w:rFonts w:hint="eastAsia" w:ascii="Times New Roman" w:hAnsi="Times New Roman" w:eastAsia="仿宋_GB2312" w:cs="Times New Roman"/>
          <w:sz w:val="32"/>
          <w:szCs w:val="32"/>
        </w:rPr>
        <w:t>优先</w:t>
      </w:r>
      <w:r>
        <w:rPr>
          <w:rFonts w:ascii="Times New Roman" w:hAnsi="Times New Roman" w:eastAsia="仿宋_GB2312" w:cs="Times New Roman"/>
          <w:sz w:val="32"/>
          <w:szCs w:val="32"/>
        </w:rPr>
        <w:t>发展战略，深入实施教育提升行动，全面实施15年免费教育，持续加大教育投入，</w:t>
      </w:r>
      <w:r>
        <w:rPr>
          <w:rFonts w:hint="eastAsia" w:ascii="Times New Roman" w:hAnsi="Times New Roman" w:eastAsia="仿宋_GB2312" w:cs="Times New Roman"/>
          <w:sz w:val="32"/>
          <w:szCs w:val="32"/>
        </w:rPr>
        <w:t>极</w:t>
      </w:r>
      <w:r>
        <w:rPr>
          <w:rFonts w:ascii="Times New Roman" w:hAnsi="Times New Roman" w:eastAsia="仿宋_GB2312" w:cs="Times New Roman"/>
          <w:sz w:val="32"/>
          <w:szCs w:val="32"/>
        </w:rPr>
        <w:t>力改善办学环境、不断提升教育质量，促进义务教育基本均衡向优质均衡发展，继续</w:t>
      </w:r>
      <w:r>
        <w:rPr>
          <w:rFonts w:hint="eastAsia" w:ascii="Times New Roman" w:hAnsi="Times New Roman" w:eastAsia="仿宋_GB2312" w:cs="Times New Roman"/>
          <w:sz w:val="32"/>
          <w:szCs w:val="32"/>
        </w:rPr>
        <w:t>践行</w:t>
      </w:r>
      <w:r>
        <w:rPr>
          <w:rFonts w:ascii="Times New Roman" w:hAnsi="Times New Roman" w:eastAsia="仿宋_GB2312" w:cs="Times New Roman"/>
          <w:sz w:val="32"/>
          <w:szCs w:val="32"/>
        </w:rPr>
        <w:t>“建花园</w:t>
      </w:r>
      <w:r>
        <w:rPr>
          <w:rFonts w:hint="eastAsia" w:ascii="Times New Roman" w:hAnsi="Times New Roman" w:eastAsia="仿宋_GB2312" w:cs="Times New Roman"/>
          <w:sz w:val="32"/>
          <w:szCs w:val="32"/>
        </w:rPr>
        <w:t>般</w:t>
      </w:r>
      <w:r>
        <w:rPr>
          <w:rFonts w:ascii="Times New Roman" w:hAnsi="Times New Roman" w:eastAsia="仿宋_GB2312" w:cs="Times New Roman"/>
          <w:sz w:val="32"/>
          <w:szCs w:val="32"/>
        </w:rPr>
        <w:t>学校，育花朵般学生”理念，着力打造“川甘青结合部区域教育强县”。</w:t>
      </w:r>
    </w:p>
    <w:p>
      <w:pPr>
        <w:spacing w:line="560" w:lineRule="exact"/>
        <w:ind w:firstLine="643" w:firstLineChars="200"/>
        <w:outlineLvl w:val="2"/>
        <w:rPr>
          <w:rFonts w:ascii="Times New Roman" w:hAnsi="Times New Roman" w:eastAsia="黑体" w:cs="Times New Roman"/>
          <w:b/>
          <w:bCs/>
          <w:sz w:val="32"/>
          <w:szCs w:val="32"/>
        </w:rPr>
      </w:pPr>
      <w:bookmarkStart w:id="220" w:name="_Toc28652"/>
      <w:r>
        <w:rPr>
          <w:rFonts w:ascii="Times New Roman" w:hAnsi="Times New Roman" w:eastAsia="黑体" w:cs="Times New Roman"/>
          <w:b/>
          <w:bCs/>
          <w:sz w:val="32"/>
          <w:szCs w:val="32"/>
        </w:rPr>
        <w:t>一、推进义务教育优质均衡发展</w:t>
      </w:r>
      <w:bookmarkEnd w:id="22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推动城乡义务教育一体化发展，全面提高义务教育质量和水平。</w:t>
      </w:r>
      <w:r>
        <w:rPr>
          <w:rFonts w:hint="eastAsia" w:ascii="Times New Roman" w:hAnsi="Times New Roman" w:eastAsia="仿宋_GB2312" w:cs="Times New Roman"/>
          <w:sz w:val="32"/>
          <w:szCs w:val="32"/>
        </w:rPr>
        <w:t>优化校区布局，</w:t>
      </w:r>
      <w:r>
        <w:rPr>
          <w:rFonts w:ascii="Times New Roman" w:hAnsi="Times New Roman" w:eastAsia="仿宋_GB2312" w:cs="Times New Roman"/>
          <w:sz w:val="32"/>
          <w:szCs w:val="32"/>
        </w:rPr>
        <w:t>加大投入力度，提高义务教育学校标准化建设，完善配套设施和教学设备，提升义务教育整体办学条件和水平，重点打造规模寄宿制学校。推进壤塘县中学第二校区建设，提升城区、乡镇中心学校办学条件。改善义务教育薄弱学校基本办学条件，缩小校际差距。促进区域内义务教育优质均衡发展，推进教育公平。为九年义务教育学生实施营养改善计划，实施“三免一补”政策，逐步提高寄宿生生活费补助标准。巩固提高九年义务教育水平，提高教育质量，着力促进学生德智体美劳全面发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实行十五年免费教育。继续实施“9+3”免费中等职业教育计划，实现普通高中教育与职教比例达到5:5。完善以乡镇党委政府为责任主体，县、乡、村三级协同配合，名誉校长跟进督促的控辍保学机制，全面消除因贫</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rPr>
        <w:t>因病</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rPr>
        <w:t>因残辍学等现象。到2025年，义务教育巩固率达到9</w:t>
      </w:r>
      <w:r>
        <w:rPr>
          <w:rFonts w:hint="eastAsia" w:ascii="Times New Roman" w:hAnsi="Times New Roman" w:eastAsia="仿宋_GB2312" w:cs="Times New Roman"/>
          <w:sz w:val="32"/>
          <w:szCs w:val="32"/>
        </w:rPr>
        <w:t>6</w:t>
      </w:r>
      <w:r>
        <w:rPr>
          <w:rFonts w:ascii="Times New Roman" w:hAnsi="Times New Roman" w:eastAsia="仿宋_GB2312" w:cs="Times New Roman"/>
          <w:sz w:val="32"/>
          <w:szCs w:val="32"/>
        </w:rPr>
        <w:t>%以上。</w:t>
      </w:r>
    </w:p>
    <w:p>
      <w:pPr>
        <w:spacing w:line="560" w:lineRule="exact"/>
        <w:ind w:firstLine="643" w:firstLineChars="200"/>
        <w:outlineLvl w:val="2"/>
        <w:rPr>
          <w:rFonts w:ascii="Times New Roman" w:hAnsi="Times New Roman" w:eastAsia="黑体" w:cs="Times New Roman"/>
          <w:b/>
          <w:bCs/>
          <w:sz w:val="32"/>
          <w:szCs w:val="32"/>
        </w:rPr>
      </w:pPr>
      <w:bookmarkStart w:id="221" w:name="_Toc6868"/>
      <w:r>
        <w:rPr>
          <w:rFonts w:ascii="Times New Roman" w:hAnsi="Times New Roman" w:eastAsia="黑体" w:cs="Times New Roman"/>
          <w:b/>
          <w:bCs/>
          <w:sz w:val="32"/>
          <w:szCs w:val="32"/>
        </w:rPr>
        <w:t>二、加快普及学前教育</w:t>
      </w:r>
      <w:bookmarkEnd w:id="22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普及学前教育，扩大普惠性幼儿园资源。全力推进乡镇幼儿园建设，因地制宜推进具备条件的行政村幼儿园建设，完善幼儿园学生桌凳、学生生活卧具、学生食堂等设施，加强教师配备和待遇保障，提升幼儿园保教质量，竭尽全力保证农村幼教健康发展。规范双语教学学校管理，加快双语学校标准化建设。到2025年，全县基本普及学前三年教育，实现11个乡镇中心幼儿园全覆盖，新增或改扩建全县各片区村级幼儿园21所。</w:t>
      </w:r>
    </w:p>
    <w:p>
      <w:pPr>
        <w:spacing w:line="560" w:lineRule="exact"/>
        <w:ind w:firstLine="643" w:firstLineChars="200"/>
        <w:outlineLvl w:val="2"/>
        <w:rPr>
          <w:rFonts w:ascii="Times New Roman" w:hAnsi="Times New Roman" w:eastAsia="黑体" w:cs="Times New Roman"/>
          <w:b/>
          <w:bCs/>
          <w:sz w:val="32"/>
          <w:szCs w:val="32"/>
        </w:rPr>
      </w:pPr>
      <w:bookmarkStart w:id="222" w:name="_Toc12212"/>
      <w:r>
        <w:rPr>
          <w:rFonts w:ascii="Times New Roman" w:hAnsi="Times New Roman" w:eastAsia="黑体" w:cs="Times New Roman"/>
          <w:b/>
          <w:bCs/>
          <w:sz w:val="32"/>
          <w:szCs w:val="32"/>
        </w:rPr>
        <w:t>三、</w:t>
      </w:r>
      <w:r>
        <w:rPr>
          <w:rFonts w:hint="eastAsia" w:ascii="Times New Roman" w:hAnsi="Times New Roman" w:eastAsia="黑体" w:cs="Times New Roman"/>
          <w:b/>
          <w:bCs/>
          <w:sz w:val="32"/>
          <w:szCs w:val="32"/>
        </w:rPr>
        <w:t>加强县委党校建设</w:t>
      </w:r>
      <w:bookmarkEnd w:id="222"/>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将党校工作提高到事关党的事业成败、落实全面从严治党以及建设美丽、幸福、文化、开放、法治壤塘的高度，切实落实领导干部到党校讲课制度。聚焦党校教学主业，认真贯彻落实全国、全省党校工作会议精神，突出马克思主义理论教育和党性教育的主课地位，进一步完善教学布局。与建设“铸牢中华民族共同体意识示范县”目标紧密结合，深入开展理想信念教育、党的宗旨教育、党史国史教育、革命传统教育、道德品行教育、反腐倡廉教育，引导学员提升政治修养、道德修养、作风修养。着力扩大办学规模，采取与相关部门合作办学、联合办学的模式，举办全县科级干部、青年干部、入党积极分子、大学生村干部、组工干部、妇女干部等各类培训班。重视科研和智库建设工作。切实加强队伍建设，选优配齐领导班子，加强师资队伍建设。加强基础配套设施建设，按照“1个基地+3条线路+N个现场教学点”的办学布局，完善现场教学点及线路基础配套设施，切实改善办学条件。结合长征国家文化公园壤塘段建设，将各主题纪念设施、革命遗址遗迹、特色现场教学点串点连线，形成展示长征文化、弘扬长征精神的精品教学线路，打造新时代走好“壤塘长征路”党校建设样板。</w:t>
      </w:r>
    </w:p>
    <w:p>
      <w:pPr>
        <w:spacing w:line="560" w:lineRule="exact"/>
        <w:ind w:firstLine="643" w:firstLineChars="200"/>
        <w:outlineLvl w:val="2"/>
        <w:rPr>
          <w:rFonts w:ascii="Times New Roman" w:hAnsi="Times New Roman" w:eastAsia="黑体" w:cs="Times New Roman"/>
          <w:b/>
          <w:bCs/>
          <w:sz w:val="32"/>
          <w:szCs w:val="32"/>
        </w:rPr>
      </w:pPr>
      <w:bookmarkStart w:id="223" w:name="_Toc22206"/>
      <w:r>
        <w:rPr>
          <w:rFonts w:ascii="Times New Roman" w:hAnsi="Times New Roman" w:eastAsia="黑体" w:cs="Times New Roman"/>
          <w:b/>
          <w:bCs/>
          <w:sz w:val="32"/>
          <w:szCs w:val="32"/>
        </w:rPr>
        <w:t>四、加快教育信息化建设</w:t>
      </w:r>
      <w:bookmarkEnd w:id="22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深入推进信息化建设，强化信息技术在教学、科研和管理等教育领域中的广泛应用，推进学校联网攻坚行动。加快推进“互联网+教育”建设，推动5G技术与教育教学融合应用，积极构建5G全息互动课堂、智慧考务、智慧校园云课堂、人工智能教育等基础环境，在教育资源共享、创新素养教育、教师队伍建设、现代教育治理等方面开展示范应用，形成人才培育、教育服务、教育治理新模式，推动教育高质量发展。积极发展数字校园、智慧校园、未来学校等新模式，引导优质教育资源向农村地区覆盖。“十四五”末，实现农村中小学宽带网络接入率100%，乡镇中心校及以上学校所有班级配备教育信息化设施设备，乡镇以上公办幼儿园班班配备多媒体播放设备，所有教师能够熟练运用现代教育技术开展教育教学，县城中小学配备数字化物理、生物、化学实验室设备。</w:t>
      </w:r>
    </w:p>
    <w:p>
      <w:pPr>
        <w:spacing w:line="560" w:lineRule="exact"/>
        <w:ind w:firstLine="643" w:firstLineChars="200"/>
        <w:outlineLvl w:val="2"/>
        <w:rPr>
          <w:rFonts w:ascii="Times New Roman" w:hAnsi="Times New Roman" w:eastAsia="黑体" w:cs="Times New Roman"/>
          <w:b/>
          <w:bCs/>
          <w:sz w:val="32"/>
          <w:szCs w:val="32"/>
        </w:rPr>
      </w:pPr>
      <w:bookmarkStart w:id="224" w:name="_Toc32080"/>
      <w:r>
        <w:rPr>
          <w:rFonts w:ascii="Times New Roman" w:hAnsi="Times New Roman" w:eastAsia="黑体" w:cs="Times New Roman"/>
          <w:b/>
          <w:bCs/>
          <w:sz w:val="32"/>
          <w:szCs w:val="32"/>
        </w:rPr>
        <w:t>五、强化师资队伍建设</w:t>
      </w:r>
      <w:bookmarkEnd w:id="22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强化尊师重教氛围，引导教师敬业乐教，树立师德师风典型，创造条件留住教师，鼓励教师终身从教。建立学校后备干部储备库，实行校长末位淘汰制，形成科学选拔机制。巩固名誉校长“九个一”“金秋助学·圆梦”“千名教师进万家”“小手拉大手·共走文明路”等制度。大力实施乡村教师支持计划、“特岗计划”和</w:t>
      </w:r>
      <w:r>
        <w:rPr>
          <w:rFonts w:hint="eastAsia" w:ascii="Times New Roman" w:hAnsi="Times New Roman" w:eastAsia="仿宋_GB2312" w:cs="Times New Roman"/>
          <w:sz w:val="32"/>
          <w:szCs w:val="32"/>
        </w:rPr>
        <w:t>公</w:t>
      </w:r>
      <w:r>
        <w:rPr>
          <w:rFonts w:ascii="Times New Roman" w:hAnsi="Times New Roman" w:eastAsia="仿宋_GB2312" w:cs="Times New Roman"/>
          <w:sz w:val="32"/>
          <w:szCs w:val="32"/>
        </w:rPr>
        <w:t>费师范生定向培养计划。依托省内高校、东西部协作、省内对口援建等建立教师培养培训基地，实施省属免费师范生培养计划，为全县定向培养双语教师和紧缺学科教师，鼓励到乡村任教。完善教师培训体系，实施定期轮训制度，提高义务教育师资队伍质量和“双语”教学能力。加强教师管理，完善教师教学考核评价和激励等机制，注重发挥支教和骨干教师作用，提高教师待遇，力争建成一支业务精湛、师德高尚的教师队伍。加快中小学教师周转宿舍建设，改善教师居住条件，提高教师整体待遇。继续完善教育对口帮扶机制。</w:t>
      </w:r>
    </w:p>
    <w:tbl>
      <w:tblPr>
        <w:tblStyle w:val="12"/>
        <w:tblW w:w="8865" w:type="dxa"/>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5" w:type="dxa"/>
          </w:tcPr>
          <w:p>
            <w:pPr>
              <w:spacing w:line="560" w:lineRule="exact"/>
              <w:jc w:val="center"/>
              <w:rPr>
                <w:rFonts w:ascii="Times New Roman" w:hAnsi="Times New Roman" w:eastAsia="黑体" w:cs="Times New Roman"/>
                <w:kern w:val="0"/>
                <w:sz w:val="28"/>
                <w:szCs w:val="28"/>
              </w:rPr>
            </w:pPr>
            <w:r>
              <w:rPr>
                <w:rFonts w:ascii="Times New Roman" w:hAnsi="Times New Roman" w:eastAsia="黑体" w:cs="Times New Roman"/>
                <w:kern w:val="0"/>
                <w:sz w:val="28"/>
                <w:szCs w:val="28"/>
              </w:rPr>
              <w:t>专栏2</w:t>
            </w:r>
            <w:r>
              <w:rPr>
                <w:rFonts w:hint="eastAsia" w:ascii="Times New Roman" w:hAnsi="Times New Roman" w:eastAsia="黑体" w:cs="Times New Roman"/>
                <w:kern w:val="0"/>
                <w:sz w:val="28"/>
                <w:szCs w:val="28"/>
              </w:rPr>
              <w:t>1</w:t>
            </w:r>
            <w:r>
              <w:rPr>
                <w:rFonts w:ascii="Times New Roman" w:hAnsi="Times New Roman" w:eastAsia="黑体" w:cs="Times New Roman"/>
                <w:kern w:val="0"/>
                <w:sz w:val="28"/>
                <w:szCs w:val="28"/>
              </w:rPr>
              <w:t xml:space="preserve">  教育事业重点项目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65" w:type="dxa"/>
          </w:tcPr>
          <w:p>
            <w:pPr>
              <w:spacing w:line="360" w:lineRule="exact"/>
              <w:ind w:firstLine="480" w:firstLineChars="200"/>
              <w:rPr>
                <w:rFonts w:ascii="Times New Roman" w:hAnsi="Times New Roman" w:eastAsia="黑体" w:cs="Times New Roman"/>
                <w:kern w:val="0"/>
                <w:sz w:val="24"/>
              </w:rPr>
            </w:pPr>
            <w:r>
              <w:rPr>
                <w:rFonts w:ascii="Times New Roman" w:hAnsi="Times New Roman" w:eastAsia="黑体" w:cs="Times New Roman"/>
                <w:kern w:val="0"/>
                <w:sz w:val="24"/>
              </w:rPr>
              <w:t>一、义务教育均衡发展</w:t>
            </w:r>
          </w:p>
          <w:p>
            <w:pPr>
              <w:spacing w:line="360" w:lineRule="exact"/>
              <w:ind w:firstLine="480" w:firstLineChars="200"/>
              <w:rPr>
                <w:rFonts w:ascii="Times New Roman" w:hAnsi="Times New Roman" w:eastAsia="楷体" w:cs="Times New Roman"/>
                <w:kern w:val="0"/>
                <w:sz w:val="24"/>
              </w:rPr>
            </w:pPr>
            <w:r>
              <w:rPr>
                <w:rFonts w:hint="eastAsia" w:ascii="Times New Roman" w:hAnsi="Times New Roman" w:eastAsia="楷体_GB2312" w:cs="Times New Roman"/>
                <w:kern w:val="0"/>
                <w:sz w:val="24"/>
              </w:rPr>
              <w:t>中小学标准化建设；县中学第二校区；宗科乡中心校教学楼；吾伊乡中心校食堂；尕多乡中心校学生食堂；上壤塘乡中心校教学楼、学生宿舍；中小学校舍及运动场地提升改造；南木达中小学校舍及运动场地提升改造；全县乡镇学校给排水及供暖工程等。</w:t>
            </w:r>
          </w:p>
          <w:p>
            <w:pPr>
              <w:spacing w:line="360" w:lineRule="exact"/>
              <w:ind w:firstLine="480" w:firstLineChars="200"/>
              <w:rPr>
                <w:rFonts w:ascii="Times New Roman" w:hAnsi="Times New Roman" w:eastAsia="黑体" w:cs="Times New Roman"/>
                <w:kern w:val="0"/>
                <w:sz w:val="24"/>
              </w:rPr>
            </w:pPr>
            <w:r>
              <w:rPr>
                <w:rFonts w:ascii="Times New Roman" w:hAnsi="Times New Roman" w:eastAsia="黑体" w:cs="Times New Roman"/>
                <w:kern w:val="0"/>
                <w:sz w:val="24"/>
              </w:rPr>
              <w:t>二、学前教育</w:t>
            </w:r>
          </w:p>
          <w:p>
            <w:pPr>
              <w:spacing w:line="360" w:lineRule="exact"/>
              <w:ind w:firstLine="480" w:firstLineChars="200"/>
              <w:rPr>
                <w:rFonts w:ascii="Times New Roman" w:hAnsi="Times New Roman" w:eastAsia="楷体_GB2312" w:cs="Times New Roman"/>
                <w:kern w:val="0"/>
                <w:sz w:val="24"/>
              </w:rPr>
            </w:pPr>
            <w:r>
              <w:rPr>
                <w:rFonts w:hint="eastAsia" w:ascii="Times New Roman" w:hAnsi="Times New Roman" w:eastAsia="楷体_GB2312" w:cs="Times New Roman"/>
                <w:kern w:val="0"/>
                <w:sz w:val="24"/>
              </w:rPr>
              <w:t>11个乡镇幼儿园改扩建和硬件设施提升；新建21所村级幼儿园等。</w:t>
            </w:r>
          </w:p>
          <w:p>
            <w:pPr>
              <w:spacing w:line="360" w:lineRule="exact"/>
              <w:ind w:firstLine="480" w:firstLineChars="200"/>
              <w:rPr>
                <w:rFonts w:ascii="Times New Roman" w:hAnsi="Times New Roman" w:eastAsia="黑体" w:cs="Times New Roman"/>
                <w:kern w:val="0"/>
                <w:sz w:val="24"/>
              </w:rPr>
            </w:pPr>
            <w:r>
              <w:rPr>
                <w:rFonts w:ascii="Times New Roman" w:hAnsi="Times New Roman" w:eastAsia="黑体" w:cs="Times New Roman"/>
                <w:kern w:val="0"/>
                <w:sz w:val="24"/>
              </w:rPr>
              <w:t>三、高中教育、职业技术教育和特殊教育</w:t>
            </w:r>
          </w:p>
          <w:p>
            <w:pPr>
              <w:spacing w:line="360" w:lineRule="exact"/>
              <w:ind w:firstLine="480" w:firstLineChars="200"/>
              <w:rPr>
                <w:rFonts w:ascii="Times New Roman" w:hAnsi="Times New Roman" w:eastAsia="楷体_GB2312" w:cs="Times New Roman"/>
                <w:kern w:val="0"/>
                <w:sz w:val="24"/>
              </w:rPr>
            </w:pPr>
            <w:r>
              <w:rPr>
                <w:rFonts w:hint="eastAsia" w:ascii="Times New Roman" w:hAnsi="Times New Roman" w:eastAsia="楷体_GB2312" w:cs="Times New Roman"/>
                <w:kern w:val="0"/>
                <w:sz w:val="24"/>
              </w:rPr>
              <w:t>教育基础薄弱县普通高中建设；中共壤塘县委党校建设；特殊教育中心（全寄宿制）；职业教育产教融合工程等。</w:t>
            </w:r>
          </w:p>
          <w:p>
            <w:pPr>
              <w:spacing w:line="360" w:lineRule="exact"/>
              <w:ind w:firstLine="480" w:firstLineChars="200"/>
              <w:rPr>
                <w:rFonts w:ascii="Times New Roman" w:hAnsi="Times New Roman" w:eastAsia="黑体" w:cs="Times New Roman"/>
                <w:kern w:val="0"/>
                <w:sz w:val="24"/>
              </w:rPr>
            </w:pPr>
            <w:r>
              <w:rPr>
                <w:rFonts w:ascii="Times New Roman" w:hAnsi="Times New Roman" w:eastAsia="黑体" w:cs="Times New Roman"/>
                <w:kern w:val="0"/>
                <w:sz w:val="24"/>
              </w:rPr>
              <w:t>四、教育培训及信息化</w:t>
            </w:r>
          </w:p>
          <w:p>
            <w:pPr>
              <w:spacing w:line="360" w:lineRule="exact"/>
              <w:ind w:firstLine="480" w:firstLineChars="200"/>
              <w:rPr>
                <w:rFonts w:ascii="Times New Roman" w:hAnsi="Times New Roman" w:eastAsia="楷体_GB2312" w:cs="Times New Roman"/>
                <w:kern w:val="0"/>
                <w:sz w:val="24"/>
              </w:rPr>
            </w:pPr>
            <w:r>
              <w:rPr>
                <w:rFonts w:hint="eastAsia" w:ascii="Times New Roman" w:hAnsi="Times New Roman" w:eastAsia="楷体_GB2312" w:cs="Times New Roman"/>
                <w:kern w:val="0"/>
                <w:sz w:val="24"/>
              </w:rPr>
              <w:t>教育培训中心；中小学及幼儿园师资培训；中小学信息化基础设施建设等。</w:t>
            </w:r>
          </w:p>
          <w:p>
            <w:pPr>
              <w:spacing w:line="360" w:lineRule="exact"/>
              <w:ind w:firstLine="480" w:firstLineChars="200"/>
              <w:rPr>
                <w:rFonts w:ascii="Times New Roman" w:hAnsi="Times New Roman" w:eastAsia="黑体" w:cs="Times New Roman"/>
                <w:kern w:val="0"/>
                <w:sz w:val="24"/>
              </w:rPr>
            </w:pPr>
            <w:r>
              <w:rPr>
                <w:rFonts w:ascii="Times New Roman" w:hAnsi="Times New Roman" w:eastAsia="黑体" w:cs="Times New Roman"/>
                <w:kern w:val="0"/>
                <w:sz w:val="24"/>
              </w:rPr>
              <w:t>五、其他项目</w:t>
            </w:r>
          </w:p>
          <w:p>
            <w:pPr>
              <w:spacing w:line="360" w:lineRule="exact"/>
              <w:ind w:firstLine="480" w:firstLineChars="200"/>
              <w:rPr>
                <w:rFonts w:ascii="Times New Roman" w:hAnsi="Times New Roman" w:eastAsia="楷体" w:cs="Times New Roman"/>
                <w:kern w:val="0"/>
                <w:sz w:val="24"/>
              </w:rPr>
            </w:pPr>
            <w:r>
              <w:rPr>
                <w:rFonts w:hint="eastAsia" w:ascii="Times New Roman" w:hAnsi="Times New Roman" w:eastAsia="楷体_GB2312" w:cs="Times New Roman"/>
                <w:kern w:val="0"/>
                <w:sz w:val="24"/>
              </w:rPr>
              <w:t>科技馆建设；教师周转宿舍建设等。</w:t>
            </w:r>
          </w:p>
        </w:tc>
      </w:tr>
    </w:tbl>
    <w:p>
      <w:pPr>
        <w:spacing w:line="560" w:lineRule="exact"/>
        <w:jc w:val="center"/>
        <w:outlineLvl w:val="1"/>
        <w:rPr>
          <w:rFonts w:ascii="Times New Roman" w:hAnsi="Times New Roman" w:eastAsia="宋体" w:cs="Times New Roman"/>
          <w:b/>
          <w:bCs/>
          <w:sz w:val="36"/>
          <w:szCs w:val="36"/>
        </w:rPr>
      </w:pPr>
      <w:bookmarkStart w:id="225" w:name="_Toc4224"/>
      <w:bookmarkStart w:id="226" w:name="_Toc29501"/>
      <w:r>
        <w:rPr>
          <w:rFonts w:ascii="Times New Roman" w:hAnsi="Times New Roman" w:eastAsia="宋体" w:cs="Times New Roman"/>
          <w:b/>
          <w:bCs/>
          <w:sz w:val="36"/>
          <w:szCs w:val="36"/>
        </w:rPr>
        <w:t>第三节  重视发展卫生健康事业</w:t>
      </w:r>
      <w:bookmarkEnd w:id="225"/>
      <w:bookmarkEnd w:id="226"/>
    </w:p>
    <w:p>
      <w:pPr>
        <w:spacing w:line="520" w:lineRule="exact"/>
        <w:ind w:firstLine="640" w:firstLineChars="200"/>
        <w:rPr>
          <w:rFonts w:ascii="Times New Roman" w:hAnsi="Times New Roman" w:eastAsia="仿宋_GB2312" w:cs="Times New Roman"/>
          <w:sz w:val="32"/>
          <w:szCs w:val="32"/>
        </w:rPr>
      </w:pPr>
    </w:p>
    <w:p>
      <w:pPr>
        <w:adjustRightInd w:val="0"/>
        <w:snapToGrid w:val="0"/>
        <w:spacing w:line="55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提升公共卫生服务水平，完善医疗服务体系，加强智慧医疗建设，积极发展中藏医药事业，加大人才培养力度，提升全民健康水平，</w:t>
      </w:r>
      <w:r>
        <w:rPr>
          <w:rFonts w:hint="eastAsia" w:ascii="Times New Roman" w:hAnsi="Times New Roman" w:eastAsia="仿宋_GB2312" w:cs="Times New Roman"/>
          <w:sz w:val="32"/>
          <w:szCs w:val="32"/>
        </w:rPr>
        <w:t>加快打造“川甘青结合部区域卫生健康强县”步伐，</w:t>
      </w:r>
      <w:r>
        <w:rPr>
          <w:rFonts w:ascii="Times New Roman" w:hAnsi="Times New Roman" w:eastAsia="仿宋_GB2312" w:cs="Times New Roman"/>
          <w:sz w:val="32"/>
          <w:szCs w:val="32"/>
        </w:rPr>
        <w:t>着力建设</w:t>
      </w:r>
      <w:r>
        <w:rPr>
          <w:rFonts w:hint="eastAsia" w:ascii="Times New Roman" w:hAnsi="Times New Roman" w:eastAsia="仿宋_GB2312" w:cs="Times New Roman"/>
          <w:b/>
          <w:bCs/>
          <w:sz w:val="32"/>
          <w:szCs w:val="32"/>
        </w:rPr>
        <w:t>“健康壤塘”</w:t>
      </w:r>
      <w:r>
        <w:rPr>
          <w:rFonts w:ascii="Times New Roman" w:hAnsi="Times New Roman" w:eastAsia="仿宋_GB2312" w:cs="Times New Roman"/>
          <w:sz w:val="32"/>
          <w:szCs w:val="32"/>
        </w:rPr>
        <w:t>。</w:t>
      </w:r>
    </w:p>
    <w:p>
      <w:pPr>
        <w:adjustRightInd w:val="0"/>
        <w:snapToGrid w:val="0"/>
        <w:spacing w:line="550" w:lineRule="atLeast"/>
        <w:ind w:firstLine="643" w:firstLineChars="200"/>
        <w:outlineLvl w:val="2"/>
        <w:rPr>
          <w:rFonts w:ascii="Times New Roman" w:hAnsi="Times New Roman" w:eastAsia="黑体" w:cs="Times New Roman"/>
          <w:b/>
          <w:bCs/>
          <w:sz w:val="32"/>
          <w:szCs w:val="32"/>
        </w:rPr>
      </w:pPr>
      <w:bookmarkStart w:id="227" w:name="_Toc29802"/>
      <w:r>
        <w:rPr>
          <w:rFonts w:ascii="Times New Roman" w:hAnsi="Times New Roman" w:eastAsia="黑体" w:cs="Times New Roman"/>
          <w:b/>
          <w:bCs/>
          <w:sz w:val="32"/>
          <w:szCs w:val="32"/>
        </w:rPr>
        <w:t>一、全面提升公共卫生服务水平</w:t>
      </w:r>
      <w:bookmarkEnd w:id="227"/>
    </w:p>
    <w:p>
      <w:pPr>
        <w:adjustRightInd w:val="0"/>
        <w:snapToGrid w:val="0"/>
        <w:spacing w:line="55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提升公共卫生服务水平。加强疾病预防控制工作，全面建设层次清晰、机构健全、职责分明、城乡联动的疾病预防控制体系。提升县乡两级疾病预防控制能力，完善科室设置和布局，落实专（兼）职防疫人员。加强重点传染病防控，重点抓好艾滋病、结核病、乙肝等多发疾病进行普查普治，提高全民健康意识和自我防病能力。加强公共卫生监测网络建设，强化突发公共卫生事件网络监测系统和运行机制。完善高原病、地方病综合防治长效机制，巩固大骨节病防治成果，有序开展</w:t>
      </w:r>
      <w:r>
        <w:rPr>
          <w:rFonts w:hint="eastAsia" w:ascii="Times New Roman" w:hAnsi="Times New Roman" w:eastAsia="仿宋_GB2312" w:cs="Times New Roman"/>
          <w:sz w:val="32"/>
          <w:szCs w:val="32"/>
          <w:highlight w:val="none"/>
        </w:rPr>
        <w:t>包虫病</w:t>
      </w:r>
      <w:r>
        <w:rPr>
          <w:rFonts w:ascii="Times New Roman" w:hAnsi="Times New Roman" w:eastAsia="仿宋_GB2312" w:cs="Times New Roman"/>
          <w:sz w:val="32"/>
          <w:szCs w:val="32"/>
        </w:rPr>
        <w:t>防治。构建高血压、糖尿病、肿瘤、心脑血管疾病等慢性非传染性疾病综合防控体系。完善卫生应急体系建设，建设壤塘县医疗储备仓库，加强突发公共卫生事件预测预警和应急处置能力建设，建立健全卫生应急预警体系，提高卫生应急水平。</w:t>
      </w:r>
    </w:p>
    <w:p>
      <w:pPr>
        <w:adjustRightInd w:val="0"/>
        <w:snapToGrid w:val="0"/>
        <w:spacing w:line="550" w:lineRule="atLeast"/>
        <w:ind w:firstLine="643" w:firstLineChars="200"/>
        <w:outlineLvl w:val="2"/>
        <w:rPr>
          <w:rFonts w:ascii="Times New Roman" w:hAnsi="Times New Roman" w:eastAsia="黑体" w:cs="Times New Roman"/>
          <w:b/>
          <w:bCs/>
          <w:sz w:val="32"/>
          <w:szCs w:val="32"/>
        </w:rPr>
      </w:pPr>
      <w:bookmarkStart w:id="228" w:name="_Toc6570"/>
      <w:r>
        <w:rPr>
          <w:rFonts w:ascii="Times New Roman" w:hAnsi="Times New Roman" w:eastAsia="黑体" w:cs="Times New Roman"/>
          <w:b/>
          <w:bCs/>
          <w:sz w:val="32"/>
          <w:szCs w:val="32"/>
        </w:rPr>
        <w:t>二、继续完善医疗服务体系</w:t>
      </w:r>
      <w:bookmarkEnd w:id="228"/>
      <w:r>
        <w:rPr>
          <w:rFonts w:ascii="Times New Roman" w:hAnsi="Times New Roman" w:eastAsia="黑体" w:cs="Times New Roman"/>
          <w:b/>
          <w:bCs/>
          <w:sz w:val="32"/>
          <w:szCs w:val="32"/>
        </w:rPr>
        <w:t xml:space="preserve"> </w:t>
      </w:r>
    </w:p>
    <w:p>
      <w:pPr>
        <w:adjustRightInd w:val="0"/>
        <w:snapToGrid w:val="0"/>
        <w:spacing w:line="55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大力实施“健康阿坝2030”行动计划和第二个卫生十年行动计划，以县医院为龙头，完善医疗体系。实施医疗机构“填平补齐”工程，重点推进县、乡（镇）、村三级医疗体系标准化、规范化建设，推进县乡村医疗卫生服务一体化，提升农村基层医疗卫生服务水平。加强南木达、上寨中心医院建设，按照二级卫生院标准完善相关科室。加强全县医疗卫生机构信息化能力建设和壤塘县远程诊疗系统建设，提升基层医疗卫生机构服务能力。加强卫生院业务用房、周转宿舍改造和建设。加快县医院、县藏医院及11个乡（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卫生院污物污水处理系统建设，完善污水处理设施及设施设备。充分发挥卫生应急综合示范县作用，完善医疗急救体系，提升突发事件应急救援救治能力。依托县医院建立健全县级急救机构，完善120急救指挥体系和指挥平台建设，加强基层急救网络建设，逐年推进120急救网络在乡镇的覆盖，重点推进中壤塘、南木达、上寨（蒲西）等重点集镇或者旅游景区景点急救站点建设，全面提升县、乡两级卫生应急能力。到2025年，建成科学合理、覆盖城乡、功能完善、运转协调、反应灵敏的县、乡、村三级紧急医疗救援体系。</w:t>
      </w:r>
    </w:p>
    <w:p>
      <w:pPr>
        <w:adjustRightInd w:val="0"/>
        <w:snapToGrid w:val="0"/>
        <w:spacing w:line="550" w:lineRule="atLeast"/>
        <w:ind w:firstLine="643" w:firstLineChars="200"/>
        <w:outlineLvl w:val="2"/>
        <w:rPr>
          <w:rFonts w:ascii="Times New Roman" w:hAnsi="Times New Roman" w:eastAsia="黑体" w:cs="Times New Roman"/>
          <w:b/>
          <w:bCs/>
          <w:sz w:val="32"/>
          <w:szCs w:val="32"/>
        </w:rPr>
      </w:pPr>
      <w:bookmarkStart w:id="229" w:name="_Toc31396"/>
      <w:r>
        <w:rPr>
          <w:rFonts w:ascii="Times New Roman" w:hAnsi="Times New Roman" w:eastAsia="黑体" w:cs="Times New Roman"/>
          <w:b/>
          <w:bCs/>
          <w:sz w:val="32"/>
          <w:szCs w:val="32"/>
        </w:rPr>
        <w:t>三、积极发展中藏医药事业</w:t>
      </w:r>
      <w:bookmarkEnd w:id="229"/>
      <w:r>
        <w:rPr>
          <w:rFonts w:ascii="Times New Roman" w:hAnsi="Times New Roman" w:eastAsia="黑体" w:cs="Times New Roman"/>
          <w:b/>
          <w:bCs/>
          <w:sz w:val="32"/>
          <w:szCs w:val="32"/>
        </w:rPr>
        <w:t xml:space="preserve"> </w:t>
      </w:r>
    </w:p>
    <w:p>
      <w:pPr>
        <w:adjustRightInd w:val="0"/>
        <w:snapToGrid w:val="0"/>
        <w:spacing w:line="55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继续扶持藏医药事业继承与创新发展，加快推进藏医院能力建设，推进现有业务用房及相关配套设备设施建设，加快特色科室建设，建立中藏医骨科、中藏医妇产科、中藏医手术室、中藏医康复科等特色科室。充分利用藏医传习所在藏医领域的优势，充分挖掘传统精髓，结合现代医药技术，加强藏医药常用新制剂开发。抓好藏药材生产基地和制剂中心建设，加快藏医院标准化制剂室建设。突出“产、研、用”结合，为有市场前景的藏药产业化开发、批号申请提供支持、创造条件。完善中藏医疗机构建设，支持发展中藏医预防保健服务。加强藏药浴的市场推广和应用，拓展藏医药的市场化应用。</w:t>
      </w:r>
    </w:p>
    <w:p>
      <w:pPr>
        <w:adjustRightInd w:val="0"/>
        <w:snapToGrid w:val="0"/>
        <w:spacing w:line="550" w:lineRule="atLeast"/>
        <w:ind w:firstLine="643" w:firstLineChars="200"/>
        <w:outlineLvl w:val="2"/>
        <w:rPr>
          <w:rFonts w:ascii="Times New Roman" w:hAnsi="Times New Roman" w:eastAsia="黑体" w:cs="Times New Roman"/>
          <w:b/>
          <w:bCs/>
          <w:sz w:val="32"/>
          <w:szCs w:val="32"/>
        </w:rPr>
      </w:pPr>
      <w:bookmarkStart w:id="230" w:name="_Toc23164"/>
      <w:r>
        <w:rPr>
          <w:rFonts w:ascii="Times New Roman" w:hAnsi="Times New Roman" w:eastAsia="黑体" w:cs="Times New Roman"/>
          <w:b/>
          <w:bCs/>
          <w:sz w:val="32"/>
          <w:szCs w:val="32"/>
        </w:rPr>
        <w:t>四、加强全面健康建设</w:t>
      </w:r>
      <w:bookmarkEnd w:id="230"/>
    </w:p>
    <w:p>
      <w:pPr>
        <w:adjustRightInd w:val="0"/>
        <w:snapToGrid w:val="0"/>
        <w:spacing w:line="55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实施全民健康体检。推动妇幼保健院能力提升，提高妇幼保健院产科、手术、检验、制供氧、</w:t>
      </w:r>
      <w:r>
        <w:rPr>
          <w:rFonts w:hint="eastAsia" w:ascii="Times New Roman" w:hAnsi="Times New Roman" w:eastAsia="仿宋_GB2312" w:cs="Times New Roman"/>
          <w:sz w:val="32"/>
          <w:szCs w:val="32"/>
        </w:rPr>
        <w:t>高压氧舱</w:t>
      </w:r>
      <w:r>
        <w:rPr>
          <w:rFonts w:ascii="Times New Roman" w:hAnsi="Times New Roman" w:eastAsia="仿宋_GB2312" w:cs="Times New Roman"/>
          <w:sz w:val="32"/>
          <w:szCs w:val="32"/>
        </w:rPr>
        <w:t>、放射、辅助科室等能力，切实维护妇女儿童合法权益，提升妇幼保健水平。优化生育政策，加强对婴幼儿家长的科学喂养知识宣传教育，不断提高住院分娩率、婴儿母乳喂养率、新生儿疾病筛查率，切实维护妇女儿童合法权益，提高人口质量。积极应对人口老龄化，加快建设居家社区机构相协调、医养康养相结合的养老服务体系。聚焦增强人民体质，健全促进全民健身制度性举措。</w:t>
      </w:r>
    </w:p>
    <w:p>
      <w:pPr>
        <w:adjustRightInd w:val="0"/>
        <w:snapToGrid w:val="0"/>
        <w:spacing w:line="550" w:lineRule="atLeast"/>
        <w:ind w:firstLine="643" w:firstLineChars="200"/>
        <w:outlineLvl w:val="2"/>
        <w:rPr>
          <w:rFonts w:ascii="Times New Roman" w:hAnsi="Times New Roman" w:eastAsia="黑体" w:cs="Times New Roman"/>
          <w:b/>
          <w:bCs/>
          <w:sz w:val="32"/>
          <w:szCs w:val="32"/>
        </w:rPr>
      </w:pPr>
      <w:bookmarkStart w:id="231" w:name="_Toc5071"/>
      <w:r>
        <w:rPr>
          <w:rFonts w:ascii="Times New Roman" w:hAnsi="Times New Roman" w:eastAsia="黑体" w:cs="Times New Roman"/>
          <w:b/>
          <w:bCs/>
          <w:sz w:val="32"/>
          <w:szCs w:val="32"/>
        </w:rPr>
        <w:t>五、深化医药卫生体制改革和人才培养</w:t>
      </w:r>
      <w:bookmarkEnd w:id="231"/>
    </w:p>
    <w:p>
      <w:pPr>
        <w:adjustRightInd w:val="0"/>
        <w:snapToGrid w:val="0"/>
        <w:spacing w:line="550" w:lineRule="atLeas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继续推进分级诊疗，推进公立医药改革，巩固基本医药制度，完善覆盖城乡居民的基本医疗卫生服务制度。鼓励和引导社会资本合法兴办医疗机构。健全人才激励机制，完善绩效工资等人事薪酬制度，落实村医养老等待遇。健全对口帮扶制度，进一步提升绵阳、北京、浙江等医疗对口帮扶协作水平，建立紧密医共体，全面提升医疗管理服务能力和医疗救治水平。加强卫生健康人才培训力度，重点加强临床进修和适宜技术培训为主，提高卫生专业队伍的整体素质。加强基层全科医生培养力度，实施合格村医培养计划，大力培养本土化人才。加强县人民医院、县中藏医院学科带头人或业务技术骨干的培养提升工作。加强全县卫生系统周转宿舍建设，提高卫生人员待遇。</w:t>
      </w:r>
    </w:p>
    <w:tbl>
      <w:tblPr>
        <w:tblStyle w:val="12"/>
        <w:tblW w:w="8745"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5" w:type="dxa"/>
          </w:tcPr>
          <w:p>
            <w:pPr>
              <w:spacing w:line="56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专栏2</w:t>
            </w:r>
            <w:r>
              <w:rPr>
                <w:rFonts w:hint="eastAsia" w:ascii="Times New Roman" w:hAnsi="Times New Roman" w:eastAsia="黑体" w:cs="Times New Roman"/>
                <w:sz w:val="28"/>
                <w:szCs w:val="28"/>
              </w:rPr>
              <w:t>2</w:t>
            </w:r>
            <w:r>
              <w:rPr>
                <w:rFonts w:ascii="Times New Roman" w:hAnsi="Times New Roman" w:eastAsia="黑体" w:cs="Times New Roman"/>
                <w:sz w:val="28"/>
                <w:szCs w:val="28"/>
              </w:rPr>
              <w:t xml:space="preserve"> 卫生健康事业重点项目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5" w:type="dxa"/>
          </w:tcPr>
          <w:p>
            <w:pPr>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一、医疗卫生服务</w:t>
            </w:r>
          </w:p>
          <w:p>
            <w:pPr>
              <w:spacing w:line="320" w:lineRule="exac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县人民医院传染病区、大骨节病手术康复中心、隔离病区负压病房、核磁共振采购、CT采购等能力建设；县人民医院（第二医疗区）建设；县人民医院整体搬迁；县级医疗机构信息化建设；11个乡镇卫生院信息化、能力提升、标准化建设；南木达、上寨、中壤塘、</w:t>
            </w:r>
            <w:r>
              <w:rPr>
                <w:rFonts w:hint="eastAsia" w:ascii="Times New Roman" w:hAnsi="Times New Roman" w:eastAsia="楷体_GB2312" w:cs="Times New Roman"/>
                <w:sz w:val="24"/>
                <w:lang w:val="en-US" w:eastAsia="zh-CN"/>
              </w:rPr>
              <w:t>上杜四</w:t>
            </w:r>
            <w:r>
              <w:rPr>
                <w:rFonts w:hint="eastAsia" w:ascii="Times New Roman" w:hAnsi="Times New Roman" w:eastAsia="楷体_GB2312" w:cs="Times New Roman"/>
                <w:sz w:val="24"/>
              </w:rPr>
              <w:t>个卫生院手术室及产房建设；蒲西卫生院搬迁；尕多卫生院搬迁；三个中心卫生院二甲达标建设；岗木达镇卫生院及社区服务中心合并建设；乡镇卫生院冷链设备采购；村级卫生室改扩建；医疗废物规范化处置点；县乡村远程诊疗系统；县应急指挥平台及储备中心；县卫生应急队伍装备采购等。</w:t>
            </w:r>
          </w:p>
          <w:p>
            <w:pPr>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二、公共卫生服务</w:t>
            </w:r>
          </w:p>
          <w:p>
            <w:pPr>
              <w:spacing w:line="320" w:lineRule="exac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县疾控中心能力提升；县妇计中心能力提升；县急救体系建设；县疾控中心实验室；县疾控中心大骨节病检测便携式DR采购；县妇计中心设备提升采购；采供血机构建设；卫生健康标准化建设；健康养老建设；藏医院及乡镇卫生院集中供暖项目等。</w:t>
            </w:r>
          </w:p>
          <w:p>
            <w:pPr>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三、中藏医药事业</w:t>
            </w:r>
          </w:p>
          <w:p>
            <w:pPr>
              <w:spacing w:line="320" w:lineRule="exac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县藏医院特色科室、标准化制剂室、设备提升采购、老年康养中心、消防及电力改造、藏药检验中心、藏药研究中心、PCR实验室建设、CT、彩超采购项目；县藏医院及12个乡（镇）卫生院污物污水处理系统等。</w:t>
            </w:r>
          </w:p>
          <w:p>
            <w:pPr>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四、人才培养及其他</w:t>
            </w:r>
          </w:p>
          <w:p>
            <w:pPr>
              <w:spacing w:line="320" w:lineRule="exac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县医疗人才培养中心；卫生执法队伍能力提升；县卫生系统周转宿舍建设；县健康文化主题公园建设</w:t>
            </w:r>
            <w:r>
              <w:rPr>
                <w:rFonts w:hint="eastAsia" w:ascii="Times New Roman" w:hAnsi="Times New Roman" w:eastAsia="楷体_GB2312" w:cs="Times New Roman"/>
                <w:sz w:val="24"/>
                <w:lang w:val="en-US" w:eastAsia="zh-CN"/>
              </w:rPr>
              <w:t>等</w:t>
            </w:r>
            <w:r>
              <w:rPr>
                <w:rFonts w:hint="eastAsia" w:ascii="Times New Roman" w:hAnsi="Times New Roman" w:eastAsia="楷体_GB2312" w:cs="Times New Roman"/>
                <w:sz w:val="24"/>
              </w:rPr>
              <w:t>。</w:t>
            </w:r>
          </w:p>
        </w:tc>
      </w:tr>
    </w:tbl>
    <w:p>
      <w:pPr>
        <w:spacing w:line="560" w:lineRule="exact"/>
        <w:jc w:val="center"/>
        <w:rPr>
          <w:rFonts w:ascii="Times New Roman" w:hAnsi="Times New Roman" w:eastAsia="宋体" w:cs="Times New Roman"/>
          <w:b/>
          <w:bCs/>
          <w:sz w:val="36"/>
          <w:szCs w:val="36"/>
        </w:rPr>
      </w:pPr>
    </w:p>
    <w:p>
      <w:pPr>
        <w:spacing w:line="560" w:lineRule="exact"/>
        <w:jc w:val="center"/>
        <w:outlineLvl w:val="1"/>
        <w:rPr>
          <w:rFonts w:ascii="Times New Roman" w:hAnsi="Times New Roman" w:eastAsia="宋体" w:cs="Times New Roman"/>
          <w:b/>
          <w:bCs/>
          <w:sz w:val="36"/>
          <w:szCs w:val="36"/>
        </w:rPr>
      </w:pPr>
      <w:bookmarkStart w:id="232" w:name="_Toc20242"/>
      <w:bookmarkStart w:id="233" w:name="_Toc31153"/>
      <w:r>
        <w:rPr>
          <w:rFonts w:ascii="Times New Roman" w:hAnsi="Times New Roman" w:eastAsia="宋体" w:cs="Times New Roman"/>
          <w:b/>
          <w:bCs/>
          <w:sz w:val="36"/>
          <w:szCs w:val="36"/>
        </w:rPr>
        <w:t>第四节  全面提高社会保障水平</w:t>
      </w:r>
      <w:bookmarkEnd w:id="232"/>
      <w:bookmarkEnd w:id="233"/>
    </w:p>
    <w:p>
      <w:pPr>
        <w:spacing w:line="560" w:lineRule="exact"/>
        <w:ind w:firstLine="640" w:firstLineChars="200"/>
        <w:rPr>
          <w:rFonts w:ascii="Times New Roman" w:hAnsi="Times New Roman" w:eastAsia="仿宋_GB2312" w:cs="Times New Roman"/>
          <w:sz w:val="32"/>
          <w:szCs w:val="32"/>
        </w:rPr>
      </w:pP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完善覆盖全民的社会保障体系，全面实施全民参保计划，坚持应保尽保原则，稳步提高保障水平。统筹完善社会救助、社会福利、慈善事业、优抚安置等制度，完善老年人关爱服务体系，健全残疾人帮扶等制度，全面建成覆盖全民、城乡统筹、权责清晰、保障适度、可持续的多层次社会保障体系。</w:t>
      </w:r>
    </w:p>
    <w:p>
      <w:pPr>
        <w:spacing w:line="520" w:lineRule="exact"/>
        <w:ind w:firstLine="643" w:firstLineChars="200"/>
        <w:outlineLvl w:val="2"/>
        <w:rPr>
          <w:rFonts w:ascii="Times New Roman" w:hAnsi="Times New Roman" w:eastAsia="黑体" w:cs="Times New Roman"/>
          <w:b/>
          <w:bCs/>
          <w:sz w:val="32"/>
          <w:szCs w:val="32"/>
        </w:rPr>
      </w:pPr>
      <w:bookmarkStart w:id="234" w:name="_Toc32042"/>
      <w:r>
        <w:rPr>
          <w:rFonts w:ascii="Times New Roman" w:hAnsi="Times New Roman" w:eastAsia="黑体" w:cs="Times New Roman"/>
          <w:b/>
          <w:bCs/>
          <w:sz w:val="32"/>
          <w:szCs w:val="32"/>
        </w:rPr>
        <w:t>一、完善社会保险制度</w:t>
      </w:r>
      <w:bookmarkEnd w:id="234"/>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面实施全民参保计划。完善城乡养老、医疗保险制度，完善职工养老保险个人账户制度，健全多缴多得激励机制，畅通养老、医疗保险转移接续渠道。健全医疗保障体制建设，增强打击欺诈骗保力度，深化药品采购、支付方式改革，提升精细化管理程度，加强定点医药机构协议管理，提高农牧民群众看病就医便捷度，全面提升医疗保障经办服务水平。完善全覆盖、保基本、多层次、可持续的基本医保制度。健全大病保险运行机制，进一步降低大病保险起付线，加强与商保机构开展大病保险合作；扎实做好医疗救助，充分发挥托底保障作用，适当提高救助比例。落实完善门诊慢性病种省内联网结算，切实解决群众垫资和跑腿报销问题。逐步建立覆盖全体参保人员的基本养老保险待遇正常调整机制，适时提高城乡居民基础养老金标准，逐步提高农村低保标准。鼓励和引导城乡居民积极参加基本养老保险。进一步完善失业、工伤保险制度。到“十四五”末，城乡居民基本养老保险、城镇职工养老险参保率分别达到95%、90%以上，全县农民工工伤保险参保率达到100%。</w:t>
      </w:r>
    </w:p>
    <w:p>
      <w:pPr>
        <w:spacing w:line="520" w:lineRule="exact"/>
        <w:ind w:firstLine="643" w:firstLineChars="200"/>
        <w:outlineLvl w:val="2"/>
        <w:rPr>
          <w:rFonts w:ascii="Times New Roman" w:hAnsi="Times New Roman" w:eastAsia="黑体" w:cs="Times New Roman"/>
          <w:b/>
          <w:bCs/>
          <w:sz w:val="32"/>
          <w:szCs w:val="32"/>
        </w:rPr>
      </w:pPr>
      <w:bookmarkStart w:id="235" w:name="_Toc21328"/>
      <w:r>
        <w:rPr>
          <w:rFonts w:ascii="Times New Roman" w:hAnsi="Times New Roman" w:eastAsia="黑体" w:cs="Times New Roman"/>
          <w:b/>
          <w:bCs/>
          <w:sz w:val="32"/>
          <w:szCs w:val="32"/>
        </w:rPr>
        <w:t>二、健全社会救助体系</w:t>
      </w:r>
      <w:bookmarkEnd w:id="235"/>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以扶老、助残、爱幼、济困为重点，完善社会救助、社会福利、慈善事业、优抚安置等制度。完善城乡最低生活保障制度，健全特困人员供养制度，推行城乡医疗救助制度，全面开展城乡居民重特大疾病救助工作。建立健全阶梯式救助体系。全面建立临时救助制度，着力解决城乡困难群众遭遇的突发性、紧迫性、临时性生活困难问题。推动社会福利由补缺型向适度普惠型转变。积极推进适度普惠型儿童福利制度建设，建立儿童分类保障制度，完善儿童福利机构福利服务网络。加快精神健康服务发展，支持用人单位依法组织开展职工疗养休养。建立以维护合法权益为主的社会服务组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提供生活保障、教育就业、医疗康复、紧急救援、法律援助等专业化服务。大力发展慈善事业，积极培育公益慈善组织，鼓励、支持和引导慈善组织和其他社会力量广泛开展形式多样的慈善活动。</w:t>
      </w:r>
    </w:p>
    <w:p>
      <w:pPr>
        <w:spacing w:line="520" w:lineRule="exact"/>
        <w:ind w:firstLine="643" w:firstLineChars="200"/>
        <w:outlineLvl w:val="2"/>
        <w:rPr>
          <w:rFonts w:ascii="Times New Roman" w:hAnsi="Times New Roman" w:eastAsia="黑体" w:cs="Times New Roman"/>
          <w:b/>
          <w:bCs/>
          <w:sz w:val="32"/>
          <w:szCs w:val="32"/>
        </w:rPr>
      </w:pPr>
      <w:bookmarkStart w:id="236" w:name="_Toc28504"/>
      <w:r>
        <w:rPr>
          <w:rFonts w:ascii="Times New Roman" w:hAnsi="Times New Roman" w:eastAsia="黑体" w:cs="Times New Roman"/>
          <w:b/>
          <w:bCs/>
          <w:sz w:val="32"/>
          <w:szCs w:val="32"/>
        </w:rPr>
        <w:t>三、强化特殊人群权益保障</w:t>
      </w:r>
      <w:bookmarkEnd w:id="236"/>
    </w:p>
    <w:p>
      <w:pPr>
        <w:spacing w:line="52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（一）完善人口政策。</w:t>
      </w:r>
      <w:r>
        <w:rPr>
          <w:rFonts w:ascii="Times New Roman" w:hAnsi="Times New Roman" w:eastAsia="仿宋_GB2312" w:cs="Times New Roman"/>
          <w:sz w:val="32"/>
          <w:szCs w:val="32"/>
        </w:rPr>
        <w:t>坚持计划生育基本国策，完善人口发展战略，全面实施一对夫妇可生育两个孩子政策，加强计划生育、优生优育等服务，提高生殖健康、妇幼保健、托幼等公共服务水平，帮扶失独等存在特殊困难的计划生育家庭。注重家庭发展，统筹解决好人口数量、素质、结构和分布问题，促进人口长期均衡发展。</w:t>
      </w:r>
    </w:p>
    <w:p>
      <w:pPr>
        <w:spacing w:line="52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（二）积极应对老龄化。</w:t>
      </w:r>
      <w:r>
        <w:rPr>
          <w:rFonts w:ascii="Times New Roman" w:hAnsi="Times New Roman" w:eastAsia="仿宋_GB2312" w:cs="Times New Roman"/>
          <w:sz w:val="32"/>
          <w:szCs w:val="32"/>
        </w:rPr>
        <w:t>健全保障老年人权益的各项制度，改善老年人生活、健康、安全以及参与社会发展的条件。完善残疾人社会保障和服务体系，建设康复中心和托养机构，进一步提高社会保障水平。全面建成以居家为基础、社区为依托、机构为补充的多层次养老服务体系。完善养老信息服务网络，建设居家养老服务信息平台。促进养老服务与关联产业融合发展。健全完善农村养老服务体系，培育发展为老年人服务的社会组织，加大困难老年人社会救助力度。建成具有壤塘特色、满足不同需求的功能完善、布局合理、覆盖城乡的社会养老体系。</w:t>
      </w:r>
    </w:p>
    <w:p>
      <w:pPr>
        <w:keepNext w:val="0"/>
        <w:keepLines w:val="0"/>
        <w:pageBreakBefore w:val="0"/>
        <w:widowControl w:val="0"/>
        <w:kinsoku/>
        <w:wordWrap/>
        <w:overflowPunct/>
        <w:topLinePunct w:val="0"/>
        <w:autoSpaceDE/>
        <w:autoSpaceDN/>
        <w:bidi w:val="0"/>
        <w:adjustRightInd/>
        <w:snapToGrid/>
        <w:spacing w:line="480" w:lineRule="exact"/>
        <w:ind w:firstLine="643" w:firstLineChars="200"/>
        <w:textAlignment w:val="auto"/>
        <w:rPr>
          <w:rFonts w:ascii="Times New Roman" w:hAnsi="Times New Roman" w:eastAsia="仿宋_GB2312" w:cs="Times New Roman"/>
          <w:sz w:val="32"/>
          <w:szCs w:val="32"/>
        </w:rPr>
      </w:pPr>
      <w:r>
        <w:rPr>
          <w:rFonts w:ascii="Times New Roman" w:hAnsi="Times New Roman" w:eastAsia="楷体_GB2312" w:cs="Times New Roman"/>
          <w:b/>
          <w:bCs/>
          <w:sz w:val="32"/>
          <w:szCs w:val="32"/>
        </w:rPr>
        <w:t>（三）发展妇女儿童事业。</w:t>
      </w:r>
      <w:r>
        <w:rPr>
          <w:rFonts w:ascii="Times New Roman" w:hAnsi="Times New Roman" w:eastAsia="仿宋_GB2312" w:cs="Times New Roman"/>
          <w:sz w:val="32"/>
          <w:szCs w:val="32"/>
        </w:rPr>
        <w:t>深入贯彻男女平等基本国策，全面实施妇女儿童发展纲要，保障妇女儿童合法权益，扩大妇女儿童福利范围。加强未成年人保护，关爱农村留守儿童，关心困境儿童成长。健全农村留守儿童和妇女关爱服务体系，加快建立“三留守”人员和贫困母亲关爱服务体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保障好农村“三留守”人员和贫病母亲的生产生活。</w:t>
      </w:r>
    </w:p>
    <w:p>
      <w:pPr>
        <w:spacing w:line="52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（四）发展残疾人事业。</w:t>
      </w:r>
      <w:r>
        <w:rPr>
          <w:rFonts w:ascii="Times New Roman" w:hAnsi="Times New Roman" w:eastAsia="仿宋_GB2312" w:cs="Times New Roman"/>
          <w:sz w:val="32"/>
          <w:szCs w:val="32"/>
        </w:rPr>
        <w:t>深化“量体裁衣”式残疾人服务，健全残疾人权益保障制度，提高残疾人基本保障水平。加大残疾人社会救助力度，建立完善残疾人福利补贴制度，实施困难残疾人生活补贴制度、重度残疾人护理补贴制度。提高残疾人受教育水平，丰富残疾人精神文化生活。推进城乡无障碍环境建设。健全扶残助残服务体系，扶持助残社会组织发展，加强基层残疾人联合会（乡镇、村级）规范化建设。</w:t>
      </w:r>
    </w:p>
    <w:p>
      <w:pPr>
        <w:spacing w:line="52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bCs/>
          <w:sz w:val="32"/>
          <w:szCs w:val="32"/>
        </w:rPr>
        <w:t>（五）重视青少年事业。</w:t>
      </w:r>
      <w:r>
        <w:rPr>
          <w:rFonts w:ascii="Times New Roman" w:hAnsi="Times New Roman" w:eastAsia="仿宋_GB2312" w:cs="Times New Roman"/>
          <w:sz w:val="32"/>
          <w:szCs w:val="32"/>
        </w:rPr>
        <w:t>推动青少年事业创新发展，加强青少年活动场所建设，培养青少年事务社会工作专业人才队伍。热情关心青少年、严格要求青少年，为青少年驰骋思想打开更浩瀚的天空，为青少年实践创新搭建更广阔的舞台，为青少年塑造人生提供更丰富的机会，为青少年建功立业创造更有利的条件。</w:t>
      </w:r>
    </w:p>
    <w:tbl>
      <w:tblPr>
        <w:tblStyle w:val="12"/>
        <w:tblW w:w="8775" w:type="dxa"/>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5" w:type="dxa"/>
          </w:tcPr>
          <w:p>
            <w:pPr>
              <w:spacing w:line="56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专栏2</w:t>
            </w:r>
            <w:r>
              <w:rPr>
                <w:rFonts w:hint="eastAsia" w:ascii="Times New Roman" w:hAnsi="Times New Roman" w:eastAsia="黑体" w:cs="Times New Roman"/>
                <w:sz w:val="28"/>
                <w:szCs w:val="28"/>
              </w:rPr>
              <w:t>3</w:t>
            </w:r>
            <w:r>
              <w:rPr>
                <w:rFonts w:ascii="Times New Roman" w:hAnsi="Times New Roman" w:eastAsia="黑体" w:cs="Times New Roman"/>
                <w:sz w:val="28"/>
                <w:szCs w:val="28"/>
              </w:rPr>
              <w:t xml:space="preserve"> 社会保障事业重点项目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5" w:type="dxa"/>
          </w:tcPr>
          <w:p>
            <w:pPr>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一、社会保障</w:t>
            </w:r>
          </w:p>
          <w:p>
            <w:pPr>
              <w:spacing w:line="320" w:lineRule="exac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医疗保障公共服务能力及标准化建设；“互联网+智慧医保”能力建设；医保基层平台服务；医疗保障业务能力培训中心；异地便民服务中心；医疗保障监管能力建设；就业和社会保障服务中心；社会保障服务平台建设等。</w:t>
            </w:r>
          </w:p>
          <w:p>
            <w:pPr>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二、社会救助</w:t>
            </w:r>
          </w:p>
          <w:p>
            <w:pPr>
              <w:spacing w:line="320" w:lineRule="exac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流浪乞讨人员救助及未成年人员保护；民政服务中心；儿童救助福利服务中心。</w:t>
            </w:r>
          </w:p>
          <w:p>
            <w:pPr>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三、养老服务和社会福利</w:t>
            </w:r>
          </w:p>
          <w:p>
            <w:pPr>
              <w:spacing w:line="320" w:lineRule="exac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社会养老服务体系；社会福利服务体系；高原母亲幸福妈妈养老工程；农村特困集中供养中心；村级老年人活动中心（51个村）；康养建设；敬老院质量提升改造；敬老院集中供暖；老年大学；茸木达乡五保集中供养中心；茸木达乡老年人活动中心；高原贫困母亲托儿所；婚姻登记机构办理中心；乡镇救灾物资储备中心等。</w:t>
            </w:r>
          </w:p>
          <w:p>
            <w:pPr>
              <w:spacing w:line="32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四、民政事业</w:t>
            </w:r>
            <w:r>
              <w:rPr>
                <w:rFonts w:hint="eastAsia" w:ascii="Times New Roman" w:hAnsi="Times New Roman" w:eastAsia="黑体" w:cs="Times New Roman"/>
                <w:sz w:val="24"/>
              </w:rPr>
              <w:t>和退役军人管理服务</w:t>
            </w:r>
          </w:p>
          <w:p>
            <w:pPr>
              <w:spacing w:line="320" w:lineRule="exact"/>
              <w:ind w:firstLine="480" w:firstLineChars="200"/>
              <w:rPr>
                <w:rFonts w:ascii="Times New Roman" w:hAnsi="Times New Roman" w:eastAsia="仿宋" w:cs="Times New Roman"/>
                <w:sz w:val="30"/>
                <w:szCs w:val="30"/>
              </w:rPr>
            </w:pPr>
            <w:r>
              <w:rPr>
                <w:rFonts w:hint="eastAsia" w:ascii="Times New Roman" w:hAnsi="Times New Roman" w:eastAsia="楷体_GB2312" w:cs="Times New Roman"/>
                <w:sz w:val="24"/>
              </w:rPr>
              <w:t>革命烈士陵园改造提升；公墓建设；县级及乡镇退役军人服务中心（站）基础设施；退役军人事务局信息化等。</w:t>
            </w:r>
          </w:p>
        </w:tc>
      </w:tr>
    </w:tbl>
    <w:p>
      <w:pPr>
        <w:spacing w:line="520" w:lineRule="exact"/>
        <w:jc w:val="center"/>
        <w:outlineLvl w:val="1"/>
        <w:rPr>
          <w:rFonts w:ascii="Times New Roman" w:hAnsi="Times New Roman" w:eastAsia="宋体" w:cs="Times New Roman"/>
          <w:b/>
          <w:bCs/>
          <w:sz w:val="36"/>
          <w:szCs w:val="36"/>
        </w:rPr>
      </w:pPr>
      <w:bookmarkStart w:id="237" w:name="_Toc16197"/>
      <w:bookmarkStart w:id="238" w:name="_Toc18966"/>
      <w:r>
        <w:rPr>
          <w:rFonts w:ascii="Times New Roman" w:hAnsi="Times New Roman" w:eastAsia="宋体" w:cs="Times New Roman"/>
          <w:b/>
          <w:bCs/>
          <w:sz w:val="36"/>
          <w:szCs w:val="36"/>
        </w:rPr>
        <w:t>第五节  完善公共文化服务体系</w:t>
      </w:r>
      <w:bookmarkEnd w:id="237"/>
      <w:bookmarkEnd w:id="238"/>
    </w:p>
    <w:p>
      <w:pPr>
        <w:spacing w:line="520" w:lineRule="exact"/>
        <w:ind w:firstLine="640" w:firstLineChars="200"/>
        <w:rPr>
          <w:rFonts w:ascii="Times New Roman" w:hAnsi="Times New Roman" w:eastAsia="仿宋_GB2312" w:cs="Times New Roman"/>
          <w:sz w:val="32"/>
          <w:szCs w:val="32"/>
        </w:rPr>
      </w:pPr>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马克思主义在意识形态领域的指导地位，以社会主义核心价值观引领文化建设，提升公共文化服务水平，增强文化自信，提高社会文明程度，满足人民过上美好生活的新期待，全面推进“文化强县”建设，全力打造</w:t>
      </w:r>
      <w:r>
        <w:rPr>
          <w:rFonts w:ascii="Times New Roman" w:hAnsi="Times New Roman" w:eastAsia="楷体_GB2312" w:cs="Times New Roman"/>
          <w:b/>
          <w:bCs/>
          <w:sz w:val="32"/>
          <w:szCs w:val="32"/>
        </w:rPr>
        <w:t>“文化壤塘”</w:t>
      </w:r>
      <w:r>
        <w:rPr>
          <w:rFonts w:ascii="Times New Roman" w:hAnsi="Times New Roman" w:eastAsia="仿宋_GB2312" w:cs="Times New Roman"/>
          <w:sz w:val="32"/>
          <w:szCs w:val="32"/>
        </w:rPr>
        <w:t>。</w:t>
      </w:r>
    </w:p>
    <w:p>
      <w:pPr>
        <w:spacing w:line="520" w:lineRule="exact"/>
        <w:ind w:firstLine="643" w:firstLineChars="200"/>
        <w:outlineLvl w:val="2"/>
        <w:rPr>
          <w:rFonts w:ascii="Times New Roman" w:hAnsi="Times New Roman" w:eastAsia="黑体" w:cs="Times New Roman"/>
          <w:b/>
          <w:bCs/>
          <w:sz w:val="32"/>
          <w:szCs w:val="32"/>
        </w:rPr>
      </w:pPr>
      <w:bookmarkStart w:id="239" w:name="_Toc9505"/>
      <w:r>
        <w:rPr>
          <w:rFonts w:ascii="Times New Roman" w:hAnsi="Times New Roman" w:eastAsia="黑体" w:cs="Times New Roman"/>
          <w:b/>
          <w:bCs/>
          <w:sz w:val="32"/>
          <w:szCs w:val="32"/>
        </w:rPr>
        <w:t>一、构建现代公共文化服务体系</w:t>
      </w:r>
      <w:bookmarkEnd w:id="239"/>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深入实施基本公共文化服务标准化、均等化工程，推进农村公共文化设施提档升级，加大全县综合性公共文化场馆建设和乡镇基础设施建设力度，加快推进村（社区）综合性文化服务中心、文化院坝、文化长廊等建设，建设全面覆盖、互联互通的公共文化设施网络体系，保障人民群众文化权益。实施“文化院坝”建设，兴建数字农家（寺庙）书屋和阅报栏工程。提升11个乡镇综合文化站和53个村（社区）文化活动室。支持图书馆、文化馆、博物馆、影剧院等设施建设。建设集文化、休闲、娱乐、健身、商业等多重服务功能于一体的文化服务综合体。全面实施所有文化场馆免费开放，促进公共文化资源供给与群众需求有效对接。继续开展“壤巴拉节”“赛马节”等丰富多彩的文化活动，丰富人民群众生活。加强基层融媒体中心的建设，提升融媒体（含广播电视）综合覆盖率。推进全县应急广播体系建设。提升融媒体节目译制能力，完善配置节目译制和播出设备。加强公共数字文化建设。加强文化档案事业建设，支持开发数字文化档案，推动利用宽带互联网、移动互联网、广播电视网和卫星网络提供公共文化服务。进一步完善公共文化管理能力，逐步提高基本公共文化服务均等化水平。</w:t>
      </w:r>
    </w:p>
    <w:p>
      <w:pPr>
        <w:spacing w:line="520" w:lineRule="exact"/>
        <w:ind w:firstLine="643" w:firstLineChars="200"/>
        <w:outlineLvl w:val="2"/>
        <w:rPr>
          <w:rFonts w:ascii="Times New Roman" w:hAnsi="Times New Roman" w:eastAsia="黑体" w:cs="Times New Roman"/>
          <w:b/>
          <w:bCs/>
          <w:sz w:val="32"/>
          <w:szCs w:val="32"/>
        </w:rPr>
      </w:pPr>
      <w:bookmarkStart w:id="240" w:name="_Toc28055"/>
      <w:r>
        <w:rPr>
          <w:rFonts w:ascii="Times New Roman" w:hAnsi="Times New Roman" w:eastAsia="黑体" w:cs="Times New Roman"/>
          <w:b/>
          <w:bCs/>
          <w:sz w:val="32"/>
          <w:szCs w:val="32"/>
        </w:rPr>
        <w:t>二、加强优秀传统文化保护传承</w:t>
      </w:r>
      <w:bookmarkEnd w:id="240"/>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非物质文化遗产保护传承与创新，开展壤塘县非物质文化遗产及传承人现状的全面普查，收集全县非遗项目文献、音频、视频等资料及相关实物，建立非遗项目数据库和数字博物馆，运用数字化存储手段，对资料进行全面、真实、</w:t>
      </w:r>
      <w:r>
        <w:rPr>
          <w:rFonts w:hint="eastAsia" w:ascii="Times New Roman" w:hAnsi="Times New Roman" w:eastAsia="仿宋_GB2312" w:cs="Times New Roman"/>
          <w:sz w:val="32"/>
          <w:szCs w:val="32"/>
          <w:highlight w:val="none"/>
        </w:rPr>
        <w:t>系统的记录</w:t>
      </w:r>
      <w:r>
        <w:rPr>
          <w:rFonts w:ascii="Times New Roman" w:hAnsi="Times New Roman" w:eastAsia="仿宋_GB2312" w:cs="Times New Roman"/>
          <w:sz w:val="32"/>
          <w:szCs w:val="32"/>
        </w:rPr>
        <w:t>和归档，建立和完善国家、省、州、县四级非物质文化遗产名录申报和体系建设工作，完善四级名录体系代表性传承人的认定工作，切实加强传承人培养工作；加强非物质文化遗产保护传承基地建设，加快建设非遗传承保护和民族手工艺发展中心，壮大壤巴拉文化产业园，推进博物馆、非遗文化数据档案库等</w:t>
      </w:r>
      <w:r>
        <w:rPr>
          <w:rFonts w:hint="eastAsia" w:ascii="Times New Roman" w:hAnsi="Times New Roman" w:eastAsia="仿宋_GB2312" w:cs="Times New Roman"/>
          <w:sz w:val="32"/>
          <w:szCs w:val="32"/>
          <w:highlight w:val="none"/>
        </w:rPr>
        <w:t>展陈</w:t>
      </w:r>
      <w:r>
        <w:rPr>
          <w:rFonts w:ascii="Times New Roman" w:hAnsi="Times New Roman" w:eastAsia="仿宋_GB2312" w:cs="Times New Roman"/>
          <w:sz w:val="32"/>
          <w:szCs w:val="32"/>
        </w:rPr>
        <w:t>体系建设。建设非物质文化遗产展示馆（传习所）和生产性保护示范基地，推动壤塘县非遗文化传承园、民族文化孵化中心、文化传承基地培训等国家非物质文化遗产保护项目的建设；加强非遗文化宣传，充分利用“文化遗产日”“成都国际非遗节”“全国非遗博览园”等平台，举办或参加展览、展演、展示活动，进一步扩大壤塘非遗项目在海内外的影响力和知名度。加快推进“非物质文化遗产进校园”活动，实现非物质文化遗产与区域特色文化教育的有机结合。加强古树名木、古村落的保护力度，加强文化传习所建设，使优秀传统民间文化与当代社会相适应。</w:t>
      </w:r>
    </w:p>
    <w:p>
      <w:pPr>
        <w:spacing w:line="520" w:lineRule="exact"/>
        <w:ind w:firstLine="643" w:firstLineChars="200"/>
        <w:outlineLvl w:val="2"/>
        <w:rPr>
          <w:rFonts w:ascii="Times New Roman" w:hAnsi="Times New Roman" w:eastAsia="黑体" w:cs="Times New Roman"/>
          <w:b/>
          <w:bCs/>
          <w:sz w:val="32"/>
          <w:szCs w:val="32"/>
        </w:rPr>
      </w:pPr>
      <w:bookmarkStart w:id="241" w:name="_Toc30023"/>
      <w:r>
        <w:rPr>
          <w:rFonts w:ascii="Times New Roman" w:hAnsi="Times New Roman" w:eastAsia="黑体" w:cs="Times New Roman"/>
          <w:b/>
          <w:bCs/>
          <w:sz w:val="32"/>
          <w:szCs w:val="32"/>
        </w:rPr>
        <w:t>三、深化文化体制改革</w:t>
      </w:r>
      <w:bookmarkEnd w:id="241"/>
    </w:p>
    <w:p>
      <w:pPr>
        <w:spacing w:line="52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健全文化管理体制，积极探索文化发展规律，激发文化创造活力，建立健全现代文化治理体系。创新文化事业单位运行机制，推进经营性文化事业单位转企改制，深化公益性文化单位内部制度改革。加强文化人才队伍建设，加快公共文化人才引进，通过制定优惠政策吸引城市文创工作者和志愿者到壤塘设立各种文化工作室、工作坊等，发挥其引领、示范、带动、辐射作用，推动公共文化本土人才的培育和成长。建立文化人才培养培训长效机制，支持非遗传承人授徒传艺活动。发挥引进人才和本土人才两个作用，开展音乐、舞蹈、书画、戏曲等不同艺术门类的创作、表演专题培训和帮扶指导</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培育艺术骨干。深化群众文化“百千万工程”</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推广“文化暖心驿站”，挖掘基层文化人才，建立文化队伍库。发挥基层骨干、带头人和特色队伍以及志愿者的作用，让更多群众参与建设，切实提高公共文化服务的针对性和有效性。</w:t>
      </w:r>
    </w:p>
    <w:tbl>
      <w:tblPr>
        <w:tblStyle w:val="12"/>
        <w:tblW w:w="8790" w:type="dxa"/>
        <w:tblInd w:w="1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8790" w:type="dxa"/>
          </w:tcPr>
          <w:p>
            <w:pPr>
              <w:spacing w:line="56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专栏2</w:t>
            </w:r>
            <w:r>
              <w:rPr>
                <w:rFonts w:hint="eastAsia" w:ascii="Times New Roman" w:hAnsi="Times New Roman" w:eastAsia="黑体" w:cs="Times New Roman"/>
                <w:sz w:val="28"/>
                <w:szCs w:val="28"/>
              </w:rPr>
              <w:t>4</w:t>
            </w:r>
            <w:r>
              <w:rPr>
                <w:rFonts w:ascii="Times New Roman" w:hAnsi="Times New Roman" w:eastAsia="黑体" w:cs="Times New Roman"/>
                <w:sz w:val="28"/>
                <w:szCs w:val="28"/>
              </w:rPr>
              <w:t xml:space="preserve"> 文化事业重点项目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90" w:type="dxa"/>
          </w:tcPr>
          <w:p>
            <w:pPr>
              <w:adjustRightInd w:val="0"/>
              <w:snapToGrid w:val="0"/>
              <w:spacing w:line="40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一、公共文化服务</w:t>
            </w:r>
          </w:p>
          <w:p>
            <w:pPr>
              <w:adjustRightInd w:val="0"/>
              <w:snapToGrid w:val="0"/>
              <w:spacing w:line="400" w:lineRule="atLeas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精神文明建设；应急广播体系；广电有线双向网建设覆盖工程；集镇有线电视覆盖；高清四川智慧壤塘；融媒体中心能力提升工程；县级融媒体中心综合技术用房等。</w:t>
            </w:r>
          </w:p>
          <w:p>
            <w:pPr>
              <w:adjustRightInd w:val="0"/>
              <w:snapToGrid w:val="0"/>
              <w:spacing w:line="40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二、文化保护与传承</w:t>
            </w:r>
          </w:p>
          <w:p>
            <w:pPr>
              <w:adjustRightInd w:val="0"/>
              <w:snapToGrid w:val="0"/>
              <w:spacing w:line="400" w:lineRule="atLeas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非物质文化中心建设；乡镇文化基础设施建设；文物保护工程；非物质文化遗产保护；涉藏地区广播电视网络视听节目内容建设；涉藏地区广播电视设施设备保通；广播电视无线发射台站基础设施建设；应急</w:t>
            </w:r>
            <w:r>
              <w:rPr>
                <w:rFonts w:hint="eastAsia" w:ascii="Times New Roman" w:hAnsi="Times New Roman" w:eastAsia="楷体_GB2312" w:cs="Times New Roman"/>
                <w:sz w:val="24"/>
                <w:highlight w:val="none"/>
              </w:rPr>
              <w:t>广播补</w:t>
            </w:r>
            <w:r>
              <w:rPr>
                <w:rFonts w:hint="eastAsia" w:ascii="Times New Roman" w:hAnsi="Times New Roman" w:eastAsia="楷体_GB2312" w:cs="Times New Roman"/>
                <w:sz w:val="24"/>
              </w:rPr>
              <w:t>点；有线广播电视传输干线；广播电视检测中心；广播电视节目覆盖；村村通、村村响、户户通维修维护等。</w:t>
            </w:r>
          </w:p>
          <w:p>
            <w:pPr>
              <w:adjustRightInd w:val="0"/>
              <w:snapToGrid w:val="0"/>
              <w:spacing w:line="40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三、公共体育服务</w:t>
            </w:r>
          </w:p>
          <w:p>
            <w:pPr>
              <w:adjustRightInd w:val="0"/>
              <w:snapToGrid w:val="0"/>
              <w:spacing w:line="400" w:lineRule="atLeas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全民健身工程；职工健身中心；体育馆；11人制足球场；网球场；田径场；则曲部落—壤巴拉赛马场；山地自行车赛事基地；国家绳索公园；户外运动设施（步道建设）等。</w:t>
            </w:r>
          </w:p>
          <w:p>
            <w:pPr>
              <w:adjustRightInd w:val="0"/>
              <w:snapToGrid w:val="0"/>
              <w:spacing w:line="40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四、其他</w:t>
            </w:r>
          </w:p>
          <w:p>
            <w:pPr>
              <w:adjustRightInd w:val="0"/>
              <w:snapToGrid w:val="0"/>
              <w:spacing w:line="400" w:lineRule="atLeas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标准地名（智慧地名）建设等。</w:t>
            </w:r>
          </w:p>
        </w:tc>
      </w:tr>
    </w:tbl>
    <w:p>
      <w:pPr>
        <w:widowControl/>
        <w:jc w:val="left"/>
        <w:rPr>
          <w:rFonts w:ascii="Times New Roman" w:hAnsi="Times New Roman" w:eastAsia="方正小标宋_GBK" w:cs="Times New Roman"/>
          <w:sz w:val="44"/>
          <w:szCs w:val="44"/>
        </w:rPr>
      </w:pPr>
      <w:r>
        <w:rPr>
          <w:rFonts w:ascii="Times New Roman" w:hAnsi="Times New Roman" w:eastAsia="方正小标宋_GBK" w:cs="Times New Roman"/>
          <w:sz w:val="44"/>
          <w:szCs w:val="44"/>
        </w:rPr>
        <w:br w:type="page"/>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0"/>
        <w:rPr>
          <w:rFonts w:ascii="Times New Roman" w:hAnsi="Times New Roman" w:eastAsia="方正小标宋_GBK" w:cs="Times New Roman"/>
          <w:sz w:val="44"/>
          <w:szCs w:val="44"/>
        </w:rPr>
      </w:pPr>
      <w:bookmarkStart w:id="242" w:name="_Toc3442"/>
      <w:bookmarkStart w:id="243" w:name="_Toc19759"/>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第十二章  推动治理体系和治理能力现代化，</w:t>
      </w: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建设“川甘青结合部基层社会治理示范县”</w:t>
      </w:r>
      <w:bookmarkEnd w:id="242"/>
      <w:bookmarkEnd w:id="243"/>
    </w:p>
    <w:p>
      <w:pPr>
        <w:spacing w:line="540" w:lineRule="exact"/>
        <w:ind w:firstLine="640" w:firstLineChars="200"/>
        <w:rPr>
          <w:rFonts w:ascii="Times New Roman" w:hAnsi="Times New Roman" w:eastAsia="仿宋_GB2312" w:cs="Times New Roman"/>
          <w:sz w:val="32"/>
          <w:szCs w:val="32"/>
        </w:rPr>
      </w:pP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全面贯彻新时代党的治藏方略，全面推进民族团结进步示范县建设，加强民主法制和基层政权建设，实施依法治县，努力提高全县各族群众的思想道德素质和法治意识，增强抵御分裂渗透、维护祖国统一的思想基础和社会基础，推动治理体系和治理能力现代化，努力建设</w:t>
      </w:r>
      <w:r>
        <w:rPr>
          <w:rFonts w:ascii="Times New Roman" w:hAnsi="Times New Roman" w:eastAsia="楷体_GB2312" w:cs="Times New Roman"/>
          <w:b/>
          <w:bCs/>
          <w:sz w:val="32"/>
          <w:szCs w:val="32"/>
        </w:rPr>
        <w:t>“川甘青结合部基层社会治理示范县”。</w:t>
      </w:r>
    </w:p>
    <w:p>
      <w:pPr>
        <w:spacing w:line="540" w:lineRule="exact"/>
        <w:ind w:firstLine="640" w:firstLineChars="200"/>
        <w:rPr>
          <w:rFonts w:ascii="Times New Roman" w:hAnsi="Times New Roman" w:eastAsia="仿宋_GB2312" w:cs="Times New Roman"/>
          <w:sz w:val="32"/>
          <w:szCs w:val="32"/>
        </w:rPr>
      </w:pPr>
    </w:p>
    <w:p>
      <w:pPr>
        <w:spacing w:line="540" w:lineRule="exact"/>
        <w:jc w:val="center"/>
        <w:outlineLvl w:val="1"/>
        <w:rPr>
          <w:rFonts w:ascii="Times New Roman" w:hAnsi="Times New Roman" w:eastAsia="宋体" w:cs="Times New Roman"/>
          <w:b/>
          <w:bCs/>
          <w:sz w:val="36"/>
          <w:szCs w:val="36"/>
        </w:rPr>
      </w:pPr>
      <w:bookmarkStart w:id="244" w:name="_Toc18536"/>
      <w:bookmarkStart w:id="245" w:name="_Toc32754"/>
      <w:r>
        <w:rPr>
          <w:rFonts w:ascii="Times New Roman" w:hAnsi="Times New Roman" w:eastAsia="宋体" w:cs="Times New Roman"/>
          <w:b/>
          <w:bCs/>
          <w:sz w:val="36"/>
          <w:szCs w:val="36"/>
        </w:rPr>
        <w:t>第一节  加强基层政权建设</w:t>
      </w:r>
      <w:bookmarkEnd w:id="244"/>
      <w:bookmarkEnd w:id="245"/>
    </w:p>
    <w:p>
      <w:pPr>
        <w:spacing w:line="540" w:lineRule="exact"/>
        <w:ind w:firstLine="640" w:firstLineChars="200"/>
        <w:rPr>
          <w:rFonts w:ascii="Times New Roman" w:hAnsi="Times New Roman" w:eastAsia="仿宋_GB2312" w:cs="Times New Roman"/>
          <w:sz w:val="32"/>
          <w:szCs w:val="32"/>
        </w:rPr>
      </w:pPr>
    </w:p>
    <w:p>
      <w:pPr>
        <w:spacing w:line="540" w:lineRule="exact"/>
        <w:ind w:firstLine="643" w:firstLineChars="200"/>
        <w:outlineLvl w:val="2"/>
        <w:rPr>
          <w:rFonts w:ascii="Times New Roman" w:hAnsi="Times New Roman" w:eastAsia="黑体" w:cs="Times New Roman"/>
          <w:b/>
          <w:bCs/>
          <w:sz w:val="32"/>
          <w:szCs w:val="32"/>
        </w:rPr>
      </w:pPr>
      <w:bookmarkStart w:id="246" w:name="_Toc23904"/>
      <w:r>
        <w:rPr>
          <w:rFonts w:ascii="Times New Roman" w:hAnsi="Times New Roman" w:eastAsia="黑体" w:cs="Times New Roman"/>
          <w:b/>
          <w:bCs/>
          <w:sz w:val="32"/>
          <w:szCs w:val="32"/>
        </w:rPr>
        <w:t>一、切实加强党的领导</w:t>
      </w:r>
      <w:bookmarkEnd w:id="246"/>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坚持用习近平新时代中国特色社会主义思想指导全县经济社会发展，把</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不忘初心、牢记使命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作为加强党的建设的永恒课题和全体党员干部的终身课题。贯彻党的群众路线，完善党员、干部联系群众制度，创新互联网时代群众工作机制。健全联系广泛、服务群众的群团工作体系，推动人民团体增强政治性、先进性、群众性，把各自联系的群众紧紧团结在党的周围。完善和落实全面从严治党责任制度。坚决同一切影响党的先进性、弱化党的纯洁性的</w:t>
      </w:r>
      <w:r>
        <w:rPr>
          <w:rFonts w:hint="eastAsia" w:ascii="Times New Roman" w:hAnsi="Times New Roman" w:eastAsia="仿宋_GB2312" w:cs="Times New Roman"/>
          <w:sz w:val="32"/>
          <w:szCs w:val="32"/>
          <w:highlight w:val="none"/>
        </w:rPr>
        <w:t>问题作</w:t>
      </w:r>
      <w:r>
        <w:rPr>
          <w:rFonts w:ascii="Times New Roman" w:hAnsi="Times New Roman" w:eastAsia="仿宋_GB2312" w:cs="Times New Roman"/>
          <w:sz w:val="32"/>
          <w:szCs w:val="32"/>
        </w:rPr>
        <w:t>斗争，大力纠治形式主义、官僚主义，不断增强党的创造力、凝聚力、战斗力，确保党始终是壤塘县经济社会事业发展的坚强领导核心。</w:t>
      </w:r>
    </w:p>
    <w:p>
      <w:pPr>
        <w:spacing w:line="540" w:lineRule="exact"/>
        <w:ind w:firstLine="640" w:firstLineChars="200"/>
        <w:rPr>
          <w:rFonts w:ascii="Times New Roman" w:hAnsi="Times New Roman" w:eastAsia="仿宋_GB2312" w:cs="Times New Roman"/>
          <w:sz w:val="32"/>
          <w:szCs w:val="32"/>
        </w:rPr>
      </w:pPr>
    </w:p>
    <w:p>
      <w:pPr>
        <w:spacing w:line="540" w:lineRule="exact"/>
        <w:ind w:firstLine="643" w:firstLineChars="200"/>
        <w:outlineLvl w:val="2"/>
        <w:rPr>
          <w:rFonts w:ascii="Times New Roman" w:hAnsi="Times New Roman" w:eastAsia="黑体" w:cs="Times New Roman"/>
          <w:b/>
          <w:bCs/>
          <w:sz w:val="32"/>
          <w:szCs w:val="32"/>
        </w:rPr>
      </w:pPr>
      <w:bookmarkStart w:id="247" w:name="_Toc13436"/>
      <w:r>
        <w:rPr>
          <w:rFonts w:ascii="Times New Roman" w:hAnsi="Times New Roman" w:eastAsia="黑体" w:cs="Times New Roman"/>
          <w:b/>
          <w:bCs/>
          <w:sz w:val="32"/>
          <w:szCs w:val="32"/>
        </w:rPr>
        <w:t>二、加强基层组织建设</w:t>
      </w:r>
      <w:bookmarkEnd w:id="247"/>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农村基层党组织建设，配齐配强村“两委”班子，选好用好带头人，全面强化农村基层党组织领导核心地位。提升基层党组织领导能力，扩大党内基层民主，推进党务公开。通过强化基层组织、做实基础工作、提升基本能力，夯实党在农村牧区的执政根基。把企业、农村、机关、学校、社区、社会组织等基层党组织建成宣传党的主张、贯彻党的决定、领导基层治理、团结动员群众、推动改革发展的坚强战斗堡垒，引导广大党员发挥先锋模范作用。坚持“三会一课”制度，推进党的基层组织设置和活动方式创新，加强基层党组织带头人队伍建设，发挥好村纪委作用，加强基层工作人员培训交流，提高基层社会管理、公共服务及处理突发事件的执政能力。注重从青年农民、大学毕业生、返乡创业农民工中和在非公有制经济组织、社会组织中发展党员，扩大基层党组织覆盖面。加强党内激励关怀帮扶，增强党员教育管理针对性和有效性。加快基层工作人员办公场所、住宿条件和活动场所改造，提高基层人员工作生活待遇。</w:t>
      </w:r>
    </w:p>
    <w:p>
      <w:pPr>
        <w:spacing w:line="540" w:lineRule="exact"/>
        <w:ind w:firstLine="643" w:firstLineChars="200"/>
        <w:outlineLvl w:val="2"/>
        <w:rPr>
          <w:rFonts w:ascii="Times New Roman" w:hAnsi="Times New Roman" w:eastAsia="黑体" w:cs="Times New Roman"/>
          <w:b/>
          <w:bCs/>
          <w:sz w:val="32"/>
          <w:szCs w:val="32"/>
        </w:rPr>
      </w:pPr>
      <w:bookmarkStart w:id="248" w:name="_Toc30307"/>
      <w:r>
        <w:rPr>
          <w:rFonts w:ascii="Times New Roman" w:hAnsi="Times New Roman" w:eastAsia="黑体" w:cs="Times New Roman"/>
          <w:b/>
          <w:bCs/>
          <w:sz w:val="32"/>
          <w:szCs w:val="32"/>
        </w:rPr>
        <w:t>三、大力推进村民自治</w:t>
      </w:r>
      <w:bookmarkEnd w:id="248"/>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健全基层自治体制机制，完善党领导下的基层选举制度，加强党对村委会选举工作的指导监督，严肃查处贿选等违法行为。充分发挥居民在基层治理中的主体作用，推动基层群众性自治组织建设，健全和创新基层民主选举、民主决策、民主管理、民主监督等自治机制，提高群众参与治理的自觉性、积极性。深入实施“四议两公开一监督”工作制度，探索民选、</w:t>
      </w:r>
      <w:r>
        <w:rPr>
          <w:rFonts w:hint="eastAsia" w:ascii="Times New Roman" w:hAnsi="Times New Roman" w:eastAsia="仿宋_GB2312" w:cs="Times New Roman"/>
          <w:sz w:val="32"/>
          <w:szCs w:val="32"/>
          <w:highlight w:val="none"/>
        </w:rPr>
        <w:t>民议</w:t>
      </w:r>
      <w:r>
        <w:rPr>
          <w:rFonts w:ascii="Times New Roman" w:hAnsi="Times New Roman" w:eastAsia="仿宋_GB2312" w:cs="Times New Roman"/>
          <w:sz w:val="32"/>
          <w:szCs w:val="32"/>
        </w:rPr>
        <w:t>、民建、民管的村级公益项目新模式。增强村民自治能力，增进村民自我服务意识，加大对村民的宣传教育和民主培训，引导正确行使民主选举、民主决策、民主管理和民主监督权利，增强村民参与本村发展的自主性，提升村民民主参与村级治理的意识与能力。健全村务监督制度，推进村级事务阳光工程，修订完善村务公开目录，建立集体资产经营情况报告制度，健全村务档案管理制度，丰富村务公开内容、创新村务公开形式，规范村务公开程序。到2025年，州级村民自治模范村占比达到70%。</w:t>
      </w:r>
    </w:p>
    <w:p>
      <w:pPr>
        <w:spacing w:line="540" w:lineRule="exact"/>
        <w:ind w:firstLine="643" w:firstLineChars="200"/>
        <w:outlineLvl w:val="2"/>
        <w:rPr>
          <w:rFonts w:ascii="Times New Roman" w:hAnsi="Times New Roman" w:eastAsia="黑体" w:cs="Times New Roman"/>
          <w:b/>
          <w:bCs/>
          <w:sz w:val="32"/>
          <w:szCs w:val="32"/>
        </w:rPr>
      </w:pPr>
      <w:bookmarkStart w:id="249" w:name="_Toc23210"/>
      <w:r>
        <w:rPr>
          <w:rFonts w:ascii="Times New Roman" w:hAnsi="Times New Roman" w:eastAsia="黑体" w:cs="Times New Roman"/>
          <w:b/>
          <w:bCs/>
          <w:sz w:val="32"/>
          <w:szCs w:val="32"/>
        </w:rPr>
        <w:t>四、建立健全乡村德治体系</w:t>
      </w:r>
      <w:bookmarkEnd w:id="249"/>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把德治建设贯穿乡村治理全过程，深入挖掘乡村社会蕴含的道德规范，弘扬公序良俗，结合时代要求进行创新，发挥道德引领作用。加强社会公德、职业道德、家庭美德、个人品德教育，唱响主旋律、弘扬正能量。推进农村伦理道德建设，持续开展树新风活动，深入推进“孝善和俭”道德传扬活动，广泛开展“最美乡村教师、医生、村官、人民调解员、壤巴拉好人”等评选表彰活动。加大道德模范典型事迹宣传力度，发挥致富能人、返乡创业人员、离退休回乡干部、高僧大德等作用，引导农牧民继承民族优秀传统风俗。大力推进农牧区诚信文化建设，不断完善信用评价体系。</w:t>
      </w:r>
    </w:p>
    <w:p>
      <w:pPr>
        <w:spacing w:line="540" w:lineRule="exact"/>
        <w:ind w:firstLine="643" w:firstLineChars="200"/>
        <w:outlineLvl w:val="2"/>
        <w:rPr>
          <w:rFonts w:ascii="Times New Roman" w:hAnsi="Times New Roman" w:eastAsia="黑体" w:cs="Times New Roman"/>
          <w:b/>
          <w:bCs/>
          <w:sz w:val="32"/>
          <w:szCs w:val="32"/>
        </w:rPr>
      </w:pPr>
      <w:bookmarkStart w:id="250" w:name="_Toc28883"/>
      <w:r>
        <w:rPr>
          <w:rFonts w:ascii="Times New Roman" w:hAnsi="Times New Roman" w:eastAsia="黑体" w:cs="Times New Roman"/>
          <w:b/>
          <w:bCs/>
          <w:sz w:val="32"/>
          <w:szCs w:val="32"/>
        </w:rPr>
        <w:t>五、加强村规民约建设</w:t>
      </w:r>
      <w:bookmarkEnd w:id="250"/>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规范村规民约的制定和修订工作，发扬民主，最大限度地体现全体村民的合法利益和意愿，推动村规民约更加体现法治精神和现代治理理念，增强传统村规民约的现代价值。加强优秀村规民约的宣传，推进农村传统文化、家风文化、社风文化、民风文化等百花齐放。深入挖掘传统“乡贤文化”蕴含的道德规范，结合时代要求进行创新，引导农牧民群众向上向善、孝老爱亲、重义守信、勤俭持家，不断发挥道德教化作用。建立道德激励约束和道德评议机制，开办道德讲堂、文化礼堂等，开展德孝主题文化活动，引导农民自我管理、自我教育、自我服务、自我提高。</w:t>
      </w:r>
    </w:p>
    <w:p>
      <w:pPr>
        <w:spacing w:line="540" w:lineRule="exact"/>
        <w:ind w:firstLine="640" w:firstLineChars="200"/>
        <w:rPr>
          <w:rFonts w:ascii="Times New Roman" w:hAnsi="Times New Roman" w:eastAsia="仿宋_GB2312" w:cs="Times New Roman"/>
          <w:sz w:val="32"/>
          <w:szCs w:val="32"/>
        </w:rPr>
      </w:pPr>
    </w:p>
    <w:p>
      <w:pPr>
        <w:spacing w:line="540" w:lineRule="exact"/>
        <w:jc w:val="center"/>
        <w:outlineLvl w:val="1"/>
        <w:rPr>
          <w:rFonts w:ascii="Times New Roman" w:hAnsi="Times New Roman" w:eastAsia="宋体" w:cs="Times New Roman"/>
          <w:b/>
          <w:bCs/>
          <w:sz w:val="36"/>
          <w:szCs w:val="36"/>
        </w:rPr>
      </w:pPr>
      <w:bookmarkStart w:id="251" w:name="_Toc26204"/>
      <w:bookmarkStart w:id="252" w:name="_Toc25230"/>
      <w:r>
        <w:rPr>
          <w:rFonts w:ascii="Times New Roman" w:hAnsi="Times New Roman" w:eastAsia="宋体" w:cs="Times New Roman"/>
          <w:b/>
          <w:bCs/>
          <w:sz w:val="36"/>
          <w:szCs w:val="36"/>
        </w:rPr>
        <w:t>第二节  加强“法治壤塘”建设</w:t>
      </w:r>
      <w:bookmarkEnd w:id="251"/>
      <w:bookmarkEnd w:id="252"/>
    </w:p>
    <w:p>
      <w:pPr>
        <w:spacing w:line="540" w:lineRule="exact"/>
        <w:ind w:firstLine="640" w:firstLineChars="200"/>
        <w:rPr>
          <w:rFonts w:ascii="Times New Roman" w:hAnsi="Times New Roman" w:eastAsia="仿宋_GB2312" w:cs="Times New Roman"/>
          <w:sz w:val="32"/>
          <w:szCs w:val="32"/>
        </w:rPr>
      </w:pP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深入推进全面依法治县各项工作，努力探索紧贴壤塘实际的依法治县路径和模式，形成完善的依法治理体系，为推动壤塘高质量发展提供坚实的法治保障，全面实现</w:t>
      </w:r>
      <w:r>
        <w:rPr>
          <w:rFonts w:ascii="Times New Roman" w:hAnsi="Times New Roman" w:eastAsia="楷体_GB2312" w:cs="Times New Roman"/>
          <w:b/>
          <w:bCs/>
          <w:sz w:val="32"/>
          <w:szCs w:val="32"/>
        </w:rPr>
        <w:t>“法治壤塘”</w:t>
      </w:r>
      <w:r>
        <w:rPr>
          <w:rFonts w:ascii="Times New Roman" w:hAnsi="Times New Roman" w:eastAsia="仿宋_GB2312" w:cs="Times New Roman"/>
          <w:sz w:val="32"/>
          <w:szCs w:val="32"/>
        </w:rPr>
        <w:t>目标。</w:t>
      </w:r>
    </w:p>
    <w:p>
      <w:pPr>
        <w:spacing w:line="540" w:lineRule="exact"/>
        <w:ind w:firstLine="643" w:firstLineChars="200"/>
        <w:outlineLvl w:val="2"/>
        <w:rPr>
          <w:rFonts w:ascii="Times New Roman" w:hAnsi="Times New Roman" w:eastAsia="黑体" w:cs="Times New Roman"/>
          <w:b/>
          <w:bCs/>
          <w:sz w:val="32"/>
          <w:szCs w:val="32"/>
        </w:rPr>
      </w:pPr>
      <w:bookmarkStart w:id="253" w:name="_Toc14632"/>
      <w:r>
        <w:rPr>
          <w:rFonts w:ascii="Times New Roman" w:hAnsi="Times New Roman" w:eastAsia="黑体" w:cs="Times New Roman"/>
          <w:b/>
          <w:bCs/>
          <w:sz w:val="32"/>
          <w:szCs w:val="32"/>
        </w:rPr>
        <w:t>一、深入推进党委依法执政</w:t>
      </w:r>
      <w:bookmarkEnd w:id="253"/>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统筹开展全面依法治县各项工作。推进依法执政制度化规范化，党委、党组严格执行党章和党内法规，自觉遵守宪法和法律，切实增强法治思维和法治能力，确保在法治的轨道上推进改革发展稳定各项工作。优化党内法规前置审核工作机制，加强党内法规和规范性文件备案审查。强化党委领导统筹和表率示范，各级党委认真落实保证执法、支持司法、带头守法。强化党政主要负责人推进法治建设第一责任人职责，落实党政主要负责人年度述法制度，完善党委中心组及政府常务会集中学法制度。各级领导干部要带头尊法学法守法用法，争当推进全面依法治县工作的引领者和示范者。</w:t>
      </w:r>
    </w:p>
    <w:p>
      <w:pPr>
        <w:spacing w:line="540" w:lineRule="exact"/>
        <w:ind w:firstLine="643" w:firstLineChars="200"/>
        <w:outlineLvl w:val="2"/>
        <w:rPr>
          <w:rFonts w:ascii="Times New Roman" w:hAnsi="Times New Roman" w:eastAsia="黑体" w:cs="Times New Roman"/>
          <w:b/>
          <w:bCs/>
          <w:sz w:val="32"/>
          <w:szCs w:val="32"/>
        </w:rPr>
      </w:pPr>
      <w:bookmarkStart w:id="254" w:name="_Toc6316"/>
      <w:r>
        <w:rPr>
          <w:rFonts w:ascii="Times New Roman" w:hAnsi="Times New Roman" w:eastAsia="黑体" w:cs="Times New Roman"/>
          <w:b/>
          <w:bCs/>
          <w:sz w:val="32"/>
          <w:szCs w:val="32"/>
        </w:rPr>
        <w:t>二、持续深化政府依法行政</w:t>
      </w:r>
      <w:bookmarkEnd w:id="254"/>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持续清理规范行政权力，动态调整权责清单，加强和规范事中事后监管。健全依法决策机制，强化公职律师、法律顾问、专家学者、社会公众参与行政决策。严格行政规范性文件合法性审查，建立县、乡两级联网的行政规范性文件备案监督平台。严格规范公正文明执法，推进跨领域跨部门综合执法，建立部门联动、县乡联合协作工作机制。加强行政权力监督，各级政府向本级人大及其常委会报告工作、按规定向政协通报有关情况。落实行政负责人出庭应诉制度，建立行政复议撤销、行政诉讼败诉案件通报制度，推进政务公开，提高政务公开标准化规范化水平，提高政务诚信，治理政府失信行为。</w:t>
      </w:r>
    </w:p>
    <w:p>
      <w:pPr>
        <w:spacing w:line="540" w:lineRule="exact"/>
        <w:ind w:firstLine="643" w:firstLineChars="200"/>
        <w:outlineLvl w:val="2"/>
        <w:rPr>
          <w:rFonts w:ascii="Times New Roman" w:hAnsi="Times New Roman" w:eastAsia="黑体" w:cs="Times New Roman"/>
          <w:b/>
          <w:bCs/>
          <w:sz w:val="32"/>
          <w:szCs w:val="32"/>
        </w:rPr>
      </w:pPr>
      <w:bookmarkStart w:id="255" w:name="_Toc23576"/>
      <w:r>
        <w:rPr>
          <w:rFonts w:ascii="Times New Roman" w:hAnsi="Times New Roman" w:eastAsia="黑体" w:cs="Times New Roman"/>
          <w:b/>
          <w:bCs/>
          <w:sz w:val="32"/>
          <w:szCs w:val="32"/>
        </w:rPr>
        <w:t>三、着力推进司法公正高效</w:t>
      </w:r>
      <w:bookmarkEnd w:id="255"/>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完善机构职能体系，构建司法行政机关协同高效工作体系。完善司法权运行机制，坚持依法独立公正行使审判权和检察权，坚决排除对司法活动的违规干预。完善人民监督员、人民陪审员制度。破解司法难题，深化司法体制综合配套改革，促进法律适用和裁判尺度统一。加大信息联查、失信联惩力度，完善“一处失信、处处受限”的信用监督、警示和惩戒体系。深化以审判为中心的刑事诉讼制度改革，完善刑事涉案财物集中管理制度，破解涉案财物规范化管理难题。</w:t>
      </w:r>
    </w:p>
    <w:p>
      <w:pPr>
        <w:spacing w:line="540" w:lineRule="exact"/>
        <w:ind w:firstLine="643" w:firstLineChars="200"/>
        <w:outlineLvl w:val="2"/>
        <w:rPr>
          <w:rFonts w:ascii="Times New Roman" w:hAnsi="Times New Roman" w:eastAsia="黑体" w:cs="Times New Roman"/>
          <w:b/>
          <w:bCs/>
          <w:sz w:val="32"/>
          <w:szCs w:val="32"/>
        </w:rPr>
      </w:pPr>
      <w:bookmarkStart w:id="256" w:name="_Toc2074"/>
      <w:r>
        <w:rPr>
          <w:rFonts w:ascii="Times New Roman" w:hAnsi="Times New Roman" w:eastAsia="黑体" w:cs="Times New Roman"/>
          <w:b/>
          <w:bCs/>
          <w:sz w:val="32"/>
          <w:szCs w:val="32"/>
        </w:rPr>
        <w:t>四、切实提高依法治理水平</w:t>
      </w:r>
      <w:bookmarkEnd w:id="256"/>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夯实城乡基层治理基础，构建党组织领导的自治、法治、德治相融合的城乡基层治理体系，推进基层民主制度化、规范化、程序化。加强综治中心、公安派出所、社区警务室、司法所基础建设，落实“村（社区）法律顾问”制度。加强社会稳定风险评估、应急管理和网络综合治理，推进网格化服务管理、社会心理服务、社会治安防控体系建设。加强司法行政信息化建设，加快建设11个乡镇司法所，新建“壤塘县司法行政系统基层公共法律服务中心”，以司法局建立总监控指挥中心，将远程调控监控系统、远程探监系统等覆盖11个乡镇司法所。预防调处化解矛盾纠纷，完善和解、调解、仲裁、行政裁决、行政复议、诉讼等有机衔接、相互协调的多元纠纷化解机制。推进人民调解规范化专业化建设，完善县、乡、村（居）三级矛盾纠纷多元化解协调机制。加快建设覆盖城乡、便捷高效、均等普惠的现代公共法律服务体系，提高公共法律服务效能。加强人民调解员队伍建设，</w:t>
      </w:r>
      <w:r>
        <w:rPr>
          <w:rFonts w:hint="eastAsia" w:ascii="Times New Roman" w:hAnsi="Times New Roman" w:eastAsia="仿宋_GB2312" w:cs="Times New Roman"/>
          <w:sz w:val="32"/>
          <w:szCs w:val="32"/>
        </w:rPr>
        <w:t>落实</w:t>
      </w:r>
      <w:r>
        <w:rPr>
          <w:rFonts w:ascii="Times New Roman" w:hAnsi="Times New Roman" w:eastAsia="仿宋_GB2312" w:cs="Times New Roman"/>
          <w:sz w:val="32"/>
          <w:szCs w:val="32"/>
        </w:rPr>
        <w:t>专职人民调解员购买保险及发放补助</w:t>
      </w:r>
      <w:r>
        <w:rPr>
          <w:rFonts w:hint="eastAsia" w:ascii="Times New Roman" w:hAnsi="Times New Roman" w:eastAsia="仿宋_GB2312" w:cs="Times New Roman"/>
          <w:sz w:val="32"/>
          <w:szCs w:val="32"/>
        </w:rPr>
        <w:t>政策</w:t>
      </w:r>
      <w:r>
        <w:rPr>
          <w:rFonts w:ascii="Times New Roman" w:hAnsi="Times New Roman" w:eastAsia="仿宋_GB2312" w:cs="Times New Roman"/>
          <w:sz w:val="32"/>
          <w:szCs w:val="32"/>
        </w:rPr>
        <w:t>。</w:t>
      </w:r>
    </w:p>
    <w:p>
      <w:pPr>
        <w:spacing w:line="540" w:lineRule="exact"/>
        <w:ind w:firstLine="643" w:firstLineChars="200"/>
        <w:outlineLvl w:val="2"/>
        <w:rPr>
          <w:rFonts w:ascii="Times New Roman" w:hAnsi="Times New Roman" w:eastAsia="黑体" w:cs="Times New Roman"/>
          <w:b/>
          <w:bCs/>
          <w:sz w:val="32"/>
          <w:szCs w:val="32"/>
        </w:rPr>
      </w:pPr>
      <w:bookmarkStart w:id="257" w:name="_Toc3254"/>
      <w:r>
        <w:rPr>
          <w:rFonts w:ascii="Times New Roman" w:hAnsi="Times New Roman" w:eastAsia="黑体" w:cs="Times New Roman"/>
          <w:b/>
          <w:bCs/>
          <w:sz w:val="32"/>
          <w:szCs w:val="32"/>
        </w:rPr>
        <w:t>五、营造良好的法治氛围</w:t>
      </w:r>
      <w:bookmarkEnd w:id="257"/>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ascii="Times New Roman" w:hAnsi="Times New Roman" w:eastAsia="仿宋_GB2312" w:cs="Times New Roman"/>
          <w:sz w:val="32"/>
          <w:szCs w:val="32"/>
        </w:rPr>
      </w:pPr>
      <w:r>
        <w:rPr>
          <w:rFonts w:ascii="Times New Roman" w:hAnsi="Times New Roman" w:eastAsia="仿宋_GB2312" w:cs="Times New Roman"/>
          <w:sz w:val="32"/>
          <w:szCs w:val="32"/>
        </w:rPr>
        <w:t>创新精准普法，全面落实“谁执法、谁普法”普法责任制，落实普法责任清单。按照中央、省、州“八五”普法规划要求，结合壤塘实际，创新普法方式，推进“法治宣传七进”向“法律服务七进”“依法治理七进”转变，建立以机关、学校为重点的宪法法律教育长效机制，建设“壤巴拉公民学校（含社区矫正培训）”，完善媒体公益普法制度。建设“</w:t>
      </w:r>
      <w:r>
        <w:rPr>
          <w:rFonts w:hint="eastAsia" w:ascii="Times New Roman" w:hAnsi="Times New Roman" w:eastAsia="仿宋_GB2312" w:cs="Times New Roman"/>
          <w:sz w:val="32"/>
          <w:szCs w:val="32"/>
        </w:rPr>
        <w:t>G</w:t>
      </w:r>
      <w:r>
        <w:rPr>
          <w:rFonts w:ascii="Times New Roman" w:hAnsi="Times New Roman" w:eastAsia="仿宋_GB2312" w:cs="Times New Roman"/>
          <w:sz w:val="32"/>
          <w:szCs w:val="32"/>
        </w:rPr>
        <w:t>227法治文化走廊（县城至中壤塘景区段）”，购置普法流动大篷车，营造法治氛围。深化法治建设示范创建，开展党委依法执政、政府依法行政和城乡基层有效治理示范创建，召开示范创建工作推进会，力争形成一批可复制、可推广的经验和模式。</w:t>
      </w:r>
    </w:p>
    <w:p>
      <w:pPr>
        <w:spacing w:line="540" w:lineRule="exact"/>
        <w:jc w:val="center"/>
        <w:outlineLvl w:val="1"/>
        <w:rPr>
          <w:rFonts w:ascii="Times New Roman" w:hAnsi="Times New Roman" w:eastAsia="宋体" w:cs="Times New Roman"/>
          <w:b/>
          <w:bCs/>
          <w:sz w:val="36"/>
          <w:szCs w:val="36"/>
        </w:rPr>
      </w:pPr>
      <w:bookmarkStart w:id="258" w:name="_Toc25256"/>
      <w:bookmarkStart w:id="259" w:name="_Toc17939"/>
      <w:r>
        <w:rPr>
          <w:rFonts w:ascii="Times New Roman" w:hAnsi="Times New Roman" w:eastAsia="宋体" w:cs="Times New Roman"/>
          <w:b/>
          <w:bCs/>
          <w:sz w:val="36"/>
          <w:szCs w:val="36"/>
        </w:rPr>
        <w:t>第三节  健全公共安全体系</w:t>
      </w:r>
      <w:bookmarkEnd w:id="258"/>
      <w:bookmarkEnd w:id="259"/>
    </w:p>
    <w:p>
      <w:pPr>
        <w:spacing w:line="540" w:lineRule="exact"/>
        <w:ind w:firstLine="640" w:firstLineChars="200"/>
        <w:rPr>
          <w:rFonts w:ascii="Times New Roman" w:hAnsi="Times New Roman" w:eastAsia="仿宋_GB2312" w:cs="Times New Roman"/>
          <w:sz w:val="32"/>
          <w:szCs w:val="32"/>
        </w:rPr>
      </w:pPr>
    </w:p>
    <w:p>
      <w:pPr>
        <w:spacing w:line="560" w:lineRule="exact"/>
        <w:ind w:firstLine="643" w:firstLineChars="200"/>
        <w:outlineLvl w:val="2"/>
        <w:rPr>
          <w:rFonts w:ascii="Times New Roman" w:hAnsi="Times New Roman" w:eastAsia="黑体" w:cs="Times New Roman"/>
          <w:b/>
          <w:bCs/>
          <w:sz w:val="32"/>
          <w:szCs w:val="32"/>
        </w:rPr>
      </w:pPr>
      <w:bookmarkStart w:id="260" w:name="_Toc31860"/>
      <w:r>
        <w:rPr>
          <w:rFonts w:ascii="Times New Roman" w:hAnsi="Times New Roman" w:eastAsia="黑体" w:cs="Times New Roman"/>
          <w:b/>
          <w:bCs/>
          <w:sz w:val="32"/>
          <w:szCs w:val="32"/>
        </w:rPr>
        <w:t>一、加强社会治安综合治理</w:t>
      </w:r>
      <w:bookmarkEnd w:id="26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持续抓好“平安</w:t>
      </w:r>
      <w:r>
        <w:rPr>
          <w:rFonts w:hint="eastAsia" w:ascii="Times New Roman" w:hAnsi="Times New Roman" w:eastAsia="仿宋_GB2312" w:cs="Times New Roman"/>
          <w:sz w:val="32"/>
          <w:szCs w:val="32"/>
        </w:rPr>
        <w:t>乡村</w:t>
      </w:r>
      <w:r>
        <w:rPr>
          <w:rFonts w:ascii="Times New Roman" w:hAnsi="Times New Roman" w:eastAsia="仿宋_GB2312" w:cs="Times New Roman"/>
          <w:sz w:val="32"/>
          <w:szCs w:val="32"/>
        </w:rPr>
        <w:t>”“平安家庭”“平安寺庙”建设。提高科技手段，实现科技强警。扎实推进“天网工程”“雪亮工程”和乡村两级综治中心规范化建设，建强群防群治队伍，完善社会治安综合治理体系。加强乡村两级网格化服务管理中心建设，完善专兼职网格员队伍，巩固提升农村（社区）网格化服务管理质效。</w:t>
      </w:r>
      <w:r>
        <w:rPr>
          <w:rFonts w:hint="eastAsia" w:ascii="Times New Roman" w:hAnsi="Times New Roman" w:eastAsia="仿宋_GB2312" w:cs="Times New Roman"/>
          <w:sz w:val="32"/>
          <w:szCs w:val="32"/>
        </w:rPr>
        <w:t>常态</w:t>
      </w:r>
      <w:r>
        <w:rPr>
          <w:rFonts w:ascii="Times New Roman" w:hAnsi="Times New Roman" w:eastAsia="仿宋_GB2312" w:cs="Times New Roman"/>
          <w:sz w:val="32"/>
          <w:szCs w:val="32"/>
        </w:rPr>
        <w:t>开展扫黑除恶专项斗争，加强涉枪涉爆、毒品、赌博等专项整治，推进农村治安乱点整治，加大对“村霸”和宗族恶势力整治力度，严厉打击欺压群众、横行乡里、称王称霸、插手基层政权建设等违法犯罪活动。加强流动人口和特殊人群管理。加强工程、矿山、交通、消防、寄递物流、食品药品、枪爆危化等重点行业安全监管。深入开展成品油、止痛药、麻醉药等重点物品的清理整顿和销售管理工作。加强涉藏非法出版物和非法安装使用广播电视接收设备清理整治。</w:t>
      </w:r>
    </w:p>
    <w:p>
      <w:pPr>
        <w:spacing w:line="560" w:lineRule="exact"/>
        <w:ind w:firstLine="643" w:firstLineChars="200"/>
        <w:outlineLvl w:val="2"/>
        <w:rPr>
          <w:rFonts w:ascii="Times New Roman" w:hAnsi="Times New Roman" w:eastAsia="黑体" w:cs="Times New Roman"/>
          <w:b/>
          <w:bCs/>
          <w:sz w:val="32"/>
          <w:szCs w:val="32"/>
        </w:rPr>
      </w:pPr>
      <w:bookmarkStart w:id="261" w:name="_Toc18267"/>
      <w:r>
        <w:rPr>
          <w:rFonts w:ascii="Times New Roman" w:hAnsi="Times New Roman" w:eastAsia="黑体" w:cs="Times New Roman"/>
          <w:b/>
          <w:bCs/>
          <w:sz w:val="32"/>
          <w:szCs w:val="32"/>
        </w:rPr>
        <w:t>二、强化公共安全建设</w:t>
      </w:r>
      <w:bookmarkEnd w:id="26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继续深入实施“美丽壤巴拉平安家园创建活动”，强化安全生产意识，构建纵向到底，横向到边，上下贯通的安全生产管理体系，坚决防范化解重大安全风险，遏制重特大事故发生，巩固安全生产持续稳定向好态势。健全重大决策社会稳定风险评估机制。加大对社会舆情、网络舆情的监测力度，提升政府应对复杂、突发事件的能力。加快提升重大公共安全事件应急能力，加强粮食、生猪等重要大宗农副产品安全供给保障，坚持守住社会稳定、安全生产、食品药品安全“三条底线”。高度重视食品药品安全，加强食品药品监管，建立严密高效、社会共治的食品药品安全治理体系，严格安全准入，落实食品药品全程追溯管理制度，让人民群众吃得放心。深化安全生产管理体制改革，严格落实企业安全生产责任制和事故责任追究制度。</w:t>
      </w:r>
    </w:p>
    <w:p>
      <w:pPr>
        <w:spacing w:line="560" w:lineRule="exact"/>
        <w:ind w:firstLine="643" w:firstLineChars="200"/>
        <w:outlineLvl w:val="2"/>
        <w:rPr>
          <w:rFonts w:ascii="Times New Roman" w:hAnsi="Times New Roman" w:eastAsia="黑体" w:cs="Times New Roman"/>
          <w:b/>
          <w:bCs/>
          <w:sz w:val="32"/>
          <w:szCs w:val="32"/>
        </w:rPr>
      </w:pPr>
      <w:bookmarkStart w:id="262" w:name="_Toc7215"/>
      <w:r>
        <w:rPr>
          <w:rFonts w:hint="eastAsia" w:ascii="Times New Roman" w:hAnsi="Times New Roman" w:eastAsia="黑体" w:cs="Times New Roman"/>
          <w:b/>
          <w:bCs/>
          <w:sz w:val="32"/>
          <w:szCs w:val="32"/>
        </w:rPr>
        <w:t>三</w:t>
      </w:r>
      <w:r>
        <w:rPr>
          <w:rFonts w:ascii="Times New Roman" w:hAnsi="Times New Roman" w:eastAsia="黑体" w:cs="Times New Roman"/>
          <w:b/>
          <w:bCs/>
          <w:sz w:val="32"/>
          <w:szCs w:val="32"/>
        </w:rPr>
        <w:t>、</w:t>
      </w:r>
      <w:r>
        <w:rPr>
          <w:rFonts w:hint="eastAsia" w:ascii="Times New Roman" w:hAnsi="Times New Roman" w:eastAsia="黑体" w:cs="Times New Roman"/>
          <w:b/>
          <w:bCs/>
          <w:sz w:val="32"/>
          <w:szCs w:val="32"/>
        </w:rPr>
        <w:t>深化</w:t>
      </w:r>
      <w:r>
        <w:rPr>
          <w:rFonts w:ascii="Times New Roman" w:hAnsi="Times New Roman" w:eastAsia="黑体" w:cs="Times New Roman"/>
          <w:b/>
          <w:bCs/>
          <w:sz w:val="32"/>
          <w:szCs w:val="32"/>
        </w:rPr>
        <w:t>反分</w:t>
      </w:r>
      <w:r>
        <w:rPr>
          <w:rFonts w:hint="eastAsia" w:ascii="Times New Roman" w:hAnsi="Times New Roman" w:eastAsia="黑体" w:cs="Times New Roman"/>
          <w:b/>
          <w:bCs/>
          <w:sz w:val="32"/>
          <w:szCs w:val="32"/>
        </w:rPr>
        <w:t>维稳工作</w:t>
      </w:r>
      <w:bookmarkEnd w:id="26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坚持着眼全局，多谋长远之策，多行固本之举，坚决开展反分裂斗争，加强对群众的教育引导，广泛发动群众参与反分裂斗争，牢牢掌握反分裂斗争主动权。深刻认识反分裂维护稳定长期性、艰巨性、复杂性，坚持法治思维、底线思维，立足于维稳形势新变化、新要求，战术制定更有针对性，工作部署更具前瞻性，防范化解各类风险隐患，促使壤塘和谐稳定局面向更高层次迈进。深化“一反两防”斗争，建立健全维稳责任机制和情报信息会商研判机制，依法严厉打击极少数蓄意挑拨民族关系、破坏民族团结和实施民族分裂、破坏祖国统一的行为，严密防范、坚决抵御各种渗透破坏活动，有效维护国家安全。牢牢掌握意识形态领导权、管理权、话语权，坚决维护意识形态安全，加强农村地区群众性反分裂斗争教育，创新方式、内容和载体，教育引导农牧民旗帜鲜明地反分裂，维护祖国统一、民族团结和社会稳定。</w:t>
      </w:r>
    </w:p>
    <w:p>
      <w:pPr>
        <w:spacing w:line="540" w:lineRule="exact"/>
        <w:rPr>
          <w:rFonts w:ascii="Times New Roman" w:hAnsi="Times New Roman" w:eastAsia="仿宋_GB2312" w:cs="Times New Roman"/>
          <w:sz w:val="32"/>
          <w:szCs w:val="32"/>
        </w:rPr>
      </w:pPr>
    </w:p>
    <w:tbl>
      <w:tblPr>
        <w:tblStyle w:val="12"/>
        <w:tblW w:w="8745" w:type="dxa"/>
        <w:tblInd w:w="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8745" w:type="dxa"/>
          </w:tcPr>
          <w:p>
            <w:pPr>
              <w:spacing w:line="560" w:lineRule="exact"/>
              <w:jc w:val="center"/>
              <w:rPr>
                <w:rFonts w:ascii="Times New Roman" w:hAnsi="Times New Roman" w:eastAsia="黑体" w:cs="Times New Roman"/>
                <w:sz w:val="28"/>
                <w:szCs w:val="28"/>
              </w:rPr>
            </w:pPr>
            <w:r>
              <w:rPr>
                <w:rFonts w:ascii="Times New Roman" w:hAnsi="Times New Roman" w:eastAsia="黑体" w:cs="Times New Roman"/>
                <w:sz w:val="28"/>
                <w:szCs w:val="28"/>
              </w:rPr>
              <w:t>专栏25  治理体系和治理能力建设重点项目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5" w:type="dxa"/>
          </w:tcPr>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一、基层政权建设</w:t>
            </w:r>
          </w:p>
          <w:p>
            <w:pPr>
              <w:adjustRightInd w:val="0"/>
              <w:snapToGrid w:val="0"/>
              <w:spacing w:line="440" w:lineRule="exac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政务服务体系和能力提升（含乡级智慧政务大厅建设）；乡镇便民服务中心改造升级；数字化档案馆；村级办公场所维修；乡镇综合服务设施；社区综合服务设施；行政审批标准化建设等。</w:t>
            </w:r>
          </w:p>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二、法治建设</w:t>
            </w:r>
          </w:p>
          <w:p>
            <w:pPr>
              <w:adjustRightInd w:val="0"/>
              <w:snapToGrid w:val="0"/>
              <w:spacing w:line="440" w:lineRule="exac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人民检察院检察室；公益诉讼快检实验室；人民法院南木达、上寨人民法庭建设；人民法院诉讼服务中心、文化建设、信息化建设；司法业务用房；国道227法治文化走廊，法治文化阵地；11个基层公共法律中心建设；基层司法所规范化；社区矫正法律服务中心、壤巴拉普法教育培训基地等。</w:t>
            </w:r>
          </w:p>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三、公共安全</w:t>
            </w:r>
          </w:p>
          <w:p>
            <w:pPr>
              <w:adjustRightInd w:val="0"/>
              <w:snapToGrid w:val="0"/>
              <w:spacing w:line="440" w:lineRule="exac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雪亮工程”；综治中心及网格中心业务用房；维稳力量联合训练基地；公安业务技术用房；派出所建设；岗木达、尕多、宗科、吾伊、茸木达等乡镇派出所；上杜柯、茸木达环川公安检查站；黑桥环州公安检查站；公安局交警大队；公安信息化；禁毒基础设施；警用装备物资储备仓库等。</w:t>
            </w:r>
          </w:p>
          <w:p>
            <w:pPr>
              <w:adjustRightInd w:val="0"/>
              <w:snapToGrid w:val="0"/>
              <w:spacing w:line="440" w:lineRule="exact"/>
              <w:ind w:firstLine="480" w:firstLineChars="200"/>
              <w:rPr>
                <w:rFonts w:ascii="Times New Roman" w:hAnsi="Times New Roman" w:eastAsia="黑体" w:cs="Times New Roman"/>
                <w:sz w:val="24"/>
              </w:rPr>
            </w:pPr>
            <w:r>
              <w:rPr>
                <w:rFonts w:ascii="Times New Roman" w:hAnsi="Times New Roman" w:eastAsia="黑体" w:cs="Times New Roman"/>
                <w:sz w:val="24"/>
              </w:rPr>
              <w:t>四、干部职工周转宿舍及其他</w:t>
            </w:r>
          </w:p>
          <w:p>
            <w:pPr>
              <w:adjustRightInd w:val="0"/>
              <w:snapToGrid w:val="0"/>
              <w:spacing w:line="440" w:lineRule="exact"/>
              <w:ind w:firstLine="480" w:firstLineChars="200"/>
              <w:rPr>
                <w:rFonts w:ascii="Times New Roman" w:hAnsi="Times New Roman" w:eastAsia="仿宋" w:cs="Times New Roman"/>
                <w:sz w:val="30"/>
                <w:szCs w:val="30"/>
              </w:rPr>
            </w:pPr>
            <w:r>
              <w:rPr>
                <w:rFonts w:hint="eastAsia" w:ascii="Times New Roman" w:hAnsi="Times New Roman" w:eastAsia="楷体_GB2312" w:cs="Times New Roman"/>
                <w:sz w:val="24"/>
              </w:rPr>
              <w:t>县级干部周转宿舍；应急救援大队周转宿舍；政法系统干部周转宿舍；乡镇民辅警周转宿舍；乡镇干部职工周转宿舍；人才公寓建设等。</w:t>
            </w:r>
          </w:p>
        </w:tc>
      </w:tr>
    </w:tbl>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63" w:name="_Toc231"/>
      <w:bookmarkStart w:id="264" w:name="_Toc16839"/>
      <w:r>
        <w:rPr>
          <w:rFonts w:ascii="Times New Roman" w:hAnsi="Times New Roman" w:eastAsia="宋体" w:cs="Times New Roman"/>
          <w:b/>
          <w:bCs/>
          <w:sz w:val="36"/>
          <w:szCs w:val="36"/>
        </w:rPr>
        <w:t xml:space="preserve">第四节  </w:t>
      </w:r>
      <w:r>
        <w:rPr>
          <w:rFonts w:hint="eastAsia" w:ascii="Times New Roman" w:hAnsi="Times New Roman" w:eastAsia="宋体" w:cs="Times New Roman"/>
          <w:b/>
          <w:bCs/>
          <w:sz w:val="36"/>
          <w:szCs w:val="36"/>
        </w:rPr>
        <w:t>依法加强宗教事务管理</w:t>
      </w:r>
      <w:bookmarkEnd w:id="263"/>
      <w:bookmarkEnd w:id="264"/>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坚持我国宗教中国化方向，</w:t>
      </w:r>
      <w:r>
        <w:rPr>
          <w:rFonts w:ascii="Times New Roman" w:hAnsi="Times New Roman" w:eastAsia="仿宋_GB2312" w:cs="Times New Roman"/>
          <w:sz w:val="32"/>
          <w:szCs w:val="32"/>
        </w:rPr>
        <w:t>全面落实党的宗教工作方针和国家宗教事务管理法规，</w:t>
      </w:r>
      <w:r>
        <w:rPr>
          <w:rFonts w:hint="eastAsia" w:ascii="Times New Roman" w:hAnsi="Times New Roman" w:eastAsia="仿宋_GB2312" w:cs="Times New Roman"/>
          <w:sz w:val="32"/>
          <w:szCs w:val="32"/>
        </w:rPr>
        <w:t>全面提高宗教事务治理体系和治理能力，</w:t>
      </w:r>
      <w:r>
        <w:rPr>
          <w:rFonts w:ascii="Times New Roman" w:hAnsi="Times New Roman" w:eastAsia="仿宋_GB2312" w:cs="Times New Roman"/>
          <w:sz w:val="32"/>
          <w:szCs w:val="32"/>
        </w:rPr>
        <w:t>积极引导宗教与社会主义社会相适应。</w:t>
      </w:r>
    </w:p>
    <w:p>
      <w:pPr>
        <w:spacing w:line="560" w:lineRule="exact"/>
        <w:ind w:firstLine="643" w:firstLineChars="200"/>
        <w:outlineLvl w:val="2"/>
        <w:rPr>
          <w:rFonts w:ascii="Times New Roman" w:hAnsi="Times New Roman" w:eastAsia="黑体" w:cs="Times New Roman"/>
          <w:b/>
          <w:bCs/>
          <w:sz w:val="32"/>
          <w:szCs w:val="32"/>
        </w:rPr>
      </w:pPr>
      <w:bookmarkStart w:id="265" w:name="_Toc22197"/>
      <w:r>
        <w:rPr>
          <w:rFonts w:hint="eastAsia" w:ascii="Times New Roman" w:hAnsi="Times New Roman" w:eastAsia="黑体" w:cs="Times New Roman"/>
          <w:b/>
          <w:bCs/>
          <w:sz w:val="32"/>
          <w:szCs w:val="32"/>
        </w:rPr>
        <w:t>一、依法管理宗教寺庙</w:t>
      </w:r>
      <w:bookmarkEnd w:id="265"/>
    </w:p>
    <w:p>
      <w:pPr>
        <w:spacing w:line="56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切实加强党对宗教工作的领导，</w:t>
      </w:r>
      <w:r>
        <w:rPr>
          <w:rFonts w:ascii="Times New Roman" w:hAnsi="Times New Roman" w:eastAsia="仿宋_GB2312" w:cs="Times New Roman"/>
          <w:sz w:val="32"/>
          <w:szCs w:val="32"/>
        </w:rPr>
        <w:t>依法管理藏传佛教寺庙，</w:t>
      </w:r>
      <w:r>
        <w:rPr>
          <w:rFonts w:hint="eastAsia" w:ascii="Times New Roman" w:hAnsi="Times New Roman" w:eastAsia="仿宋_GB2312" w:cs="Times New Roman"/>
          <w:sz w:val="32"/>
          <w:szCs w:val="32"/>
        </w:rPr>
        <w:t>创新寺庙管理机制体制，持续深化重点寺庙集中整治、藏传佛教寺庙</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highlight w:val="none"/>
        </w:rPr>
        <w:t>一寺</w:t>
      </w:r>
      <w:r>
        <w:rPr>
          <w:rFonts w:hint="eastAsia" w:ascii="Times New Roman" w:hAnsi="Times New Roman" w:eastAsia="仿宋_GB2312" w:cs="Times New Roman"/>
          <w:sz w:val="32"/>
          <w:szCs w:val="32"/>
        </w:rPr>
        <w:t>一策</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依法规范管理工作，牢牢掌握寺庙领导权和管理权。扎实推进法治宣讲进宗教场所活动，提高宗教界人士和宗教管理参与者法治意识。</w:t>
      </w:r>
      <w:r>
        <w:rPr>
          <w:rFonts w:ascii="Times New Roman" w:hAnsi="Times New Roman" w:eastAsia="仿宋_GB2312" w:cs="Times New Roman"/>
          <w:sz w:val="32"/>
          <w:szCs w:val="32"/>
        </w:rPr>
        <w:t>推行“律师公证法律服务团送法进宗教活动场所”等活动，探索建立“宗教活动场所法律顾问”制度。在重点寺庙及景区新建司法所及配备人员编制，强化社会治理队伍建设及硬件设施。实施“社会大民生带寺庙小民生”工程，切实加强寺庙水、电、路建设和寺庙基础设施安全隐患治理。深入开展寺庙分类管理达标升级“回头看”，扎实推进寺庙财税监管，全面推进文明和谐寺庙创建。深化“五美寺庙”创建工作，坚持依法管寺管僧，建立藏传佛教寺庙管理长效机制，强化重点寺庙专项整治，全面落实寺庙“四项管理”责任，推进寺庙分类管理，健全依法管理、民主管理、社会管理相结合的寺庙管理体系。到“十四五”末，实现</w:t>
      </w:r>
      <w:r>
        <w:rPr>
          <w:rFonts w:hint="eastAsia" w:ascii="Times New Roman" w:hAnsi="Times New Roman" w:eastAsia="仿宋_GB2312" w:cs="Times New Roman"/>
          <w:sz w:val="32"/>
          <w:szCs w:val="32"/>
        </w:rPr>
        <w:t>所有</w:t>
      </w:r>
      <w:r>
        <w:rPr>
          <w:rFonts w:ascii="Times New Roman" w:hAnsi="Times New Roman" w:eastAsia="仿宋_GB2312" w:cs="Times New Roman"/>
          <w:sz w:val="32"/>
          <w:szCs w:val="32"/>
        </w:rPr>
        <w:t>寺庙达到“规划建设美、环境秩序美、文明礼貌美、遵纪守法美、僧尼心灵美”标准。</w:t>
      </w:r>
    </w:p>
    <w:p>
      <w:pPr>
        <w:spacing w:line="560" w:lineRule="exact"/>
        <w:ind w:firstLine="643" w:firstLineChars="200"/>
        <w:outlineLvl w:val="2"/>
        <w:rPr>
          <w:rFonts w:ascii="Times New Roman" w:hAnsi="Times New Roman" w:eastAsia="黑体" w:cs="Times New Roman"/>
          <w:b/>
          <w:bCs/>
          <w:sz w:val="32"/>
          <w:szCs w:val="32"/>
        </w:rPr>
      </w:pPr>
      <w:bookmarkStart w:id="266" w:name="_Toc28923"/>
      <w:r>
        <w:rPr>
          <w:rFonts w:hint="eastAsia" w:ascii="Times New Roman" w:hAnsi="Times New Roman" w:eastAsia="黑体" w:cs="Times New Roman"/>
          <w:b/>
          <w:bCs/>
          <w:sz w:val="32"/>
          <w:szCs w:val="32"/>
        </w:rPr>
        <w:t>二</w:t>
      </w:r>
      <w:r>
        <w:rPr>
          <w:rFonts w:ascii="Times New Roman" w:hAnsi="Times New Roman" w:eastAsia="黑体" w:cs="Times New Roman"/>
          <w:b/>
          <w:bCs/>
          <w:sz w:val="32"/>
          <w:szCs w:val="32"/>
        </w:rPr>
        <w:t>、努力促进宗教和顺</w:t>
      </w:r>
      <w:bookmarkEnd w:id="26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推进依法常态化治理，全面贯彻党的民族宗教政策，建立健全党委政府、宗教团体、宗教活动场所、社会力量“四位一体、多元共治”的宗教治理体系。</w:t>
      </w:r>
      <w:r>
        <w:rPr>
          <w:rFonts w:hint="eastAsia" w:ascii="Times New Roman" w:hAnsi="Times New Roman" w:eastAsia="仿宋_GB2312" w:cs="Times New Roman"/>
          <w:sz w:val="32"/>
          <w:szCs w:val="32"/>
        </w:rPr>
        <w:t>持续巩固中华民族视觉形象建设工作成果，注重用社会主义核心价值观引领宗教。持续深化寺庙爱国爱教爱家乡主题教育和教风寺风建设，讲好涉藏地区发展故事、民生故事和百姓故事，提升教职人员国家意识、感恩意识、守法持戒意识。加强爱国宗教团体和宗教教职人员队伍建设，着力培养造就</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政治上靠得住、学识上有造诣、品德上能服众、关键时起作用</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的宗教界代表人士。持续做好境外藏胞、境内藏胞亲属、滞留藏胞、定居藏胞工作。积极鼓励和支持宗教界对宗教教义作出符合社会进步要求的阐释，凝聚宗教正能量。推进政府公共服务进寺入舍，</w:t>
      </w:r>
      <w:r>
        <w:rPr>
          <w:rFonts w:ascii="Times New Roman" w:hAnsi="Times New Roman" w:eastAsia="仿宋_GB2312" w:cs="Times New Roman"/>
          <w:sz w:val="32"/>
          <w:szCs w:val="32"/>
        </w:rPr>
        <w:t>加强困难僧尼生活保障，将符合条件的僧尼纳入社会保障范畴</w:t>
      </w:r>
      <w:r>
        <w:rPr>
          <w:rFonts w:hint="eastAsia" w:ascii="Times New Roman" w:hAnsi="Times New Roman" w:eastAsia="仿宋_GB2312" w:cs="Times New Roman"/>
          <w:sz w:val="32"/>
          <w:szCs w:val="32"/>
        </w:rPr>
        <w:t>。加强寺庙文化、卫生、社会保障等公共服务体系建设，全面增强教职人员的获得感、幸福感，通过教育、管理、服务整体发力，推进寺庙和谐、宗教和顺。</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67" w:name="_Toc6244"/>
      <w:bookmarkStart w:id="268" w:name="_Toc28268"/>
      <w:r>
        <w:rPr>
          <w:rFonts w:ascii="Times New Roman" w:hAnsi="Times New Roman" w:eastAsia="宋体" w:cs="Times New Roman"/>
          <w:b/>
          <w:bCs/>
          <w:sz w:val="36"/>
          <w:szCs w:val="36"/>
        </w:rPr>
        <w:t>第五节  加强应急管理能力建设</w:t>
      </w:r>
      <w:bookmarkEnd w:id="267"/>
      <w:bookmarkEnd w:id="268"/>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立预案管理、减灾救灾、监测预警、指挥调度、应急保障、队伍管理“六大体系”，实行防减并重、综合防治，构建保障有力、运转高效的防灾减灾体系，全面提高自然灾害防御能力，切实维护人民群众生命财产安全。</w:t>
      </w:r>
    </w:p>
    <w:p>
      <w:pPr>
        <w:spacing w:line="560" w:lineRule="exact"/>
        <w:ind w:firstLine="643" w:firstLineChars="200"/>
        <w:outlineLvl w:val="2"/>
        <w:rPr>
          <w:rFonts w:ascii="Times New Roman" w:hAnsi="Times New Roman" w:eastAsia="黑体" w:cs="Times New Roman"/>
          <w:b/>
          <w:bCs/>
          <w:sz w:val="32"/>
          <w:szCs w:val="32"/>
        </w:rPr>
      </w:pPr>
      <w:bookmarkStart w:id="269" w:name="_Toc31528"/>
      <w:r>
        <w:rPr>
          <w:rFonts w:ascii="Times New Roman" w:hAnsi="Times New Roman" w:eastAsia="黑体" w:cs="Times New Roman"/>
          <w:b/>
          <w:bCs/>
          <w:sz w:val="32"/>
          <w:szCs w:val="32"/>
        </w:rPr>
        <w:t>一、建立健全应急管理体系</w:t>
      </w:r>
      <w:bookmarkEnd w:id="26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应急指挥中心建设，完善指挥调度场所和信息化配套支撑。完善自然灾害和事故灾难应急预案体系，提升应急准备、响应、处置和紧急救援等综合协调和联动指挥能力。推动综合应急救援队伍建设，有序发展社会救援力量，提高应急救援装备水平和快速反应能力。完善救援应急装备，提升应急通信广播、救援搜救装备建设水平。建立应急管理保障体系，加强应急物资储备，丰富物资储备种类，确保应急需求。加强岗木达镇、南木达镇、中壤塘镇、蒲西乡等人口集中乡镇应急救灾仓库和应急避难场所建设，建设以城关粮食储备库为中心的粮食应急保障网络，建设一批综合减灾示范社区、示范村。推进应急救援直升机起降场和取水点建设。加强灾害信息员队伍建设，拓宽灾害信息来源。</w:t>
      </w:r>
    </w:p>
    <w:p>
      <w:pPr>
        <w:spacing w:line="560" w:lineRule="exact"/>
        <w:ind w:firstLine="643" w:firstLineChars="200"/>
        <w:outlineLvl w:val="2"/>
        <w:rPr>
          <w:rFonts w:ascii="Times New Roman" w:hAnsi="Times New Roman" w:eastAsia="黑体" w:cs="Times New Roman"/>
          <w:b/>
          <w:bCs/>
          <w:sz w:val="32"/>
          <w:szCs w:val="32"/>
        </w:rPr>
      </w:pPr>
      <w:bookmarkStart w:id="270" w:name="_Toc21713"/>
      <w:r>
        <w:rPr>
          <w:rFonts w:ascii="Times New Roman" w:hAnsi="Times New Roman" w:eastAsia="黑体" w:cs="Times New Roman"/>
          <w:b/>
          <w:bCs/>
          <w:sz w:val="32"/>
          <w:szCs w:val="32"/>
        </w:rPr>
        <w:t>二、增强自然灾害预防预警能力</w:t>
      </w:r>
      <w:bookmarkEnd w:id="27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立自然灾害易发区调查评价、群测群防、监测预警体系，加强地质、洪涝等灾害隐患排查，完善自然灾害灾情快速评估、上报和发布制度，加强防灾减灾信息互通共享，全面提高自然灾害综合预警能力。按照“三避让”原则，划定灾害重点防范区，加强山洪、滑坡、崩塌、泥石流等地质灾害评估、监测和预警，提高灾害监测预警水平。建立健全水文气象观测系统、地震预警系统、气象灾害监测预警体系和生物病虫害防、预警监测体系，提升防灾减灾能力。加快建设县乡两级救灾物资储备体系，推进应急物资片区储备库、城乡疏散场地和避险场所建设。加强防灾减灾知识教育和宣传，开展地灾科普宣传和应急演练，强化公众防灾避险意识。</w:t>
      </w:r>
    </w:p>
    <w:p>
      <w:pPr>
        <w:spacing w:line="560" w:lineRule="exact"/>
        <w:ind w:firstLine="643" w:firstLineChars="200"/>
        <w:outlineLvl w:val="2"/>
        <w:rPr>
          <w:rFonts w:ascii="Times New Roman" w:hAnsi="Times New Roman" w:eastAsia="黑体" w:cs="Times New Roman"/>
          <w:b/>
          <w:bCs/>
          <w:sz w:val="32"/>
          <w:szCs w:val="32"/>
        </w:rPr>
      </w:pPr>
      <w:bookmarkStart w:id="271" w:name="_Toc23337"/>
      <w:r>
        <w:rPr>
          <w:rFonts w:ascii="Times New Roman" w:hAnsi="Times New Roman" w:eastAsia="黑体" w:cs="Times New Roman"/>
          <w:b/>
          <w:bCs/>
          <w:sz w:val="32"/>
          <w:szCs w:val="32"/>
        </w:rPr>
        <w:t>三、提高重大灾害治理能力</w:t>
      </w:r>
      <w:bookmarkEnd w:id="271"/>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结合全县自然灾害发生特征，加强地质、气象、旱洪、地震等灾害防治，推进综合减灾示范工程建设，提高自然灾害综合防治能力和水平。深入开展重大地质灾害隐患点工程治理，科学安排危险区域生产生活设施合理搬迁避让。加大全县各类地质灾害应急排危，实施地质灾害隐患点治理工程和避险搬迁工程，推进乡镇、农村聚居点、重要交通干线、重要景区景点防灾减灾工程建设。加强防汛抗旱工程措施和非工程措施建设，加大杜柯河</w:t>
      </w:r>
      <w:r>
        <w:rPr>
          <w:rFonts w:hint="eastAsia" w:ascii="Times New Roman" w:hAnsi="Times New Roman" w:eastAsia="仿宋_GB2312" w:cs="Times New Roman"/>
          <w:sz w:val="32"/>
          <w:szCs w:val="32"/>
          <w:highlight w:val="none"/>
        </w:rPr>
        <w:t>、</w:t>
      </w:r>
      <w:r>
        <w:rPr>
          <w:rFonts w:ascii="Times New Roman" w:hAnsi="Times New Roman" w:eastAsia="仿宋_GB2312" w:cs="Times New Roman"/>
          <w:sz w:val="32"/>
          <w:szCs w:val="32"/>
        </w:rPr>
        <w:t>则曲河等主要河流及宗科河、布康木达沟、康旭沟、南木达三郎沟、伊里卡龙沟、上大石沟等农村沟道治理工程建设，推动山洪灾害治理力度，有效应对旱洪灾害。实施人工影响天气能力建设。加强城乡抗震设防能力建设。建立地质灾害防治体系，依据地质灾害调查成果，建立全县地质灾害防治动态项目库，将每个地质灾害点</w:t>
      </w:r>
      <w:r>
        <w:rPr>
          <w:rFonts w:hint="eastAsia" w:ascii="Times New Roman" w:hAnsi="Times New Roman" w:eastAsia="仿宋_GB2312" w:cs="Times New Roman"/>
          <w:sz w:val="32"/>
          <w:szCs w:val="32"/>
        </w:rPr>
        <w:t>针对性地纳入</w:t>
      </w:r>
      <w:r>
        <w:rPr>
          <w:rFonts w:ascii="Times New Roman" w:hAnsi="Times New Roman" w:eastAsia="仿宋_GB2312" w:cs="Times New Roman"/>
          <w:sz w:val="32"/>
          <w:szCs w:val="32"/>
        </w:rPr>
        <w:t>工程治理、排危除险、避险搬迁项目，按照轻重缓急分年度实施。对新增地质灾害隐患点补充入项目库。建立地质灾害防治工作新机制，通过全面普查、科学防灾、综合治理，最大限度地减少和避免地质灾害对人民生命财产的危害，为社会经济发展提供安全的地质环境保障。</w:t>
      </w:r>
    </w:p>
    <w:p>
      <w:pPr>
        <w:spacing w:line="560" w:lineRule="exact"/>
        <w:ind w:firstLine="643" w:firstLineChars="200"/>
        <w:outlineLvl w:val="2"/>
        <w:rPr>
          <w:rFonts w:ascii="Times New Roman" w:hAnsi="Times New Roman" w:eastAsia="黑体" w:cs="Times New Roman"/>
          <w:b/>
          <w:bCs/>
          <w:sz w:val="32"/>
          <w:szCs w:val="32"/>
        </w:rPr>
      </w:pPr>
      <w:bookmarkStart w:id="272" w:name="_Toc665"/>
      <w:r>
        <w:rPr>
          <w:rFonts w:ascii="Times New Roman" w:hAnsi="Times New Roman" w:eastAsia="黑体" w:cs="Times New Roman"/>
          <w:b/>
          <w:bCs/>
          <w:sz w:val="32"/>
          <w:szCs w:val="32"/>
        </w:rPr>
        <w:t>四、加强农村消防能力建设</w:t>
      </w:r>
      <w:bookmarkEnd w:id="272"/>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建立以有线通讯、</w:t>
      </w:r>
      <w:r>
        <w:rPr>
          <w:rFonts w:hint="eastAsia" w:ascii="Times New Roman" w:hAnsi="Times New Roman" w:eastAsia="仿宋_GB2312" w:cs="Times New Roman"/>
          <w:sz w:val="32"/>
          <w:szCs w:val="32"/>
          <w:highlight w:val="none"/>
        </w:rPr>
        <w:t>无线通讯</w:t>
      </w:r>
      <w:r>
        <w:rPr>
          <w:rFonts w:ascii="Times New Roman" w:hAnsi="Times New Roman" w:eastAsia="仿宋_GB2312" w:cs="Times New Roman"/>
          <w:sz w:val="32"/>
          <w:szCs w:val="32"/>
        </w:rPr>
        <w:t>和计算机通讯相结合的消防通道网络，形成由岗木达镇消防指挥中心统一指挥、调度的消防指挥系统。完善</w:t>
      </w:r>
      <w:r>
        <w:rPr>
          <w:rFonts w:hint="eastAsia" w:ascii="Times New Roman" w:hAnsi="Times New Roman" w:eastAsia="仿宋_GB2312" w:cs="Times New Roman"/>
          <w:sz w:val="32"/>
          <w:szCs w:val="32"/>
        </w:rPr>
        <w:t>乡镇、村</w:t>
      </w:r>
      <w:r>
        <w:rPr>
          <w:rFonts w:ascii="Times New Roman" w:hAnsi="Times New Roman" w:eastAsia="仿宋_GB2312" w:cs="Times New Roman"/>
          <w:sz w:val="32"/>
          <w:szCs w:val="32"/>
        </w:rPr>
        <w:t>消防能力建设，争取建设上寨二级消防站，实现37座寺庙和</w:t>
      </w:r>
      <w:r>
        <w:rPr>
          <w:rFonts w:hint="eastAsia" w:ascii="Times New Roman" w:hAnsi="Times New Roman" w:eastAsia="仿宋_GB2312" w:cs="Times New Roman"/>
          <w:sz w:val="32"/>
          <w:szCs w:val="32"/>
        </w:rPr>
        <w:t>5座修行安置点的</w:t>
      </w:r>
      <w:r>
        <w:rPr>
          <w:rFonts w:ascii="Times New Roman" w:hAnsi="Times New Roman" w:eastAsia="仿宋_GB2312" w:cs="Times New Roman"/>
          <w:sz w:val="32"/>
          <w:szCs w:val="32"/>
        </w:rPr>
        <w:t>微型消防站全覆盖。积极推进各类村落建设消防蓄水池和配置消防设施设备。各乡镇积极开展依托基层治安协勤员、巡防员、乡镇安监员、计划生育宣传员、民兵等人员组建6—10人的消防救援志愿队。完善森林、草原消防能力建设，积极推进完成森林防火网络监控系统建设。开展防火宣传教育、消防队伍及装备能力建设。积极推进防火应急通信指挥系统建设、防火通道</w:t>
      </w:r>
      <w:r>
        <w:rPr>
          <w:rFonts w:hint="eastAsia" w:ascii="Times New Roman" w:hAnsi="Times New Roman" w:eastAsia="仿宋_GB2312" w:cs="Times New Roman"/>
          <w:sz w:val="32"/>
          <w:szCs w:val="32"/>
        </w:rPr>
        <w:t>、取水点、</w:t>
      </w:r>
      <w:r>
        <w:rPr>
          <w:rFonts w:ascii="Times New Roman" w:hAnsi="Times New Roman" w:eastAsia="仿宋_GB2312" w:cs="Times New Roman"/>
          <w:sz w:val="32"/>
          <w:szCs w:val="32"/>
        </w:rPr>
        <w:t>阻隔工程</w:t>
      </w:r>
      <w:r>
        <w:rPr>
          <w:rFonts w:hint="eastAsia" w:ascii="Times New Roman" w:hAnsi="Times New Roman" w:eastAsia="仿宋_GB2312" w:cs="Times New Roman"/>
          <w:sz w:val="32"/>
          <w:szCs w:val="32"/>
        </w:rPr>
        <w:t>、直升机起降点、</w:t>
      </w:r>
      <w:r>
        <w:rPr>
          <w:rFonts w:hint="eastAsia" w:ascii="微软雅黑" w:hAnsi="微软雅黑" w:eastAsia="微软雅黑" w:cs="微软雅黑"/>
          <w:sz w:val="32"/>
          <w:szCs w:val="32"/>
        </w:rPr>
        <w:t>瞭</w:t>
      </w:r>
      <w:r>
        <w:rPr>
          <w:rFonts w:hint="eastAsia" w:ascii="仿宋_GB2312" w:hAnsi="仿宋_GB2312" w:eastAsia="仿宋_GB2312" w:cs="仿宋_GB2312"/>
          <w:sz w:val="32"/>
          <w:szCs w:val="32"/>
        </w:rPr>
        <w:t>望塔</w:t>
      </w:r>
      <w:r>
        <w:rPr>
          <w:rFonts w:hint="eastAsia" w:ascii="Times New Roman" w:hAnsi="Times New Roman" w:eastAsia="仿宋_GB2312" w:cs="Times New Roman"/>
          <w:sz w:val="32"/>
          <w:szCs w:val="32"/>
        </w:rPr>
        <w:t>、扑火队营房、智慧系统、林区道路</w:t>
      </w:r>
      <w:r>
        <w:rPr>
          <w:rFonts w:ascii="Times New Roman" w:hAnsi="Times New Roman" w:eastAsia="仿宋_GB2312" w:cs="Times New Roman"/>
          <w:sz w:val="32"/>
          <w:szCs w:val="32"/>
        </w:rPr>
        <w:t>建设，积极补充各类防火物资装备。</w:t>
      </w:r>
    </w:p>
    <w:tbl>
      <w:tblPr>
        <w:tblStyle w:val="12"/>
        <w:tblW w:w="8745" w:type="dxa"/>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5" w:type="dxa"/>
          </w:tcPr>
          <w:p>
            <w:pPr>
              <w:spacing w:line="560" w:lineRule="exact"/>
              <w:jc w:val="center"/>
              <w:rPr>
                <w:rFonts w:ascii="Times New Roman" w:hAnsi="Times New Roman" w:eastAsia="黑体" w:cs="Times New Roman"/>
                <w:sz w:val="30"/>
                <w:szCs w:val="30"/>
              </w:rPr>
            </w:pPr>
            <w:r>
              <w:rPr>
                <w:rFonts w:ascii="Times New Roman" w:hAnsi="Times New Roman" w:eastAsia="黑体" w:cs="Times New Roman"/>
                <w:sz w:val="30"/>
                <w:szCs w:val="30"/>
              </w:rPr>
              <w:t>专栏26 应急管理能力建设重点项目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5" w:type="dxa"/>
          </w:tcPr>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一、应急管理体系建设</w:t>
            </w:r>
          </w:p>
          <w:p>
            <w:pPr>
              <w:adjustRightInd w:val="0"/>
              <w:snapToGrid w:val="0"/>
              <w:spacing w:line="440" w:lineRule="atLeast"/>
              <w:ind w:firstLine="480" w:firstLineChars="200"/>
              <w:rPr>
                <w:rFonts w:ascii="Times New Roman" w:hAnsi="Times New Roman" w:eastAsia="黑体" w:cs="Times New Roman"/>
                <w:sz w:val="24"/>
              </w:rPr>
            </w:pPr>
            <w:r>
              <w:rPr>
                <w:rFonts w:hint="eastAsia" w:ascii="Times New Roman" w:hAnsi="Times New Roman" w:eastAsia="楷体_GB2312" w:cs="Times New Roman"/>
                <w:sz w:val="24"/>
              </w:rPr>
              <w:t>应急指挥中心（包括控制室、指挥大厅、会商室、新闻发布厅等）；应急保障能力建设等。</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二、防灾减灾能力建设</w:t>
            </w:r>
          </w:p>
          <w:p>
            <w:pPr>
              <w:adjustRightInd w:val="0"/>
              <w:snapToGrid w:val="0"/>
              <w:spacing w:line="440" w:lineRule="atLeast"/>
              <w:ind w:firstLine="480" w:firstLineChars="200"/>
              <w:rPr>
                <w:rFonts w:ascii="Times New Roman" w:hAnsi="Times New Roman" w:eastAsia="楷体_GB2312" w:cs="Times New Roman"/>
                <w:sz w:val="24"/>
              </w:rPr>
            </w:pPr>
            <w:r>
              <w:rPr>
                <w:rFonts w:hint="eastAsia" w:ascii="Times New Roman" w:hAnsi="Times New Roman" w:eastAsia="楷体_GB2312" w:cs="Times New Roman"/>
                <w:sz w:val="24"/>
              </w:rPr>
              <w:t>环境监测能力提升；灾害风险调查和重点隐患排查工程等。</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三、应急救援能力建设</w:t>
            </w:r>
          </w:p>
          <w:p>
            <w:pPr>
              <w:adjustRightInd w:val="0"/>
              <w:snapToGrid w:val="0"/>
              <w:spacing w:line="440" w:lineRule="atLeas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lang w:bidi="ar"/>
              </w:rPr>
              <w:t>应急救援队伍救援能力提升；应急指挥基础设施及信息化；环境应急数据资源中心、数据交换</w:t>
            </w:r>
            <w:r>
              <w:rPr>
                <w:rFonts w:hint="eastAsia" w:ascii="Times New Roman" w:hAnsi="Times New Roman" w:eastAsia="楷体_GB2312" w:cs="Times New Roman"/>
                <w:sz w:val="24"/>
                <w:highlight w:val="none"/>
                <w:lang w:bidi="ar"/>
              </w:rPr>
              <w:t>中台</w:t>
            </w:r>
            <w:r>
              <w:rPr>
                <w:rFonts w:hint="eastAsia" w:ascii="Times New Roman" w:hAnsi="Times New Roman" w:eastAsia="楷体_GB2312" w:cs="Times New Roman"/>
                <w:sz w:val="24"/>
                <w:lang w:bidi="ar"/>
              </w:rPr>
              <w:t>；应急通讯保障能力；应急救援装备；应急救援队伍；应急避难场所；森林火灾航空灭火应急能力；应急抢险救援物资储备库及物资储备；应急物资储备数据库平台建设；粮食储备中心库建设；</w:t>
            </w:r>
            <w:r>
              <w:rPr>
                <w:rFonts w:hint="eastAsia" w:ascii="Times New Roman" w:hAnsi="Times New Roman" w:eastAsia="楷体_GB2312" w:cs="Times New Roman"/>
                <w:sz w:val="24"/>
              </w:rPr>
              <w:t>防灾减灾教育基地；防震减灾综合能力提升；综合应急救援基地；安全生产监管能力；应急配送中心；自然灾害应急处置等。</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四、民族宗教事务</w:t>
            </w:r>
          </w:p>
          <w:p>
            <w:pPr>
              <w:adjustRightInd w:val="0"/>
              <w:snapToGrid w:val="0"/>
              <w:spacing w:line="440" w:lineRule="atLeast"/>
              <w:ind w:firstLine="480" w:firstLineChars="200"/>
              <w:rPr>
                <w:rFonts w:ascii="Times New Roman" w:hAnsi="Times New Roman" w:eastAsia="楷体" w:cs="Times New Roman"/>
                <w:sz w:val="24"/>
              </w:rPr>
            </w:pPr>
            <w:r>
              <w:rPr>
                <w:rFonts w:hint="eastAsia" w:ascii="Times New Roman" w:hAnsi="Times New Roman" w:eastAsia="楷体_GB2312" w:cs="Times New Roman"/>
                <w:sz w:val="24"/>
              </w:rPr>
              <w:t>寺庙基础设施；寺庙管理信息化；寺庙消防通道、消防设备建设；寺管会（所）标准化建设等。</w:t>
            </w:r>
          </w:p>
          <w:p>
            <w:pPr>
              <w:adjustRightInd w:val="0"/>
              <w:snapToGrid w:val="0"/>
              <w:spacing w:line="440" w:lineRule="atLeast"/>
              <w:ind w:firstLine="480" w:firstLineChars="200"/>
              <w:rPr>
                <w:rFonts w:ascii="Times New Roman" w:hAnsi="Times New Roman" w:eastAsia="黑体" w:cs="Times New Roman"/>
                <w:sz w:val="24"/>
              </w:rPr>
            </w:pPr>
            <w:r>
              <w:rPr>
                <w:rFonts w:ascii="Times New Roman" w:hAnsi="Times New Roman" w:eastAsia="黑体" w:cs="Times New Roman"/>
                <w:sz w:val="24"/>
              </w:rPr>
              <w:t>五、农村消防能力建设</w:t>
            </w:r>
          </w:p>
          <w:p>
            <w:pPr>
              <w:adjustRightInd w:val="0"/>
              <w:snapToGrid w:val="0"/>
              <w:spacing w:line="440" w:lineRule="atLeast"/>
              <w:ind w:firstLine="480" w:firstLineChars="200"/>
              <w:rPr>
                <w:rFonts w:ascii="Times New Roman" w:hAnsi="Times New Roman" w:eastAsia="仿宋" w:cs="Times New Roman"/>
                <w:sz w:val="30"/>
                <w:szCs w:val="30"/>
              </w:rPr>
            </w:pPr>
            <w:r>
              <w:rPr>
                <w:rFonts w:hint="eastAsia" w:ascii="Times New Roman" w:hAnsi="Times New Roman" w:eastAsia="楷体_GB2312" w:cs="Times New Roman"/>
                <w:sz w:val="24"/>
              </w:rPr>
              <w:t>蒲西消防站；上杜柯消防站；农村消防基础设施；智慧消防系统；消防综合应急救援训练基地；消防救援能力提升等。</w:t>
            </w:r>
          </w:p>
        </w:tc>
      </w:tr>
    </w:tbl>
    <w:p>
      <w:pPr>
        <w:spacing w:line="560" w:lineRule="exact"/>
        <w:jc w:val="center"/>
        <w:rPr>
          <w:rFonts w:ascii="Times New Roman" w:hAnsi="Times New Roman" w:eastAsia="仿宋_GB2312" w:cs="Times New Roman"/>
          <w:sz w:val="32"/>
          <w:szCs w:val="32"/>
        </w:rPr>
      </w:pPr>
      <w:r>
        <w:rPr>
          <w:rFonts w:ascii="Times New Roman" w:hAnsi="Times New Roman" w:eastAsia="仿宋" w:cs="Times New Roman"/>
          <w:sz w:val="30"/>
          <w:szCs w:val="30"/>
        </w:rPr>
        <w:br w:type="page"/>
      </w:r>
    </w:p>
    <w:p>
      <w:pPr>
        <w:spacing w:line="700" w:lineRule="exact"/>
        <w:jc w:val="center"/>
        <w:outlineLvl w:val="0"/>
        <w:rPr>
          <w:rFonts w:ascii="Times New Roman" w:hAnsi="Times New Roman" w:eastAsia="方正小标宋_GBK" w:cs="Times New Roman"/>
          <w:sz w:val="44"/>
          <w:szCs w:val="44"/>
        </w:rPr>
      </w:pPr>
      <w:bookmarkStart w:id="273" w:name="_Toc16272"/>
      <w:bookmarkStart w:id="274" w:name="_Toc2058"/>
      <w:r>
        <w:rPr>
          <w:rFonts w:ascii="Times New Roman" w:hAnsi="Times New Roman" w:eastAsia="方正小标宋_GBK" w:cs="Times New Roman"/>
          <w:sz w:val="44"/>
          <w:szCs w:val="44"/>
        </w:rPr>
        <w:t>第十三章  深化开放合作与改革创新，加快</w:t>
      </w: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推进“开放壤塘”建设</w:t>
      </w:r>
      <w:bookmarkEnd w:id="273"/>
      <w:bookmarkEnd w:id="274"/>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纵深推进基础性关键领域改革，不断释放加快发展、促进和谐的最大潜能。加大对外开放和区域合作力度，统筹用好区域资源优势，着力加强农业、加工业、旅游业、清洁能源业对外合作，拓展发展空间，实现区域协同发展，提升对外开放层次与合作水平，积极建设</w:t>
      </w:r>
      <w:r>
        <w:rPr>
          <w:rFonts w:ascii="Times New Roman" w:hAnsi="Times New Roman" w:eastAsia="楷体_GB2312" w:cs="Times New Roman"/>
          <w:b/>
          <w:bCs/>
          <w:sz w:val="32"/>
          <w:szCs w:val="32"/>
        </w:rPr>
        <w:t>“开放壤塘”。</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75" w:name="_Toc8222"/>
      <w:bookmarkStart w:id="276" w:name="_Toc1738"/>
      <w:r>
        <w:rPr>
          <w:rFonts w:ascii="Times New Roman" w:hAnsi="Times New Roman" w:eastAsia="宋体" w:cs="Times New Roman"/>
          <w:b/>
          <w:bCs/>
          <w:sz w:val="36"/>
          <w:szCs w:val="36"/>
        </w:rPr>
        <w:t>第一节  加强对外开放和区域合作</w:t>
      </w:r>
      <w:bookmarkEnd w:id="275"/>
      <w:bookmarkEnd w:id="276"/>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积极突破发展空间，实施“走出去”和“引进来”战略，主动加强</w:t>
      </w:r>
      <w:r>
        <w:rPr>
          <w:rFonts w:hint="eastAsia" w:ascii="Times New Roman" w:hAnsi="Times New Roman" w:eastAsia="仿宋_GB2312" w:cs="Times New Roman"/>
          <w:sz w:val="32"/>
          <w:szCs w:val="32"/>
        </w:rPr>
        <w:t>对外</w:t>
      </w:r>
      <w:r>
        <w:rPr>
          <w:rFonts w:ascii="Times New Roman" w:hAnsi="Times New Roman" w:eastAsia="仿宋_GB2312" w:cs="Times New Roman"/>
          <w:sz w:val="32"/>
          <w:szCs w:val="32"/>
        </w:rPr>
        <w:t>合作力度，创新招商引资政策，增强发展后劲和活力。</w:t>
      </w:r>
    </w:p>
    <w:p>
      <w:pPr>
        <w:spacing w:line="560" w:lineRule="exact"/>
        <w:ind w:firstLine="643" w:firstLineChars="200"/>
        <w:outlineLvl w:val="2"/>
        <w:rPr>
          <w:rFonts w:ascii="Times New Roman" w:hAnsi="Times New Roman" w:eastAsia="黑体" w:cs="Times New Roman"/>
          <w:b/>
          <w:bCs/>
          <w:sz w:val="32"/>
          <w:szCs w:val="32"/>
        </w:rPr>
      </w:pPr>
      <w:bookmarkStart w:id="277" w:name="_Toc12012"/>
      <w:r>
        <w:rPr>
          <w:rFonts w:ascii="Times New Roman" w:hAnsi="Times New Roman" w:eastAsia="黑体" w:cs="Times New Roman"/>
          <w:b/>
          <w:bCs/>
          <w:sz w:val="32"/>
          <w:szCs w:val="32"/>
        </w:rPr>
        <w:t>一、实施“走出去”战略</w:t>
      </w:r>
      <w:bookmarkEnd w:id="277"/>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快实施“走出去”战略，拓展发展空间。围绕畅通对外开放通道，充分利用资源条件，加快实施“走出去”对外开放战略。积极扩大对外人文交流，充分挖掘“壤巴拉文化”，充分利用文化品牌优势和资源优势，广泛开展文化、艺术等多领域合作。积极参加国内外大型文化艺术展览活动，不断加强国内外文化艺术交流合作，进一步提升“悬天净土·壤巴拉”的影响力和美誉度。围绕壤巴拉文化密切人文交流合作，促进文化旅游与“成渝地区双城经济圈”周边城市以及“一带一路”沿线国家和地区深度融合，积极扶持和培育本土优秀文化企业开展境外商业演出和发展文化贸易，不断搭建人文交流合作的桥梁。积极开展</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文化进高校</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活动。依托对口援建平台和传习所窗口，积极推动文化产业、生态资源“走出去”。</w:t>
      </w:r>
    </w:p>
    <w:p>
      <w:pPr>
        <w:spacing w:line="560" w:lineRule="exact"/>
        <w:ind w:firstLine="643" w:firstLineChars="200"/>
        <w:outlineLvl w:val="2"/>
        <w:rPr>
          <w:rFonts w:ascii="Times New Roman" w:hAnsi="Times New Roman" w:eastAsia="黑体" w:cs="Times New Roman"/>
          <w:b/>
          <w:bCs/>
          <w:sz w:val="32"/>
          <w:szCs w:val="32"/>
        </w:rPr>
      </w:pPr>
      <w:bookmarkStart w:id="278" w:name="_Toc5256"/>
      <w:r>
        <w:rPr>
          <w:rFonts w:ascii="Times New Roman" w:hAnsi="Times New Roman" w:eastAsia="黑体" w:cs="Times New Roman"/>
          <w:b/>
          <w:bCs/>
          <w:sz w:val="32"/>
          <w:szCs w:val="32"/>
        </w:rPr>
        <w:t>二、积极主动加强区域合作</w:t>
      </w:r>
      <w:bookmarkEnd w:id="278"/>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建设“川甘青结合部区域强县”目标，优化区域合作新格局，推动建设开放型经济。遵循共商共建共享原则，深化川甘青结合部相邻县（市）的联合协作，共同推动交通、信息、市场一体化，加强公共服务互助、资源环境保护与利用联动、产业发展合作。主动参与“环红原机场经济圈”“川西旅游环线”“大九寨旅游环线”“成渝双城经济圈”“藏羌彝文化产业走廊”等旅游经济圈（线）建设，积极推广壤塘文化旅游产品，加大“悬天净土·壤巴拉”等品牌宣传力度。加强与G317沿线协同协作，共同促进“G317中国最美景观大道”实现全线协同发展和互动合作。推进沿线县（市）产业联动，形成集聚度高、产业互补的文化旅游产业走廊。</w:t>
      </w:r>
    </w:p>
    <w:p>
      <w:pPr>
        <w:spacing w:line="560" w:lineRule="exact"/>
        <w:ind w:firstLine="643" w:firstLineChars="200"/>
        <w:outlineLvl w:val="2"/>
        <w:rPr>
          <w:rFonts w:ascii="Times New Roman" w:hAnsi="Times New Roman" w:eastAsia="黑体" w:cs="Times New Roman"/>
          <w:b/>
          <w:bCs/>
          <w:sz w:val="32"/>
          <w:szCs w:val="32"/>
        </w:rPr>
      </w:pPr>
      <w:bookmarkStart w:id="279" w:name="_Toc861"/>
      <w:r>
        <w:rPr>
          <w:rFonts w:ascii="Times New Roman" w:hAnsi="Times New Roman" w:eastAsia="黑体" w:cs="Times New Roman"/>
          <w:b/>
          <w:bCs/>
          <w:sz w:val="32"/>
          <w:szCs w:val="32"/>
        </w:rPr>
        <w:t>三、努力实现招商引资新突破</w:t>
      </w:r>
      <w:bookmarkEnd w:id="279"/>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积极实施“引进来”战略，不断优化营商环境，进一步营造更加透明便利稳定的投资环境，筑巢引凤</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助推发展。进一步明确招商引资工作主攻方向，创新招商引资工作方式，坚持引企业与引资本、引人才、引技术相结合。抓好专业招商，围绕全县文化资源和产业优势，依托中壤塘文化产业园，突出自身比较优势和发展潜力，以“建链”“补链”“强链”“延链”为抓手，着力抓龙头、聚相关，形成上中下游配套的产业集群，提升招商引资项目的实效。积极参与国内经贸合作，通过参与中国西部国际博览会、四川农业博览会、四川国际旅游交易博览会等大型会展活动，不断搭建联系紧密、彰显优势、合作交流的经贸平台。</w:t>
      </w:r>
    </w:p>
    <w:p>
      <w:pPr>
        <w:spacing w:line="560" w:lineRule="exact"/>
        <w:ind w:firstLine="643" w:firstLineChars="200"/>
        <w:outlineLvl w:val="2"/>
        <w:rPr>
          <w:rFonts w:ascii="Times New Roman" w:hAnsi="Times New Roman" w:eastAsia="黑体" w:cs="Times New Roman"/>
          <w:b/>
          <w:bCs/>
          <w:sz w:val="32"/>
          <w:szCs w:val="32"/>
        </w:rPr>
      </w:pPr>
      <w:bookmarkStart w:id="280" w:name="_Toc27348"/>
      <w:r>
        <w:rPr>
          <w:rFonts w:ascii="Times New Roman" w:hAnsi="Times New Roman" w:eastAsia="黑体" w:cs="Times New Roman"/>
          <w:b/>
          <w:bCs/>
          <w:sz w:val="32"/>
          <w:szCs w:val="32"/>
        </w:rPr>
        <w:t>四、提升结对帮扶和对口援壤水平</w:t>
      </w:r>
      <w:bookmarkEnd w:id="280"/>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进一步深化东西部扶贫协作和对口支援，坚持问题导向，突出重点领域，充分发挥好援壤项目的针对性、示范性、引领性和导向性，进一步提升对口援助的质量和层次。通过“十四五”期间持续援助，使对口援壤项目在保障和改善民生、改善城乡基础设施条件、培育和发展特色产业、促进就业等方面取得显著成效。</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81" w:name="_Toc8119"/>
      <w:bookmarkStart w:id="282" w:name="_Toc18126"/>
      <w:r>
        <w:rPr>
          <w:rFonts w:ascii="Times New Roman" w:hAnsi="Times New Roman" w:eastAsia="宋体" w:cs="Times New Roman"/>
          <w:b/>
          <w:bCs/>
          <w:sz w:val="36"/>
          <w:szCs w:val="36"/>
        </w:rPr>
        <w:t>第二节  纵深推进重点领域改革</w:t>
      </w:r>
      <w:bookmarkEnd w:id="281"/>
      <w:bookmarkEnd w:id="282"/>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纵深推进基础性关键领域改革，不断释放加快发展、促进和谐的最大潜能。大力推进农村产权、生态文明、要素市场、财税体制、商事制度等领域改革，破除各方面体制机制弊端，以改革红利弥补区位劣势、彰显后发优势，全面提升经济社会发展内在活力。</w:t>
      </w:r>
    </w:p>
    <w:p>
      <w:pPr>
        <w:spacing w:line="560" w:lineRule="exact"/>
        <w:ind w:firstLine="643" w:firstLineChars="200"/>
        <w:outlineLvl w:val="2"/>
        <w:rPr>
          <w:rFonts w:ascii="Times New Roman" w:hAnsi="Times New Roman" w:eastAsia="黑体" w:cs="Times New Roman"/>
          <w:b/>
          <w:bCs/>
          <w:sz w:val="32"/>
          <w:szCs w:val="32"/>
        </w:rPr>
      </w:pPr>
      <w:bookmarkStart w:id="283" w:name="_Toc27048"/>
      <w:r>
        <w:rPr>
          <w:rFonts w:ascii="Times New Roman" w:hAnsi="Times New Roman" w:eastAsia="黑体" w:cs="Times New Roman"/>
          <w:b/>
          <w:bCs/>
          <w:sz w:val="32"/>
          <w:szCs w:val="32"/>
        </w:rPr>
        <w:t>一、持续深化政府职能转变</w:t>
      </w:r>
      <w:bookmarkEnd w:id="283"/>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对接落实中央关于营造更好发展环境支持民营企业改革发展的意见，深化营商环境改革，实施营商环境提升专项行动，优化民营经济发展环境。深入推进商事制度改革，</w:t>
      </w:r>
      <w:r>
        <w:rPr>
          <w:rFonts w:hint="eastAsia" w:ascii="Times New Roman" w:hAnsi="Times New Roman" w:eastAsia="仿宋_GB2312" w:cs="Times New Roman"/>
          <w:sz w:val="32"/>
          <w:szCs w:val="32"/>
        </w:rPr>
        <w:t>健全</w:t>
      </w:r>
      <w:r>
        <w:rPr>
          <w:rFonts w:ascii="Times New Roman" w:hAnsi="Times New Roman" w:eastAsia="仿宋_GB2312" w:cs="Times New Roman"/>
          <w:sz w:val="32"/>
          <w:szCs w:val="32"/>
        </w:rPr>
        <w:t>公平开放透明的市场规则，实行“非禁即入”。加强市场监管体系建设，规范市场竞争行为。不断强化服务意识，创新服务手段，持续推进“放管服”改革，清理完善“三张清单”，细化“首问责任制”“限时办结制”“责任追究制”三项制度，优化权力事项目录，提升定制化服务水平，建立“好差评”机制，形成上下联动、功能健全、横向到边、纵向到底、规范运作的政务服务体系</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为群众和企业提供优质、高效、便捷服务。规范市场竞争行为，深入实施民营经济政策精准推送工程和民营企业精准培育计划，进一步激发市场主体活力。</w:t>
      </w:r>
    </w:p>
    <w:p>
      <w:pPr>
        <w:spacing w:line="560" w:lineRule="exact"/>
        <w:ind w:firstLine="643" w:firstLineChars="200"/>
        <w:outlineLvl w:val="2"/>
        <w:rPr>
          <w:rFonts w:ascii="Times New Roman" w:hAnsi="Times New Roman" w:eastAsia="黑体" w:cs="Times New Roman"/>
          <w:b/>
          <w:bCs/>
          <w:sz w:val="32"/>
          <w:szCs w:val="32"/>
        </w:rPr>
      </w:pPr>
      <w:bookmarkStart w:id="284" w:name="_Toc4796"/>
      <w:r>
        <w:rPr>
          <w:rFonts w:ascii="Times New Roman" w:hAnsi="Times New Roman" w:eastAsia="黑体" w:cs="Times New Roman"/>
          <w:b/>
          <w:bCs/>
          <w:sz w:val="32"/>
          <w:szCs w:val="32"/>
        </w:rPr>
        <w:t>二、加快推进要素市场改革</w:t>
      </w:r>
      <w:bookmarkEnd w:id="284"/>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大体制创新力度，让市场对生产要素流动和资源配置起决定性作用。加快建设城乡统一的建设用地市场，深化土地市场化配置改革，实施分类管理和差异化土地供给。统一规范人力资源市场，打造集中统一规范的国有产权交易平台、农村产权交易平台。加快推进要素价格市场化改革，推进电力、水、天然气等要素市场化定价机制，最大限度减少政府对价格形成的不当干预。围绕健全基本公共服务体系和促进基本公共服务均等化，统筹推进教育、卫生、文化、社会保障等领域改革。</w:t>
      </w:r>
    </w:p>
    <w:p>
      <w:pPr>
        <w:spacing w:line="560" w:lineRule="exact"/>
        <w:ind w:firstLine="643" w:firstLineChars="200"/>
        <w:outlineLvl w:val="2"/>
        <w:rPr>
          <w:rFonts w:ascii="Times New Roman" w:hAnsi="Times New Roman" w:eastAsia="黑体" w:cs="Times New Roman"/>
          <w:b/>
          <w:bCs/>
          <w:sz w:val="32"/>
          <w:szCs w:val="32"/>
        </w:rPr>
      </w:pPr>
      <w:bookmarkStart w:id="285" w:name="_Toc186"/>
      <w:r>
        <w:rPr>
          <w:rFonts w:ascii="Times New Roman" w:hAnsi="Times New Roman" w:eastAsia="黑体" w:cs="Times New Roman"/>
          <w:b/>
          <w:bCs/>
          <w:sz w:val="32"/>
          <w:szCs w:val="32"/>
        </w:rPr>
        <w:t>三、加快推进财税金融体制改革</w:t>
      </w:r>
      <w:bookmarkEnd w:id="285"/>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继续落实减税降费政策，优化政府间事权和财权划分。贯彻落实更大规模减税降费、金融扶持中小微企业发展等政策，稳定市场信心。深入开展“服务零距离、融资大畅通”金融服务提升行动，大力发展普惠金融，做好金融支持乡村振兴，深化城乡支付环境建设，推进绿色金融创新试点。继续做好国家专项债券争取、政银企融资对接等工作，加大对重点领域、重点产业、重点项目信贷支持，拓宽企业综合融资渠道，持续降低融资成本，发挥金融服务实体经济作用。</w:t>
      </w:r>
    </w:p>
    <w:p>
      <w:pPr>
        <w:spacing w:line="560" w:lineRule="exact"/>
        <w:ind w:firstLine="643" w:firstLineChars="200"/>
        <w:outlineLvl w:val="2"/>
        <w:rPr>
          <w:rFonts w:ascii="Times New Roman" w:hAnsi="Times New Roman" w:eastAsia="黑体" w:cs="Times New Roman"/>
          <w:b/>
          <w:bCs/>
          <w:sz w:val="32"/>
          <w:szCs w:val="32"/>
        </w:rPr>
      </w:pPr>
      <w:bookmarkStart w:id="286" w:name="_Toc16701"/>
      <w:r>
        <w:rPr>
          <w:rFonts w:ascii="Times New Roman" w:hAnsi="Times New Roman" w:eastAsia="黑体" w:cs="Times New Roman"/>
          <w:b/>
          <w:bCs/>
          <w:sz w:val="32"/>
          <w:szCs w:val="32"/>
        </w:rPr>
        <w:t>四、全面深化农业农村改革</w:t>
      </w:r>
      <w:bookmarkEnd w:id="286"/>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深化农业农村重点改革，依法有序推行农村承包地等各类资产资源“三权”分置，进一步壮大新型农业经营主体，推动农村集体经营性建设用地依法入市。定期开展农村集体资产清产核资，完善农村集体经济组织成员身份确认和集体经营性资产股份制改造。健全农村产权流转市场体系，面向农村和市场提供农村产权交易服务，释放农村各类产权价值。推进现代农业园区建设，创建一批星级现代农业园区。</w:t>
      </w:r>
    </w:p>
    <w:p>
      <w:pPr>
        <w:spacing w:line="560" w:lineRule="exact"/>
        <w:rPr>
          <w:rFonts w:ascii="Times New Roman" w:hAnsi="Times New Roman" w:eastAsia="仿宋_GB2312" w:cs="Times New Roman"/>
          <w:sz w:val="32"/>
          <w:szCs w:val="32"/>
        </w:rPr>
      </w:pPr>
    </w:p>
    <w:p>
      <w:pPr>
        <w:spacing w:line="700" w:lineRule="exact"/>
        <w:jc w:val="center"/>
        <w:outlineLvl w:val="0"/>
        <w:rPr>
          <w:rFonts w:ascii="Times New Roman" w:hAnsi="Times New Roman" w:eastAsia="方正小标宋_GBK" w:cs="Times New Roman"/>
          <w:sz w:val="44"/>
          <w:szCs w:val="44"/>
        </w:rPr>
      </w:pPr>
      <w:bookmarkStart w:id="287" w:name="_Toc27880"/>
      <w:bookmarkStart w:id="288" w:name="_Toc19886"/>
      <w:r>
        <w:rPr>
          <w:rFonts w:ascii="Times New Roman" w:hAnsi="Times New Roman" w:eastAsia="方正小标宋_GBK" w:cs="Times New Roman"/>
          <w:sz w:val="44"/>
          <w:szCs w:val="44"/>
        </w:rPr>
        <w:t>第十四章  强化规划领导落实衔接，确保</w:t>
      </w:r>
      <w:r>
        <w:rPr>
          <w:rFonts w:hint="eastAsia" w:ascii="Times New Roman" w:hAnsi="Times New Roman" w:eastAsia="方正小标宋_GBK" w:cs="Times New Roman"/>
          <w:sz w:val="44"/>
          <w:szCs w:val="44"/>
          <w:lang w:val="en-US" w:eastAsia="zh-CN"/>
        </w:rPr>
        <w:t xml:space="preserve">    </w:t>
      </w:r>
      <w:r>
        <w:rPr>
          <w:rFonts w:ascii="Times New Roman" w:hAnsi="Times New Roman" w:eastAsia="方正小标宋_GBK" w:cs="Times New Roman"/>
          <w:sz w:val="44"/>
          <w:szCs w:val="44"/>
        </w:rPr>
        <w:t>规划纲要顺利实施</w:t>
      </w:r>
      <w:bookmarkEnd w:id="287"/>
      <w:bookmarkEnd w:id="288"/>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《壤塘县国民经济和社会发展第十四个五年规划和二</w:t>
      </w:r>
      <w:r>
        <w:rPr>
          <w:rFonts w:hint="eastAsia" w:ascii="Times New Roman" w:hAnsi="Times New Roman" w:eastAsia="仿宋_GB2312" w:cs="Times New Roman"/>
          <w:sz w:val="32"/>
          <w:szCs w:val="32"/>
        </w:rPr>
        <w:t>〇</w:t>
      </w:r>
      <w:r>
        <w:rPr>
          <w:rFonts w:ascii="Times New Roman" w:hAnsi="Times New Roman" w:eastAsia="仿宋_GB2312" w:cs="Times New Roman"/>
          <w:sz w:val="32"/>
          <w:szCs w:val="32"/>
        </w:rPr>
        <w:t>三五年远景目标纲要》（以下简称纲要）是今后五年全县经济社会发展的宏伟蓝图和行动纲领，需要加强组织领导和政策引领，注重统筹协调、狠抓项目带动、强化人才支撑，调控引导社会资源，合理配置公共资源，保障纲要顺利实施。</w:t>
      </w:r>
    </w:p>
    <w:p>
      <w:pPr>
        <w:spacing w:line="560" w:lineRule="exact"/>
        <w:jc w:val="center"/>
        <w:outlineLvl w:val="1"/>
        <w:rPr>
          <w:rFonts w:ascii="Times New Roman" w:hAnsi="Times New Roman" w:eastAsia="宋体" w:cs="Times New Roman"/>
          <w:b/>
          <w:bCs/>
          <w:sz w:val="36"/>
          <w:szCs w:val="36"/>
        </w:rPr>
      </w:pPr>
      <w:bookmarkStart w:id="289" w:name="_Toc14157"/>
      <w:bookmarkStart w:id="290" w:name="_Toc13852"/>
      <w:r>
        <w:rPr>
          <w:rFonts w:ascii="Times New Roman" w:hAnsi="Times New Roman" w:eastAsia="宋体" w:cs="Times New Roman"/>
          <w:b/>
          <w:bCs/>
          <w:sz w:val="36"/>
          <w:szCs w:val="36"/>
        </w:rPr>
        <w:t>第一节  健全制度保障</w:t>
      </w:r>
      <w:bookmarkEnd w:id="289"/>
      <w:bookmarkEnd w:id="290"/>
    </w:p>
    <w:p>
      <w:pPr>
        <w:spacing w:line="560" w:lineRule="exact"/>
        <w:ind w:firstLine="640" w:firstLineChars="200"/>
        <w:rPr>
          <w:rFonts w:ascii="Times New Roman" w:hAnsi="Times New Roman" w:eastAsia="仿宋_GB2312" w:cs="Times New Roman"/>
          <w:sz w:val="32"/>
          <w:szCs w:val="32"/>
        </w:rPr>
      </w:pPr>
    </w:p>
    <w:p>
      <w:pPr>
        <w:spacing w:line="54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强化纲要领导机制，</w:t>
      </w:r>
      <w:r>
        <w:rPr>
          <w:rFonts w:hint="eastAsia" w:ascii="Times New Roman" w:hAnsi="Times New Roman" w:eastAsia="仿宋_GB2312" w:cs="Times New Roman"/>
          <w:sz w:val="32"/>
          <w:szCs w:val="32"/>
        </w:rPr>
        <w:t>坚持</w:t>
      </w:r>
      <w:r>
        <w:rPr>
          <w:rFonts w:ascii="Times New Roman" w:hAnsi="Times New Roman" w:eastAsia="仿宋_GB2312" w:cs="Times New Roman"/>
          <w:sz w:val="32"/>
          <w:szCs w:val="32"/>
        </w:rPr>
        <w:t>党的全面领导，贯彻党把方向、谋大局、定政策、促改革的要求，</w:t>
      </w:r>
      <w:r>
        <w:rPr>
          <w:rFonts w:hint="eastAsia" w:ascii="Times New Roman" w:hAnsi="Times New Roman" w:eastAsia="仿宋_GB2312" w:cs="Times New Roman"/>
          <w:sz w:val="32"/>
          <w:szCs w:val="32"/>
        </w:rPr>
        <w:t>坚持</w:t>
      </w:r>
      <w:r>
        <w:rPr>
          <w:rFonts w:ascii="Times New Roman" w:hAnsi="Times New Roman" w:eastAsia="仿宋_GB2312" w:cs="Times New Roman"/>
          <w:sz w:val="32"/>
          <w:szCs w:val="32"/>
        </w:rPr>
        <w:t>党委研究经济社会发展战略、定期分析经济形势、研究重大政策措施的工作机制。健全纲要落实机制，制定年度计划，分年度落实好纲要目标和任务，保持实施连续性。完善纲要监督评估机制，加强对纲要实施的跟踪、反馈和动态调控，适时组织开展对纲要实施情况的评估，发挥人大、政协、社会团体、公众的监督作用，多渠道对纲要实施进行监督。健全纲要财政保障机制，推进财政管理的科学化、规范化、信息化，提升依法理财的能力和水平。健全纲要宣传机制，多种媒体、多种形式、多种渠道广泛宣传纲要，提高纲要的知晓度和透明度，引导各类市场主体和广大群众自觉参与纲要实施。</w:t>
      </w:r>
    </w:p>
    <w:p>
      <w:pPr>
        <w:spacing w:line="54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91" w:name="_Toc16495"/>
      <w:bookmarkStart w:id="292" w:name="_Toc11390"/>
      <w:r>
        <w:rPr>
          <w:rFonts w:ascii="Times New Roman" w:hAnsi="Times New Roman" w:eastAsia="宋体" w:cs="Times New Roman"/>
          <w:b/>
          <w:bCs/>
          <w:sz w:val="36"/>
          <w:szCs w:val="36"/>
        </w:rPr>
        <w:t>第二节  加强政策引导</w:t>
      </w:r>
      <w:bookmarkEnd w:id="291"/>
      <w:bookmarkEnd w:id="292"/>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切实用足、用好、用活国家政策，保障实施纲要政策基础。强化生态环境政策引领，全面落实国家、省州主体功能区各项政策，严格按照法律法规和规划进行资源开发，强化项目建设的环境评价。加强产业政策引导，认真落实国家产业政策，落实产业发展负面清单制度，采用经济手段、财政手段、政策手段引导特色优势产业发展，限制不符合生态功能定位的产业扩张，对支柱产业发展实施倾斜政策。制定科学财政政策，根据纲要确定的发展目标和工作重点，编制实施年度财政预算，加强收入组织和支出管理，努力提高财政自给率，提高公共财政运行的能力和水平。进一步优化财政支出结构，加大对关键领域、社会事业和改善民生项目的支出力度。</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93" w:name="_Toc28550"/>
      <w:bookmarkStart w:id="294" w:name="_Toc20677"/>
      <w:r>
        <w:rPr>
          <w:rFonts w:ascii="Times New Roman" w:hAnsi="Times New Roman" w:eastAsia="宋体" w:cs="Times New Roman"/>
          <w:b/>
          <w:bCs/>
          <w:sz w:val="36"/>
          <w:szCs w:val="36"/>
        </w:rPr>
        <w:t>第三节  狠抓项目带动</w:t>
      </w:r>
      <w:bookmarkEnd w:id="293"/>
      <w:bookmarkEnd w:id="294"/>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树立“抓项目就是抓发展，抓项目就是抓落实”的理念，紧紧围绕壤塘经济社会发展重点，结合全域旅游、川西北生态示范区、新时期推动西部大开发、南水北调等重大机遇，积极跟踪把握国家、省、州政策导向，加强项目规划衔接，规划建设一批重大项目，保持项目对经济社会发展的支撑作用。积极争取项目资金落实，强化公共财政与项目规划衔接配合，加大对重点领域、重点区域和重大项目的支持，确保项目建设稳步推进，促进规划纲要高质量实施。</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95" w:name="_Toc21588"/>
      <w:bookmarkStart w:id="296" w:name="_Toc11904"/>
      <w:r>
        <w:rPr>
          <w:rFonts w:ascii="Times New Roman" w:hAnsi="Times New Roman" w:eastAsia="宋体" w:cs="Times New Roman"/>
          <w:b/>
          <w:bCs/>
          <w:sz w:val="36"/>
          <w:szCs w:val="36"/>
        </w:rPr>
        <w:t>第四节  强化人才支撑</w:t>
      </w:r>
      <w:bookmarkEnd w:id="295"/>
      <w:bookmarkEnd w:id="296"/>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围绕发展培养引进人才、搭建人才创业平台、健全人才工作机制，发挥人才在推动经济社会发展中的“第一资源”作用。大力培养、盘活现有人才，通过培训、进修、交流、挂职锻炼等途径，全面提高党政人才管理服务社会和驾驭市场经济的能力，提高专业技术人才的技术与经营管理水平。研究制定符合壤塘实际的人才引进和培养计划，拓宽渠道大力引进生态、旅游、农林牧、教育、卫生、管理等各类专业技术人才。健全人才工作机制，建立长效性的人才培育机制、开放性的人才选拔机制、竞争性的人才使用机制、激励性的人才褒奖机制。优化人才环境，真正做到用事业、情感、待遇、政策吸引人才，留住人才，把各方面优秀人才集聚到壤塘县经济社会发展中来，切实将人才资源转化为发展资源，为实现纲要目标提供坚强的人才保障。</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97" w:name="_Toc29514"/>
      <w:bookmarkStart w:id="298" w:name="_Toc31459"/>
      <w:r>
        <w:rPr>
          <w:rFonts w:ascii="Times New Roman" w:hAnsi="Times New Roman" w:eastAsia="宋体" w:cs="Times New Roman"/>
          <w:b/>
          <w:bCs/>
          <w:sz w:val="36"/>
          <w:szCs w:val="36"/>
        </w:rPr>
        <w:t>第五节  营造暖心环境</w:t>
      </w:r>
      <w:bookmarkEnd w:id="297"/>
      <w:bookmarkEnd w:id="298"/>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对全县干部职工的关心关爱，着力从政治重视、待遇倾斜、思想关心、人文关怀等方面加强对干部职工的关心关爱力度。加大基层干部职工选任力度，注重选拔任用具有基层工作经历的干部，尤其是在艰苦环境下取得突出成绩的干部优先提拔使用；提高干部职工福利待遇，认真落实干部职工带薪休假、年度体检、乡镇干部岗位临时补贴等政策和制度，稳步推进职务与职级并行工作，着力破解基层干部晋升渠道窄的难题，严格落实乡镇干部政策；健全干部职工谈心谈话制度，完善与干部倾心交流的平台和渠道，重视干部职工的心理健康和精神健康，加强思想沟通、关爱激励和教育提醒；改善干部职工工作生活条件，健全完善干部职工“团聚工程”，重点关心长期在乡镇工作的干部职工。改善干部职工工作生活环境，丰富业余生活，营造暖心环境，真正让基层干部职工留得下、住得好、有干劲，为建设“川甘青结合部区域强县”凝聚合力、激发活力、增添动力。</w:t>
      </w:r>
    </w:p>
    <w:p>
      <w:pPr>
        <w:spacing w:line="560" w:lineRule="exact"/>
        <w:ind w:firstLine="640" w:firstLineChars="200"/>
        <w:rPr>
          <w:rFonts w:ascii="Times New Roman" w:hAnsi="Times New Roman" w:eastAsia="仿宋_GB2312" w:cs="Times New Roman"/>
          <w:sz w:val="32"/>
          <w:szCs w:val="32"/>
        </w:rPr>
      </w:pPr>
    </w:p>
    <w:p>
      <w:pPr>
        <w:spacing w:line="560" w:lineRule="exact"/>
        <w:jc w:val="center"/>
        <w:outlineLvl w:val="1"/>
        <w:rPr>
          <w:rFonts w:ascii="Times New Roman" w:hAnsi="Times New Roman" w:eastAsia="宋体" w:cs="Times New Roman"/>
          <w:b/>
          <w:bCs/>
          <w:sz w:val="36"/>
          <w:szCs w:val="36"/>
        </w:rPr>
      </w:pPr>
      <w:bookmarkStart w:id="299" w:name="_Toc11328"/>
      <w:bookmarkStart w:id="300" w:name="_Toc11375"/>
      <w:r>
        <w:rPr>
          <w:rFonts w:ascii="Times New Roman" w:hAnsi="Times New Roman" w:eastAsia="宋体" w:cs="Times New Roman"/>
          <w:b/>
          <w:bCs/>
          <w:sz w:val="36"/>
          <w:szCs w:val="36"/>
        </w:rPr>
        <w:t>第六节  注重规划衔接</w:t>
      </w:r>
      <w:bookmarkEnd w:id="299"/>
      <w:bookmarkEnd w:id="300"/>
    </w:p>
    <w:p>
      <w:pPr>
        <w:spacing w:line="560" w:lineRule="exact"/>
        <w:ind w:firstLine="640" w:firstLineChars="200"/>
        <w:rPr>
          <w:rFonts w:ascii="Times New Roman" w:hAnsi="Times New Roman" w:eastAsia="仿宋_GB2312" w:cs="Times New Roman"/>
          <w:sz w:val="32"/>
          <w:szCs w:val="32"/>
        </w:rPr>
      </w:pPr>
    </w:p>
    <w:p>
      <w:pPr>
        <w:spacing w:line="56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认真做好经济社会发展规划与国土空间总体规划、城镇体系规划、乡村振兴规划等同级规划的衔接配合，在重大生产力布局、重点项目安排、基础设施建设上，确保总体要求一致，时序安排合理。加强总体规划与各类专项规划的衔接互补，专项规划要在发展目标、空间布局、重点任务、重大项目等方面服从总体规划，确保总体规划的权威性，提高各类规划的统筹协调和管理水平，确保规划总体目标落实落地。</w:t>
      </w:r>
    </w:p>
    <w:p>
      <w:pPr>
        <w:spacing w:line="560" w:lineRule="exact"/>
        <w:ind w:firstLine="640" w:firstLineChars="200"/>
        <w:rPr>
          <w:rFonts w:ascii="Times New Roman" w:hAnsi="Times New Roman" w:eastAsia="仿宋_GB2312" w:cs="Times New Roman"/>
          <w:sz w:val="32"/>
          <w:szCs w:val="32"/>
        </w:rPr>
      </w:pPr>
    </w:p>
    <w:p>
      <w:pPr>
        <w:spacing w:line="700" w:lineRule="exact"/>
        <w:jc w:val="center"/>
        <w:outlineLvl w:val="9"/>
        <w:rPr>
          <w:rFonts w:ascii="Times New Roman" w:hAnsi="Times New Roman" w:eastAsia="方正小标宋_GBK" w:cs="Times New Roman"/>
          <w:sz w:val="44"/>
          <w:szCs w:val="44"/>
        </w:rPr>
      </w:pPr>
      <w:bookmarkStart w:id="301" w:name="_Toc17957"/>
      <w:bookmarkStart w:id="302" w:name="_Toc32067"/>
    </w:p>
    <w:p>
      <w:pPr>
        <w:spacing w:line="700" w:lineRule="exact"/>
        <w:jc w:val="center"/>
        <w:outlineLvl w:val="9"/>
        <w:rPr>
          <w:rFonts w:ascii="Times New Roman" w:hAnsi="Times New Roman" w:eastAsia="方正小标宋_GBK" w:cs="Times New Roman"/>
          <w:sz w:val="44"/>
          <w:szCs w:val="44"/>
        </w:rPr>
      </w:pPr>
    </w:p>
    <w:p>
      <w:pPr>
        <w:spacing w:line="700" w:lineRule="exact"/>
        <w:jc w:val="center"/>
        <w:outlineLvl w:val="9"/>
        <w:rPr>
          <w:rFonts w:ascii="Times New Roman" w:hAnsi="Times New Roman" w:eastAsia="方正小标宋_GBK" w:cs="Times New Roman"/>
          <w:sz w:val="44"/>
          <w:szCs w:val="44"/>
        </w:rPr>
      </w:pPr>
    </w:p>
    <w:p>
      <w:pPr>
        <w:spacing w:line="700" w:lineRule="exact"/>
        <w:jc w:val="center"/>
        <w:outlineLvl w:val="9"/>
        <w:rPr>
          <w:rFonts w:ascii="Times New Roman" w:hAnsi="Times New Roman" w:eastAsia="方正小标宋_GBK" w:cs="Times New Roman"/>
          <w:sz w:val="44"/>
          <w:szCs w:val="44"/>
        </w:rPr>
      </w:pPr>
    </w:p>
    <w:p>
      <w:pPr>
        <w:spacing w:line="700" w:lineRule="exact"/>
        <w:jc w:val="center"/>
        <w:outlineLvl w:val="9"/>
        <w:rPr>
          <w:rFonts w:ascii="Times New Roman" w:hAnsi="Times New Roman" w:eastAsia="方正小标宋_GBK" w:cs="Times New Roman"/>
          <w:sz w:val="44"/>
          <w:szCs w:val="44"/>
        </w:rPr>
      </w:pPr>
    </w:p>
    <w:p>
      <w:pPr>
        <w:spacing w:line="700" w:lineRule="exact"/>
        <w:jc w:val="center"/>
        <w:outlineLvl w:val="9"/>
        <w:rPr>
          <w:rFonts w:ascii="Times New Roman" w:hAnsi="Times New Roman" w:eastAsia="方正小标宋_GBK" w:cs="Times New Roman"/>
          <w:sz w:val="44"/>
          <w:szCs w:val="44"/>
        </w:rPr>
      </w:pPr>
    </w:p>
    <w:p>
      <w:pPr>
        <w:spacing w:line="700" w:lineRule="exact"/>
        <w:jc w:val="center"/>
        <w:outlineLvl w:val="9"/>
        <w:rPr>
          <w:rFonts w:ascii="Times New Roman" w:hAnsi="Times New Roman" w:eastAsia="方正小标宋_GBK" w:cs="Times New Roman"/>
          <w:sz w:val="44"/>
          <w:szCs w:val="44"/>
        </w:rPr>
      </w:pPr>
    </w:p>
    <w:p>
      <w:pPr>
        <w:spacing w:line="700" w:lineRule="exact"/>
        <w:jc w:val="center"/>
        <w:outlineLvl w:val="0"/>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名</w:t>
      </w:r>
      <w:r>
        <w:rPr>
          <w:rFonts w:hint="eastAsia" w:ascii="Times New Roman" w:hAnsi="Times New Roman" w:eastAsia="方正小标宋_GBK" w:cs="Times New Roman"/>
          <w:sz w:val="44"/>
          <w:szCs w:val="44"/>
        </w:rPr>
        <w:t xml:space="preserve"> </w:t>
      </w:r>
      <w:r>
        <w:rPr>
          <w:rFonts w:ascii="Times New Roman" w:hAnsi="Times New Roman" w:eastAsia="方正小标宋_GBK" w:cs="Times New Roman"/>
          <w:sz w:val="44"/>
          <w:szCs w:val="44"/>
        </w:rPr>
        <w:t>词</w:t>
      </w:r>
      <w:r>
        <w:rPr>
          <w:rFonts w:hint="eastAsia" w:ascii="Times New Roman" w:hAnsi="Times New Roman" w:eastAsia="方正小标宋_GBK" w:cs="Times New Roman"/>
          <w:sz w:val="44"/>
          <w:szCs w:val="44"/>
        </w:rPr>
        <w:t xml:space="preserve"> </w:t>
      </w:r>
      <w:r>
        <w:rPr>
          <w:rFonts w:ascii="Times New Roman" w:hAnsi="Times New Roman" w:eastAsia="方正小标宋_GBK" w:cs="Times New Roman"/>
          <w:sz w:val="44"/>
          <w:szCs w:val="44"/>
        </w:rPr>
        <w:t>解</w:t>
      </w:r>
      <w:r>
        <w:rPr>
          <w:rFonts w:hint="eastAsia" w:ascii="Times New Roman" w:hAnsi="Times New Roman" w:eastAsia="方正小标宋_GBK" w:cs="Times New Roman"/>
          <w:sz w:val="44"/>
          <w:szCs w:val="44"/>
        </w:rPr>
        <w:t xml:space="preserve"> </w:t>
      </w:r>
      <w:r>
        <w:rPr>
          <w:rFonts w:ascii="Times New Roman" w:hAnsi="Times New Roman" w:eastAsia="方正小标宋_GBK" w:cs="Times New Roman"/>
          <w:sz w:val="44"/>
          <w:szCs w:val="44"/>
        </w:rPr>
        <w:t>释</w:t>
      </w:r>
      <w:bookmarkEnd w:id="301"/>
      <w:bookmarkEnd w:id="302"/>
    </w:p>
    <w:p>
      <w:pPr>
        <w:spacing w:line="460" w:lineRule="exact"/>
        <w:ind w:firstLine="560" w:firstLineChars="200"/>
        <w:rPr>
          <w:rFonts w:ascii="Times New Roman" w:hAnsi="Times New Roman" w:eastAsia="仿宋_GB2312" w:cs="Times New Roman"/>
          <w:sz w:val="28"/>
          <w:szCs w:val="28"/>
        </w:rPr>
      </w:pP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1．“一带一路”</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“丝绸之路经济带”和“21世纪海上丝绸之路”的简称。</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2．“一干多支、五区协同”：</w:t>
      </w:r>
      <w:r>
        <w:rPr>
          <w:rFonts w:ascii="Times New Roman" w:hAnsi="Times New Roman" w:eastAsia="仿宋_GB2312" w:cs="Times New Roman"/>
          <w:sz w:val="28"/>
          <w:szCs w:val="28"/>
        </w:rPr>
        <w:t>“一干”是支持成都加快建设全面体现新发展理念的国家中心城市，充分发挥成都引领辐射带动作用；“多支”则是打造各具特色的区域经济板块，推动环成都经济圈、川南经济区、川东北经济区、攀西经济区竞相发展，形成四川区域发展多个支点支撑的局面。“五区协同”则是强化统筹，推动成都平原经济区（含成都和环成都经济圈）、川南经济区、川东北经济区、攀西经济区、川西北生态示范区协同发展，推动成都与环成都经济圈协同发展，推动“三州”与内地协同发展，推动区域内各市（州）之间协同发展。</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3．“一州两区三家园”</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建设全国民族团结进步示范州、国家生态建设示范区、国家全域旅游示范区，早日建成生态美丽、和谐幸福、富裕小康家园。</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4．“145”发展战略</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以“川甘青结合部区域强县”为总目标，着力创建“国家铸牢中华民族共同体意识示范县”，加快建设“川甘青结合部河源生态文明示范县”“川甘青结合部文旅融合发展示范县”和“川甘青结合部基层社会治理示范县”，全面提升综合实力和区域竞争力，合力建设“美丽壤塘、文化壤塘、幸福壤塘、开放壤塘、法治壤塘”。</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5．“一核三治”</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党组织领导下，自治、法治、德治相融合的基层治理体系。</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6．“两个一百年”：</w:t>
      </w:r>
      <w:r>
        <w:rPr>
          <w:rFonts w:ascii="Times New Roman" w:hAnsi="Times New Roman" w:eastAsia="仿宋_GB2312" w:cs="Times New Roman"/>
          <w:sz w:val="28"/>
          <w:szCs w:val="28"/>
        </w:rPr>
        <w:t>到建党一百年时，使国民经济更加发展，各项制度更加完善；到世纪中叶建国一百年时，基本实现现代化，建成富强民主文明的社会主义国家。</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7．“两个维护”</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坚决维护习近平总书记党中央的核心、全党的核心地位，坚决维护党中央权威和集中统一领导。</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8．“双循环”</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加快构建以国内大循环为主体、国内国际双循环相互促进的新发展格局。</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9．“两个共同”主题</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共同团结奋斗，共同繁荣发展。</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10．“两联一进”：</w:t>
      </w:r>
      <w:r>
        <w:rPr>
          <w:rFonts w:ascii="Times New Roman" w:hAnsi="Times New Roman" w:eastAsia="仿宋_GB2312" w:cs="Times New Roman"/>
          <w:sz w:val="28"/>
          <w:szCs w:val="28"/>
        </w:rPr>
        <w:t>联户联情、联寺联僧和法律政策七进。</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11．“</w:t>
      </w:r>
      <w:r>
        <w:rPr>
          <w:rFonts w:hint="eastAsia" w:ascii="Times New Roman" w:hAnsi="Times New Roman" w:eastAsia="楷体_GB2312" w:cs="Times New Roman"/>
          <w:b/>
          <w:bCs/>
          <w:sz w:val="28"/>
          <w:szCs w:val="28"/>
        </w:rPr>
        <w:t>两减</w:t>
      </w:r>
      <w:r>
        <w:rPr>
          <w:rFonts w:ascii="Times New Roman" w:hAnsi="Times New Roman" w:eastAsia="楷体_GB2312" w:cs="Times New Roman"/>
          <w:b/>
          <w:bCs/>
          <w:sz w:val="28"/>
          <w:szCs w:val="28"/>
        </w:rPr>
        <w:t>三基本”：</w:t>
      </w:r>
      <w:r>
        <w:rPr>
          <w:rFonts w:ascii="Times New Roman" w:hAnsi="Times New Roman" w:eastAsia="仿宋_GB2312" w:cs="Times New Roman"/>
          <w:sz w:val="28"/>
          <w:szCs w:val="28"/>
        </w:rPr>
        <w:t>“</w:t>
      </w:r>
      <w:r>
        <w:rPr>
          <w:rFonts w:hint="eastAsia" w:ascii="Times New Roman" w:hAnsi="Times New Roman" w:eastAsia="仿宋_GB2312" w:cs="Times New Roman"/>
          <w:sz w:val="28"/>
          <w:szCs w:val="28"/>
        </w:rPr>
        <w:t>两减</w:t>
      </w:r>
      <w:r>
        <w:rPr>
          <w:rFonts w:ascii="Times New Roman" w:hAnsi="Times New Roman" w:eastAsia="仿宋_GB2312" w:cs="Times New Roman"/>
          <w:sz w:val="28"/>
          <w:szCs w:val="28"/>
        </w:rPr>
        <w:t>”，即把化肥、农药的施用总量减下来；“三基本”，针对畜禽污染处理问题、地膜回收问题、秸秆焚烧的问题通过资源化利用的办法从根本解决好这个问题</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12．“三免一补”：</w:t>
      </w:r>
      <w:r>
        <w:rPr>
          <w:rFonts w:ascii="Times New Roman" w:hAnsi="Times New Roman" w:eastAsia="仿宋_GB2312" w:cs="Times New Roman"/>
          <w:sz w:val="28"/>
          <w:szCs w:val="28"/>
        </w:rPr>
        <w:t>“三免”指免课本费、免学杂费、免作业本费；“一补”指补助贫困寄宿制中小学学生生活费。</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13．“三品一标”</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无公害农产品、绿色食品、有机农产品和农产品地理标志。</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14．“5+N”农业产业体系</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以粮、油、菜、药、畜等为主的“5+N”农牧产业体系。</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15．“3+N”生态工业体系</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以绿色加工业、清洁能源业、民族工艺为支撑，以碳汇交易、电力消纳等为辅助的“3+N”生态工业体系。</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16．“3+N”现代服务业体系</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以商贸流通、现代物流、电子商务等服务业为主，健康养老、农村</w:t>
      </w:r>
      <w:r>
        <w:rPr>
          <w:rFonts w:hint="eastAsia" w:ascii="Times New Roman" w:hAnsi="Times New Roman" w:eastAsia="仿宋_GB2312" w:cs="Times New Roman"/>
          <w:sz w:val="28"/>
          <w:szCs w:val="28"/>
        </w:rPr>
        <w:t>金融</w:t>
      </w:r>
      <w:r>
        <w:rPr>
          <w:rFonts w:ascii="Times New Roman" w:hAnsi="Times New Roman" w:eastAsia="仿宋_GB2312" w:cs="Times New Roman"/>
          <w:sz w:val="28"/>
          <w:szCs w:val="28"/>
        </w:rPr>
        <w:t>等为辅的“3+N”现代服务业体系。</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17．“三会一课”制度：</w:t>
      </w:r>
      <w:r>
        <w:rPr>
          <w:rFonts w:ascii="Times New Roman" w:hAnsi="Times New Roman" w:eastAsia="仿宋_GB2312" w:cs="Times New Roman"/>
          <w:sz w:val="28"/>
          <w:szCs w:val="28"/>
        </w:rPr>
        <w:t>“三会”是定期召开支部党员大会、支委会、党小组会；“一课”是按时上好党课。</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18．“三山一界”</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草山、药山、矿山和边界。</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19．“三避让”</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避开地震活动断裂带、避开地质灾害隐患点、避开行洪通道。</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20．“三个离不开”</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汉族离不开少数民族，少数民族离不开汉族，各少数民族之间也互相离不开。</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21．“三区三线”：</w:t>
      </w:r>
      <w:r>
        <w:rPr>
          <w:rFonts w:ascii="Times New Roman" w:hAnsi="Times New Roman" w:eastAsia="仿宋_GB2312" w:cs="Times New Roman"/>
          <w:sz w:val="28"/>
          <w:szCs w:val="28"/>
        </w:rPr>
        <w:t>“三区”，即城镇空间、农业空间、生态空间；“三线”即三条控制线，生态保护红线、永久基本农田保护红线、城镇开发边界。</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22．“三大攻坚战”：</w:t>
      </w:r>
      <w:r>
        <w:rPr>
          <w:rFonts w:ascii="Times New Roman" w:hAnsi="Times New Roman" w:eastAsia="仿宋_GB2312" w:cs="Times New Roman"/>
          <w:sz w:val="28"/>
          <w:szCs w:val="28"/>
        </w:rPr>
        <w:t>防范化解重大风险、精准脱贫、污染防治。</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23.“三权”分置</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形成所有权、承包权、经营权</w:t>
      </w:r>
      <w:r>
        <w:rPr>
          <w:rFonts w:hint="eastAsia" w:ascii="Times New Roman" w:hAnsi="Times New Roman" w:eastAsia="仿宋_GB2312" w:cs="Times New Roman"/>
          <w:sz w:val="28"/>
          <w:szCs w:val="28"/>
          <w:highlight w:val="none"/>
          <w:lang w:eastAsia="zh-CN"/>
        </w:rPr>
        <w:t>“三权”分置</w:t>
      </w:r>
      <w:r>
        <w:rPr>
          <w:rFonts w:ascii="Times New Roman" w:hAnsi="Times New Roman" w:eastAsia="仿宋_GB2312" w:cs="Times New Roman"/>
          <w:sz w:val="28"/>
          <w:szCs w:val="28"/>
        </w:rPr>
        <w:t>，经营权流转的格局。</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24．“三留守”：</w:t>
      </w:r>
      <w:r>
        <w:rPr>
          <w:rFonts w:ascii="Times New Roman" w:hAnsi="Times New Roman" w:eastAsia="仿宋_GB2312" w:cs="Times New Roman"/>
          <w:sz w:val="28"/>
          <w:szCs w:val="28"/>
        </w:rPr>
        <w:t>农村留守老人、农村留守儿童、农村留守妇女。</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25．“三张清单”</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 xml:space="preserve"> “权力清单”“责任清单”和“负面清单”。</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26．“四议两公开一监督”：</w:t>
      </w:r>
      <w:r>
        <w:rPr>
          <w:rFonts w:ascii="Times New Roman" w:hAnsi="Times New Roman" w:eastAsia="仿宋_GB2312" w:cs="Times New Roman"/>
          <w:sz w:val="28"/>
          <w:szCs w:val="28"/>
        </w:rPr>
        <w:t>“四议”即涉及村发展和村民切身利益的重大事项，要经村党支部会提议、“两委”会商议、党员大会审议后，提交村民会议或村民代表会议讨论作出决定；“两公开”即实行村级重大事务决议内容公开和实施结果公开。“一监督”即村重大事项的决议和决议实施全过程要自觉接受党员、村民的监督。</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27．“四个全面”</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全面建设社会主义现代化国家、全面深化改革、全面依法治国、全面从严治党。</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28．“四个自信”</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中国特色社会主义道路自信、理论自信、制度自信、文化自信。</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29．“四个意识”</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政治意识、大局意识、核心意识、看齐意识。</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30．“四大五访”：</w:t>
      </w:r>
      <w:r>
        <w:rPr>
          <w:rFonts w:ascii="Times New Roman" w:hAnsi="Times New Roman" w:eastAsia="仿宋_GB2312" w:cs="Times New Roman"/>
          <w:sz w:val="28"/>
          <w:szCs w:val="28"/>
        </w:rPr>
        <w:t>思想作风大体检、矛盾纠纷大排查、惠民服务大反思、民生工程大整改和开门接访、基层寻访、耐心听访、全员研访、</w:t>
      </w:r>
      <w:r>
        <w:rPr>
          <w:rFonts w:hint="eastAsia" w:ascii="Times New Roman" w:hAnsi="Times New Roman" w:eastAsia="仿宋_GB2312" w:cs="Times New Roman"/>
          <w:sz w:val="28"/>
          <w:szCs w:val="28"/>
        </w:rPr>
        <w:t>全</w:t>
      </w:r>
      <w:r>
        <w:rPr>
          <w:rFonts w:ascii="Times New Roman" w:hAnsi="Times New Roman" w:eastAsia="仿宋_GB2312" w:cs="Times New Roman"/>
          <w:sz w:val="28"/>
          <w:szCs w:val="28"/>
        </w:rPr>
        <w:t>力息访。</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31．“四项责任”：</w:t>
      </w:r>
      <w:r>
        <w:rPr>
          <w:rFonts w:ascii="Times New Roman" w:hAnsi="Times New Roman" w:eastAsia="仿宋_GB2312" w:cs="Times New Roman"/>
          <w:sz w:val="28"/>
          <w:szCs w:val="28"/>
        </w:rPr>
        <w:t>寺庙对僧众的管理责任、对信众的管理责任、对</w:t>
      </w:r>
      <w:r>
        <w:rPr>
          <w:rFonts w:hint="eastAsia" w:ascii="Times New Roman" w:hAnsi="Times New Roman" w:eastAsia="仿宋_GB2312" w:cs="Times New Roman"/>
          <w:sz w:val="28"/>
          <w:szCs w:val="28"/>
          <w:highlight w:val="none"/>
        </w:rPr>
        <w:t>安全的管理</w:t>
      </w:r>
      <w:r>
        <w:rPr>
          <w:rFonts w:ascii="Times New Roman" w:hAnsi="Times New Roman" w:eastAsia="仿宋_GB2312" w:cs="Times New Roman"/>
          <w:sz w:val="28"/>
          <w:szCs w:val="28"/>
        </w:rPr>
        <w:t>责任和对庙产庙财的管理责任。</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32．“四荒”资源</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荒山、荒草地、荒滩和荒水。</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33．“五位一体”：</w:t>
      </w:r>
      <w:r>
        <w:rPr>
          <w:rFonts w:ascii="Times New Roman" w:hAnsi="Times New Roman" w:eastAsia="仿宋_GB2312" w:cs="Times New Roman"/>
          <w:sz w:val="28"/>
          <w:szCs w:val="28"/>
        </w:rPr>
        <w:t>指经济建设、政治建设、文化建设、社会建设和生态文明建设五位一体，全面推进。</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34．“五美寺庙”</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规划建设美、环境秩序美、文明礼貌美、遵纪守法美、僧尼心灵美。</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35．“五个认同”</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对伟大祖国、中华民族、中华文化、中国共产党、中国特色社会主义的认同。</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36．五险一金：</w:t>
      </w:r>
      <w:r>
        <w:rPr>
          <w:rFonts w:ascii="Times New Roman" w:hAnsi="Times New Roman" w:eastAsia="仿宋_GB2312" w:cs="Times New Roman"/>
          <w:sz w:val="28"/>
          <w:szCs w:val="28"/>
        </w:rPr>
        <w:t>包括养老保险、医疗保险、失业保险、工伤保险和生育保险及住房公积金。</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37．“五评一审”：</w:t>
      </w:r>
      <w:r>
        <w:rPr>
          <w:rFonts w:ascii="Times New Roman" w:hAnsi="Times New Roman" w:eastAsia="仿宋_GB2312" w:cs="Times New Roman"/>
          <w:sz w:val="28"/>
          <w:szCs w:val="28"/>
        </w:rPr>
        <w:t>“五评”指寺庙建设环境评估、地质灾害评估、信众需求评估、建设能力评估、四至界限评估。“一审”指寺庙民管会申请，寺管委（所）、乡镇人民政府、县民宗局分级审核后报县政府研究审批，统战部门全程参与。</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38．“六保”“六稳”：</w:t>
      </w:r>
      <w:r>
        <w:rPr>
          <w:rFonts w:ascii="Times New Roman" w:hAnsi="Times New Roman" w:eastAsia="仿宋_GB2312" w:cs="Times New Roman"/>
          <w:sz w:val="28"/>
          <w:szCs w:val="28"/>
        </w:rPr>
        <w:t>“六保”即保居民就业、保基本民生、保市场主体、保粮食能源安全、保产业链供应链稳定、保基层运转；“六稳”即稳就业、稳金融、稳外贸、稳外资、稳投资、稳预期。</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39．“7+2”零距离亲民活动：</w:t>
      </w:r>
      <w:r>
        <w:rPr>
          <w:rFonts w:ascii="Times New Roman" w:hAnsi="Times New Roman" w:eastAsia="仿宋_GB2312" w:cs="Times New Roman"/>
          <w:sz w:val="28"/>
          <w:szCs w:val="28"/>
        </w:rPr>
        <w:t>“贫苦大访问、社情大走访、信息大收集、隐患大排查、矛盾纠纷大调解、违法大处理、犯罪大打击和与僧人交朋友、为寺庙做好事”活动。</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40．“9+3”免费教育</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对涉藏地区学生在完成九年义务教育的基础上，实施3年免费职业教育。</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41．名誉校长“九个一”制度：</w:t>
      </w:r>
      <w:r>
        <w:rPr>
          <w:rFonts w:ascii="Times New Roman" w:hAnsi="Times New Roman" w:eastAsia="仿宋_GB2312" w:cs="Times New Roman"/>
          <w:sz w:val="28"/>
          <w:szCs w:val="28"/>
        </w:rPr>
        <w:t>名誉校（园）长每学年组织专题调研1次；每学期为教师讲1堂以上的课；每学期开展1次以上校园安全大检查；每学期到学校参加1次以上主题活动；每学期参加1次以上家长会；每学期与学生同吃1顿饭；每学期组织非遗进校园活动成果展（演）示1次以上；每学年为学校办1件以上实事；主动参加一年一度的教师节。</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42．“放管服”</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简政放权、放管结合、优化服务。</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43．“雪亮工程”：</w:t>
      </w:r>
      <w:r>
        <w:rPr>
          <w:rFonts w:ascii="Times New Roman" w:hAnsi="Times New Roman" w:eastAsia="仿宋_GB2312" w:cs="Times New Roman"/>
          <w:sz w:val="28"/>
          <w:szCs w:val="28"/>
        </w:rPr>
        <w:t>是以县、乡、村三级综治中心为指挥平台、以综治信息化为支撑、以网格化管理为基础、以公共安全视频监控联网应用为重点的“群众性治安防控工程”。</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44．“种养加”</w:t>
      </w:r>
      <w:r>
        <w:rPr>
          <w:rFonts w:hint="eastAsia" w:ascii="Times New Roman" w:hAnsi="Times New Roman" w:eastAsia="楷体_GB2312" w:cs="Times New Roman"/>
          <w:b/>
          <w:bCs/>
          <w:sz w:val="28"/>
          <w:szCs w:val="28"/>
        </w:rPr>
        <w:t>：</w:t>
      </w:r>
      <w:r>
        <w:rPr>
          <w:rFonts w:ascii="Times New Roman" w:hAnsi="Times New Roman" w:eastAsia="仿宋_GB2312" w:cs="Times New Roman"/>
          <w:sz w:val="28"/>
          <w:szCs w:val="28"/>
        </w:rPr>
        <w:t>种植业、养殖业、农产品加工业结合。</w:t>
      </w:r>
    </w:p>
    <w:p>
      <w:pPr>
        <w:spacing w:line="460" w:lineRule="exact"/>
        <w:ind w:firstLine="562" w:firstLineChars="200"/>
        <w:rPr>
          <w:rFonts w:ascii="Times New Roman" w:hAnsi="Times New Roman" w:eastAsia="仿宋_GB2312" w:cs="Times New Roman"/>
          <w:sz w:val="28"/>
          <w:szCs w:val="28"/>
        </w:rPr>
      </w:pPr>
      <w:r>
        <w:rPr>
          <w:rFonts w:ascii="Times New Roman" w:hAnsi="Times New Roman" w:eastAsia="楷体_GB2312" w:cs="Times New Roman"/>
          <w:b/>
          <w:bCs/>
          <w:sz w:val="28"/>
          <w:szCs w:val="28"/>
        </w:rPr>
        <w:t>45．</w:t>
      </w:r>
      <w:r>
        <w:rPr>
          <w:rFonts w:hint="eastAsia" w:ascii="Times New Roman" w:hAnsi="Times New Roman" w:eastAsia="楷体_GB2312" w:cs="Times New Roman"/>
          <w:b/>
          <w:bCs/>
          <w:sz w:val="28"/>
          <w:szCs w:val="28"/>
        </w:rPr>
        <w:t>慧眼工程：</w:t>
      </w:r>
      <w:r>
        <w:rPr>
          <w:rFonts w:hint="eastAsia" w:ascii="Times New Roman" w:hAnsi="Times New Roman" w:eastAsia="仿宋_GB2312" w:cs="Times New Roman"/>
          <w:sz w:val="28"/>
          <w:szCs w:val="28"/>
        </w:rPr>
        <w:t>引导农牧民群众依托宽带网络在房前屋后、家庭牧场、产业基地等生产生活区域安装视频监控设备，并鼓励将公共视频资源接入上级综治中心和片区派出所，实现实时调度应用，消除农村视频监控盲点，织密农村治安防控网络。</w:t>
      </w:r>
    </w:p>
    <w:sectPr>
      <w:footerReference r:id="rId4" w:type="default"/>
      <w:pgSz w:w="11906" w:h="16838"/>
      <w:pgMar w:top="2098" w:right="1474" w:bottom="1984" w:left="1587"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
    <w:panose1 w:val="02010609060101010101"/>
    <w:charset w:val="86"/>
    <w:family w:val="modern"/>
    <w:pitch w:val="default"/>
    <w:sig w:usb0="800002BF" w:usb1="38CF7CFA" w:usb2="00000016" w:usb3="00000000" w:csb0="00040001" w:csb1="00000000"/>
  </w:font>
  <w:font w:name="Arial Unicode MS">
    <w:altName w:val="宋体"/>
    <w:panose1 w:val="020B0604020202020204"/>
    <w:charset w:val="86"/>
    <w:family w:val="roman"/>
    <w:pitch w:val="default"/>
    <w:sig w:usb0="00000000" w:usb1="00000000" w:usb2="0000003F" w:usb3="00000000" w:csb0="603F01FF" w:csb1="FFFF0000"/>
  </w:font>
  <w:font w:name="方正小标宋_GBK">
    <w:panose1 w:val="03000509000000000000"/>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sz w:val="28"/>
                              <w:szCs w:val="44"/>
                            </w:rPr>
                            <w:id w:val="13421784"/>
                          </w:sdtPr>
                          <w:sdtEndPr>
                            <w:rPr>
                              <w:sz w:val="18"/>
                              <w:szCs w:val="24"/>
                            </w:rPr>
                          </w:sdtEndPr>
                          <w:sdtContent>
                            <w:p>
                              <w:pPr>
                                <w:pStyle w:val="7"/>
                              </w:pP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sdt>
                    <w:sdtPr>
                      <w:rPr>
                        <w:sz w:val="28"/>
                        <w:szCs w:val="44"/>
                      </w:rPr>
                      <w:id w:val="13421784"/>
                    </w:sdtPr>
                    <w:sdtEndPr>
                      <w:rPr>
                        <w:sz w:val="18"/>
                        <w:szCs w:val="24"/>
                      </w:rPr>
                    </w:sdtEndPr>
                    <w:sdtContent>
                      <w:p>
                        <w:pPr>
                          <w:pStyle w:val="7"/>
                        </w:pPr>
                      </w:p>
                    </w:sdtContent>
                  </w:sdt>
                  <w:p/>
                </w:txbxContent>
              </v:textbox>
            </v:shape>
          </w:pict>
        </mc:Fallback>
      </mc:AlternateContent>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64384" behindDoc="0" locked="0" layoutInCell="1" allowOverlap="1">
              <wp:simplePos x="0" y="0"/>
              <wp:positionH relativeFrom="margin">
                <wp:align>inside</wp:align>
              </wp:positionH>
              <wp:positionV relativeFrom="paragraph">
                <wp:posOffset>2540</wp:posOffset>
              </wp:positionV>
              <wp:extent cx="855980" cy="1828800"/>
              <wp:effectExtent l="0" t="0" r="1270" b="10795"/>
              <wp:wrapNone/>
              <wp:docPr id="7" name="文本框 7"/>
              <wp:cNvGraphicFramePr/>
              <a:graphic xmlns:a="http://schemas.openxmlformats.org/drawingml/2006/main">
                <a:graphicData uri="http://schemas.microsoft.com/office/word/2010/wordprocessingShape">
                  <wps:wsp>
                    <wps:cNvSpPr txBox="1"/>
                    <wps:spPr>
                      <a:xfrm>
                        <a:off x="0" y="0"/>
                        <a:ext cx="856034"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fldChar w:fldCharType="begin"/>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instrText xml:space="preserve"> PAGE  \* MERGEFORMAT </w:instrTex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fldChar w:fldCharType="separate"/>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1</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fldChar w:fldCharType="end"/>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 xml:space="preserve"> </w:t>
                          </w:r>
                          <w:r>
                            <w:rPr>
                              <w:rFonts w:hint="eastAsia" w:ascii="仿宋" w:hAnsi="仿宋" w:eastAsia="仿宋" w:cs="仿宋"/>
                              <w:b/>
                              <w:bCs/>
                              <w:color w:val="000000" w:themeColor="text1"/>
                              <w:sz w:val="28"/>
                              <w:szCs w:val="28"/>
                              <w14:textFill>
                                <w14:solidFill>
                                  <w14:schemeClr w14:val="tx1"/>
                                </w14:solidFill>
                              </w14:textFill>
                            </w:rPr>
                            <w:t>—</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2pt;height:144pt;width:67.4pt;mso-position-horizontal:inside;mso-position-horizontal-relative:margin;z-index:251664384;mso-width-relative:page;mso-height-relative:page;" filled="f" stroked="f" coordsize="21600,21600" o:gfxdata="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MIZXfUAAAABQEAAA8AAAAAAAAAAQAgAAAAIgAAAGRycy9kb3ducmV2LnhtbFBL&#10;AQIUABQAAAAIAIdO4kCHJjmuMwIAAFYEAAAOAAAAAAAAAAEAIAAAACMBAABkcnMvZTJvRG9jLnht&#10;bFBLBQYAAAAABgAGAFkBAADIBQAAAAA=&#10;">
              <v:fill on="f" focussize="0,0"/>
              <v:stroke on="f" weight="0.5pt"/>
              <v:imagedata o:title=""/>
              <o:lock v:ext="edit" aspectratio="f"/>
              <v:textbox inset="0mm,0mm,0mm,0mm" style="mso-fit-shape-to-text:t;">
                <w:txbxContent>
                  <w:p>
                    <w:pPr>
                      <w:pStyle w:val="7"/>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 xml:space="preserve">— </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fldChar w:fldCharType="begin"/>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instrText xml:space="preserve"> PAGE  \* MERGEFORMAT </w:instrTex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fldChar w:fldCharType="separate"/>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1</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fldChar w:fldCharType="end"/>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 xml:space="preserve"> </w:t>
                    </w:r>
                    <w:r>
                      <w:rPr>
                        <w:rFonts w:hint="eastAsia" w:ascii="仿宋" w:hAnsi="仿宋" w:eastAsia="仿宋" w:cs="仿宋"/>
                        <w:b/>
                        <w:bCs/>
                        <w:color w:val="000000" w:themeColor="text1"/>
                        <w:sz w:val="28"/>
                        <w:szCs w:val="28"/>
                        <w14:textFill>
                          <w14:solidFill>
                            <w14:schemeClr w14:val="tx1"/>
                          </w14:solidFill>
                        </w14:textFill>
                      </w:rPr>
                      <w:t>—</w:t>
                    </w:r>
                  </w:p>
                </w:txbxContent>
              </v:textbox>
            </v:shape>
          </w:pict>
        </mc:Fallback>
      </mc:AlternateContent>
    </w:r>
  </w:p>
  <w:p>
    <w:pPr>
      <w:pStyle w:val="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B9D1EF8"/>
    <w:multiLevelType w:val="singleLevel"/>
    <w:tmpl w:val="9B9D1EF8"/>
    <w:lvl w:ilvl="0" w:tentative="0">
      <w:start w:val="3"/>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103"/>
    <w:rsid w:val="00041DFC"/>
    <w:rsid w:val="00045391"/>
    <w:rsid w:val="00046541"/>
    <w:rsid w:val="0006282B"/>
    <w:rsid w:val="00065EEA"/>
    <w:rsid w:val="000836A9"/>
    <w:rsid w:val="00096045"/>
    <w:rsid w:val="000A3124"/>
    <w:rsid w:val="000A7990"/>
    <w:rsid w:val="00102616"/>
    <w:rsid w:val="00124B3B"/>
    <w:rsid w:val="00150B1F"/>
    <w:rsid w:val="00152A86"/>
    <w:rsid w:val="00171F2E"/>
    <w:rsid w:val="00187008"/>
    <w:rsid w:val="001A03AC"/>
    <w:rsid w:val="001D7318"/>
    <w:rsid w:val="001E0F75"/>
    <w:rsid w:val="001E247C"/>
    <w:rsid w:val="002028C0"/>
    <w:rsid w:val="00202B0B"/>
    <w:rsid w:val="0020540D"/>
    <w:rsid w:val="002100F1"/>
    <w:rsid w:val="002213E0"/>
    <w:rsid w:val="00243D3C"/>
    <w:rsid w:val="0024466B"/>
    <w:rsid w:val="00244941"/>
    <w:rsid w:val="002470C2"/>
    <w:rsid w:val="00265D50"/>
    <w:rsid w:val="002672C1"/>
    <w:rsid w:val="0028003E"/>
    <w:rsid w:val="00292553"/>
    <w:rsid w:val="00297458"/>
    <w:rsid w:val="002975F9"/>
    <w:rsid w:val="002C494E"/>
    <w:rsid w:val="002C75B9"/>
    <w:rsid w:val="002D2CEC"/>
    <w:rsid w:val="002E2B97"/>
    <w:rsid w:val="002E51D7"/>
    <w:rsid w:val="002E59E6"/>
    <w:rsid w:val="002F2FC0"/>
    <w:rsid w:val="002F5D11"/>
    <w:rsid w:val="00303016"/>
    <w:rsid w:val="003037B2"/>
    <w:rsid w:val="00304932"/>
    <w:rsid w:val="00324410"/>
    <w:rsid w:val="00330290"/>
    <w:rsid w:val="00343931"/>
    <w:rsid w:val="00345F25"/>
    <w:rsid w:val="00353E88"/>
    <w:rsid w:val="00357773"/>
    <w:rsid w:val="00357AA8"/>
    <w:rsid w:val="003778BF"/>
    <w:rsid w:val="003A3E21"/>
    <w:rsid w:val="003B7171"/>
    <w:rsid w:val="003C393E"/>
    <w:rsid w:val="003D31B4"/>
    <w:rsid w:val="003F1160"/>
    <w:rsid w:val="004000AC"/>
    <w:rsid w:val="004050C4"/>
    <w:rsid w:val="004347B3"/>
    <w:rsid w:val="00451575"/>
    <w:rsid w:val="00456CC5"/>
    <w:rsid w:val="004742B3"/>
    <w:rsid w:val="00480E50"/>
    <w:rsid w:val="00486653"/>
    <w:rsid w:val="00497A5D"/>
    <w:rsid w:val="004B013B"/>
    <w:rsid w:val="004B022E"/>
    <w:rsid w:val="004C373E"/>
    <w:rsid w:val="004C391B"/>
    <w:rsid w:val="004C5051"/>
    <w:rsid w:val="004D262E"/>
    <w:rsid w:val="004D35F4"/>
    <w:rsid w:val="004F5D79"/>
    <w:rsid w:val="0051327C"/>
    <w:rsid w:val="00525377"/>
    <w:rsid w:val="00525771"/>
    <w:rsid w:val="00537929"/>
    <w:rsid w:val="00543902"/>
    <w:rsid w:val="0054461D"/>
    <w:rsid w:val="00570E59"/>
    <w:rsid w:val="0058249D"/>
    <w:rsid w:val="00584630"/>
    <w:rsid w:val="005913D9"/>
    <w:rsid w:val="0059181B"/>
    <w:rsid w:val="00594AAD"/>
    <w:rsid w:val="005A20CE"/>
    <w:rsid w:val="005A4F2C"/>
    <w:rsid w:val="005B7808"/>
    <w:rsid w:val="005C1751"/>
    <w:rsid w:val="005C61EC"/>
    <w:rsid w:val="005C7692"/>
    <w:rsid w:val="005D7157"/>
    <w:rsid w:val="005E0141"/>
    <w:rsid w:val="005E0B58"/>
    <w:rsid w:val="005E4232"/>
    <w:rsid w:val="005E43CD"/>
    <w:rsid w:val="005F24C6"/>
    <w:rsid w:val="00610505"/>
    <w:rsid w:val="0061537F"/>
    <w:rsid w:val="0061795C"/>
    <w:rsid w:val="00656DB0"/>
    <w:rsid w:val="00666FB7"/>
    <w:rsid w:val="006A75ED"/>
    <w:rsid w:val="006B6A29"/>
    <w:rsid w:val="006B75DC"/>
    <w:rsid w:val="006C6416"/>
    <w:rsid w:val="006C73CA"/>
    <w:rsid w:val="006D1452"/>
    <w:rsid w:val="006D559D"/>
    <w:rsid w:val="006F0C40"/>
    <w:rsid w:val="0070245A"/>
    <w:rsid w:val="00702EB0"/>
    <w:rsid w:val="00705221"/>
    <w:rsid w:val="007170B1"/>
    <w:rsid w:val="00717168"/>
    <w:rsid w:val="00722C10"/>
    <w:rsid w:val="00727621"/>
    <w:rsid w:val="00737817"/>
    <w:rsid w:val="007555D3"/>
    <w:rsid w:val="007669BA"/>
    <w:rsid w:val="00776244"/>
    <w:rsid w:val="007A771C"/>
    <w:rsid w:val="007B3160"/>
    <w:rsid w:val="007B73AA"/>
    <w:rsid w:val="007C0184"/>
    <w:rsid w:val="007C30D8"/>
    <w:rsid w:val="007D7158"/>
    <w:rsid w:val="007E61DD"/>
    <w:rsid w:val="00802097"/>
    <w:rsid w:val="00813E09"/>
    <w:rsid w:val="00822D12"/>
    <w:rsid w:val="008324AF"/>
    <w:rsid w:val="00844C64"/>
    <w:rsid w:val="00861A0F"/>
    <w:rsid w:val="00865779"/>
    <w:rsid w:val="008716EE"/>
    <w:rsid w:val="00873853"/>
    <w:rsid w:val="0087386B"/>
    <w:rsid w:val="00875749"/>
    <w:rsid w:val="00883082"/>
    <w:rsid w:val="008A2F62"/>
    <w:rsid w:val="008B2A7B"/>
    <w:rsid w:val="008B5961"/>
    <w:rsid w:val="008C18C6"/>
    <w:rsid w:val="008E01AD"/>
    <w:rsid w:val="008E0AD2"/>
    <w:rsid w:val="009013FE"/>
    <w:rsid w:val="00920B5C"/>
    <w:rsid w:val="00941DE4"/>
    <w:rsid w:val="00944310"/>
    <w:rsid w:val="00954BE8"/>
    <w:rsid w:val="0096270F"/>
    <w:rsid w:val="0098103C"/>
    <w:rsid w:val="00982FE1"/>
    <w:rsid w:val="00994E65"/>
    <w:rsid w:val="009A0359"/>
    <w:rsid w:val="009A2594"/>
    <w:rsid w:val="009D6950"/>
    <w:rsid w:val="009F6BC7"/>
    <w:rsid w:val="00A03704"/>
    <w:rsid w:val="00A12202"/>
    <w:rsid w:val="00A30D38"/>
    <w:rsid w:val="00A43216"/>
    <w:rsid w:val="00A72394"/>
    <w:rsid w:val="00A8155B"/>
    <w:rsid w:val="00A8742D"/>
    <w:rsid w:val="00AA7996"/>
    <w:rsid w:val="00AB78EC"/>
    <w:rsid w:val="00AD1A45"/>
    <w:rsid w:val="00AD6C6B"/>
    <w:rsid w:val="00AE6160"/>
    <w:rsid w:val="00AF48EE"/>
    <w:rsid w:val="00AF5E86"/>
    <w:rsid w:val="00B101FE"/>
    <w:rsid w:val="00B11368"/>
    <w:rsid w:val="00B13EC0"/>
    <w:rsid w:val="00B2422D"/>
    <w:rsid w:val="00B31C41"/>
    <w:rsid w:val="00B45D1D"/>
    <w:rsid w:val="00B47C2D"/>
    <w:rsid w:val="00B613D4"/>
    <w:rsid w:val="00B72D1C"/>
    <w:rsid w:val="00B74540"/>
    <w:rsid w:val="00B802C6"/>
    <w:rsid w:val="00BB5188"/>
    <w:rsid w:val="00BC16CD"/>
    <w:rsid w:val="00BC54DF"/>
    <w:rsid w:val="00BD22F3"/>
    <w:rsid w:val="00BD25CB"/>
    <w:rsid w:val="00BE1CC7"/>
    <w:rsid w:val="00BF4704"/>
    <w:rsid w:val="00C20FAE"/>
    <w:rsid w:val="00C539F8"/>
    <w:rsid w:val="00C54C4A"/>
    <w:rsid w:val="00C55E97"/>
    <w:rsid w:val="00C64460"/>
    <w:rsid w:val="00C71B06"/>
    <w:rsid w:val="00C84BB9"/>
    <w:rsid w:val="00CA1426"/>
    <w:rsid w:val="00CA180C"/>
    <w:rsid w:val="00D3098A"/>
    <w:rsid w:val="00D32552"/>
    <w:rsid w:val="00D42C8D"/>
    <w:rsid w:val="00D4367F"/>
    <w:rsid w:val="00D44CDE"/>
    <w:rsid w:val="00D45940"/>
    <w:rsid w:val="00D64151"/>
    <w:rsid w:val="00D656F5"/>
    <w:rsid w:val="00D65EF1"/>
    <w:rsid w:val="00D75B98"/>
    <w:rsid w:val="00D86E0F"/>
    <w:rsid w:val="00D9445D"/>
    <w:rsid w:val="00DC0823"/>
    <w:rsid w:val="00DC7FF8"/>
    <w:rsid w:val="00DE60C1"/>
    <w:rsid w:val="00DE6505"/>
    <w:rsid w:val="00E142A1"/>
    <w:rsid w:val="00E17551"/>
    <w:rsid w:val="00E20103"/>
    <w:rsid w:val="00E250D1"/>
    <w:rsid w:val="00E30BE4"/>
    <w:rsid w:val="00E32DC4"/>
    <w:rsid w:val="00E45EA0"/>
    <w:rsid w:val="00E612BB"/>
    <w:rsid w:val="00E67C79"/>
    <w:rsid w:val="00E7369B"/>
    <w:rsid w:val="00E76376"/>
    <w:rsid w:val="00E76AA0"/>
    <w:rsid w:val="00E874F8"/>
    <w:rsid w:val="00E94F8C"/>
    <w:rsid w:val="00EB2D7F"/>
    <w:rsid w:val="00ED56FF"/>
    <w:rsid w:val="00F1377D"/>
    <w:rsid w:val="00F23295"/>
    <w:rsid w:val="00F36917"/>
    <w:rsid w:val="00F36B13"/>
    <w:rsid w:val="00F402DF"/>
    <w:rsid w:val="00F42486"/>
    <w:rsid w:val="00F440A0"/>
    <w:rsid w:val="00F5502D"/>
    <w:rsid w:val="00F70756"/>
    <w:rsid w:val="00F958BC"/>
    <w:rsid w:val="00F975BF"/>
    <w:rsid w:val="00FB7866"/>
    <w:rsid w:val="00FC10F4"/>
    <w:rsid w:val="00FC1A87"/>
    <w:rsid w:val="00FC75D9"/>
    <w:rsid w:val="00FF1BAD"/>
    <w:rsid w:val="01B333CB"/>
    <w:rsid w:val="01C621F6"/>
    <w:rsid w:val="03F07FB5"/>
    <w:rsid w:val="0513589C"/>
    <w:rsid w:val="06003BB7"/>
    <w:rsid w:val="0730734E"/>
    <w:rsid w:val="07E672F8"/>
    <w:rsid w:val="095E0571"/>
    <w:rsid w:val="0AE42AA9"/>
    <w:rsid w:val="0AF26792"/>
    <w:rsid w:val="0C1B6A3B"/>
    <w:rsid w:val="0C58104D"/>
    <w:rsid w:val="0C6F641E"/>
    <w:rsid w:val="0CF02E2E"/>
    <w:rsid w:val="0DB872ED"/>
    <w:rsid w:val="0DD74366"/>
    <w:rsid w:val="0E4674DE"/>
    <w:rsid w:val="0F6C31AE"/>
    <w:rsid w:val="0F9275D7"/>
    <w:rsid w:val="11DB721A"/>
    <w:rsid w:val="129E5881"/>
    <w:rsid w:val="134E4C2B"/>
    <w:rsid w:val="13E1059D"/>
    <w:rsid w:val="14BC3226"/>
    <w:rsid w:val="14D01BDD"/>
    <w:rsid w:val="15A2267C"/>
    <w:rsid w:val="18957924"/>
    <w:rsid w:val="1912308F"/>
    <w:rsid w:val="1A1A5908"/>
    <w:rsid w:val="1AA21B36"/>
    <w:rsid w:val="1B106B3F"/>
    <w:rsid w:val="1B3E27AF"/>
    <w:rsid w:val="1DE8699A"/>
    <w:rsid w:val="1EFB63B6"/>
    <w:rsid w:val="1F385D42"/>
    <w:rsid w:val="2091727B"/>
    <w:rsid w:val="2103711C"/>
    <w:rsid w:val="22EC3576"/>
    <w:rsid w:val="22FA116A"/>
    <w:rsid w:val="232F775A"/>
    <w:rsid w:val="24385AAA"/>
    <w:rsid w:val="24642CEE"/>
    <w:rsid w:val="24BF19CC"/>
    <w:rsid w:val="24DF29C0"/>
    <w:rsid w:val="258A42A7"/>
    <w:rsid w:val="26371D88"/>
    <w:rsid w:val="29C630CB"/>
    <w:rsid w:val="2A2A1E21"/>
    <w:rsid w:val="2B16002D"/>
    <w:rsid w:val="2C934F86"/>
    <w:rsid w:val="2D336B7F"/>
    <w:rsid w:val="2E5535AD"/>
    <w:rsid w:val="2FCC0016"/>
    <w:rsid w:val="30BC0EC1"/>
    <w:rsid w:val="30C35179"/>
    <w:rsid w:val="33EE43E7"/>
    <w:rsid w:val="33FD0B01"/>
    <w:rsid w:val="343923EC"/>
    <w:rsid w:val="345500E3"/>
    <w:rsid w:val="34DF1CD8"/>
    <w:rsid w:val="35142027"/>
    <w:rsid w:val="35713D97"/>
    <w:rsid w:val="3618791B"/>
    <w:rsid w:val="36F57E01"/>
    <w:rsid w:val="37C740C5"/>
    <w:rsid w:val="381F506F"/>
    <w:rsid w:val="3B2713E0"/>
    <w:rsid w:val="3BB24EDC"/>
    <w:rsid w:val="3BB974B7"/>
    <w:rsid w:val="3C352279"/>
    <w:rsid w:val="3C4E378E"/>
    <w:rsid w:val="41130C3B"/>
    <w:rsid w:val="448E7D9B"/>
    <w:rsid w:val="449257EE"/>
    <w:rsid w:val="45843FBC"/>
    <w:rsid w:val="46D527D5"/>
    <w:rsid w:val="47271F7E"/>
    <w:rsid w:val="47DA678E"/>
    <w:rsid w:val="47F0060C"/>
    <w:rsid w:val="481E73E9"/>
    <w:rsid w:val="48CB7055"/>
    <w:rsid w:val="4AB44866"/>
    <w:rsid w:val="4ABC3D7E"/>
    <w:rsid w:val="4B5250D9"/>
    <w:rsid w:val="4B9415D9"/>
    <w:rsid w:val="4D3E0EEC"/>
    <w:rsid w:val="4D511B91"/>
    <w:rsid w:val="4DDE41CB"/>
    <w:rsid w:val="4EE813A3"/>
    <w:rsid w:val="4FAE0D59"/>
    <w:rsid w:val="505473D8"/>
    <w:rsid w:val="50656EAA"/>
    <w:rsid w:val="507164E8"/>
    <w:rsid w:val="53D15665"/>
    <w:rsid w:val="54842705"/>
    <w:rsid w:val="54A25E4B"/>
    <w:rsid w:val="55DF08F0"/>
    <w:rsid w:val="57052A2A"/>
    <w:rsid w:val="57747138"/>
    <w:rsid w:val="57EE5AF8"/>
    <w:rsid w:val="5B9A68BA"/>
    <w:rsid w:val="5C114232"/>
    <w:rsid w:val="5E35397D"/>
    <w:rsid w:val="5F3B18FA"/>
    <w:rsid w:val="60140552"/>
    <w:rsid w:val="62084334"/>
    <w:rsid w:val="622342F6"/>
    <w:rsid w:val="63374E05"/>
    <w:rsid w:val="63595A01"/>
    <w:rsid w:val="635D356D"/>
    <w:rsid w:val="64CD4F6C"/>
    <w:rsid w:val="65746759"/>
    <w:rsid w:val="65924324"/>
    <w:rsid w:val="666F2F00"/>
    <w:rsid w:val="67F13534"/>
    <w:rsid w:val="6A2C0523"/>
    <w:rsid w:val="6BED3C69"/>
    <w:rsid w:val="6FE66F55"/>
    <w:rsid w:val="70EC7459"/>
    <w:rsid w:val="72BB6062"/>
    <w:rsid w:val="769372F6"/>
    <w:rsid w:val="77A5375C"/>
    <w:rsid w:val="78AA50A7"/>
    <w:rsid w:val="78B75E23"/>
    <w:rsid w:val="795D5F2E"/>
    <w:rsid w:val="7A633405"/>
    <w:rsid w:val="7A6857EF"/>
    <w:rsid w:val="7B344BEE"/>
    <w:rsid w:val="7B427EB4"/>
    <w:rsid w:val="7B964364"/>
    <w:rsid w:val="7D3E2A96"/>
    <w:rsid w:val="7E487950"/>
    <w:rsid w:val="7F7820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Lines="0" w:beforeAutospacing="0" w:after="480" w:afterLines="0" w:afterAutospacing="0" w:line="400" w:lineRule="exact"/>
      <w:ind w:firstLine="0" w:firstLineChars="0"/>
      <w:jc w:val="center"/>
      <w:outlineLvl w:val="0"/>
    </w:pPr>
    <w:rPr>
      <w:rFonts w:ascii="Calibri" w:hAnsi="Calibri" w:eastAsia="黑体" w:cs="Times New Roman"/>
      <w:b/>
      <w:kern w:val="44"/>
      <w:sz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Plain Text"/>
    <w:basedOn w:val="1"/>
    <w:qFormat/>
    <w:uiPriority w:val="0"/>
    <w:rPr>
      <w:rFonts w:ascii="宋体" w:hAnsi="宋体" w:eastAsia="仿宋" w:cs="Arial Unicode MS"/>
      <w:kern w:val="0"/>
      <w:sz w:val="32"/>
      <w:szCs w:val="21"/>
      <w:lang w:bidi="bo-CN"/>
    </w:rPr>
  </w:style>
  <w:style w:type="paragraph" w:styleId="5">
    <w:name w:val="Date"/>
    <w:basedOn w:val="1"/>
    <w:next w:val="1"/>
    <w:link w:val="21"/>
    <w:qFormat/>
    <w:uiPriority w:val="0"/>
    <w:pPr>
      <w:ind w:left="100" w:leftChars="2500"/>
    </w:pPr>
  </w:style>
  <w:style w:type="paragraph" w:styleId="6">
    <w:name w:val="Balloon Text"/>
    <w:basedOn w:val="1"/>
    <w:link w:val="16"/>
    <w:qFormat/>
    <w:uiPriority w:val="0"/>
    <w:rPr>
      <w:sz w:val="18"/>
      <w:szCs w:val="18"/>
    </w:rPr>
  </w:style>
  <w:style w:type="paragraph" w:styleId="7">
    <w:name w:val="footer"/>
    <w:basedOn w:val="1"/>
    <w:link w:val="22"/>
    <w:qFormat/>
    <w:uiPriority w:val="99"/>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toc 1"/>
    <w:basedOn w:val="1"/>
    <w:next w:val="1"/>
    <w:qFormat/>
    <w:uiPriority w:val="39"/>
    <w:pPr>
      <w:tabs>
        <w:tab w:val="right" w:leader="dot" w:pos="8835"/>
      </w:tabs>
      <w:adjustRightInd w:val="0"/>
      <w:snapToGrid w:val="0"/>
      <w:spacing w:line="560" w:lineRule="atLeast"/>
    </w:pPr>
    <w:rPr>
      <w:rFonts w:ascii="Times New Roman" w:hAnsi="Times New Roman" w:eastAsia="方正小标宋_GBK" w:cs="Times New Roman"/>
      <w:b/>
      <w:bCs/>
      <w:sz w:val="30"/>
      <w:szCs w:val="30"/>
    </w:rPr>
  </w:style>
  <w:style w:type="paragraph" w:styleId="10">
    <w:name w:val="toc 2"/>
    <w:basedOn w:val="1"/>
    <w:next w:val="1"/>
    <w:qFormat/>
    <w:uiPriority w:val="39"/>
    <w:pPr>
      <w:tabs>
        <w:tab w:val="right" w:leader="dot" w:pos="8835"/>
      </w:tabs>
      <w:adjustRightInd w:val="0"/>
      <w:snapToGrid w:val="0"/>
      <w:spacing w:line="560" w:lineRule="atLeast"/>
      <w:ind w:left="420" w:leftChars="200"/>
    </w:pPr>
    <w:rPr>
      <w:rFonts w:ascii="Times New Roman" w:hAnsi="Times New Roman" w:eastAsia="宋体" w:cs="Times New Roman"/>
      <w:b/>
      <w:bCs/>
      <w:sz w:val="28"/>
      <w:szCs w:val="28"/>
    </w:rPr>
  </w:style>
  <w:style w:type="table" w:styleId="12">
    <w:name w:val="Table Grid"/>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styleId="15">
    <w:name w:val="annotation reference"/>
    <w:basedOn w:val="13"/>
    <w:qFormat/>
    <w:uiPriority w:val="0"/>
    <w:rPr>
      <w:sz w:val="21"/>
      <w:szCs w:val="21"/>
    </w:rPr>
  </w:style>
  <w:style w:type="character" w:customStyle="1" w:styleId="16">
    <w:name w:val="批注框文本 字符"/>
    <w:basedOn w:val="13"/>
    <w:link w:val="6"/>
    <w:qFormat/>
    <w:uiPriority w:val="0"/>
    <w:rPr>
      <w:kern w:val="2"/>
      <w:sz w:val="18"/>
      <w:szCs w:val="18"/>
    </w:rPr>
  </w:style>
  <w:style w:type="paragraph" w:styleId="17">
    <w:name w:val="List Paragraph"/>
    <w:basedOn w:val="1"/>
    <w:qFormat/>
    <w:uiPriority w:val="99"/>
    <w:pPr>
      <w:ind w:firstLine="420" w:firstLineChars="200"/>
    </w:pPr>
  </w:style>
  <w:style w:type="paragraph" w:customStyle="1" w:styleId="18">
    <w:name w:val="WPSOffice手动目录 1"/>
    <w:qFormat/>
    <w:uiPriority w:val="0"/>
    <w:rPr>
      <w:rFonts w:ascii="Times New Roman" w:hAnsi="Times New Roman" w:eastAsia="宋体" w:cs="Times New Roman"/>
      <w:lang w:val="en-US" w:eastAsia="zh-CN" w:bidi="ar-SA"/>
    </w:rPr>
  </w:style>
  <w:style w:type="paragraph" w:customStyle="1" w:styleId="19">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20">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21">
    <w:name w:val="日期 字符"/>
    <w:basedOn w:val="13"/>
    <w:link w:val="5"/>
    <w:qFormat/>
    <w:uiPriority w:val="0"/>
    <w:rPr>
      <w:rFonts w:asciiTheme="minorHAnsi" w:hAnsiTheme="minorHAnsi" w:eastAsiaTheme="minorEastAsia" w:cstheme="minorBidi"/>
      <w:kern w:val="2"/>
      <w:sz w:val="21"/>
      <w:szCs w:val="24"/>
    </w:rPr>
  </w:style>
  <w:style w:type="character" w:customStyle="1" w:styleId="22">
    <w:name w:val="页脚 字符"/>
    <w:basedOn w:val="13"/>
    <w:link w:val="7"/>
    <w:qFormat/>
    <w:uiPriority w:val="99"/>
    <w:rPr>
      <w:rFonts w:asciiTheme="minorHAnsi" w:hAnsiTheme="minorHAnsi" w:eastAsiaTheme="minorEastAsia" w:cstheme="minorBidi"/>
      <w:kern w:val="2"/>
      <w:sz w:val="18"/>
      <w:szCs w:val="24"/>
    </w:rPr>
  </w:style>
  <w:style w:type="paragraph" w:customStyle="1" w:styleId="23">
    <w:name w:val="p0"/>
    <w:basedOn w:val="1"/>
    <w:qFormat/>
    <w:uiPriority w:val="0"/>
    <w:pPr>
      <w:widowControl/>
      <w:spacing w:line="408" w:lineRule="auto"/>
      <w:ind w:left="1"/>
      <w:textAlignment w:val="bottom"/>
    </w:pPr>
    <w:rPr>
      <w:color w:val="000000"/>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851A07-9B9A-4226-9F51-523DD5544755}">
  <ds:schemaRefs/>
</ds:datastoreItem>
</file>

<file path=docProps/app.xml><?xml version="1.0" encoding="utf-8"?>
<Properties xmlns="http://schemas.openxmlformats.org/officeDocument/2006/extended-properties" xmlns:vt="http://schemas.openxmlformats.org/officeDocument/2006/docPropsVTypes">
  <Template>Normal</Template>
  <Pages>162</Pages>
  <Words>83362</Words>
  <Characters>84787</Characters>
  <Lines>637</Lines>
  <Paragraphs>179</Paragraphs>
  <TotalTime>8</TotalTime>
  <ScaleCrop>false</ScaleCrop>
  <LinksUpToDate>false</LinksUpToDate>
  <CharactersWithSpaces>86204</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2021-03-15T03:28:00Z</dcterms:created>
  <dc:creator>Administrator</dc:creator>
  <cp:lastModifiedBy>雪域谪仙</cp:lastModifiedBy>
  <cp:lastPrinted>2021-03-21T11:52:00Z</cp:lastPrinted>
  <dcterms:modified xsi:type="dcterms:W3CDTF">2021-04-22T14:13:59Z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KSOSaveFontToCloudKey">
    <vt:lpwstr>231388207_cloud</vt:lpwstr>
  </property>
  <property fmtid="{D5CDD505-2E9C-101B-9397-08002B2CF9AE}" pid="4" name="ICV">
    <vt:lpwstr>5F4BE194352647CE8064AE16C44D94C4</vt:lpwstr>
  </property>
</Properties>
</file>