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olor w:val="auto"/>
          <w:sz w:val="44"/>
          <w:szCs w:val="44"/>
        </w:rPr>
      </w:pPr>
    </w:p>
    <w:p>
      <w:pPr>
        <w:keepNext w:val="0"/>
        <w:keepLines w:val="0"/>
        <w:pageBreakBefore w:val="0"/>
        <w:widowControl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olor w:val="auto"/>
          <w:sz w:val="44"/>
          <w:szCs w:val="44"/>
        </w:rPr>
      </w:pPr>
    </w:p>
    <w:p>
      <w:pPr>
        <w:spacing w:line="576" w:lineRule="exact"/>
        <w:jc w:val="center"/>
        <w:rPr>
          <w:rFonts w:cs="Times New Roman"/>
          <w:color w:val="auto"/>
        </w:rPr>
      </w:pPr>
    </w:p>
    <w:p>
      <w:pPr>
        <w:spacing w:line="576" w:lineRule="exact"/>
        <w:jc w:val="center"/>
        <w:rPr>
          <w:rFonts w:cs="Times New Roman"/>
          <w:color w:val="auto"/>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Times New Roman"/>
          <w:color w:val="auto"/>
          <w:kern w:val="2"/>
          <w:sz w:val="44"/>
          <w:szCs w:val="44"/>
          <w:lang w:val="en-US" w:eastAsia="zh-CN" w:bidi="ar-SA"/>
        </w:rPr>
      </w:pPr>
      <w:r>
        <w:rPr>
          <w:rFonts w:hint="eastAsia" w:ascii="方正小标宋简体" w:hAnsi="方正小标宋简体" w:eastAsia="方正小标宋简体" w:cs="Times New Roman"/>
          <w:color w:val="auto"/>
          <w:kern w:val="2"/>
          <w:sz w:val="44"/>
          <w:szCs w:val="44"/>
          <w:lang w:val="en-US" w:eastAsia="zh-CN" w:bidi="ar-SA"/>
        </w:rPr>
        <w:t>金川县国民经济和社会发展</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简体" w:hAnsi="方正小标宋简体" w:eastAsia="方正小标宋简体" w:cs="Times New Roman"/>
          <w:color w:val="auto"/>
          <w:kern w:val="2"/>
          <w:sz w:val="44"/>
          <w:szCs w:val="44"/>
          <w:lang w:val="en-US" w:eastAsia="zh-CN" w:bidi="ar-SA"/>
        </w:rPr>
      </w:pPr>
      <w:r>
        <w:rPr>
          <w:rFonts w:hint="eastAsia" w:ascii="方正小标宋简体" w:hAnsi="方正小标宋简体" w:eastAsia="方正小标宋简体" w:cs="Times New Roman"/>
          <w:color w:val="auto"/>
          <w:kern w:val="2"/>
          <w:sz w:val="44"/>
          <w:szCs w:val="44"/>
          <w:lang w:val="en-US" w:eastAsia="zh-CN" w:bidi="ar-SA"/>
        </w:rPr>
        <w:t>第十四个五年规划和二O三五年远景目标</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eastAsia="方正小标宋简体" w:cs="Times New Roman"/>
          <w:color w:val="auto"/>
          <w:kern w:val="0"/>
          <w:sz w:val="56"/>
          <w:szCs w:val="56"/>
        </w:rPr>
      </w:pPr>
      <w:r>
        <w:rPr>
          <w:rFonts w:hint="eastAsia" w:ascii="方正小标宋简体" w:hAnsi="方正小标宋简体" w:eastAsia="方正小标宋简体" w:cs="Times New Roman"/>
          <w:color w:val="auto"/>
          <w:kern w:val="2"/>
          <w:sz w:val="44"/>
          <w:szCs w:val="44"/>
          <w:lang w:val="en-US" w:eastAsia="zh-CN" w:bidi="ar-SA"/>
        </w:rPr>
        <w:t>纲要</w:t>
      </w: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both"/>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cs="Times New Roman"/>
          <w:color w:val="auto"/>
        </w:rPr>
      </w:pPr>
    </w:p>
    <w:p>
      <w:pPr>
        <w:spacing w:line="576"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金川县人民政府</w:t>
      </w:r>
    </w:p>
    <w:p>
      <w:pPr>
        <w:spacing w:line="576"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2021年</w:t>
      </w:r>
      <w:r>
        <w:rPr>
          <w:rFonts w:hint="default" w:ascii="Times New Roman" w:hAnsi="Times New Roman" w:cs="Times New Roman"/>
          <w:color w:val="auto"/>
          <w:lang w:val="en-US" w:eastAsia="zh-CN"/>
        </w:rPr>
        <w:t>3</w:t>
      </w:r>
      <w:r>
        <w:rPr>
          <w:rFonts w:hint="default" w:ascii="Times New Roman" w:hAnsi="Times New Roman" w:eastAsia="仿宋_GB2312" w:cs="Times New Roman"/>
          <w:color w:val="auto"/>
        </w:rPr>
        <w:t>月</w:t>
      </w:r>
    </w:p>
    <w:p>
      <w:pPr>
        <w:rPr>
          <w:rFonts w:eastAsia="黑体" w:cs="Times New Roman"/>
          <w:color w:val="auto"/>
        </w:rPr>
      </w:pPr>
      <w:r>
        <w:rPr>
          <w:rFonts w:eastAsia="黑体" w:cs="Times New Roman"/>
          <w:color w:val="auto"/>
        </w:rPr>
        <w:br w:type="page"/>
      </w:r>
    </w:p>
    <w:p>
      <w:pPr>
        <w:pStyle w:val="14"/>
        <w:rPr>
          <w:color w:val="auto"/>
        </w:rPr>
        <w:sectPr>
          <w:footerReference r:id="rId3" w:type="default"/>
          <w:pgSz w:w="11906" w:h="16838"/>
          <w:pgMar w:top="1984" w:right="1474" w:bottom="1871" w:left="1587" w:header="851" w:footer="992" w:gutter="0"/>
          <w:pgNumType w:fmt="upperRoman"/>
          <w:cols w:space="425" w:num="1"/>
          <w:docGrid w:type="lines" w:linePitch="312" w:charSpace="0"/>
        </w:sectPr>
      </w:pPr>
    </w:p>
    <w:p>
      <w:pPr>
        <w:spacing w:line="576" w:lineRule="exact"/>
        <w:jc w:val="center"/>
        <w:rPr>
          <w:rFonts w:eastAsia="宋体" w:cs="Times New Roman"/>
          <w:b/>
          <w:bCs/>
          <w:color w:val="auto"/>
          <w:sz w:val="44"/>
          <w:szCs w:val="32"/>
        </w:rPr>
      </w:pPr>
      <w:r>
        <w:rPr>
          <w:rFonts w:eastAsia="宋体" w:cs="Times New Roman"/>
          <w:b/>
          <w:bCs/>
          <w:color w:val="auto"/>
          <w:sz w:val="44"/>
          <w:szCs w:val="32"/>
        </w:rPr>
        <w:t>目  录</w:t>
      </w:r>
    </w:p>
    <w:sdt>
      <w:sdtPr>
        <w:rPr>
          <w:rFonts w:ascii="宋体" w:hAnsi="宋体" w:eastAsia="宋体" w:cstheme="minorBidi"/>
          <w:color w:val="auto"/>
          <w:kern w:val="2"/>
          <w:sz w:val="21"/>
          <w:szCs w:val="22"/>
          <w:lang w:val="en-US" w:eastAsia="zh-CN" w:bidi="ar-SA"/>
        </w:rPr>
        <w:id w:val="147464162"/>
        <w15:color w:val="DBDBDB"/>
      </w:sdtPr>
      <w:sdtEndPr>
        <w:rPr>
          <w:rFonts w:ascii="宋体" w:hAnsi="宋体" w:eastAsia="宋体" w:cstheme="minorBidi"/>
          <w:color w:val="auto"/>
          <w:kern w:val="2"/>
          <w:sz w:val="21"/>
          <w:szCs w:val="22"/>
          <w:lang w:val="en-US" w:eastAsia="zh-CN" w:bidi="ar-SA"/>
        </w:rPr>
      </w:sdtEndPr>
      <w:sdtContent>
        <w:p>
          <w:pPr>
            <w:rPr>
              <w:rFonts w:ascii="Times New Roman" w:hAnsi="Times New Roman" w:eastAsia="仿宋_GB2312" w:cstheme="minorBidi"/>
              <w:color w:val="auto"/>
              <w:kern w:val="2"/>
              <w:sz w:val="32"/>
              <w:szCs w:val="22"/>
              <w:lang w:val="en-US" w:eastAsia="zh-CN" w:bidi="ar-SA"/>
            </w:rPr>
          </w:pPr>
          <w:bookmarkStart w:id="0" w:name="_Toc30609"/>
          <w:bookmarkStart w:id="1" w:name="_Toc9655"/>
          <w:r>
            <w:rPr>
              <w:color w:val="auto"/>
            </w:rPr>
            <w:fldChar w:fldCharType="begin"/>
          </w:r>
          <w:r>
            <w:rPr>
              <w:color w:val="auto"/>
            </w:rPr>
            <w:instrText xml:space="preserve">TOC \o "1-3" \h \u </w:instrText>
          </w:r>
          <w:r>
            <w:rPr>
              <w:color w:val="auto"/>
            </w:rPr>
            <w:fldChar w:fldCharType="separate"/>
          </w:r>
        </w:p>
        <w:p>
          <w:pPr>
            <w:pStyle w:val="16"/>
            <w:tabs>
              <w:tab w:val="right" w:leader="dot" w:pos="8306"/>
            </w:tabs>
            <w:rPr>
              <w:color w:val="auto"/>
            </w:rPr>
          </w:pPr>
          <w:r>
            <w:rPr>
              <w:color w:val="auto"/>
            </w:rPr>
            <w:fldChar w:fldCharType="begin"/>
          </w:r>
          <w:r>
            <w:rPr>
              <w:color w:val="auto"/>
            </w:rPr>
            <w:instrText xml:space="preserve"> HYPERLINK \l _Toc22252 </w:instrText>
          </w:r>
          <w:r>
            <w:rPr>
              <w:color w:val="auto"/>
            </w:rPr>
            <w:fldChar w:fldCharType="separate"/>
          </w:r>
          <w:r>
            <w:rPr>
              <w:color w:val="auto"/>
              <w:szCs w:val="36"/>
            </w:rPr>
            <w:t>第一篇  全面建成小康社会，开启现代化金川新征程</w:t>
          </w:r>
          <w:r>
            <w:rPr>
              <w:color w:val="auto"/>
            </w:rPr>
            <w:tab/>
          </w:r>
          <w:r>
            <w:rPr>
              <w:color w:val="auto"/>
            </w:rPr>
            <w:fldChar w:fldCharType="begin"/>
          </w:r>
          <w:r>
            <w:rPr>
              <w:color w:val="auto"/>
            </w:rPr>
            <w:instrText xml:space="preserve"> PAGEREF _Toc22252 </w:instrText>
          </w:r>
          <w:r>
            <w:rPr>
              <w:color w:val="auto"/>
            </w:rPr>
            <w:fldChar w:fldCharType="separate"/>
          </w:r>
          <w:r>
            <w:rPr>
              <w:color w:val="auto"/>
            </w:rPr>
            <w:t>1</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_Toc5486 </w:instrText>
          </w:r>
          <w:r>
            <w:rPr>
              <w:color w:val="auto"/>
            </w:rPr>
            <w:fldChar w:fldCharType="separate"/>
          </w:r>
          <w:r>
            <w:rPr>
              <w:rFonts w:ascii="Times New Roman" w:hAnsi="Times New Roman" w:eastAsia="黑体"/>
              <w:bCs w:val="0"/>
              <w:color w:val="auto"/>
              <w:kern w:val="2"/>
              <w:szCs w:val="32"/>
            </w:rPr>
            <w:t>第一章  现实基础与面临形势</w:t>
          </w:r>
          <w:r>
            <w:rPr>
              <w:color w:val="auto"/>
            </w:rPr>
            <w:tab/>
          </w:r>
          <w:r>
            <w:rPr>
              <w:color w:val="auto"/>
            </w:rPr>
            <w:fldChar w:fldCharType="begin"/>
          </w:r>
          <w:r>
            <w:rPr>
              <w:color w:val="auto"/>
            </w:rPr>
            <w:instrText xml:space="preserve"> PAGEREF _Toc5486 </w:instrText>
          </w:r>
          <w:r>
            <w:rPr>
              <w:color w:val="auto"/>
            </w:rPr>
            <w:fldChar w:fldCharType="separate"/>
          </w:r>
          <w:r>
            <w:rPr>
              <w:color w:val="auto"/>
            </w:rPr>
            <w:t>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_Toc2423 </w:instrText>
          </w:r>
          <w:r>
            <w:rPr>
              <w:color w:val="auto"/>
            </w:rPr>
            <w:fldChar w:fldCharType="separate"/>
          </w:r>
          <w:r>
            <w:rPr>
              <w:rFonts w:eastAsia="楷体_GB2312"/>
              <w:color w:val="auto"/>
            </w:rPr>
            <w:t xml:space="preserve">第一节  </w:t>
          </w:r>
          <w:r>
            <w:rPr>
              <w:rFonts w:hint="eastAsia" w:eastAsia="楷体_GB2312"/>
              <w:color w:val="auto"/>
            </w:rPr>
            <w:t>决胜全面建成小康社会取得决定性成就</w:t>
          </w:r>
          <w:r>
            <w:rPr>
              <w:color w:val="auto"/>
            </w:rPr>
            <w:tab/>
          </w:r>
          <w:r>
            <w:rPr>
              <w:color w:val="auto"/>
            </w:rPr>
            <w:fldChar w:fldCharType="begin"/>
          </w:r>
          <w:r>
            <w:rPr>
              <w:color w:val="auto"/>
            </w:rPr>
            <w:instrText xml:space="preserve"> PAGEREF _Toc2423 </w:instrText>
          </w:r>
          <w:r>
            <w:rPr>
              <w:color w:val="auto"/>
            </w:rPr>
            <w:fldChar w:fldCharType="separate"/>
          </w:r>
          <w:r>
            <w:rPr>
              <w:color w:val="auto"/>
            </w:rPr>
            <w:t>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_Toc25510 </w:instrText>
          </w:r>
          <w:r>
            <w:rPr>
              <w:color w:val="auto"/>
            </w:rPr>
            <w:fldChar w:fldCharType="separate"/>
          </w:r>
          <w:r>
            <w:rPr>
              <w:rFonts w:eastAsia="楷体_GB2312"/>
              <w:color w:val="auto"/>
            </w:rPr>
            <w:t>第二节  发展环境面临深刻复杂变化</w:t>
          </w:r>
          <w:r>
            <w:rPr>
              <w:color w:val="auto"/>
            </w:rPr>
            <w:tab/>
          </w:r>
          <w:r>
            <w:rPr>
              <w:color w:val="auto"/>
            </w:rPr>
            <w:fldChar w:fldCharType="begin"/>
          </w:r>
          <w:r>
            <w:rPr>
              <w:color w:val="auto"/>
            </w:rPr>
            <w:instrText xml:space="preserve"> PAGEREF _Toc25510 </w:instrText>
          </w:r>
          <w:r>
            <w:rPr>
              <w:color w:val="auto"/>
            </w:rPr>
            <w:fldChar w:fldCharType="separate"/>
          </w:r>
          <w:r>
            <w:rPr>
              <w:color w:val="auto"/>
            </w:rPr>
            <w:t>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_Toc9064 </w:instrText>
          </w:r>
          <w:r>
            <w:rPr>
              <w:color w:val="auto"/>
            </w:rPr>
            <w:fldChar w:fldCharType="separate"/>
          </w:r>
          <w:r>
            <w:rPr>
              <w:rFonts w:eastAsia="楷体_GB2312"/>
              <w:color w:val="auto"/>
            </w:rPr>
            <w:t>第三节  经济社会发展进入新的阶段</w:t>
          </w:r>
          <w:r>
            <w:rPr>
              <w:color w:val="auto"/>
            </w:rPr>
            <w:tab/>
          </w:r>
          <w:r>
            <w:rPr>
              <w:color w:val="auto"/>
            </w:rPr>
            <w:fldChar w:fldCharType="begin"/>
          </w:r>
          <w:r>
            <w:rPr>
              <w:color w:val="auto"/>
            </w:rPr>
            <w:instrText xml:space="preserve"> PAGEREF _Toc9064 </w:instrText>
          </w:r>
          <w:r>
            <w:rPr>
              <w:color w:val="auto"/>
            </w:rPr>
            <w:fldChar w:fldCharType="separate"/>
          </w:r>
          <w:r>
            <w:rPr>
              <w:color w:val="auto"/>
            </w:rPr>
            <w:t>10</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_Toc26016 </w:instrText>
          </w:r>
          <w:r>
            <w:rPr>
              <w:color w:val="auto"/>
            </w:rPr>
            <w:fldChar w:fldCharType="separate"/>
          </w:r>
          <w:r>
            <w:rPr>
              <w:rFonts w:ascii="Times New Roman" w:hAnsi="Times New Roman" w:eastAsia="黑体"/>
              <w:bCs w:val="0"/>
              <w:color w:val="auto"/>
              <w:kern w:val="2"/>
              <w:szCs w:val="32"/>
            </w:rPr>
            <w:t>第二章  总体思路与发展目标</w:t>
          </w:r>
          <w:r>
            <w:rPr>
              <w:color w:val="auto"/>
            </w:rPr>
            <w:tab/>
          </w:r>
          <w:r>
            <w:rPr>
              <w:color w:val="auto"/>
            </w:rPr>
            <w:fldChar w:fldCharType="begin"/>
          </w:r>
          <w:r>
            <w:rPr>
              <w:color w:val="auto"/>
            </w:rPr>
            <w:instrText xml:space="preserve"> PAGEREF _Toc26016 </w:instrText>
          </w:r>
          <w:r>
            <w:rPr>
              <w:color w:val="auto"/>
            </w:rPr>
            <w:fldChar w:fldCharType="separate"/>
          </w:r>
          <w:r>
            <w:rPr>
              <w:color w:val="auto"/>
            </w:rPr>
            <w:t>12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_Toc5421 </w:instrText>
          </w:r>
          <w:r>
            <w:rPr>
              <w:color w:val="auto"/>
            </w:rPr>
            <w:fldChar w:fldCharType="separate"/>
          </w:r>
          <w:r>
            <w:rPr>
              <w:rFonts w:eastAsia="楷体_GB2312"/>
              <w:color w:val="auto"/>
            </w:rPr>
            <w:t>第一节  指导思想</w:t>
          </w:r>
          <w:r>
            <w:rPr>
              <w:color w:val="auto"/>
            </w:rPr>
            <w:tab/>
          </w:r>
          <w:r>
            <w:rPr>
              <w:color w:val="auto"/>
            </w:rPr>
            <w:fldChar w:fldCharType="begin"/>
          </w:r>
          <w:r>
            <w:rPr>
              <w:color w:val="auto"/>
            </w:rPr>
            <w:instrText xml:space="preserve"> PAGEREF _Toc5421 </w:instrText>
          </w:r>
          <w:r>
            <w:rPr>
              <w:color w:val="auto"/>
            </w:rPr>
            <w:fldChar w:fldCharType="separate"/>
          </w:r>
          <w:r>
            <w:rPr>
              <w:color w:val="auto"/>
            </w:rPr>
            <w:t>12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_Toc29658 </w:instrText>
          </w:r>
          <w:r>
            <w:rPr>
              <w:color w:val="auto"/>
            </w:rPr>
            <w:fldChar w:fldCharType="separate"/>
          </w:r>
          <w:r>
            <w:rPr>
              <w:rFonts w:eastAsia="楷体_GB2312"/>
              <w:color w:val="auto"/>
            </w:rPr>
            <w:t>第二节  基本原则</w:t>
          </w:r>
          <w:r>
            <w:rPr>
              <w:color w:val="auto"/>
            </w:rPr>
            <w:tab/>
          </w:r>
          <w:r>
            <w:rPr>
              <w:color w:val="auto"/>
            </w:rPr>
            <w:fldChar w:fldCharType="begin"/>
          </w:r>
          <w:r>
            <w:rPr>
              <w:color w:val="auto"/>
            </w:rPr>
            <w:instrText xml:space="preserve"> PAGEREF _Toc29658 </w:instrText>
          </w:r>
          <w:r>
            <w:rPr>
              <w:color w:val="auto"/>
            </w:rPr>
            <w:fldChar w:fldCharType="separate"/>
          </w:r>
          <w:r>
            <w:rPr>
              <w:color w:val="auto"/>
            </w:rPr>
            <w:t>13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_Toc24577 </w:instrText>
          </w:r>
          <w:r>
            <w:rPr>
              <w:color w:val="auto"/>
            </w:rPr>
            <w:fldChar w:fldCharType="separate"/>
          </w:r>
          <w:r>
            <w:rPr>
              <w:rFonts w:eastAsia="楷体_GB2312"/>
              <w:color w:val="auto"/>
            </w:rPr>
            <w:t>第三节  发展目标</w:t>
          </w:r>
          <w:r>
            <w:rPr>
              <w:color w:val="auto"/>
            </w:rPr>
            <w:tab/>
          </w:r>
          <w:r>
            <w:rPr>
              <w:color w:val="auto"/>
            </w:rPr>
            <w:fldChar w:fldCharType="begin"/>
          </w:r>
          <w:r>
            <w:rPr>
              <w:color w:val="auto"/>
            </w:rPr>
            <w:instrText xml:space="preserve"> PAGEREF _Toc24577 </w:instrText>
          </w:r>
          <w:r>
            <w:rPr>
              <w:color w:val="auto"/>
            </w:rPr>
            <w:fldChar w:fldCharType="separate"/>
          </w:r>
          <w:r>
            <w:rPr>
              <w:color w:val="auto"/>
            </w:rPr>
            <w:t>14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_Toc21108 </w:instrText>
          </w:r>
          <w:r>
            <w:rPr>
              <w:color w:val="auto"/>
            </w:rPr>
            <w:fldChar w:fldCharType="separate"/>
          </w:r>
          <w:r>
            <w:rPr>
              <w:rFonts w:eastAsia="楷体_GB2312"/>
              <w:color w:val="auto"/>
            </w:rPr>
            <w:t>第四节  远景目标</w:t>
          </w:r>
          <w:r>
            <w:rPr>
              <w:color w:val="auto"/>
            </w:rPr>
            <w:tab/>
          </w:r>
          <w:r>
            <w:rPr>
              <w:color w:val="auto"/>
            </w:rPr>
            <w:fldChar w:fldCharType="begin"/>
          </w:r>
          <w:r>
            <w:rPr>
              <w:color w:val="auto"/>
            </w:rPr>
            <w:instrText xml:space="preserve"> PAGEREF _Toc21108 </w:instrText>
          </w:r>
          <w:r>
            <w:rPr>
              <w:color w:val="auto"/>
            </w:rPr>
            <w:fldChar w:fldCharType="separate"/>
          </w:r>
          <w:r>
            <w:rPr>
              <w:color w:val="auto"/>
            </w:rPr>
            <w:t>17</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_Toc10259 </w:instrText>
          </w:r>
          <w:r>
            <w:rPr>
              <w:color w:val="auto"/>
            </w:rPr>
            <w:fldChar w:fldCharType="separate"/>
          </w:r>
          <w:r>
            <w:rPr>
              <w:color w:val="auto"/>
              <w:szCs w:val="36"/>
            </w:rPr>
            <w:t>第二篇  深化生态文明建设，筑牢全域生态安全屏障</w:t>
          </w:r>
          <w:r>
            <w:rPr>
              <w:color w:val="auto"/>
            </w:rPr>
            <w:tab/>
          </w:r>
          <w:r>
            <w:rPr>
              <w:color w:val="auto"/>
            </w:rPr>
            <w:fldChar w:fldCharType="begin"/>
          </w:r>
          <w:r>
            <w:rPr>
              <w:color w:val="auto"/>
            </w:rPr>
            <w:instrText xml:space="preserve"> PAGEREF _Toc10259 </w:instrText>
          </w:r>
          <w:r>
            <w:rPr>
              <w:color w:val="auto"/>
            </w:rPr>
            <w:fldChar w:fldCharType="separate"/>
          </w:r>
          <w:r>
            <w:rPr>
              <w:color w:val="auto"/>
            </w:rPr>
            <w:t>18</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_Toc27461 </w:instrText>
          </w:r>
          <w:r>
            <w:rPr>
              <w:color w:val="auto"/>
            </w:rPr>
            <w:fldChar w:fldCharType="separate"/>
          </w:r>
          <w:r>
            <w:rPr>
              <w:rFonts w:ascii="Times New Roman" w:hAnsi="Times New Roman" w:eastAsia="黑体"/>
              <w:bCs w:val="0"/>
              <w:color w:val="auto"/>
              <w:kern w:val="2"/>
              <w:szCs w:val="32"/>
            </w:rPr>
            <w:t>第三章  强化生态系统保护</w:t>
          </w:r>
          <w:r>
            <w:rPr>
              <w:color w:val="auto"/>
            </w:rPr>
            <w:tab/>
          </w:r>
          <w:r>
            <w:rPr>
              <w:color w:val="auto"/>
            </w:rPr>
            <w:fldChar w:fldCharType="begin"/>
          </w:r>
          <w:r>
            <w:rPr>
              <w:color w:val="auto"/>
            </w:rPr>
            <w:instrText xml:space="preserve"> PAGEREF _Toc27461 </w:instrText>
          </w:r>
          <w:r>
            <w:rPr>
              <w:color w:val="auto"/>
            </w:rPr>
            <w:fldChar w:fldCharType="separate"/>
          </w:r>
          <w:r>
            <w:rPr>
              <w:color w:val="auto"/>
            </w:rPr>
            <w:t>18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_Toc13493 </w:instrText>
          </w:r>
          <w:r>
            <w:rPr>
              <w:color w:val="auto"/>
            </w:rPr>
            <w:fldChar w:fldCharType="separate"/>
          </w:r>
          <w:r>
            <w:rPr>
              <w:rFonts w:eastAsia="楷体_GB2312"/>
              <w:color w:val="auto"/>
            </w:rPr>
            <w:t>第一节  科学优化生态布局</w:t>
          </w:r>
          <w:r>
            <w:rPr>
              <w:color w:val="auto"/>
            </w:rPr>
            <w:tab/>
          </w:r>
          <w:r>
            <w:rPr>
              <w:color w:val="auto"/>
            </w:rPr>
            <w:fldChar w:fldCharType="begin"/>
          </w:r>
          <w:r>
            <w:rPr>
              <w:color w:val="auto"/>
            </w:rPr>
            <w:instrText xml:space="preserve"> PAGEREF _Toc13493 </w:instrText>
          </w:r>
          <w:r>
            <w:rPr>
              <w:color w:val="auto"/>
            </w:rPr>
            <w:fldChar w:fldCharType="separate"/>
          </w:r>
          <w:r>
            <w:rPr>
              <w:color w:val="auto"/>
            </w:rPr>
            <w:t>18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_Toc16835 </w:instrText>
          </w:r>
          <w:r>
            <w:rPr>
              <w:color w:val="auto"/>
            </w:rPr>
            <w:fldChar w:fldCharType="separate"/>
          </w:r>
          <w:r>
            <w:rPr>
              <w:rFonts w:eastAsia="楷体_GB2312"/>
              <w:color w:val="auto"/>
            </w:rPr>
            <w:t>第二节  全面保护生态系统</w:t>
          </w:r>
          <w:r>
            <w:rPr>
              <w:color w:val="auto"/>
            </w:rPr>
            <w:tab/>
          </w:r>
          <w:r>
            <w:rPr>
              <w:color w:val="auto"/>
            </w:rPr>
            <w:fldChar w:fldCharType="begin"/>
          </w:r>
          <w:r>
            <w:rPr>
              <w:color w:val="auto"/>
            </w:rPr>
            <w:instrText xml:space="preserve"> PAGEREF _Toc16835 </w:instrText>
          </w:r>
          <w:r>
            <w:rPr>
              <w:color w:val="auto"/>
            </w:rPr>
            <w:fldChar w:fldCharType="separate"/>
          </w:r>
          <w:r>
            <w:rPr>
              <w:color w:val="auto"/>
            </w:rPr>
            <w:t>19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_Toc14125 </w:instrText>
          </w:r>
          <w:r>
            <w:rPr>
              <w:color w:val="auto"/>
            </w:rPr>
            <w:fldChar w:fldCharType="separate"/>
          </w:r>
          <w:r>
            <w:rPr>
              <w:rFonts w:eastAsia="楷体_GB2312"/>
              <w:color w:val="auto"/>
            </w:rPr>
            <w:t>第三节  大力保护生态资源</w:t>
          </w:r>
          <w:r>
            <w:rPr>
              <w:color w:val="auto"/>
            </w:rPr>
            <w:tab/>
          </w:r>
          <w:r>
            <w:rPr>
              <w:color w:val="auto"/>
            </w:rPr>
            <w:fldChar w:fldCharType="begin"/>
          </w:r>
          <w:r>
            <w:rPr>
              <w:color w:val="auto"/>
            </w:rPr>
            <w:instrText xml:space="preserve"> PAGEREF _Toc14125 </w:instrText>
          </w:r>
          <w:r>
            <w:rPr>
              <w:color w:val="auto"/>
            </w:rPr>
            <w:fldChar w:fldCharType="separate"/>
          </w:r>
          <w:r>
            <w:rPr>
              <w:color w:val="auto"/>
            </w:rPr>
            <w:t>20</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_Toc14113 </w:instrText>
          </w:r>
          <w:r>
            <w:rPr>
              <w:color w:val="auto"/>
            </w:rPr>
            <w:fldChar w:fldCharType="separate"/>
          </w:r>
          <w:r>
            <w:rPr>
              <w:rFonts w:ascii="Times New Roman" w:hAnsi="Times New Roman" w:eastAsia="黑体"/>
              <w:bCs w:val="0"/>
              <w:color w:val="auto"/>
              <w:kern w:val="2"/>
              <w:szCs w:val="32"/>
            </w:rPr>
            <w:t>第四章  提升生态治理水平</w:t>
          </w:r>
          <w:r>
            <w:rPr>
              <w:color w:val="auto"/>
            </w:rPr>
            <w:tab/>
          </w:r>
          <w:r>
            <w:rPr>
              <w:color w:val="auto"/>
            </w:rPr>
            <w:fldChar w:fldCharType="begin"/>
          </w:r>
          <w:r>
            <w:rPr>
              <w:color w:val="auto"/>
            </w:rPr>
            <w:instrText xml:space="preserve"> PAGEREF _Toc14113 </w:instrText>
          </w:r>
          <w:r>
            <w:rPr>
              <w:color w:val="auto"/>
            </w:rPr>
            <w:fldChar w:fldCharType="separate"/>
          </w:r>
          <w:r>
            <w:rPr>
              <w:color w:val="auto"/>
            </w:rPr>
            <w:t>21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_Toc13535 </w:instrText>
          </w:r>
          <w:r>
            <w:rPr>
              <w:color w:val="auto"/>
            </w:rPr>
            <w:fldChar w:fldCharType="separate"/>
          </w:r>
          <w:r>
            <w:rPr>
              <w:rFonts w:eastAsia="楷体_GB2312"/>
              <w:color w:val="auto"/>
            </w:rPr>
            <w:t>第一节  实施生态治理示范行动</w:t>
          </w:r>
          <w:r>
            <w:rPr>
              <w:color w:val="auto"/>
            </w:rPr>
            <w:tab/>
          </w:r>
          <w:r>
            <w:rPr>
              <w:color w:val="auto"/>
            </w:rPr>
            <w:fldChar w:fldCharType="begin"/>
          </w:r>
          <w:r>
            <w:rPr>
              <w:color w:val="auto"/>
            </w:rPr>
            <w:instrText xml:space="preserve"> PAGEREF _Toc13535 </w:instrText>
          </w:r>
          <w:r>
            <w:rPr>
              <w:color w:val="auto"/>
            </w:rPr>
            <w:fldChar w:fldCharType="separate"/>
          </w:r>
          <w:r>
            <w:rPr>
              <w:color w:val="auto"/>
            </w:rPr>
            <w:t>21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_Toc10308 </w:instrText>
          </w:r>
          <w:r>
            <w:rPr>
              <w:color w:val="auto"/>
            </w:rPr>
            <w:fldChar w:fldCharType="separate"/>
          </w:r>
          <w:r>
            <w:rPr>
              <w:rFonts w:eastAsia="楷体_GB2312"/>
              <w:color w:val="auto"/>
            </w:rPr>
            <w:t>第二节  推进环境治理示范行动</w:t>
          </w:r>
          <w:r>
            <w:rPr>
              <w:color w:val="auto"/>
            </w:rPr>
            <w:tab/>
          </w:r>
          <w:r>
            <w:rPr>
              <w:color w:val="auto"/>
            </w:rPr>
            <w:fldChar w:fldCharType="begin"/>
          </w:r>
          <w:r>
            <w:rPr>
              <w:color w:val="auto"/>
            </w:rPr>
            <w:instrText xml:space="preserve"> PAGEREF _Toc10308 </w:instrText>
          </w:r>
          <w:r>
            <w:rPr>
              <w:color w:val="auto"/>
            </w:rPr>
            <w:fldChar w:fldCharType="separate"/>
          </w:r>
          <w:r>
            <w:rPr>
              <w:color w:val="auto"/>
            </w:rPr>
            <w:t>22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_Toc6117 </w:instrText>
          </w:r>
          <w:r>
            <w:rPr>
              <w:color w:val="auto"/>
            </w:rPr>
            <w:fldChar w:fldCharType="separate"/>
          </w:r>
          <w:r>
            <w:rPr>
              <w:rFonts w:eastAsia="楷体_GB2312"/>
              <w:color w:val="auto"/>
            </w:rPr>
            <w:t>第三节  提升生态环境监管能力</w:t>
          </w:r>
          <w:r>
            <w:rPr>
              <w:color w:val="auto"/>
            </w:rPr>
            <w:tab/>
          </w:r>
          <w:r>
            <w:rPr>
              <w:color w:val="auto"/>
            </w:rPr>
            <w:fldChar w:fldCharType="begin"/>
          </w:r>
          <w:r>
            <w:rPr>
              <w:color w:val="auto"/>
            </w:rPr>
            <w:instrText xml:space="preserve"> PAGEREF _Toc6117 </w:instrText>
          </w:r>
          <w:r>
            <w:rPr>
              <w:color w:val="auto"/>
            </w:rPr>
            <w:fldChar w:fldCharType="separate"/>
          </w:r>
          <w:r>
            <w:rPr>
              <w:color w:val="auto"/>
            </w:rPr>
            <w:t>22</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_Toc31876 </w:instrText>
          </w:r>
          <w:r>
            <w:rPr>
              <w:color w:val="auto"/>
            </w:rPr>
            <w:fldChar w:fldCharType="separate"/>
          </w:r>
          <w:r>
            <w:rPr>
              <w:rFonts w:ascii="Times New Roman" w:hAnsi="Times New Roman" w:eastAsia="黑体"/>
              <w:bCs w:val="0"/>
              <w:color w:val="auto"/>
              <w:kern w:val="2"/>
              <w:szCs w:val="32"/>
            </w:rPr>
            <w:t>第五章  创新生态保护机制</w:t>
          </w:r>
          <w:r>
            <w:rPr>
              <w:color w:val="auto"/>
            </w:rPr>
            <w:tab/>
          </w:r>
          <w:r>
            <w:rPr>
              <w:color w:val="auto"/>
            </w:rPr>
            <w:fldChar w:fldCharType="begin"/>
          </w:r>
          <w:r>
            <w:rPr>
              <w:color w:val="auto"/>
            </w:rPr>
            <w:instrText xml:space="preserve"> PAGEREF _Toc31876 </w:instrText>
          </w:r>
          <w:r>
            <w:rPr>
              <w:color w:val="auto"/>
            </w:rPr>
            <w:fldChar w:fldCharType="separate"/>
          </w:r>
          <w:r>
            <w:rPr>
              <w:color w:val="auto"/>
            </w:rPr>
            <w:t>23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_Toc16723 </w:instrText>
          </w:r>
          <w:r>
            <w:rPr>
              <w:color w:val="auto"/>
            </w:rPr>
            <w:fldChar w:fldCharType="separate"/>
          </w:r>
          <w:r>
            <w:rPr>
              <w:rFonts w:eastAsia="楷体_GB2312"/>
              <w:color w:val="auto"/>
            </w:rPr>
            <w:t>第一节  实行最严格的生态环保制度</w:t>
          </w:r>
          <w:r>
            <w:rPr>
              <w:color w:val="auto"/>
            </w:rPr>
            <w:tab/>
          </w:r>
          <w:r>
            <w:rPr>
              <w:color w:val="auto"/>
            </w:rPr>
            <w:fldChar w:fldCharType="begin"/>
          </w:r>
          <w:r>
            <w:rPr>
              <w:color w:val="auto"/>
            </w:rPr>
            <w:instrText xml:space="preserve"> PAGEREF _Toc16723 </w:instrText>
          </w:r>
          <w:r>
            <w:rPr>
              <w:color w:val="auto"/>
            </w:rPr>
            <w:fldChar w:fldCharType="separate"/>
          </w:r>
          <w:r>
            <w:rPr>
              <w:color w:val="auto"/>
            </w:rPr>
            <w:t>23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_Toc13139 </w:instrText>
          </w:r>
          <w:r>
            <w:rPr>
              <w:color w:val="auto"/>
            </w:rPr>
            <w:fldChar w:fldCharType="separate"/>
          </w:r>
          <w:r>
            <w:rPr>
              <w:rFonts w:eastAsia="楷体_GB2312"/>
              <w:color w:val="auto"/>
            </w:rPr>
            <w:t>第二节  探索多元化的生态补偿机制</w:t>
          </w:r>
          <w:r>
            <w:rPr>
              <w:color w:val="auto"/>
            </w:rPr>
            <w:tab/>
          </w:r>
          <w:r>
            <w:rPr>
              <w:color w:val="auto"/>
            </w:rPr>
            <w:fldChar w:fldCharType="begin"/>
          </w:r>
          <w:r>
            <w:rPr>
              <w:color w:val="auto"/>
            </w:rPr>
            <w:instrText xml:space="preserve"> PAGEREF _Toc13139 </w:instrText>
          </w:r>
          <w:r>
            <w:rPr>
              <w:color w:val="auto"/>
            </w:rPr>
            <w:fldChar w:fldCharType="separate"/>
          </w:r>
          <w:r>
            <w:rPr>
              <w:color w:val="auto"/>
            </w:rPr>
            <w:t>24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_Toc4795 </w:instrText>
          </w:r>
          <w:r>
            <w:rPr>
              <w:color w:val="auto"/>
            </w:rPr>
            <w:fldChar w:fldCharType="separate"/>
          </w:r>
          <w:r>
            <w:rPr>
              <w:rFonts w:eastAsia="楷体_GB2312"/>
              <w:color w:val="auto"/>
            </w:rPr>
            <w:t>第三节  倡导绿色低碳生产生活方式</w:t>
          </w:r>
          <w:r>
            <w:rPr>
              <w:color w:val="auto"/>
            </w:rPr>
            <w:tab/>
          </w:r>
          <w:r>
            <w:rPr>
              <w:color w:val="auto"/>
            </w:rPr>
            <w:fldChar w:fldCharType="begin"/>
          </w:r>
          <w:r>
            <w:rPr>
              <w:color w:val="auto"/>
            </w:rPr>
            <w:instrText xml:space="preserve"> PAGEREF _Toc4795 </w:instrText>
          </w:r>
          <w:r>
            <w:rPr>
              <w:color w:val="auto"/>
            </w:rPr>
            <w:fldChar w:fldCharType="separate"/>
          </w:r>
          <w:r>
            <w:rPr>
              <w:color w:val="auto"/>
            </w:rPr>
            <w:t>25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_Toc12351 </w:instrText>
          </w:r>
          <w:r>
            <w:rPr>
              <w:color w:val="auto"/>
            </w:rPr>
            <w:fldChar w:fldCharType="separate"/>
          </w:r>
          <w:r>
            <w:rPr>
              <w:rFonts w:eastAsia="楷体_GB2312"/>
              <w:color w:val="auto"/>
            </w:rPr>
            <w:t>第四节  健全生态文明考核评价机制</w:t>
          </w:r>
          <w:r>
            <w:rPr>
              <w:color w:val="auto"/>
            </w:rPr>
            <w:tab/>
          </w:r>
          <w:r>
            <w:rPr>
              <w:color w:val="auto"/>
            </w:rPr>
            <w:fldChar w:fldCharType="begin"/>
          </w:r>
          <w:r>
            <w:rPr>
              <w:color w:val="auto"/>
            </w:rPr>
            <w:instrText xml:space="preserve"> PAGEREF _Toc12351 </w:instrText>
          </w:r>
          <w:r>
            <w:rPr>
              <w:color w:val="auto"/>
            </w:rPr>
            <w:fldChar w:fldCharType="separate"/>
          </w:r>
          <w:r>
            <w:rPr>
              <w:color w:val="auto"/>
            </w:rPr>
            <w:t>25</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_Toc20650 </w:instrText>
          </w:r>
          <w:r>
            <w:rPr>
              <w:color w:val="auto"/>
            </w:rPr>
            <w:fldChar w:fldCharType="separate"/>
          </w:r>
          <w:r>
            <w:rPr>
              <w:color w:val="auto"/>
              <w:szCs w:val="36"/>
            </w:rPr>
            <w:t>第三篇  加快产业结构升级，打造特色生态产业体系</w:t>
          </w:r>
          <w:r>
            <w:rPr>
              <w:color w:val="auto"/>
            </w:rPr>
            <w:tab/>
          </w:r>
          <w:r>
            <w:rPr>
              <w:color w:val="auto"/>
            </w:rPr>
            <w:fldChar w:fldCharType="begin"/>
          </w:r>
          <w:r>
            <w:rPr>
              <w:color w:val="auto"/>
            </w:rPr>
            <w:instrText xml:space="preserve"> PAGEREF _Toc20650 </w:instrText>
          </w:r>
          <w:r>
            <w:rPr>
              <w:color w:val="auto"/>
            </w:rPr>
            <w:fldChar w:fldCharType="separate"/>
          </w:r>
          <w:r>
            <w:rPr>
              <w:color w:val="auto"/>
            </w:rPr>
            <w:t>26</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_Toc16368 </w:instrText>
          </w:r>
          <w:r>
            <w:rPr>
              <w:color w:val="auto"/>
            </w:rPr>
            <w:fldChar w:fldCharType="separate"/>
          </w:r>
          <w:r>
            <w:rPr>
              <w:rFonts w:ascii="Times New Roman" w:hAnsi="Times New Roman" w:eastAsia="黑体"/>
              <w:bCs w:val="0"/>
              <w:color w:val="auto"/>
              <w:kern w:val="2"/>
              <w:szCs w:val="32"/>
            </w:rPr>
            <w:t>第六章  聚力发展生态农牧业</w:t>
          </w:r>
          <w:r>
            <w:rPr>
              <w:color w:val="auto"/>
            </w:rPr>
            <w:tab/>
          </w:r>
          <w:r>
            <w:rPr>
              <w:color w:val="auto"/>
            </w:rPr>
            <w:fldChar w:fldCharType="begin"/>
          </w:r>
          <w:r>
            <w:rPr>
              <w:color w:val="auto"/>
            </w:rPr>
            <w:instrText xml:space="preserve"> PAGEREF _Toc16368 </w:instrText>
          </w:r>
          <w:r>
            <w:rPr>
              <w:color w:val="auto"/>
            </w:rPr>
            <w:fldChar w:fldCharType="separate"/>
          </w:r>
          <w:r>
            <w:rPr>
              <w:color w:val="auto"/>
            </w:rPr>
            <w:t>26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_Toc3640 </w:instrText>
          </w:r>
          <w:r>
            <w:rPr>
              <w:color w:val="auto"/>
            </w:rPr>
            <w:fldChar w:fldCharType="separate"/>
          </w:r>
          <w:r>
            <w:rPr>
              <w:rFonts w:eastAsia="楷体_GB2312"/>
              <w:color w:val="auto"/>
            </w:rPr>
            <w:t>第一节  提质七大特色优势农牧业</w:t>
          </w:r>
          <w:r>
            <w:rPr>
              <w:color w:val="auto"/>
            </w:rPr>
            <w:tab/>
          </w:r>
          <w:r>
            <w:rPr>
              <w:color w:val="auto"/>
            </w:rPr>
            <w:fldChar w:fldCharType="begin"/>
          </w:r>
          <w:r>
            <w:rPr>
              <w:color w:val="auto"/>
            </w:rPr>
            <w:instrText xml:space="preserve"> PAGEREF _Toc3640 </w:instrText>
          </w:r>
          <w:r>
            <w:rPr>
              <w:color w:val="auto"/>
            </w:rPr>
            <w:fldChar w:fldCharType="separate"/>
          </w:r>
          <w:r>
            <w:rPr>
              <w:color w:val="auto"/>
            </w:rPr>
            <w:t>27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_Toc26118 </w:instrText>
          </w:r>
          <w:r>
            <w:rPr>
              <w:color w:val="auto"/>
            </w:rPr>
            <w:fldChar w:fldCharType="separate"/>
          </w:r>
          <w:r>
            <w:rPr>
              <w:rFonts w:eastAsia="楷体_GB2312"/>
              <w:color w:val="auto"/>
            </w:rPr>
            <w:t>第二节  优化生态农牧业空间布局</w:t>
          </w:r>
          <w:r>
            <w:rPr>
              <w:color w:val="auto"/>
            </w:rPr>
            <w:tab/>
          </w:r>
          <w:r>
            <w:rPr>
              <w:color w:val="auto"/>
            </w:rPr>
            <w:fldChar w:fldCharType="begin"/>
          </w:r>
          <w:r>
            <w:rPr>
              <w:color w:val="auto"/>
            </w:rPr>
            <w:instrText xml:space="preserve"> PAGEREF _Toc26118 </w:instrText>
          </w:r>
          <w:r>
            <w:rPr>
              <w:color w:val="auto"/>
            </w:rPr>
            <w:fldChar w:fldCharType="separate"/>
          </w:r>
          <w:r>
            <w:rPr>
              <w:color w:val="auto"/>
            </w:rPr>
            <w:t>28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_Toc4571 </w:instrText>
          </w:r>
          <w:r>
            <w:rPr>
              <w:color w:val="auto"/>
            </w:rPr>
            <w:fldChar w:fldCharType="separate"/>
          </w:r>
          <w:r>
            <w:rPr>
              <w:rFonts w:eastAsia="楷体_GB2312"/>
              <w:color w:val="auto"/>
            </w:rPr>
            <w:t>第三节  实施生态农牧业品牌战略</w:t>
          </w:r>
          <w:r>
            <w:rPr>
              <w:color w:val="auto"/>
            </w:rPr>
            <w:tab/>
          </w:r>
          <w:r>
            <w:rPr>
              <w:color w:val="auto"/>
            </w:rPr>
            <w:fldChar w:fldCharType="begin"/>
          </w:r>
          <w:r>
            <w:rPr>
              <w:color w:val="auto"/>
            </w:rPr>
            <w:instrText xml:space="preserve"> PAGEREF _Toc4571 </w:instrText>
          </w:r>
          <w:r>
            <w:rPr>
              <w:color w:val="auto"/>
            </w:rPr>
            <w:fldChar w:fldCharType="separate"/>
          </w:r>
          <w:r>
            <w:rPr>
              <w:color w:val="auto"/>
            </w:rPr>
            <w:t>28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_Toc17163 </w:instrText>
          </w:r>
          <w:r>
            <w:rPr>
              <w:color w:val="auto"/>
            </w:rPr>
            <w:fldChar w:fldCharType="separate"/>
          </w:r>
          <w:r>
            <w:rPr>
              <w:rFonts w:eastAsia="楷体_GB2312"/>
              <w:color w:val="auto"/>
            </w:rPr>
            <w:t>第四节  提高农牧业综合生产能力</w:t>
          </w:r>
          <w:r>
            <w:rPr>
              <w:color w:val="auto"/>
            </w:rPr>
            <w:tab/>
          </w:r>
          <w:r>
            <w:rPr>
              <w:color w:val="auto"/>
            </w:rPr>
            <w:fldChar w:fldCharType="begin"/>
          </w:r>
          <w:r>
            <w:rPr>
              <w:color w:val="auto"/>
            </w:rPr>
            <w:instrText xml:space="preserve"> PAGEREF _Toc17163 </w:instrText>
          </w:r>
          <w:r>
            <w:rPr>
              <w:color w:val="auto"/>
            </w:rPr>
            <w:fldChar w:fldCharType="separate"/>
          </w:r>
          <w:r>
            <w:rPr>
              <w:color w:val="auto"/>
            </w:rPr>
            <w:t>29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_Toc26147 </w:instrText>
          </w:r>
          <w:r>
            <w:rPr>
              <w:color w:val="auto"/>
            </w:rPr>
            <w:fldChar w:fldCharType="separate"/>
          </w:r>
          <w:r>
            <w:rPr>
              <w:rFonts w:eastAsia="楷体_GB2312"/>
              <w:color w:val="auto"/>
            </w:rPr>
            <w:t>第五节  健全农牧业经营服务体系</w:t>
          </w:r>
          <w:r>
            <w:rPr>
              <w:color w:val="auto"/>
            </w:rPr>
            <w:tab/>
          </w:r>
          <w:r>
            <w:rPr>
              <w:color w:val="auto"/>
            </w:rPr>
            <w:fldChar w:fldCharType="begin"/>
          </w:r>
          <w:r>
            <w:rPr>
              <w:color w:val="auto"/>
            </w:rPr>
            <w:instrText xml:space="preserve"> PAGEREF _Toc26147 </w:instrText>
          </w:r>
          <w:r>
            <w:rPr>
              <w:color w:val="auto"/>
            </w:rPr>
            <w:fldChar w:fldCharType="separate"/>
          </w:r>
          <w:r>
            <w:rPr>
              <w:color w:val="auto"/>
            </w:rPr>
            <w:t>29</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_Toc6866 </w:instrText>
          </w:r>
          <w:r>
            <w:rPr>
              <w:color w:val="auto"/>
            </w:rPr>
            <w:fldChar w:fldCharType="separate"/>
          </w:r>
          <w:r>
            <w:rPr>
              <w:rFonts w:ascii="Times New Roman" w:hAnsi="Times New Roman" w:eastAsia="黑体"/>
              <w:bCs w:val="0"/>
              <w:color w:val="auto"/>
              <w:kern w:val="2"/>
              <w:szCs w:val="32"/>
            </w:rPr>
            <w:t>第七章  加速发展清洁工业</w:t>
          </w:r>
          <w:r>
            <w:rPr>
              <w:color w:val="auto"/>
            </w:rPr>
            <w:tab/>
          </w:r>
          <w:r>
            <w:rPr>
              <w:color w:val="auto"/>
            </w:rPr>
            <w:fldChar w:fldCharType="begin"/>
          </w:r>
          <w:r>
            <w:rPr>
              <w:color w:val="auto"/>
            </w:rPr>
            <w:instrText xml:space="preserve"> PAGEREF _Toc6866 </w:instrText>
          </w:r>
          <w:r>
            <w:rPr>
              <w:color w:val="auto"/>
            </w:rPr>
            <w:fldChar w:fldCharType="separate"/>
          </w:r>
          <w:r>
            <w:rPr>
              <w:color w:val="auto"/>
            </w:rPr>
            <w:t>30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_Toc7436 </w:instrText>
          </w:r>
          <w:r>
            <w:rPr>
              <w:color w:val="auto"/>
            </w:rPr>
            <w:fldChar w:fldCharType="separate"/>
          </w:r>
          <w:r>
            <w:rPr>
              <w:rFonts w:eastAsia="楷体_GB2312"/>
              <w:color w:val="auto"/>
            </w:rPr>
            <w:t>第一节  做强清洁能源产业</w:t>
          </w:r>
          <w:r>
            <w:rPr>
              <w:color w:val="auto"/>
            </w:rPr>
            <w:tab/>
          </w:r>
          <w:r>
            <w:rPr>
              <w:color w:val="auto"/>
            </w:rPr>
            <w:fldChar w:fldCharType="begin"/>
          </w:r>
          <w:r>
            <w:rPr>
              <w:color w:val="auto"/>
            </w:rPr>
            <w:instrText xml:space="preserve"> PAGEREF _Toc7436 </w:instrText>
          </w:r>
          <w:r>
            <w:rPr>
              <w:color w:val="auto"/>
            </w:rPr>
            <w:fldChar w:fldCharType="separate"/>
          </w:r>
          <w:r>
            <w:rPr>
              <w:color w:val="auto"/>
            </w:rPr>
            <w:t>30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_Toc1791 </w:instrText>
          </w:r>
          <w:r>
            <w:rPr>
              <w:color w:val="auto"/>
            </w:rPr>
            <w:fldChar w:fldCharType="separate"/>
          </w:r>
          <w:r>
            <w:rPr>
              <w:rFonts w:eastAsia="楷体_GB2312"/>
              <w:color w:val="auto"/>
            </w:rPr>
            <w:t>第二节  做优锂电材料产业</w:t>
          </w:r>
          <w:r>
            <w:rPr>
              <w:color w:val="auto"/>
            </w:rPr>
            <w:tab/>
          </w:r>
          <w:r>
            <w:rPr>
              <w:color w:val="auto"/>
            </w:rPr>
            <w:fldChar w:fldCharType="begin"/>
          </w:r>
          <w:r>
            <w:rPr>
              <w:color w:val="auto"/>
            </w:rPr>
            <w:instrText xml:space="preserve"> PAGEREF _Toc1791 </w:instrText>
          </w:r>
          <w:r>
            <w:rPr>
              <w:color w:val="auto"/>
            </w:rPr>
            <w:fldChar w:fldCharType="separate"/>
          </w:r>
          <w:r>
            <w:rPr>
              <w:color w:val="auto"/>
            </w:rPr>
            <w:t>31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_Toc17144 </w:instrText>
          </w:r>
          <w:r>
            <w:rPr>
              <w:color w:val="auto"/>
            </w:rPr>
            <w:fldChar w:fldCharType="separate"/>
          </w:r>
          <w:r>
            <w:rPr>
              <w:rFonts w:eastAsia="楷体_GB2312"/>
              <w:color w:val="auto"/>
            </w:rPr>
            <w:t>第三节  做大食品加工产业</w:t>
          </w:r>
          <w:r>
            <w:rPr>
              <w:color w:val="auto"/>
            </w:rPr>
            <w:tab/>
          </w:r>
          <w:r>
            <w:rPr>
              <w:color w:val="auto"/>
            </w:rPr>
            <w:fldChar w:fldCharType="begin"/>
          </w:r>
          <w:r>
            <w:rPr>
              <w:color w:val="auto"/>
            </w:rPr>
            <w:instrText xml:space="preserve"> PAGEREF _Toc17144 </w:instrText>
          </w:r>
          <w:r>
            <w:rPr>
              <w:color w:val="auto"/>
            </w:rPr>
            <w:fldChar w:fldCharType="separate"/>
          </w:r>
          <w:r>
            <w:rPr>
              <w:color w:val="auto"/>
            </w:rPr>
            <w:t>32</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_Toc32388 </w:instrText>
          </w:r>
          <w:r>
            <w:rPr>
              <w:color w:val="auto"/>
            </w:rPr>
            <w:fldChar w:fldCharType="separate"/>
          </w:r>
          <w:r>
            <w:rPr>
              <w:rFonts w:ascii="Times New Roman" w:hAnsi="Times New Roman" w:eastAsia="黑体"/>
              <w:bCs w:val="0"/>
              <w:color w:val="auto"/>
              <w:kern w:val="2"/>
              <w:szCs w:val="32"/>
            </w:rPr>
            <w:t>第八章  加快发展文旅产业</w:t>
          </w:r>
          <w:r>
            <w:rPr>
              <w:color w:val="auto"/>
            </w:rPr>
            <w:tab/>
          </w:r>
          <w:r>
            <w:rPr>
              <w:color w:val="auto"/>
            </w:rPr>
            <w:fldChar w:fldCharType="begin"/>
          </w:r>
          <w:r>
            <w:rPr>
              <w:color w:val="auto"/>
            </w:rPr>
            <w:instrText xml:space="preserve"> PAGEREF _Toc32388 </w:instrText>
          </w:r>
          <w:r>
            <w:rPr>
              <w:color w:val="auto"/>
            </w:rPr>
            <w:fldChar w:fldCharType="separate"/>
          </w:r>
          <w:r>
            <w:rPr>
              <w:color w:val="auto"/>
            </w:rPr>
            <w:t>32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_Toc9895 </w:instrText>
          </w:r>
          <w:r>
            <w:rPr>
              <w:color w:val="auto"/>
            </w:rPr>
            <w:fldChar w:fldCharType="separate"/>
          </w:r>
          <w:r>
            <w:rPr>
              <w:rFonts w:eastAsia="楷体_GB2312"/>
              <w:color w:val="auto"/>
            </w:rPr>
            <w:t>第一节  构建全域旅游格局</w:t>
          </w:r>
          <w:r>
            <w:rPr>
              <w:color w:val="auto"/>
            </w:rPr>
            <w:tab/>
          </w:r>
          <w:r>
            <w:rPr>
              <w:color w:val="auto"/>
            </w:rPr>
            <w:fldChar w:fldCharType="begin"/>
          </w:r>
          <w:r>
            <w:rPr>
              <w:color w:val="auto"/>
            </w:rPr>
            <w:instrText xml:space="preserve"> PAGEREF _Toc9895 </w:instrText>
          </w:r>
          <w:r>
            <w:rPr>
              <w:color w:val="auto"/>
            </w:rPr>
            <w:fldChar w:fldCharType="separate"/>
          </w:r>
          <w:r>
            <w:rPr>
              <w:color w:val="auto"/>
            </w:rPr>
            <w:t>32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_Toc25180 </w:instrText>
          </w:r>
          <w:r>
            <w:rPr>
              <w:color w:val="auto"/>
            </w:rPr>
            <w:fldChar w:fldCharType="separate"/>
          </w:r>
          <w:r>
            <w:rPr>
              <w:rFonts w:eastAsia="楷体_GB2312"/>
              <w:color w:val="auto"/>
            </w:rPr>
            <w:t>第二节  加强重点景区打造</w:t>
          </w:r>
          <w:r>
            <w:rPr>
              <w:color w:val="auto"/>
            </w:rPr>
            <w:tab/>
          </w:r>
          <w:r>
            <w:rPr>
              <w:color w:val="auto"/>
            </w:rPr>
            <w:fldChar w:fldCharType="begin"/>
          </w:r>
          <w:r>
            <w:rPr>
              <w:color w:val="auto"/>
            </w:rPr>
            <w:instrText xml:space="preserve"> PAGEREF _Toc25180 </w:instrText>
          </w:r>
          <w:r>
            <w:rPr>
              <w:color w:val="auto"/>
            </w:rPr>
            <w:fldChar w:fldCharType="separate"/>
          </w:r>
          <w:r>
            <w:rPr>
              <w:color w:val="auto"/>
            </w:rPr>
            <w:t>34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_Toc1430 </w:instrText>
          </w:r>
          <w:r>
            <w:rPr>
              <w:color w:val="auto"/>
            </w:rPr>
            <w:fldChar w:fldCharType="separate"/>
          </w:r>
          <w:r>
            <w:rPr>
              <w:rFonts w:eastAsia="楷体_GB2312"/>
              <w:color w:val="auto"/>
            </w:rPr>
            <w:t>第三节  丰富文化旅游业态</w:t>
          </w:r>
          <w:r>
            <w:rPr>
              <w:color w:val="auto"/>
            </w:rPr>
            <w:tab/>
          </w:r>
          <w:r>
            <w:rPr>
              <w:color w:val="auto"/>
            </w:rPr>
            <w:fldChar w:fldCharType="begin"/>
          </w:r>
          <w:r>
            <w:rPr>
              <w:color w:val="auto"/>
            </w:rPr>
            <w:instrText xml:space="preserve"> PAGEREF _Toc1430 </w:instrText>
          </w:r>
          <w:r>
            <w:rPr>
              <w:color w:val="auto"/>
            </w:rPr>
            <w:fldChar w:fldCharType="separate"/>
          </w:r>
          <w:r>
            <w:rPr>
              <w:color w:val="auto"/>
            </w:rPr>
            <w:t>34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_Toc203 </w:instrText>
          </w:r>
          <w:r>
            <w:rPr>
              <w:color w:val="auto"/>
            </w:rPr>
            <w:fldChar w:fldCharType="separate"/>
          </w:r>
          <w:r>
            <w:rPr>
              <w:rFonts w:eastAsia="楷体_GB2312"/>
              <w:color w:val="auto"/>
            </w:rPr>
            <w:t>第四节  提升旅游服务品质</w:t>
          </w:r>
          <w:r>
            <w:rPr>
              <w:color w:val="auto"/>
            </w:rPr>
            <w:tab/>
          </w:r>
          <w:r>
            <w:rPr>
              <w:color w:val="auto"/>
            </w:rPr>
            <w:fldChar w:fldCharType="begin"/>
          </w:r>
          <w:r>
            <w:rPr>
              <w:color w:val="auto"/>
            </w:rPr>
            <w:instrText xml:space="preserve"> PAGEREF _Toc203 </w:instrText>
          </w:r>
          <w:r>
            <w:rPr>
              <w:color w:val="auto"/>
            </w:rPr>
            <w:fldChar w:fldCharType="separate"/>
          </w:r>
          <w:r>
            <w:rPr>
              <w:color w:val="auto"/>
            </w:rPr>
            <w:t>34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_Toc26799 </w:instrText>
          </w:r>
          <w:r>
            <w:rPr>
              <w:color w:val="auto"/>
            </w:rPr>
            <w:fldChar w:fldCharType="separate"/>
          </w:r>
          <w:r>
            <w:rPr>
              <w:rFonts w:eastAsia="楷体_GB2312"/>
              <w:color w:val="auto"/>
            </w:rPr>
            <w:t>第五节  做靓文化旅游品牌</w:t>
          </w:r>
          <w:r>
            <w:rPr>
              <w:color w:val="auto"/>
            </w:rPr>
            <w:tab/>
          </w:r>
          <w:r>
            <w:rPr>
              <w:color w:val="auto"/>
            </w:rPr>
            <w:fldChar w:fldCharType="begin"/>
          </w:r>
          <w:r>
            <w:rPr>
              <w:color w:val="auto"/>
            </w:rPr>
            <w:instrText xml:space="preserve"> PAGEREF _Toc26799 </w:instrText>
          </w:r>
          <w:r>
            <w:rPr>
              <w:color w:val="auto"/>
            </w:rPr>
            <w:fldChar w:fldCharType="separate"/>
          </w:r>
          <w:r>
            <w:rPr>
              <w:color w:val="auto"/>
            </w:rPr>
            <w:t>35</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_Toc19433 </w:instrText>
          </w:r>
          <w:r>
            <w:rPr>
              <w:color w:val="auto"/>
            </w:rPr>
            <w:fldChar w:fldCharType="separate"/>
          </w:r>
          <w:r>
            <w:rPr>
              <w:rFonts w:ascii="Times New Roman" w:hAnsi="Times New Roman" w:eastAsia="黑体"/>
              <w:bCs w:val="0"/>
              <w:color w:val="auto"/>
              <w:kern w:val="2"/>
              <w:szCs w:val="32"/>
            </w:rPr>
            <w:t>第九章  突破发展现代服务业</w:t>
          </w:r>
          <w:r>
            <w:rPr>
              <w:color w:val="auto"/>
            </w:rPr>
            <w:tab/>
          </w:r>
          <w:r>
            <w:rPr>
              <w:color w:val="auto"/>
            </w:rPr>
            <w:fldChar w:fldCharType="begin"/>
          </w:r>
          <w:r>
            <w:rPr>
              <w:color w:val="auto"/>
            </w:rPr>
            <w:instrText xml:space="preserve"> PAGEREF _Toc19433 </w:instrText>
          </w:r>
          <w:r>
            <w:rPr>
              <w:color w:val="auto"/>
            </w:rPr>
            <w:fldChar w:fldCharType="separate"/>
          </w:r>
          <w:r>
            <w:rPr>
              <w:color w:val="auto"/>
            </w:rPr>
            <w:t>36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_Toc6968 </w:instrText>
          </w:r>
          <w:r>
            <w:rPr>
              <w:color w:val="auto"/>
            </w:rPr>
            <w:fldChar w:fldCharType="separate"/>
          </w:r>
          <w:r>
            <w:rPr>
              <w:rFonts w:eastAsia="楷体_GB2312"/>
              <w:color w:val="auto"/>
            </w:rPr>
            <w:t>第一节  加快发展现代物流业</w:t>
          </w:r>
          <w:r>
            <w:rPr>
              <w:color w:val="auto"/>
            </w:rPr>
            <w:tab/>
          </w:r>
          <w:r>
            <w:rPr>
              <w:color w:val="auto"/>
            </w:rPr>
            <w:fldChar w:fldCharType="begin"/>
          </w:r>
          <w:r>
            <w:rPr>
              <w:color w:val="auto"/>
            </w:rPr>
            <w:instrText xml:space="preserve"> PAGEREF _Toc6968 </w:instrText>
          </w:r>
          <w:r>
            <w:rPr>
              <w:color w:val="auto"/>
            </w:rPr>
            <w:fldChar w:fldCharType="separate"/>
          </w:r>
          <w:r>
            <w:rPr>
              <w:color w:val="auto"/>
            </w:rPr>
            <w:t>36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_Toc9543 </w:instrText>
          </w:r>
          <w:r>
            <w:rPr>
              <w:color w:val="auto"/>
            </w:rPr>
            <w:fldChar w:fldCharType="separate"/>
          </w:r>
          <w:r>
            <w:rPr>
              <w:rFonts w:eastAsia="楷体_GB2312"/>
              <w:color w:val="auto"/>
            </w:rPr>
            <w:t>第二节  大力发展电子商务业</w:t>
          </w:r>
          <w:r>
            <w:rPr>
              <w:color w:val="auto"/>
            </w:rPr>
            <w:tab/>
          </w:r>
          <w:r>
            <w:rPr>
              <w:color w:val="auto"/>
            </w:rPr>
            <w:fldChar w:fldCharType="begin"/>
          </w:r>
          <w:r>
            <w:rPr>
              <w:color w:val="auto"/>
            </w:rPr>
            <w:instrText xml:space="preserve"> PAGEREF _Toc9543 </w:instrText>
          </w:r>
          <w:r>
            <w:rPr>
              <w:color w:val="auto"/>
            </w:rPr>
            <w:fldChar w:fldCharType="separate"/>
          </w:r>
          <w:r>
            <w:rPr>
              <w:color w:val="auto"/>
            </w:rPr>
            <w:t>37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_Toc13909 </w:instrText>
          </w:r>
          <w:r>
            <w:rPr>
              <w:color w:val="auto"/>
            </w:rPr>
            <w:fldChar w:fldCharType="separate"/>
          </w:r>
          <w:r>
            <w:rPr>
              <w:rFonts w:eastAsia="楷体_GB2312"/>
              <w:color w:val="auto"/>
            </w:rPr>
            <w:t xml:space="preserve">第三节  </w:t>
          </w:r>
          <w:r>
            <w:rPr>
              <w:rFonts w:hint="eastAsia" w:ascii="Times New Roman" w:hAnsi="Times New Roman" w:eastAsia="楷体_GB2312" w:cs="Times New Roman"/>
              <w:color w:val="auto"/>
              <w:lang w:val="en-US" w:eastAsia="zh-CN"/>
            </w:rPr>
            <w:t>积极</w:t>
          </w:r>
          <w:r>
            <w:rPr>
              <w:rFonts w:eastAsia="楷体_GB2312"/>
              <w:color w:val="auto"/>
            </w:rPr>
            <w:t>发展特色商贸业</w:t>
          </w:r>
          <w:r>
            <w:rPr>
              <w:color w:val="auto"/>
            </w:rPr>
            <w:tab/>
          </w:r>
          <w:r>
            <w:rPr>
              <w:color w:val="auto"/>
            </w:rPr>
            <w:fldChar w:fldCharType="begin"/>
          </w:r>
          <w:r>
            <w:rPr>
              <w:color w:val="auto"/>
            </w:rPr>
            <w:instrText xml:space="preserve"> PAGEREF _Toc13909 </w:instrText>
          </w:r>
          <w:r>
            <w:rPr>
              <w:color w:val="auto"/>
            </w:rPr>
            <w:fldChar w:fldCharType="separate"/>
          </w:r>
          <w:r>
            <w:rPr>
              <w:color w:val="auto"/>
            </w:rPr>
            <w:t>37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_Toc28649 </w:instrText>
          </w:r>
          <w:r>
            <w:rPr>
              <w:color w:val="auto"/>
            </w:rPr>
            <w:fldChar w:fldCharType="separate"/>
          </w:r>
          <w:r>
            <w:rPr>
              <w:rFonts w:eastAsia="楷体_GB2312"/>
              <w:color w:val="auto"/>
            </w:rPr>
            <w:t>第四节  培育发展新兴服务业</w:t>
          </w:r>
          <w:r>
            <w:rPr>
              <w:color w:val="auto"/>
            </w:rPr>
            <w:tab/>
          </w:r>
          <w:r>
            <w:rPr>
              <w:color w:val="auto"/>
            </w:rPr>
            <w:fldChar w:fldCharType="begin"/>
          </w:r>
          <w:r>
            <w:rPr>
              <w:color w:val="auto"/>
            </w:rPr>
            <w:instrText xml:space="preserve"> PAGEREF _Toc28649 </w:instrText>
          </w:r>
          <w:r>
            <w:rPr>
              <w:color w:val="auto"/>
            </w:rPr>
            <w:fldChar w:fldCharType="separate"/>
          </w:r>
          <w:r>
            <w:rPr>
              <w:color w:val="auto"/>
            </w:rPr>
            <w:t>37</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_Toc19878 </w:instrText>
          </w:r>
          <w:r>
            <w:rPr>
              <w:color w:val="auto"/>
            </w:rPr>
            <w:fldChar w:fldCharType="separate"/>
          </w:r>
          <w:r>
            <w:rPr>
              <w:color w:val="auto"/>
              <w:szCs w:val="36"/>
            </w:rPr>
            <w:t>第四篇  强化基础设施建设，增强发展支撑保障能力</w:t>
          </w:r>
          <w:r>
            <w:rPr>
              <w:color w:val="auto"/>
            </w:rPr>
            <w:tab/>
          </w:r>
          <w:r>
            <w:rPr>
              <w:color w:val="auto"/>
            </w:rPr>
            <w:fldChar w:fldCharType="begin"/>
          </w:r>
          <w:r>
            <w:rPr>
              <w:color w:val="auto"/>
            </w:rPr>
            <w:instrText xml:space="preserve"> PAGEREF _Toc19878 </w:instrText>
          </w:r>
          <w:r>
            <w:rPr>
              <w:color w:val="auto"/>
            </w:rPr>
            <w:fldChar w:fldCharType="separate"/>
          </w:r>
          <w:r>
            <w:rPr>
              <w:color w:val="auto"/>
            </w:rPr>
            <w:t>38</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_Toc25327 </w:instrText>
          </w:r>
          <w:r>
            <w:rPr>
              <w:color w:val="auto"/>
            </w:rPr>
            <w:fldChar w:fldCharType="separate"/>
          </w:r>
          <w:r>
            <w:rPr>
              <w:rFonts w:ascii="Times New Roman" w:hAnsi="Times New Roman" w:eastAsia="黑体"/>
              <w:bCs w:val="0"/>
              <w:color w:val="auto"/>
              <w:kern w:val="2"/>
              <w:szCs w:val="32"/>
            </w:rPr>
            <w:t>第十章  畅通路网</w:t>
          </w:r>
          <w:r>
            <w:rPr>
              <w:color w:val="auto"/>
            </w:rPr>
            <w:tab/>
          </w:r>
          <w:r>
            <w:rPr>
              <w:color w:val="auto"/>
            </w:rPr>
            <w:fldChar w:fldCharType="begin"/>
          </w:r>
          <w:r>
            <w:rPr>
              <w:color w:val="auto"/>
            </w:rPr>
            <w:instrText xml:space="preserve"> PAGEREF _Toc25327 </w:instrText>
          </w:r>
          <w:r>
            <w:rPr>
              <w:color w:val="auto"/>
            </w:rPr>
            <w:fldChar w:fldCharType="separate"/>
          </w:r>
          <w:r>
            <w:rPr>
              <w:color w:val="auto"/>
            </w:rPr>
            <w:t>38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_Toc28102 </w:instrText>
          </w:r>
          <w:r>
            <w:rPr>
              <w:color w:val="auto"/>
            </w:rPr>
            <w:fldChar w:fldCharType="separate"/>
          </w:r>
          <w:r>
            <w:rPr>
              <w:rFonts w:eastAsia="楷体_GB2312"/>
              <w:color w:val="auto"/>
            </w:rPr>
            <w:t>第一节  加强骨干通道建设</w:t>
          </w:r>
          <w:r>
            <w:rPr>
              <w:color w:val="auto"/>
            </w:rPr>
            <w:tab/>
          </w:r>
          <w:r>
            <w:rPr>
              <w:color w:val="auto"/>
            </w:rPr>
            <w:fldChar w:fldCharType="begin"/>
          </w:r>
          <w:r>
            <w:rPr>
              <w:color w:val="auto"/>
            </w:rPr>
            <w:instrText xml:space="preserve"> PAGEREF _Toc28102 </w:instrText>
          </w:r>
          <w:r>
            <w:rPr>
              <w:color w:val="auto"/>
            </w:rPr>
            <w:fldChar w:fldCharType="separate"/>
          </w:r>
          <w:r>
            <w:rPr>
              <w:color w:val="auto"/>
            </w:rPr>
            <w:t>38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_Toc10910 </w:instrText>
          </w:r>
          <w:r>
            <w:rPr>
              <w:color w:val="auto"/>
            </w:rPr>
            <w:fldChar w:fldCharType="separate"/>
          </w:r>
          <w:r>
            <w:rPr>
              <w:rFonts w:eastAsia="楷体_GB2312"/>
              <w:color w:val="auto"/>
            </w:rPr>
            <w:t>第二节  完善内部交通网络</w:t>
          </w:r>
          <w:r>
            <w:rPr>
              <w:color w:val="auto"/>
            </w:rPr>
            <w:tab/>
          </w:r>
          <w:r>
            <w:rPr>
              <w:color w:val="auto"/>
            </w:rPr>
            <w:fldChar w:fldCharType="begin"/>
          </w:r>
          <w:r>
            <w:rPr>
              <w:color w:val="auto"/>
            </w:rPr>
            <w:instrText xml:space="preserve"> PAGEREF _Toc10910 </w:instrText>
          </w:r>
          <w:r>
            <w:rPr>
              <w:color w:val="auto"/>
            </w:rPr>
            <w:fldChar w:fldCharType="separate"/>
          </w:r>
          <w:r>
            <w:rPr>
              <w:color w:val="auto"/>
            </w:rPr>
            <w:t>39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_Toc25517 </w:instrText>
          </w:r>
          <w:r>
            <w:rPr>
              <w:color w:val="auto"/>
            </w:rPr>
            <w:fldChar w:fldCharType="separate"/>
          </w:r>
          <w:r>
            <w:rPr>
              <w:rFonts w:eastAsia="楷体_GB2312"/>
              <w:color w:val="auto"/>
            </w:rPr>
            <w:t>第三节  提升交通服务功能</w:t>
          </w:r>
          <w:r>
            <w:rPr>
              <w:color w:val="auto"/>
            </w:rPr>
            <w:tab/>
          </w:r>
          <w:r>
            <w:rPr>
              <w:color w:val="auto"/>
            </w:rPr>
            <w:fldChar w:fldCharType="begin"/>
          </w:r>
          <w:r>
            <w:rPr>
              <w:color w:val="auto"/>
            </w:rPr>
            <w:instrText xml:space="preserve"> PAGEREF _Toc25517 </w:instrText>
          </w:r>
          <w:r>
            <w:rPr>
              <w:color w:val="auto"/>
            </w:rPr>
            <w:fldChar w:fldCharType="separate"/>
          </w:r>
          <w:r>
            <w:rPr>
              <w:color w:val="auto"/>
            </w:rPr>
            <w:t>40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_Toc4784 </w:instrText>
          </w:r>
          <w:r>
            <w:rPr>
              <w:color w:val="auto"/>
            </w:rPr>
            <w:fldChar w:fldCharType="separate"/>
          </w:r>
          <w:r>
            <w:rPr>
              <w:rFonts w:eastAsia="楷体_GB2312"/>
              <w:color w:val="auto"/>
            </w:rPr>
            <w:t>第四节  强化公路管理养护</w:t>
          </w:r>
          <w:r>
            <w:rPr>
              <w:color w:val="auto"/>
            </w:rPr>
            <w:tab/>
          </w:r>
          <w:r>
            <w:rPr>
              <w:color w:val="auto"/>
            </w:rPr>
            <w:fldChar w:fldCharType="begin"/>
          </w:r>
          <w:r>
            <w:rPr>
              <w:color w:val="auto"/>
            </w:rPr>
            <w:instrText xml:space="preserve"> PAGEREF _Toc4784 </w:instrText>
          </w:r>
          <w:r>
            <w:rPr>
              <w:color w:val="auto"/>
            </w:rPr>
            <w:fldChar w:fldCharType="separate"/>
          </w:r>
          <w:r>
            <w:rPr>
              <w:color w:val="auto"/>
            </w:rPr>
            <w:t>40</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_Toc15432 </w:instrText>
          </w:r>
          <w:r>
            <w:rPr>
              <w:color w:val="auto"/>
            </w:rPr>
            <w:fldChar w:fldCharType="separate"/>
          </w:r>
          <w:r>
            <w:rPr>
              <w:rFonts w:ascii="Times New Roman" w:hAnsi="Times New Roman" w:eastAsia="黑体"/>
              <w:bCs w:val="0"/>
              <w:color w:val="auto"/>
              <w:kern w:val="2"/>
              <w:szCs w:val="32"/>
            </w:rPr>
            <w:t>第十一章  贯通水网</w:t>
          </w:r>
          <w:r>
            <w:rPr>
              <w:color w:val="auto"/>
            </w:rPr>
            <w:tab/>
          </w:r>
          <w:r>
            <w:rPr>
              <w:color w:val="auto"/>
            </w:rPr>
            <w:fldChar w:fldCharType="begin"/>
          </w:r>
          <w:r>
            <w:rPr>
              <w:color w:val="auto"/>
            </w:rPr>
            <w:instrText xml:space="preserve"> PAGEREF _Toc15432 </w:instrText>
          </w:r>
          <w:r>
            <w:rPr>
              <w:color w:val="auto"/>
            </w:rPr>
            <w:fldChar w:fldCharType="separate"/>
          </w:r>
          <w:r>
            <w:rPr>
              <w:color w:val="auto"/>
            </w:rPr>
            <w:t>41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_Toc3084 </w:instrText>
          </w:r>
          <w:r>
            <w:rPr>
              <w:color w:val="auto"/>
            </w:rPr>
            <w:fldChar w:fldCharType="separate"/>
          </w:r>
          <w:r>
            <w:rPr>
              <w:rFonts w:eastAsia="楷体_GB2312"/>
              <w:color w:val="auto"/>
            </w:rPr>
            <w:t>第一节  推进引水灌溉工程建设</w:t>
          </w:r>
          <w:r>
            <w:rPr>
              <w:color w:val="auto"/>
            </w:rPr>
            <w:tab/>
          </w:r>
          <w:r>
            <w:rPr>
              <w:color w:val="auto"/>
            </w:rPr>
            <w:fldChar w:fldCharType="begin"/>
          </w:r>
          <w:r>
            <w:rPr>
              <w:color w:val="auto"/>
            </w:rPr>
            <w:instrText xml:space="preserve"> PAGEREF _Toc3084 </w:instrText>
          </w:r>
          <w:r>
            <w:rPr>
              <w:color w:val="auto"/>
            </w:rPr>
            <w:fldChar w:fldCharType="separate"/>
          </w:r>
          <w:r>
            <w:rPr>
              <w:color w:val="auto"/>
            </w:rPr>
            <w:t>41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_Toc9676 </w:instrText>
          </w:r>
          <w:r>
            <w:rPr>
              <w:color w:val="auto"/>
            </w:rPr>
            <w:fldChar w:fldCharType="separate"/>
          </w:r>
          <w:r>
            <w:rPr>
              <w:rFonts w:eastAsia="楷体_GB2312"/>
              <w:color w:val="auto"/>
            </w:rPr>
            <w:t>第二节  补齐防洪排涝抗旱短板</w:t>
          </w:r>
          <w:r>
            <w:rPr>
              <w:color w:val="auto"/>
            </w:rPr>
            <w:tab/>
          </w:r>
          <w:r>
            <w:rPr>
              <w:color w:val="auto"/>
            </w:rPr>
            <w:fldChar w:fldCharType="begin"/>
          </w:r>
          <w:r>
            <w:rPr>
              <w:color w:val="auto"/>
            </w:rPr>
            <w:instrText xml:space="preserve"> PAGEREF _Toc9676 </w:instrText>
          </w:r>
          <w:r>
            <w:rPr>
              <w:color w:val="auto"/>
            </w:rPr>
            <w:fldChar w:fldCharType="separate"/>
          </w:r>
          <w:r>
            <w:rPr>
              <w:color w:val="auto"/>
            </w:rPr>
            <w:t>42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_Toc12630 </w:instrText>
          </w:r>
          <w:r>
            <w:rPr>
              <w:color w:val="auto"/>
            </w:rPr>
            <w:fldChar w:fldCharType="separate"/>
          </w:r>
          <w:r>
            <w:rPr>
              <w:rFonts w:eastAsia="楷体_GB2312"/>
              <w:color w:val="auto"/>
            </w:rPr>
            <w:t xml:space="preserve">第三节  </w:t>
          </w:r>
          <w:r>
            <w:rPr>
              <w:rFonts w:hint="eastAsia" w:eastAsia="楷体_GB2312"/>
              <w:color w:val="auto"/>
            </w:rPr>
            <w:t>提升</w:t>
          </w:r>
          <w:r>
            <w:rPr>
              <w:rFonts w:eastAsia="楷体_GB2312"/>
              <w:color w:val="auto"/>
            </w:rPr>
            <w:t>城乡居民用水保障</w:t>
          </w:r>
          <w:r>
            <w:rPr>
              <w:color w:val="auto"/>
            </w:rPr>
            <w:tab/>
          </w:r>
          <w:r>
            <w:rPr>
              <w:color w:val="auto"/>
            </w:rPr>
            <w:fldChar w:fldCharType="begin"/>
          </w:r>
          <w:r>
            <w:rPr>
              <w:color w:val="auto"/>
            </w:rPr>
            <w:instrText xml:space="preserve"> PAGEREF _Toc12630 </w:instrText>
          </w:r>
          <w:r>
            <w:rPr>
              <w:color w:val="auto"/>
            </w:rPr>
            <w:fldChar w:fldCharType="separate"/>
          </w:r>
          <w:r>
            <w:rPr>
              <w:color w:val="auto"/>
            </w:rPr>
            <w:t>42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_Toc26757 </w:instrText>
          </w:r>
          <w:r>
            <w:rPr>
              <w:color w:val="auto"/>
            </w:rPr>
            <w:fldChar w:fldCharType="separate"/>
          </w:r>
          <w:r>
            <w:rPr>
              <w:rFonts w:eastAsia="楷体_GB2312"/>
              <w:color w:val="auto"/>
            </w:rPr>
            <w:t>第四节  提升水利行业监管能力</w:t>
          </w:r>
          <w:r>
            <w:rPr>
              <w:color w:val="auto"/>
            </w:rPr>
            <w:tab/>
          </w:r>
          <w:r>
            <w:rPr>
              <w:color w:val="auto"/>
            </w:rPr>
            <w:fldChar w:fldCharType="begin"/>
          </w:r>
          <w:r>
            <w:rPr>
              <w:color w:val="auto"/>
            </w:rPr>
            <w:instrText xml:space="preserve"> PAGEREF _Toc26757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_Toc18687 </w:instrText>
          </w:r>
          <w:r>
            <w:rPr>
              <w:color w:val="auto"/>
            </w:rPr>
            <w:fldChar w:fldCharType="separate"/>
          </w:r>
          <w:r>
            <w:rPr>
              <w:rFonts w:ascii="Times New Roman" w:hAnsi="Times New Roman" w:eastAsia="黑体"/>
              <w:bCs w:val="0"/>
              <w:color w:val="auto"/>
              <w:kern w:val="2"/>
              <w:szCs w:val="32"/>
            </w:rPr>
            <w:t>第十二章  扩通电网</w:t>
          </w:r>
          <w:r>
            <w:rPr>
              <w:color w:val="auto"/>
            </w:rPr>
            <w:tab/>
          </w:r>
          <w:r>
            <w:rPr>
              <w:color w:val="auto"/>
            </w:rPr>
            <w:fldChar w:fldCharType="begin"/>
          </w:r>
          <w:r>
            <w:rPr>
              <w:color w:val="auto"/>
            </w:rPr>
            <w:instrText xml:space="preserve"> PAGEREF _Toc18687 </w:instrText>
          </w:r>
          <w:r>
            <w:rPr>
              <w:color w:val="auto"/>
            </w:rPr>
            <w:fldChar w:fldCharType="separate"/>
          </w:r>
          <w:r>
            <w:rPr>
              <w:color w:val="auto"/>
            </w:rPr>
            <w:t>43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_Toc6960 </w:instrText>
          </w:r>
          <w:r>
            <w:rPr>
              <w:color w:val="auto"/>
            </w:rPr>
            <w:fldChar w:fldCharType="separate"/>
          </w:r>
          <w:r>
            <w:rPr>
              <w:rFonts w:eastAsia="楷体_GB2312"/>
              <w:color w:val="auto"/>
            </w:rPr>
            <w:t>第一节  加强电力外送通道建设</w:t>
          </w:r>
          <w:r>
            <w:rPr>
              <w:color w:val="auto"/>
            </w:rPr>
            <w:tab/>
          </w:r>
          <w:r>
            <w:rPr>
              <w:color w:val="auto"/>
            </w:rPr>
            <w:fldChar w:fldCharType="begin"/>
          </w:r>
          <w:r>
            <w:rPr>
              <w:color w:val="auto"/>
            </w:rPr>
            <w:instrText xml:space="preserve"> PAGEREF _Toc6960 </w:instrText>
          </w:r>
          <w:r>
            <w:rPr>
              <w:color w:val="auto"/>
            </w:rPr>
            <w:fldChar w:fldCharType="separate"/>
          </w:r>
          <w:r>
            <w:rPr>
              <w:color w:val="auto"/>
            </w:rPr>
            <w:t>44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_Toc30896 </w:instrText>
          </w:r>
          <w:r>
            <w:rPr>
              <w:color w:val="auto"/>
            </w:rPr>
            <w:fldChar w:fldCharType="separate"/>
          </w:r>
          <w:r>
            <w:rPr>
              <w:rFonts w:eastAsia="楷体_GB2312"/>
              <w:color w:val="auto"/>
            </w:rPr>
            <w:t>第二节  提升城乡电力保障能力</w:t>
          </w:r>
          <w:r>
            <w:rPr>
              <w:color w:val="auto"/>
            </w:rPr>
            <w:tab/>
          </w:r>
          <w:r>
            <w:rPr>
              <w:color w:val="auto"/>
            </w:rPr>
            <w:fldChar w:fldCharType="begin"/>
          </w:r>
          <w:r>
            <w:rPr>
              <w:color w:val="auto"/>
            </w:rPr>
            <w:instrText xml:space="preserve"> PAGEREF _Toc30896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_Toc5926 </w:instrText>
          </w:r>
          <w:r>
            <w:rPr>
              <w:color w:val="auto"/>
            </w:rPr>
            <w:fldChar w:fldCharType="separate"/>
          </w:r>
          <w:r>
            <w:rPr>
              <w:rFonts w:ascii="Times New Roman" w:hAnsi="Times New Roman" w:eastAsia="黑体"/>
              <w:bCs w:val="0"/>
              <w:color w:val="auto"/>
              <w:kern w:val="2"/>
              <w:szCs w:val="32"/>
            </w:rPr>
            <w:t>第十三章  联通信息网</w:t>
          </w:r>
          <w:r>
            <w:rPr>
              <w:color w:val="auto"/>
            </w:rPr>
            <w:tab/>
          </w:r>
          <w:r>
            <w:rPr>
              <w:color w:val="auto"/>
            </w:rPr>
            <w:fldChar w:fldCharType="begin"/>
          </w:r>
          <w:r>
            <w:rPr>
              <w:color w:val="auto"/>
            </w:rPr>
            <w:instrText xml:space="preserve"> PAGEREF _Toc5926 </w:instrText>
          </w:r>
          <w:r>
            <w:rPr>
              <w:color w:val="auto"/>
            </w:rPr>
            <w:fldChar w:fldCharType="separate"/>
          </w:r>
          <w:r>
            <w:rPr>
              <w:color w:val="auto"/>
            </w:rPr>
            <w:t>45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_Toc15695 </w:instrText>
          </w:r>
          <w:r>
            <w:rPr>
              <w:color w:val="auto"/>
            </w:rPr>
            <w:fldChar w:fldCharType="separate"/>
          </w:r>
          <w:r>
            <w:rPr>
              <w:rFonts w:eastAsia="楷体_GB2312"/>
              <w:color w:val="auto"/>
            </w:rPr>
            <w:t>第一节  加快新型信息基础设施建设</w:t>
          </w:r>
          <w:r>
            <w:rPr>
              <w:color w:val="auto"/>
            </w:rPr>
            <w:tab/>
          </w:r>
          <w:r>
            <w:rPr>
              <w:color w:val="auto"/>
            </w:rPr>
            <w:fldChar w:fldCharType="begin"/>
          </w:r>
          <w:r>
            <w:rPr>
              <w:color w:val="auto"/>
            </w:rPr>
            <w:instrText xml:space="preserve"> PAGEREF _Toc15695 </w:instrText>
          </w:r>
          <w:r>
            <w:rPr>
              <w:color w:val="auto"/>
            </w:rPr>
            <w:fldChar w:fldCharType="separate"/>
          </w:r>
          <w:r>
            <w:rPr>
              <w:color w:val="auto"/>
            </w:rPr>
            <w:t>45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_Toc4835 </w:instrText>
          </w:r>
          <w:r>
            <w:rPr>
              <w:color w:val="auto"/>
            </w:rPr>
            <w:fldChar w:fldCharType="separate"/>
          </w:r>
          <w:r>
            <w:rPr>
              <w:rFonts w:eastAsia="楷体_GB2312"/>
              <w:color w:val="auto"/>
            </w:rPr>
            <w:t>第二节  推动传统基础设施演进升级</w:t>
          </w:r>
          <w:r>
            <w:rPr>
              <w:color w:val="auto"/>
            </w:rPr>
            <w:tab/>
          </w:r>
          <w:r>
            <w:rPr>
              <w:color w:val="auto"/>
            </w:rPr>
            <w:fldChar w:fldCharType="begin"/>
          </w:r>
          <w:r>
            <w:rPr>
              <w:color w:val="auto"/>
            </w:rPr>
            <w:instrText xml:space="preserve"> PAGEREF _Toc4835 </w:instrText>
          </w:r>
          <w:r>
            <w:rPr>
              <w:color w:val="auto"/>
            </w:rPr>
            <w:fldChar w:fldCharType="separate"/>
          </w:r>
          <w:r>
            <w:rPr>
              <w:color w:val="auto"/>
            </w:rPr>
            <w:t>45</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_Toc5103 </w:instrText>
          </w:r>
          <w:r>
            <w:rPr>
              <w:color w:val="auto"/>
            </w:rPr>
            <w:fldChar w:fldCharType="separate"/>
          </w:r>
          <w:r>
            <w:rPr>
              <w:color w:val="auto"/>
              <w:szCs w:val="36"/>
            </w:rPr>
            <w:t>第五篇  坚持扩大内需战略，融入双循环新发展格局</w:t>
          </w:r>
          <w:r>
            <w:rPr>
              <w:color w:val="auto"/>
            </w:rPr>
            <w:tab/>
          </w:r>
          <w:r>
            <w:rPr>
              <w:color w:val="auto"/>
            </w:rPr>
            <w:fldChar w:fldCharType="begin"/>
          </w:r>
          <w:r>
            <w:rPr>
              <w:color w:val="auto"/>
            </w:rPr>
            <w:instrText xml:space="preserve"> PAGEREF _Toc5103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_Toc15780 </w:instrText>
          </w:r>
          <w:r>
            <w:rPr>
              <w:color w:val="auto"/>
            </w:rPr>
            <w:fldChar w:fldCharType="separate"/>
          </w:r>
          <w:r>
            <w:rPr>
              <w:rFonts w:ascii="Times New Roman" w:hAnsi="Times New Roman" w:eastAsia="黑体"/>
              <w:bCs w:val="0"/>
              <w:color w:val="auto"/>
              <w:kern w:val="2"/>
              <w:szCs w:val="32"/>
            </w:rPr>
            <w:t>第十四章  深化区域开放合作</w:t>
          </w:r>
          <w:r>
            <w:rPr>
              <w:color w:val="auto"/>
            </w:rPr>
            <w:tab/>
          </w:r>
          <w:r>
            <w:rPr>
              <w:color w:val="auto"/>
            </w:rPr>
            <w:fldChar w:fldCharType="begin"/>
          </w:r>
          <w:r>
            <w:rPr>
              <w:color w:val="auto"/>
            </w:rPr>
            <w:instrText xml:space="preserve"> PAGEREF _Toc15780 </w:instrText>
          </w:r>
          <w:r>
            <w:rPr>
              <w:color w:val="auto"/>
            </w:rPr>
            <w:fldChar w:fldCharType="separate"/>
          </w:r>
          <w:r>
            <w:rPr>
              <w:color w:val="auto"/>
            </w:rPr>
            <w:t>46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_Toc25443 </w:instrText>
          </w:r>
          <w:r>
            <w:rPr>
              <w:color w:val="auto"/>
            </w:rPr>
            <w:fldChar w:fldCharType="separate"/>
          </w:r>
          <w:r>
            <w:rPr>
              <w:rFonts w:eastAsia="楷体_GB2312"/>
              <w:color w:val="auto"/>
            </w:rPr>
            <w:t>第一节  主动融入“双城圈”</w:t>
          </w:r>
          <w:r>
            <w:rPr>
              <w:color w:val="auto"/>
            </w:rPr>
            <w:tab/>
          </w:r>
          <w:r>
            <w:rPr>
              <w:color w:val="auto"/>
            </w:rPr>
            <w:fldChar w:fldCharType="begin"/>
          </w:r>
          <w:r>
            <w:rPr>
              <w:color w:val="auto"/>
            </w:rPr>
            <w:instrText xml:space="preserve"> PAGEREF _Toc25443 </w:instrText>
          </w:r>
          <w:r>
            <w:rPr>
              <w:color w:val="auto"/>
            </w:rPr>
            <w:fldChar w:fldCharType="separate"/>
          </w:r>
          <w:r>
            <w:rPr>
              <w:color w:val="auto"/>
            </w:rPr>
            <w:t>46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_Toc19776 </w:instrText>
          </w:r>
          <w:r>
            <w:rPr>
              <w:color w:val="auto"/>
            </w:rPr>
            <w:fldChar w:fldCharType="separate"/>
          </w:r>
          <w:r>
            <w:rPr>
              <w:rFonts w:eastAsia="楷体_GB2312"/>
              <w:color w:val="auto"/>
            </w:rPr>
            <w:t>第二节  加强与周边地区合作</w:t>
          </w:r>
          <w:r>
            <w:rPr>
              <w:color w:val="auto"/>
            </w:rPr>
            <w:tab/>
          </w:r>
          <w:r>
            <w:rPr>
              <w:color w:val="auto"/>
            </w:rPr>
            <w:fldChar w:fldCharType="begin"/>
          </w:r>
          <w:r>
            <w:rPr>
              <w:color w:val="auto"/>
            </w:rPr>
            <w:instrText xml:space="preserve"> PAGEREF _Toc19776 </w:instrText>
          </w:r>
          <w:r>
            <w:rPr>
              <w:color w:val="auto"/>
            </w:rPr>
            <w:fldChar w:fldCharType="separate"/>
          </w:r>
          <w:r>
            <w:rPr>
              <w:color w:val="auto"/>
            </w:rPr>
            <w:t>47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_Toc29520 </w:instrText>
          </w:r>
          <w:r>
            <w:rPr>
              <w:color w:val="auto"/>
            </w:rPr>
            <w:fldChar w:fldCharType="separate"/>
          </w:r>
          <w:r>
            <w:rPr>
              <w:rFonts w:eastAsia="楷体_GB2312"/>
              <w:color w:val="auto"/>
            </w:rPr>
            <w:t>第三节  深化对口支援与合作</w:t>
          </w:r>
          <w:r>
            <w:rPr>
              <w:color w:val="auto"/>
            </w:rPr>
            <w:tab/>
          </w:r>
          <w:r>
            <w:rPr>
              <w:color w:val="auto"/>
            </w:rPr>
            <w:fldChar w:fldCharType="begin"/>
          </w:r>
          <w:r>
            <w:rPr>
              <w:color w:val="auto"/>
            </w:rPr>
            <w:instrText xml:space="preserve"> PAGEREF _Toc29520 </w:instrText>
          </w:r>
          <w:r>
            <w:rPr>
              <w:color w:val="auto"/>
            </w:rPr>
            <w:fldChar w:fldCharType="separate"/>
          </w:r>
          <w:r>
            <w:rPr>
              <w:color w:val="auto"/>
            </w:rPr>
            <w:t>47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_Toc14171 </w:instrText>
          </w:r>
          <w:r>
            <w:rPr>
              <w:color w:val="auto"/>
            </w:rPr>
            <w:fldChar w:fldCharType="separate"/>
          </w:r>
          <w:r>
            <w:rPr>
              <w:rFonts w:eastAsia="楷体_GB2312"/>
              <w:color w:val="auto"/>
            </w:rPr>
            <w:t>第四节  大力发展飞地经济</w:t>
          </w:r>
          <w:r>
            <w:rPr>
              <w:color w:val="auto"/>
            </w:rPr>
            <w:tab/>
          </w:r>
          <w:r>
            <w:rPr>
              <w:color w:val="auto"/>
            </w:rPr>
            <w:fldChar w:fldCharType="begin"/>
          </w:r>
          <w:r>
            <w:rPr>
              <w:color w:val="auto"/>
            </w:rPr>
            <w:instrText xml:space="preserve"> PAGEREF _Toc14171 </w:instrText>
          </w:r>
          <w:r>
            <w:rPr>
              <w:color w:val="auto"/>
            </w:rPr>
            <w:fldChar w:fldCharType="separate"/>
          </w:r>
          <w:r>
            <w:rPr>
              <w:color w:val="auto"/>
            </w:rPr>
            <w:t>48</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_Toc25844 </w:instrText>
          </w:r>
          <w:r>
            <w:rPr>
              <w:color w:val="auto"/>
            </w:rPr>
            <w:fldChar w:fldCharType="separate"/>
          </w:r>
          <w:r>
            <w:rPr>
              <w:rFonts w:ascii="Times New Roman" w:hAnsi="Times New Roman" w:eastAsia="黑体"/>
              <w:bCs w:val="0"/>
              <w:color w:val="auto"/>
              <w:kern w:val="2"/>
              <w:szCs w:val="32"/>
            </w:rPr>
            <w:t>第十五章  强化精准选商引资</w:t>
          </w:r>
          <w:r>
            <w:rPr>
              <w:color w:val="auto"/>
            </w:rPr>
            <w:tab/>
          </w:r>
          <w:r>
            <w:rPr>
              <w:color w:val="auto"/>
            </w:rPr>
            <w:fldChar w:fldCharType="begin"/>
          </w:r>
          <w:r>
            <w:rPr>
              <w:color w:val="auto"/>
            </w:rPr>
            <w:instrText xml:space="preserve"> PAGEREF _Toc25844 </w:instrText>
          </w:r>
          <w:r>
            <w:rPr>
              <w:color w:val="auto"/>
            </w:rPr>
            <w:fldChar w:fldCharType="separate"/>
          </w:r>
          <w:r>
            <w:rPr>
              <w:color w:val="auto"/>
            </w:rPr>
            <w:t>48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_Toc22954 </w:instrText>
          </w:r>
          <w:r>
            <w:rPr>
              <w:color w:val="auto"/>
            </w:rPr>
            <w:fldChar w:fldCharType="separate"/>
          </w:r>
          <w:r>
            <w:rPr>
              <w:rFonts w:eastAsia="楷体_GB2312"/>
              <w:color w:val="auto"/>
            </w:rPr>
            <w:t>第一节  突出产业招商重点</w:t>
          </w:r>
          <w:r>
            <w:rPr>
              <w:color w:val="auto"/>
            </w:rPr>
            <w:tab/>
          </w:r>
          <w:r>
            <w:rPr>
              <w:color w:val="auto"/>
            </w:rPr>
            <w:fldChar w:fldCharType="begin"/>
          </w:r>
          <w:r>
            <w:rPr>
              <w:color w:val="auto"/>
            </w:rPr>
            <w:instrText xml:space="preserve"> PAGEREF _Toc22954 </w:instrText>
          </w:r>
          <w:r>
            <w:rPr>
              <w:color w:val="auto"/>
            </w:rPr>
            <w:fldChar w:fldCharType="separate"/>
          </w:r>
          <w:r>
            <w:rPr>
              <w:color w:val="auto"/>
            </w:rPr>
            <w:t>48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_Toc763 </w:instrText>
          </w:r>
          <w:r>
            <w:rPr>
              <w:color w:val="auto"/>
            </w:rPr>
            <w:fldChar w:fldCharType="separate"/>
          </w:r>
          <w:r>
            <w:rPr>
              <w:rFonts w:eastAsia="楷体_GB2312"/>
              <w:color w:val="auto"/>
            </w:rPr>
            <w:t>第二节  创新招商引资方式</w:t>
          </w:r>
          <w:r>
            <w:rPr>
              <w:color w:val="auto"/>
            </w:rPr>
            <w:tab/>
          </w:r>
          <w:r>
            <w:rPr>
              <w:color w:val="auto"/>
            </w:rPr>
            <w:fldChar w:fldCharType="begin"/>
          </w:r>
          <w:r>
            <w:rPr>
              <w:color w:val="auto"/>
            </w:rPr>
            <w:instrText xml:space="preserve"> PAGEREF _Toc763 </w:instrText>
          </w:r>
          <w:r>
            <w:rPr>
              <w:color w:val="auto"/>
            </w:rPr>
            <w:fldChar w:fldCharType="separate"/>
          </w:r>
          <w:r>
            <w:rPr>
              <w:color w:val="auto"/>
            </w:rPr>
            <w:t>49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_Toc12513 </w:instrText>
          </w:r>
          <w:r>
            <w:rPr>
              <w:color w:val="auto"/>
            </w:rPr>
            <w:fldChar w:fldCharType="separate"/>
          </w:r>
          <w:r>
            <w:rPr>
              <w:rFonts w:eastAsia="楷体_GB2312"/>
              <w:color w:val="auto"/>
            </w:rPr>
            <w:t>第三节  健全跟踪服务机制</w:t>
          </w:r>
          <w:r>
            <w:rPr>
              <w:color w:val="auto"/>
            </w:rPr>
            <w:tab/>
          </w:r>
          <w:r>
            <w:rPr>
              <w:color w:val="auto"/>
            </w:rPr>
            <w:fldChar w:fldCharType="begin"/>
          </w:r>
          <w:r>
            <w:rPr>
              <w:color w:val="auto"/>
            </w:rPr>
            <w:instrText xml:space="preserve"> PAGEREF _Toc12513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_Toc10515 </w:instrText>
          </w:r>
          <w:r>
            <w:rPr>
              <w:color w:val="auto"/>
            </w:rPr>
            <w:fldChar w:fldCharType="separate"/>
          </w:r>
          <w:r>
            <w:rPr>
              <w:rFonts w:ascii="Times New Roman" w:hAnsi="Times New Roman" w:eastAsia="黑体"/>
              <w:bCs w:val="0"/>
              <w:color w:val="auto"/>
              <w:kern w:val="2"/>
              <w:szCs w:val="32"/>
            </w:rPr>
            <w:t>第十六章  释放内需强大潜力</w:t>
          </w:r>
          <w:r>
            <w:rPr>
              <w:color w:val="auto"/>
            </w:rPr>
            <w:tab/>
          </w:r>
          <w:r>
            <w:rPr>
              <w:color w:val="auto"/>
            </w:rPr>
            <w:fldChar w:fldCharType="begin"/>
          </w:r>
          <w:r>
            <w:rPr>
              <w:color w:val="auto"/>
            </w:rPr>
            <w:instrText xml:space="preserve"> PAGEREF _Toc10515 </w:instrText>
          </w:r>
          <w:r>
            <w:rPr>
              <w:color w:val="auto"/>
            </w:rPr>
            <w:fldChar w:fldCharType="separate"/>
          </w:r>
          <w:r>
            <w:rPr>
              <w:color w:val="auto"/>
            </w:rPr>
            <w:t>49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_Toc31869 </w:instrText>
          </w:r>
          <w:r>
            <w:rPr>
              <w:color w:val="auto"/>
            </w:rPr>
            <w:fldChar w:fldCharType="separate"/>
          </w:r>
          <w:r>
            <w:rPr>
              <w:rFonts w:eastAsia="楷体_GB2312"/>
              <w:color w:val="auto"/>
            </w:rPr>
            <w:t>第一节  合理扩大有效投资</w:t>
          </w:r>
          <w:r>
            <w:rPr>
              <w:color w:val="auto"/>
            </w:rPr>
            <w:tab/>
          </w:r>
          <w:r>
            <w:rPr>
              <w:color w:val="auto"/>
            </w:rPr>
            <w:fldChar w:fldCharType="begin"/>
          </w:r>
          <w:r>
            <w:rPr>
              <w:color w:val="auto"/>
            </w:rPr>
            <w:instrText xml:space="preserve"> PAGEREF _Toc31869 </w:instrText>
          </w:r>
          <w:r>
            <w:rPr>
              <w:color w:val="auto"/>
            </w:rPr>
            <w:fldChar w:fldCharType="separate"/>
          </w:r>
          <w:r>
            <w:rPr>
              <w:color w:val="auto"/>
            </w:rPr>
            <w:t>50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_Toc18730 </w:instrText>
          </w:r>
          <w:r>
            <w:rPr>
              <w:color w:val="auto"/>
            </w:rPr>
            <w:fldChar w:fldCharType="separate"/>
          </w:r>
          <w:r>
            <w:rPr>
              <w:rFonts w:eastAsia="楷体_GB2312"/>
              <w:color w:val="auto"/>
            </w:rPr>
            <w:t>第二节  优化城乡消费</w:t>
          </w:r>
          <w:r>
            <w:rPr>
              <w:rFonts w:hint="eastAsia" w:eastAsia="楷体_GB2312"/>
              <w:color w:val="auto"/>
            </w:rPr>
            <w:t>结构</w:t>
          </w:r>
          <w:r>
            <w:rPr>
              <w:color w:val="auto"/>
            </w:rPr>
            <w:tab/>
          </w:r>
          <w:r>
            <w:rPr>
              <w:color w:val="auto"/>
            </w:rPr>
            <w:fldChar w:fldCharType="begin"/>
          </w:r>
          <w:r>
            <w:rPr>
              <w:color w:val="auto"/>
            </w:rPr>
            <w:instrText xml:space="preserve"> PAGEREF _Toc18730 </w:instrText>
          </w:r>
          <w:r>
            <w:rPr>
              <w:color w:val="auto"/>
            </w:rPr>
            <w:fldChar w:fldCharType="separate"/>
          </w:r>
          <w:r>
            <w:rPr>
              <w:color w:val="auto"/>
            </w:rPr>
            <w:t>50</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_Toc23957 </w:instrText>
          </w:r>
          <w:r>
            <w:rPr>
              <w:color w:val="auto"/>
            </w:rPr>
            <w:fldChar w:fldCharType="separate"/>
          </w:r>
          <w:r>
            <w:rPr>
              <w:color w:val="auto"/>
              <w:szCs w:val="36"/>
            </w:rPr>
            <w:t>第六篇  坚定全域发展布局，促进城乡区域协调发展</w:t>
          </w:r>
          <w:r>
            <w:rPr>
              <w:color w:val="auto"/>
            </w:rPr>
            <w:tab/>
          </w:r>
          <w:r>
            <w:rPr>
              <w:color w:val="auto"/>
            </w:rPr>
            <w:fldChar w:fldCharType="begin"/>
          </w:r>
          <w:r>
            <w:rPr>
              <w:color w:val="auto"/>
            </w:rPr>
            <w:instrText xml:space="preserve"> PAGEREF _Toc23957 </w:instrText>
          </w:r>
          <w:r>
            <w:rPr>
              <w:color w:val="auto"/>
            </w:rPr>
            <w:fldChar w:fldCharType="separate"/>
          </w:r>
          <w:r>
            <w:rPr>
              <w:color w:val="auto"/>
            </w:rPr>
            <w:t>51</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_Toc878 </w:instrText>
          </w:r>
          <w:r>
            <w:rPr>
              <w:color w:val="auto"/>
            </w:rPr>
            <w:fldChar w:fldCharType="separate"/>
          </w:r>
          <w:r>
            <w:rPr>
              <w:rFonts w:ascii="Times New Roman" w:hAnsi="Times New Roman" w:eastAsia="黑体"/>
              <w:bCs w:val="0"/>
              <w:color w:val="auto"/>
              <w:kern w:val="2"/>
              <w:szCs w:val="32"/>
            </w:rPr>
            <w:t>第十七章  推动乡村全面振兴</w:t>
          </w:r>
          <w:r>
            <w:rPr>
              <w:color w:val="auto"/>
            </w:rPr>
            <w:tab/>
          </w:r>
          <w:r>
            <w:rPr>
              <w:color w:val="auto"/>
            </w:rPr>
            <w:fldChar w:fldCharType="begin"/>
          </w:r>
          <w:r>
            <w:rPr>
              <w:color w:val="auto"/>
            </w:rPr>
            <w:instrText xml:space="preserve"> PAGEREF _Toc878 </w:instrText>
          </w:r>
          <w:r>
            <w:rPr>
              <w:color w:val="auto"/>
            </w:rPr>
            <w:fldChar w:fldCharType="separate"/>
          </w:r>
          <w:r>
            <w:rPr>
              <w:color w:val="auto"/>
            </w:rPr>
            <w:t>51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_Toc12613 </w:instrText>
          </w:r>
          <w:r>
            <w:rPr>
              <w:color w:val="auto"/>
            </w:rPr>
            <w:fldChar w:fldCharType="separate"/>
          </w:r>
          <w:r>
            <w:rPr>
              <w:rFonts w:eastAsia="楷体_GB2312"/>
              <w:color w:val="auto"/>
            </w:rPr>
            <w:t>第一节  推进重点集镇建设</w:t>
          </w:r>
          <w:r>
            <w:rPr>
              <w:color w:val="auto"/>
            </w:rPr>
            <w:tab/>
          </w:r>
          <w:r>
            <w:rPr>
              <w:color w:val="auto"/>
            </w:rPr>
            <w:fldChar w:fldCharType="begin"/>
          </w:r>
          <w:r>
            <w:rPr>
              <w:color w:val="auto"/>
            </w:rPr>
            <w:instrText xml:space="preserve"> PAGEREF _Toc12613 </w:instrText>
          </w:r>
          <w:r>
            <w:rPr>
              <w:color w:val="auto"/>
            </w:rPr>
            <w:fldChar w:fldCharType="separate"/>
          </w:r>
          <w:r>
            <w:rPr>
              <w:color w:val="auto"/>
            </w:rPr>
            <w:t>51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_Toc12173 </w:instrText>
          </w:r>
          <w:r>
            <w:rPr>
              <w:color w:val="auto"/>
            </w:rPr>
            <w:fldChar w:fldCharType="separate"/>
          </w:r>
          <w:r>
            <w:rPr>
              <w:rFonts w:eastAsia="楷体_GB2312"/>
              <w:color w:val="auto"/>
            </w:rPr>
            <w:t>第二节  加快美丽村寨建设</w:t>
          </w:r>
          <w:r>
            <w:rPr>
              <w:color w:val="auto"/>
            </w:rPr>
            <w:tab/>
          </w:r>
          <w:r>
            <w:rPr>
              <w:color w:val="auto"/>
            </w:rPr>
            <w:fldChar w:fldCharType="begin"/>
          </w:r>
          <w:r>
            <w:rPr>
              <w:color w:val="auto"/>
            </w:rPr>
            <w:instrText xml:space="preserve"> PAGEREF _Toc12173 </w:instrText>
          </w:r>
          <w:r>
            <w:rPr>
              <w:color w:val="auto"/>
            </w:rPr>
            <w:fldChar w:fldCharType="separate"/>
          </w:r>
          <w:r>
            <w:rPr>
              <w:color w:val="auto"/>
            </w:rPr>
            <w:t>52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_Toc11131 </w:instrText>
          </w:r>
          <w:r>
            <w:rPr>
              <w:color w:val="auto"/>
            </w:rPr>
            <w:fldChar w:fldCharType="separate"/>
          </w:r>
          <w:r>
            <w:rPr>
              <w:rFonts w:eastAsia="楷体_GB2312"/>
              <w:color w:val="auto"/>
            </w:rPr>
            <w:t>第三节  提升农村人居环境</w:t>
          </w:r>
          <w:r>
            <w:rPr>
              <w:color w:val="auto"/>
            </w:rPr>
            <w:tab/>
          </w:r>
          <w:r>
            <w:rPr>
              <w:color w:val="auto"/>
            </w:rPr>
            <w:fldChar w:fldCharType="begin"/>
          </w:r>
          <w:r>
            <w:rPr>
              <w:color w:val="auto"/>
            </w:rPr>
            <w:instrText xml:space="preserve"> PAGEREF _Toc11131 </w:instrText>
          </w:r>
          <w:r>
            <w:rPr>
              <w:color w:val="auto"/>
            </w:rPr>
            <w:fldChar w:fldCharType="separate"/>
          </w:r>
          <w:r>
            <w:rPr>
              <w:color w:val="auto"/>
            </w:rPr>
            <w:t>52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_Toc26831 </w:instrText>
          </w:r>
          <w:r>
            <w:rPr>
              <w:color w:val="auto"/>
            </w:rPr>
            <w:fldChar w:fldCharType="separate"/>
          </w:r>
          <w:r>
            <w:rPr>
              <w:rFonts w:eastAsia="楷体_GB2312"/>
              <w:color w:val="auto"/>
            </w:rPr>
            <w:t>第四节  壮大村级集体经济</w:t>
          </w:r>
          <w:r>
            <w:rPr>
              <w:color w:val="auto"/>
            </w:rPr>
            <w:tab/>
          </w:r>
          <w:r>
            <w:rPr>
              <w:color w:val="auto"/>
            </w:rPr>
            <w:fldChar w:fldCharType="begin"/>
          </w:r>
          <w:r>
            <w:rPr>
              <w:color w:val="auto"/>
            </w:rPr>
            <w:instrText xml:space="preserve"> PAGEREF _Toc26831 </w:instrText>
          </w:r>
          <w:r>
            <w:rPr>
              <w:color w:val="auto"/>
            </w:rPr>
            <w:fldChar w:fldCharType="separate"/>
          </w:r>
          <w:r>
            <w:rPr>
              <w:color w:val="auto"/>
            </w:rPr>
            <w:t>53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_Toc7470 </w:instrText>
          </w:r>
          <w:r>
            <w:rPr>
              <w:color w:val="auto"/>
            </w:rPr>
            <w:fldChar w:fldCharType="separate"/>
          </w:r>
          <w:r>
            <w:rPr>
              <w:rFonts w:eastAsia="楷体_GB2312"/>
              <w:color w:val="auto"/>
            </w:rPr>
            <w:t>第五节  巩固拓展脱贫攻坚成果</w:t>
          </w:r>
          <w:r>
            <w:rPr>
              <w:color w:val="auto"/>
            </w:rPr>
            <w:tab/>
          </w:r>
          <w:r>
            <w:rPr>
              <w:color w:val="auto"/>
            </w:rPr>
            <w:fldChar w:fldCharType="begin"/>
          </w:r>
          <w:r>
            <w:rPr>
              <w:color w:val="auto"/>
            </w:rPr>
            <w:instrText xml:space="preserve"> PAGEREF _Toc7470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_Toc31726 </w:instrText>
          </w:r>
          <w:r>
            <w:rPr>
              <w:color w:val="auto"/>
            </w:rPr>
            <w:fldChar w:fldCharType="separate"/>
          </w:r>
          <w:r>
            <w:rPr>
              <w:rFonts w:ascii="Times New Roman" w:hAnsi="Times New Roman" w:eastAsia="黑体"/>
              <w:bCs w:val="0"/>
              <w:color w:val="auto"/>
              <w:kern w:val="2"/>
              <w:szCs w:val="32"/>
            </w:rPr>
            <w:t>第十八章  提升县城发展能级</w:t>
          </w:r>
          <w:r>
            <w:rPr>
              <w:color w:val="auto"/>
            </w:rPr>
            <w:tab/>
          </w:r>
          <w:r>
            <w:rPr>
              <w:color w:val="auto"/>
            </w:rPr>
            <w:fldChar w:fldCharType="begin"/>
          </w:r>
          <w:r>
            <w:rPr>
              <w:color w:val="auto"/>
            </w:rPr>
            <w:instrText xml:space="preserve"> PAGEREF _Toc31726 </w:instrText>
          </w:r>
          <w:r>
            <w:rPr>
              <w:color w:val="auto"/>
            </w:rPr>
            <w:fldChar w:fldCharType="separate"/>
          </w:r>
          <w:r>
            <w:rPr>
              <w:color w:val="auto"/>
            </w:rPr>
            <w:t>54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_Toc26951 </w:instrText>
          </w:r>
          <w:r>
            <w:rPr>
              <w:color w:val="auto"/>
            </w:rPr>
            <w:fldChar w:fldCharType="separate"/>
          </w:r>
          <w:r>
            <w:rPr>
              <w:rFonts w:eastAsia="楷体_GB2312"/>
              <w:color w:val="auto"/>
            </w:rPr>
            <w:t xml:space="preserve">第一节  </w:t>
          </w:r>
          <w:r>
            <w:rPr>
              <w:rFonts w:hint="eastAsia" w:eastAsia="楷体_GB2312"/>
              <w:color w:val="auto"/>
              <w:lang w:val="en-US" w:eastAsia="zh-CN"/>
            </w:rPr>
            <w:t>拓展</w:t>
          </w:r>
          <w:r>
            <w:rPr>
              <w:rFonts w:eastAsia="楷体_GB2312"/>
              <w:color w:val="auto"/>
            </w:rPr>
            <w:t>城区</w:t>
          </w:r>
          <w:r>
            <w:rPr>
              <w:rFonts w:hint="eastAsia" w:eastAsia="楷体_GB2312"/>
              <w:color w:val="auto"/>
              <w:lang w:val="en-US" w:eastAsia="zh-CN"/>
            </w:rPr>
            <w:t>发展</w:t>
          </w:r>
          <w:r>
            <w:rPr>
              <w:rFonts w:eastAsia="楷体_GB2312"/>
              <w:color w:val="auto"/>
            </w:rPr>
            <w:t>空间</w:t>
          </w:r>
          <w:r>
            <w:rPr>
              <w:color w:val="auto"/>
            </w:rPr>
            <w:tab/>
          </w:r>
          <w:r>
            <w:rPr>
              <w:color w:val="auto"/>
            </w:rPr>
            <w:fldChar w:fldCharType="begin"/>
          </w:r>
          <w:r>
            <w:rPr>
              <w:color w:val="auto"/>
            </w:rPr>
            <w:instrText xml:space="preserve"> PAGEREF _Toc26951 </w:instrText>
          </w:r>
          <w:r>
            <w:rPr>
              <w:color w:val="auto"/>
            </w:rPr>
            <w:fldChar w:fldCharType="separate"/>
          </w:r>
          <w:r>
            <w:rPr>
              <w:color w:val="auto"/>
            </w:rPr>
            <w:t>55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_Toc19685 </w:instrText>
          </w:r>
          <w:r>
            <w:rPr>
              <w:color w:val="auto"/>
            </w:rPr>
            <w:fldChar w:fldCharType="separate"/>
          </w:r>
          <w:r>
            <w:rPr>
              <w:rFonts w:eastAsia="楷体_GB2312"/>
              <w:color w:val="auto"/>
            </w:rPr>
            <w:t>第二节  增强城区承载能力</w:t>
          </w:r>
          <w:r>
            <w:rPr>
              <w:color w:val="auto"/>
            </w:rPr>
            <w:tab/>
          </w:r>
          <w:r>
            <w:rPr>
              <w:color w:val="auto"/>
            </w:rPr>
            <w:fldChar w:fldCharType="begin"/>
          </w:r>
          <w:r>
            <w:rPr>
              <w:color w:val="auto"/>
            </w:rPr>
            <w:instrText xml:space="preserve"> PAGEREF _Toc19685 </w:instrText>
          </w:r>
          <w:r>
            <w:rPr>
              <w:color w:val="auto"/>
            </w:rPr>
            <w:fldChar w:fldCharType="separate"/>
          </w:r>
          <w:r>
            <w:rPr>
              <w:color w:val="auto"/>
            </w:rPr>
            <w:t>55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_Toc1468 </w:instrText>
          </w:r>
          <w:r>
            <w:rPr>
              <w:color w:val="auto"/>
            </w:rPr>
            <w:fldChar w:fldCharType="separate"/>
          </w:r>
          <w:r>
            <w:rPr>
              <w:rFonts w:eastAsia="楷体_GB2312"/>
              <w:color w:val="auto"/>
            </w:rPr>
            <w:t>第三节  提升城区形象品质</w:t>
          </w:r>
          <w:r>
            <w:rPr>
              <w:color w:val="auto"/>
            </w:rPr>
            <w:tab/>
          </w:r>
          <w:r>
            <w:rPr>
              <w:color w:val="auto"/>
            </w:rPr>
            <w:fldChar w:fldCharType="begin"/>
          </w:r>
          <w:r>
            <w:rPr>
              <w:color w:val="auto"/>
            </w:rPr>
            <w:instrText xml:space="preserve"> PAGEREF _Toc1468 </w:instrText>
          </w:r>
          <w:r>
            <w:rPr>
              <w:color w:val="auto"/>
            </w:rPr>
            <w:fldChar w:fldCharType="separate"/>
          </w:r>
          <w:r>
            <w:rPr>
              <w:color w:val="auto"/>
            </w:rPr>
            <w:t>56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_Toc15377 </w:instrText>
          </w:r>
          <w:r>
            <w:rPr>
              <w:color w:val="auto"/>
            </w:rPr>
            <w:fldChar w:fldCharType="separate"/>
          </w:r>
          <w:r>
            <w:rPr>
              <w:rFonts w:eastAsia="楷体_GB2312"/>
              <w:color w:val="auto"/>
            </w:rPr>
            <w:t>第四节  加强城区精细管理</w:t>
          </w:r>
          <w:r>
            <w:rPr>
              <w:color w:val="auto"/>
            </w:rPr>
            <w:tab/>
          </w:r>
          <w:r>
            <w:rPr>
              <w:color w:val="auto"/>
            </w:rPr>
            <w:fldChar w:fldCharType="begin"/>
          </w:r>
          <w:r>
            <w:rPr>
              <w:color w:val="auto"/>
            </w:rPr>
            <w:instrText xml:space="preserve"> PAGEREF _Toc15377 </w:instrText>
          </w:r>
          <w:r>
            <w:rPr>
              <w:color w:val="auto"/>
            </w:rPr>
            <w:fldChar w:fldCharType="separate"/>
          </w:r>
          <w:r>
            <w:rPr>
              <w:color w:val="auto"/>
            </w:rPr>
            <w:t>56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_Toc4791 </w:instrText>
          </w:r>
          <w:r>
            <w:rPr>
              <w:color w:val="auto"/>
            </w:rPr>
            <w:fldChar w:fldCharType="separate"/>
          </w:r>
          <w:r>
            <w:rPr>
              <w:rFonts w:eastAsia="楷体_GB2312"/>
              <w:color w:val="auto"/>
            </w:rPr>
            <w:t>第五节  推进安居工程建设</w:t>
          </w:r>
          <w:r>
            <w:rPr>
              <w:color w:val="auto"/>
            </w:rPr>
            <w:tab/>
          </w:r>
          <w:r>
            <w:rPr>
              <w:color w:val="auto"/>
            </w:rPr>
            <w:fldChar w:fldCharType="begin"/>
          </w:r>
          <w:r>
            <w:rPr>
              <w:color w:val="auto"/>
            </w:rPr>
            <w:instrText xml:space="preserve"> PAGEREF _Toc4791 </w:instrText>
          </w:r>
          <w:r>
            <w:rPr>
              <w:color w:val="auto"/>
            </w:rPr>
            <w:fldChar w:fldCharType="separate"/>
          </w:r>
          <w:r>
            <w:rPr>
              <w:color w:val="auto"/>
            </w:rPr>
            <w:t>57</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_Toc3399 </w:instrText>
          </w:r>
          <w:r>
            <w:rPr>
              <w:color w:val="auto"/>
            </w:rPr>
            <w:fldChar w:fldCharType="separate"/>
          </w:r>
          <w:r>
            <w:rPr>
              <w:rFonts w:ascii="Times New Roman" w:hAnsi="Times New Roman" w:eastAsia="黑体"/>
              <w:bCs w:val="0"/>
              <w:color w:val="auto"/>
              <w:kern w:val="2"/>
              <w:szCs w:val="32"/>
            </w:rPr>
            <w:t>第十九章  构筑三区共兴格局</w:t>
          </w:r>
          <w:r>
            <w:rPr>
              <w:color w:val="auto"/>
            </w:rPr>
            <w:tab/>
          </w:r>
          <w:r>
            <w:rPr>
              <w:color w:val="auto"/>
            </w:rPr>
            <w:fldChar w:fldCharType="begin"/>
          </w:r>
          <w:r>
            <w:rPr>
              <w:color w:val="auto"/>
            </w:rPr>
            <w:instrText xml:space="preserve"> PAGEREF _Toc3399 </w:instrText>
          </w:r>
          <w:r>
            <w:rPr>
              <w:color w:val="auto"/>
            </w:rPr>
            <w:fldChar w:fldCharType="separate"/>
          </w:r>
          <w:r>
            <w:rPr>
              <w:color w:val="auto"/>
            </w:rPr>
            <w:t>58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_Toc8124 </w:instrText>
          </w:r>
          <w:r>
            <w:rPr>
              <w:color w:val="auto"/>
            </w:rPr>
            <w:fldChar w:fldCharType="separate"/>
          </w:r>
          <w:r>
            <w:rPr>
              <w:rFonts w:eastAsia="楷体_GB2312"/>
              <w:color w:val="auto"/>
            </w:rPr>
            <w:t>第一节  加速绿色经济增长区崛起</w:t>
          </w:r>
          <w:r>
            <w:rPr>
              <w:color w:val="auto"/>
            </w:rPr>
            <w:tab/>
          </w:r>
          <w:r>
            <w:rPr>
              <w:color w:val="auto"/>
            </w:rPr>
            <w:fldChar w:fldCharType="begin"/>
          </w:r>
          <w:r>
            <w:rPr>
              <w:color w:val="auto"/>
            </w:rPr>
            <w:instrText xml:space="preserve"> PAGEREF _Toc8124 </w:instrText>
          </w:r>
          <w:r>
            <w:rPr>
              <w:color w:val="auto"/>
            </w:rPr>
            <w:fldChar w:fldCharType="separate"/>
          </w:r>
          <w:r>
            <w:rPr>
              <w:color w:val="auto"/>
            </w:rPr>
            <w:t>58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_Toc10462 </w:instrText>
          </w:r>
          <w:r>
            <w:rPr>
              <w:color w:val="auto"/>
            </w:rPr>
            <w:fldChar w:fldCharType="separate"/>
          </w:r>
          <w:r>
            <w:rPr>
              <w:rFonts w:eastAsia="楷体_GB2312"/>
              <w:color w:val="auto"/>
            </w:rPr>
            <w:t>第二节  推进乡村振兴示范区建设</w:t>
          </w:r>
          <w:r>
            <w:rPr>
              <w:color w:val="auto"/>
            </w:rPr>
            <w:tab/>
          </w:r>
          <w:r>
            <w:rPr>
              <w:color w:val="auto"/>
            </w:rPr>
            <w:fldChar w:fldCharType="begin"/>
          </w:r>
          <w:r>
            <w:rPr>
              <w:color w:val="auto"/>
            </w:rPr>
            <w:instrText xml:space="preserve"> PAGEREF _Toc10462 </w:instrText>
          </w:r>
          <w:r>
            <w:rPr>
              <w:color w:val="auto"/>
            </w:rPr>
            <w:fldChar w:fldCharType="separate"/>
          </w:r>
          <w:r>
            <w:rPr>
              <w:color w:val="auto"/>
            </w:rPr>
            <w:t>59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_Toc14118 </w:instrText>
          </w:r>
          <w:r>
            <w:rPr>
              <w:color w:val="auto"/>
            </w:rPr>
            <w:fldChar w:fldCharType="separate"/>
          </w:r>
          <w:r>
            <w:rPr>
              <w:rFonts w:eastAsia="楷体_GB2312"/>
              <w:color w:val="auto"/>
            </w:rPr>
            <w:t>第三节  提升高原产业聚合区效益</w:t>
          </w:r>
          <w:r>
            <w:rPr>
              <w:color w:val="auto"/>
            </w:rPr>
            <w:tab/>
          </w:r>
          <w:r>
            <w:rPr>
              <w:color w:val="auto"/>
            </w:rPr>
            <w:fldChar w:fldCharType="begin"/>
          </w:r>
          <w:r>
            <w:rPr>
              <w:color w:val="auto"/>
            </w:rPr>
            <w:instrText xml:space="preserve"> PAGEREF _Toc14118 </w:instrText>
          </w:r>
          <w:r>
            <w:rPr>
              <w:color w:val="auto"/>
            </w:rPr>
            <w:fldChar w:fldCharType="separate"/>
          </w:r>
          <w:r>
            <w:rPr>
              <w:color w:val="auto"/>
            </w:rPr>
            <w:t>59</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_Toc3510 </w:instrText>
          </w:r>
          <w:r>
            <w:rPr>
              <w:color w:val="auto"/>
            </w:rPr>
            <w:fldChar w:fldCharType="separate"/>
          </w:r>
          <w:r>
            <w:rPr>
              <w:color w:val="auto"/>
              <w:szCs w:val="36"/>
            </w:rPr>
            <w:t>第七篇  实施改革创新战略，塑造高质量发展新优势</w:t>
          </w:r>
          <w:r>
            <w:rPr>
              <w:color w:val="auto"/>
            </w:rPr>
            <w:tab/>
          </w:r>
          <w:r>
            <w:rPr>
              <w:color w:val="auto"/>
            </w:rPr>
            <w:fldChar w:fldCharType="begin"/>
          </w:r>
          <w:r>
            <w:rPr>
              <w:color w:val="auto"/>
            </w:rPr>
            <w:instrText xml:space="preserve"> PAGEREF _Toc3510 </w:instrText>
          </w:r>
          <w:r>
            <w:rPr>
              <w:color w:val="auto"/>
            </w:rPr>
            <w:fldChar w:fldCharType="separate"/>
          </w:r>
          <w:r>
            <w:rPr>
              <w:color w:val="auto"/>
            </w:rPr>
            <w:t>59</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_Toc19067 </w:instrText>
          </w:r>
          <w:r>
            <w:rPr>
              <w:color w:val="auto"/>
            </w:rPr>
            <w:fldChar w:fldCharType="separate"/>
          </w:r>
          <w:r>
            <w:rPr>
              <w:rFonts w:ascii="Times New Roman" w:hAnsi="Times New Roman" w:eastAsia="黑体"/>
              <w:bCs w:val="0"/>
              <w:color w:val="auto"/>
              <w:kern w:val="2"/>
              <w:szCs w:val="32"/>
            </w:rPr>
            <w:t>第二十章  深化重点领域改革</w:t>
          </w:r>
          <w:r>
            <w:rPr>
              <w:color w:val="auto"/>
            </w:rPr>
            <w:tab/>
          </w:r>
          <w:r>
            <w:rPr>
              <w:color w:val="auto"/>
            </w:rPr>
            <w:fldChar w:fldCharType="begin"/>
          </w:r>
          <w:r>
            <w:rPr>
              <w:color w:val="auto"/>
            </w:rPr>
            <w:instrText xml:space="preserve"> PAGEREF _Toc19067 </w:instrText>
          </w:r>
          <w:r>
            <w:rPr>
              <w:color w:val="auto"/>
            </w:rPr>
            <w:fldChar w:fldCharType="separate"/>
          </w:r>
          <w:r>
            <w:rPr>
              <w:color w:val="auto"/>
            </w:rPr>
            <w:t>60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_Toc17601 </w:instrText>
          </w:r>
          <w:r>
            <w:rPr>
              <w:color w:val="auto"/>
            </w:rPr>
            <w:fldChar w:fldCharType="separate"/>
          </w:r>
          <w:r>
            <w:rPr>
              <w:rFonts w:eastAsia="楷体_GB2312"/>
              <w:color w:val="auto"/>
            </w:rPr>
            <w:t>第一节  激活市场主体活力</w:t>
          </w:r>
          <w:r>
            <w:rPr>
              <w:color w:val="auto"/>
            </w:rPr>
            <w:tab/>
          </w:r>
          <w:r>
            <w:rPr>
              <w:color w:val="auto"/>
            </w:rPr>
            <w:fldChar w:fldCharType="begin"/>
          </w:r>
          <w:r>
            <w:rPr>
              <w:color w:val="auto"/>
            </w:rPr>
            <w:instrText xml:space="preserve"> PAGEREF _Toc17601 </w:instrText>
          </w:r>
          <w:r>
            <w:rPr>
              <w:color w:val="auto"/>
            </w:rPr>
            <w:fldChar w:fldCharType="separate"/>
          </w:r>
          <w:r>
            <w:rPr>
              <w:color w:val="auto"/>
            </w:rPr>
            <w:t>60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_Toc11871 </w:instrText>
          </w:r>
          <w:r>
            <w:rPr>
              <w:color w:val="auto"/>
            </w:rPr>
            <w:fldChar w:fldCharType="separate"/>
          </w:r>
          <w:r>
            <w:rPr>
              <w:rFonts w:eastAsia="楷体_GB2312"/>
              <w:color w:val="auto"/>
            </w:rPr>
            <w:t>第二节  加强财税金融改革</w:t>
          </w:r>
          <w:r>
            <w:rPr>
              <w:color w:val="auto"/>
            </w:rPr>
            <w:tab/>
          </w:r>
          <w:r>
            <w:rPr>
              <w:color w:val="auto"/>
            </w:rPr>
            <w:fldChar w:fldCharType="begin"/>
          </w:r>
          <w:r>
            <w:rPr>
              <w:color w:val="auto"/>
            </w:rPr>
            <w:instrText xml:space="preserve"> PAGEREF _Toc11871 </w:instrText>
          </w:r>
          <w:r>
            <w:rPr>
              <w:color w:val="auto"/>
            </w:rPr>
            <w:fldChar w:fldCharType="separate"/>
          </w:r>
          <w:r>
            <w:rPr>
              <w:color w:val="auto"/>
            </w:rPr>
            <w:t>60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_Toc27042 </w:instrText>
          </w:r>
          <w:r>
            <w:rPr>
              <w:color w:val="auto"/>
            </w:rPr>
            <w:fldChar w:fldCharType="separate"/>
          </w:r>
          <w:r>
            <w:rPr>
              <w:rFonts w:eastAsia="楷体_GB2312"/>
              <w:color w:val="auto"/>
            </w:rPr>
            <w:t>第三节  深化农业农村改革</w:t>
          </w:r>
          <w:r>
            <w:rPr>
              <w:color w:val="auto"/>
            </w:rPr>
            <w:tab/>
          </w:r>
          <w:r>
            <w:rPr>
              <w:color w:val="auto"/>
            </w:rPr>
            <w:fldChar w:fldCharType="begin"/>
          </w:r>
          <w:r>
            <w:rPr>
              <w:color w:val="auto"/>
            </w:rPr>
            <w:instrText xml:space="preserve"> PAGEREF _Toc27042 </w:instrText>
          </w:r>
          <w:r>
            <w:rPr>
              <w:color w:val="auto"/>
            </w:rPr>
            <w:fldChar w:fldCharType="separate"/>
          </w:r>
          <w:r>
            <w:rPr>
              <w:color w:val="auto"/>
            </w:rPr>
            <w:t>61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_Toc2869 </w:instrText>
          </w:r>
          <w:r>
            <w:rPr>
              <w:color w:val="auto"/>
            </w:rPr>
            <w:fldChar w:fldCharType="separate"/>
          </w:r>
          <w:r>
            <w:rPr>
              <w:rFonts w:eastAsia="楷体_GB2312"/>
              <w:color w:val="auto"/>
            </w:rPr>
            <w:t>第四节  强化要素市场化配置</w:t>
          </w:r>
          <w:r>
            <w:rPr>
              <w:color w:val="auto"/>
            </w:rPr>
            <w:tab/>
          </w:r>
          <w:r>
            <w:rPr>
              <w:color w:val="auto"/>
            </w:rPr>
            <w:fldChar w:fldCharType="begin"/>
          </w:r>
          <w:r>
            <w:rPr>
              <w:color w:val="auto"/>
            </w:rPr>
            <w:instrText xml:space="preserve"> PAGEREF _Toc2869 </w:instrText>
          </w:r>
          <w:r>
            <w:rPr>
              <w:color w:val="auto"/>
            </w:rPr>
            <w:fldChar w:fldCharType="separate"/>
          </w:r>
          <w:r>
            <w:rPr>
              <w:color w:val="auto"/>
            </w:rPr>
            <w:t>61</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_Toc14674 </w:instrText>
          </w:r>
          <w:r>
            <w:rPr>
              <w:color w:val="auto"/>
            </w:rPr>
            <w:fldChar w:fldCharType="separate"/>
          </w:r>
          <w:r>
            <w:rPr>
              <w:rFonts w:ascii="Times New Roman" w:hAnsi="Times New Roman" w:eastAsia="黑体"/>
              <w:bCs w:val="0"/>
              <w:color w:val="auto"/>
              <w:kern w:val="2"/>
              <w:szCs w:val="32"/>
            </w:rPr>
            <w:t>第二十一章  打造一流营商环境</w:t>
          </w:r>
          <w:r>
            <w:rPr>
              <w:color w:val="auto"/>
            </w:rPr>
            <w:tab/>
          </w:r>
          <w:r>
            <w:rPr>
              <w:color w:val="auto"/>
            </w:rPr>
            <w:fldChar w:fldCharType="begin"/>
          </w:r>
          <w:r>
            <w:rPr>
              <w:color w:val="auto"/>
            </w:rPr>
            <w:instrText xml:space="preserve"> PAGEREF _Toc14674 </w:instrText>
          </w:r>
          <w:r>
            <w:rPr>
              <w:color w:val="auto"/>
            </w:rPr>
            <w:fldChar w:fldCharType="separate"/>
          </w:r>
          <w:r>
            <w:rPr>
              <w:color w:val="auto"/>
            </w:rPr>
            <w:t>62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_Toc4015 </w:instrText>
          </w:r>
          <w:r>
            <w:rPr>
              <w:color w:val="auto"/>
            </w:rPr>
            <w:fldChar w:fldCharType="separate"/>
          </w:r>
          <w:r>
            <w:rPr>
              <w:rFonts w:eastAsia="楷体_GB2312"/>
              <w:color w:val="auto"/>
            </w:rPr>
            <w:t>第一节  提升便捷高效政务环境</w:t>
          </w:r>
          <w:r>
            <w:rPr>
              <w:color w:val="auto"/>
            </w:rPr>
            <w:tab/>
          </w:r>
          <w:r>
            <w:rPr>
              <w:color w:val="auto"/>
            </w:rPr>
            <w:fldChar w:fldCharType="begin"/>
          </w:r>
          <w:r>
            <w:rPr>
              <w:color w:val="auto"/>
            </w:rPr>
            <w:instrText xml:space="preserve"> PAGEREF _Toc4015 </w:instrText>
          </w:r>
          <w:r>
            <w:rPr>
              <w:color w:val="auto"/>
            </w:rPr>
            <w:fldChar w:fldCharType="separate"/>
          </w:r>
          <w:r>
            <w:rPr>
              <w:color w:val="auto"/>
            </w:rPr>
            <w:t>62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_Toc24304 </w:instrText>
          </w:r>
          <w:r>
            <w:rPr>
              <w:color w:val="auto"/>
            </w:rPr>
            <w:fldChar w:fldCharType="separate"/>
          </w:r>
          <w:r>
            <w:rPr>
              <w:rFonts w:eastAsia="楷体_GB2312"/>
              <w:color w:val="auto"/>
            </w:rPr>
            <w:t>第二节  优化宜业宜商政策环境</w:t>
          </w:r>
          <w:r>
            <w:rPr>
              <w:color w:val="auto"/>
            </w:rPr>
            <w:tab/>
          </w:r>
          <w:r>
            <w:rPr>
              <w:color w:val="auto"/>
            </w:rPr>
            <w:fldChar w:fldCharType="begin"/>
          </w:r>
          <w:r>
            <w:rPr>
              <w:color w:val="auto"/>
            </w:rPr>
            <w:instrText xml:space="preserve"> PAGEREF _Toc24304 </w:instrText>
          </w:r>
          <w:r>
            <w:rPr>
              <w:color w:val="auto"/>
            </w:rPr>
            <w:fldChar w:fldCharType="separate"/>
          </w:r>
          <w:r>
            <w:rPr>
              <w:color w:val="auto"/>
            </w:rPr>
            <w:t>62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_Toc23760 </w:instrText>
          </w:r>
          <w:r>
            <w:rPr>
              <w:color w:val="auto"/>
            </w:rPr>
            <w:fldChar w:fldCharType="separate"/>
          </w:r>
          <w:r>
            <w:rPr>
              <w:rFonts w:eastAsia="楷体_GB2312"/>
              <w:color w:val="auto"/>
            </w:rPr>
            <w:t>第三节  营造诚实守信社会环境</w:t>
          </w:r>
          <w:r>
            <w:rPr>
              <w:color w:val="auto"/>
            </w:rPr>
            <w:tab/>
          </w:r>
          <w:r>
            <w:rPr>
              <w:color w:val="auto"/>
            </w:rPr>
            <w:fldChar w:fldCharType="begin"/>
          </w:r>
          <w:r>
            <w:rPr>
              <w:color w:val="auto"/>
            </w:rPr>
            <w:instrText xml:space="preserve"> PAGEREF _Toc23760 </w:instrText>
          </w:r>
          <w:r>
            <w:rPr>
              <w:color w:val="auto"/>
            </w:rPr>
            <w:fldChar w:fldCharType="separate"/>
          </w:r>
          <w:r>
            <w:rPr>
              <w:color w:val="auto"/>
            </w:rPr>
            <w:t>63</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_Toc14385 </w:instrText>
          </w:r>
          <w:r>
            <w:rPr>
              <w:color w:val="auto"/>
            </w:rPr>
            <w:fldChar w:fldCharType="separate"/>
          </w:r>
          <w:r>
            <w:rPr>
              <w:rFonts w:ascii="Times New Roman" w:hAnsi="Times New Roman" w:eastAsia="黑体"/>
              <w:bCs w:val="0"/>
              <w:color w:val="auto"/>
              <w:kern w:val="2"/>
              <w:szCs w:val="32"/>
            </w:rPr>
            <w:t>第二十二章  增强科技创新能力</w:t>
          </w:r>
          <w:r>
            <w:rPr>
              <w:color w:val="auto"/>
            </w:rPr>
            <w:tab/>
          </w:r>
          <w:r>
            <w:rPr>
              <w:color w:val="auto"/>
            </w:rPr>
            <w:fldChar w:fldCharType="begin"/>
          </w:r>
          <w:r>
            <w:rPr>
              <w:color w:val="auto"/>
            </w:rPr>
            <w:instrText xml:space="preserve"> PAGEREF _Toc14385 </w:instrText>
          </w:r>
          <w:r>
            <w:rPr>
              <w:color w:val="auto"/>
            </w:rPr>
            <w:fldChar w:fldCharType="separate"/>
          </w:r>
          <w:r>
            <w:rPr>
              <w:color w:val="auto"/>
            </w:rPr>
            <w:t>63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_Toc7998 </w:instrText>
          </w:r>
          <w:r>
            <w:rPr>
              <w:color w:val="auto"/>
            </w:rPr>
            <w:fldChar w:fldCharType="separate"/>
          </w:r>
          <w:r>
            <w:rPr>
              <w:rFonts w:eastAsia="楷体_GB2312"/>
              <w:color w:val="auto"/>
            </w:rPr>
            <w:t>第一节  加大科技创新投入</w:t>
          </w:r>
          <w:r>
            <w:rPr>
              <w:color w:val="auto"/>
            </w:rPr>
            <w:tab/>
          </w:r>
          <w:r>
            <w:rPr>
              <w:color w:val="auto"/>
            </w:rPr>
            <w:fldChar w:fldCharType="begin"/>
          </w:r>
          <w:r>
            <w:rPr>
              <w:color w:val="auto"/>
            </w:rPr>
            <w:instrText xml:space="preserve"> PAGEREF _Toc7998 </w:instrText>
          </w:r>
          <w:r>
            <w:rPr>
              <w:color w:val="auto"/>
            </w:rPr>
            <w:fldChar w:fldCharType="separate"/>
          </w:r>
          <w:r>
            <w:rPr>
              <w:color w:val="auto"/>
            </w:rPr>
            <w:t>64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_Toc22011 </w:instrText>
          </w:r>
          <w:r>
            <w:rPr>
              <w:color w:val="auto"/>
            </w:rPr>
            <w:fldChar w:fldCharType="separate"/>
          </w:r>
          <w:r>
            <w:rPr>
              <w:rFonts w:eastAsia="楷体_GB2312"/>
              <w:color w:val="auto"/>
            </w:rPr>
            <w:t>第二节  强化科技成果转化</w:t>
          </w:r>
          <w:r>
            <w:rPr>
              <w:color w:val="auto"/>
            </w:rPr>
            <w:tab/>
          </w:r>
          <w:r>
            <w:rPr>
              <w:color w:val="auto"/>
            </w:rPr>
            <w:fldChar w:fldCharType="begin"/>
          </w:r>
          <w:r>
            <w:rPr>
              <w:color w:val="auto"/>
            </w:rPr>
            <w:instrText xml:space="preserve"> PAGEREF _Toc22011 </w:instrText>
          </w:r>
          <w:r>
            <w:rPr>
              <w:color w:val="auto"/>
            </w:rPr>
            <w:fldChar w:fldCharType="separate"/>
          </w:r>
          <w:r>
            <w:rPr>
              <w:color w:val="auto"/>
            </w:rPr>
            <w:t>64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_Toc10186 </w:instrText>
          </w:r>
          <w:r>
            <w:rPr>
              <w:color w:val="auto"/>
            </w:rPr>
            <w:fldChar w:fldCharType="separate"/>
          </w:r>
          <w:r>
            <w:rPr>
              <w:rFonts w:eastAsia="楷体_GB2312"/>
              <w:color w:val="auto"/>
            </w:rPr>
            <w:t>第三节  提升科技创新服务</w:t>
          </w:r>
          <w:r>
            <w:rPr>
              <w:color w:val="auto"/>
            </w:rPr>
            <w:tab/>
          </w:r>
          <w:r>
            <w:rPr>
              <w:color w:val="auto"/>
            </w:rPr>
            <w:fldChar w:fldCharType="begin"/>
          </w:r>
          <w:r>
            <w:rPr>
              <w:color w:val="auto"/>
            </w:rPr>
            <w:instrText xml:space="preserve"> PAGEREF _Toc10186 </w:instrText>
          </w:r>
          <w:r>
            <w:rPr>
              <w:color w:val="auto"/>
            </w:rPr>
            <w:fldChar w:fldCharType="separate"/>
          </w:r>
          <w:r>
            <w:rPr>
              <w:color w:val="auto"/>
            </w:rPr>
            <w:t>64</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_Toc25396 </w:instrText>
          </w:r>
          <w:r>
            <w:rPr>
              <w:color w:val="auto"/>
            </w:rPr>
            <w:fldChar w:fldCharType="separate"/>
          </w:r>
          <w:r>
            <w:rPr>
              <w:rFonts w:ascii="Times New Roman" w:hAnsi="Times New Roman" w:eastAsia="黑体"/>
              <w:bCs w:val="0"/>
              <w:color w:val="auto"/>
              <w:kern w:val="2"/>
              <w:szCs w:val="32"/>
            </w:rPr>
            <w:t>第二十三章  加强人才队伍建设</w:t>
          </w:r>
          <w:r>
            <w:rPr>
              <w:color w:val="auto"/>
            </w:rPr>
            <w:tab/>
          </w:r>
          <w:r>
            <w:rPr>
              <w:color w:val="auto"/>
            </w:rPr>
            <w:fldChar w:fldCharType="begin"/>
          </w:r>
          <w:r>
            <w:rPr>
              <w:color w:val="auto"/>
            </w:rPr>
            <w:instrText xml:space="preserve"> PAGEREF _Toc25396 </w:instrText>
          </w:r>
          <w:r>
            <w:rPr>
              <w:color w:val="auto"/>
            </w:rPr>
            <w:fldChar w:fldCharType="separate"/>
          </w:r>
          <w:r>
            <w:rPr>
              <w:color w:val="auto"/>
            </w:rPr>
            <w:t>65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_Toc9630 </w:instrText>
          </w:r>
          <w:r>
            <w:rPr>
              <w:color w:val="auto"/>
            </w:rPr>
            <w:fldChar w:fldCharType="separate"/>
          </w:r>
          <w:r>
            <w:rPr>
              <w:rFonts w:eastAsia="楷体_GB2312"/>
              <w:color w:val="auto"/>
            </w:rPr>
            <w:t>第一节  加大人才引进力度</w:t>
          </w:r>
          <w:r>
            <w:rPr>
              <w:color w:val="auto"/>
            </w:rPr>
            <w:tab/>
          </w:r>
          <w:r>
            <w:rPr>
              <w:color w:val="auto"/>
            </w:rPr>
            <w:fldChar w:fldCharType="begin"/>
          </w:r>
          <w:r>
            <w:rPr>
              <w:color w:val="auto"/>
            </w:rPr>
            <w:instrText xml:space="preserve"> PAGEREF _Toc9630 </w:instrText>
          </w:r>
          <w:r>
            <w:rPr>
              <w:color w:val="auto"/>
            </w:rPr>
            <w:fldChar w:fldCharType="separate"/>
          </w:r>
          <w:r>
            <w:rPr>
              <w:color w:val="auto"/>
            </w:rPr>
            <w:t>65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_Toc10969 </w:instrText>
          </w:r>
          <w:r>
            <w:rPr>
              <w:color w:val="auto"/>
            </w:rPr>
            <w:fldChar w:fldCharType="separate"/>
          </w:r>
          <w:r>
            <w:rPr>
              <w:rFonts w:eastAsia="楷体_GB2312"/>
              <w:color w:val="auto"/>
            </w:rPr>
            <w:t>第二节  抓好人才队伍培养</w:t>
          </w:r>
          <w:r>
            <w:rPr>
              <w:color w:val="auto"/>
            </w:rPr>
            <w:tab/>
          </w:r>
          <w:r>
            <w:rPr>
              <w:color w:val="auto"/>
            </w:rPr>
            <w:fldChar w:fldCharType="begin"/>
          </w:r>
          <w:r>
            <w:rPr>
              <w:color w:val="auto"/>
            </w:rPr>
            <w:instrText xml:space="preserve"> PAGEREF _Toc10969 </w:instrText>
          </w:r>
          <w:r>
            <w:rPr>
              <w:color w:val="auto"/>
            </w:rPr>
            <w:fldChar w:fldCharType="separate"/>
          </w:r>
          <w:r>
            <w:rPr>
              <w:color w:val="auto"/>
            </w:rPr>
            <w:t>66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_Toc30321 </w:instrText>
          </w:r>
          <w:r>
            <w:rPr>
              <w:color w:val="auto"/>
            </w:rPr>
            <w:fldChar w:fldCharType="separate"/>
          </w:r>
          <w:r>
            <w:rPr>
              <w:rFonts w:eastAsia="楷体_GB2312"/>
              <w:color w:val="auto"/>
            </w:rPr>
            <w:t>第三节  优化人才资源配置</w:t>
          </w:r>
          <w:r>
            <w:rPr>
              <w:color w:val="auto"/>
            </w:rPr>
            <w:tab/>
          </w:r>
          <w:r>
            <w:rPr>
              <w:color w:val="auto"/>
            </w:rPr>
            <w:fldChar w:fldCharType="begin"/>
          </w:r>
          <w:r>
            <w:rPr>
              <w:color w:val="auto"/>
            </w:rPr>
            <w:instrText xml:space="preserve"> PAGEREF _Toc30321 </w:instrText>
          </w:r>
          <w:r>
            <w:rPr>
              <w:color w:val="auto"/>
            </w:rPr>
            <w:fldChar w:fldCharType="separate"/>
          </w:r>
          <w:r>
            <w:rPr>
              <w:color w:val="auto"/>
            </w:rPr>
            <w:t>66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_Toc32709 </w:instrText>
          </w:r>
          <w:r>
            <w:rPr>
              <w:color w:val="auto"/>
            </w:rPr>
            <w:fldChar w:fldCharType="separate"/>
          </w:r>
          <w:r>
            <w:rPr>
              <w:rFonts w:eastAsia="楷体_GB2312"/>
              <w:color w:val="auto"/>
            </w:rPr>
            <w:t>第四节  完善人才激励机制</w:t>
          </w:r>
          <w:r>
            <w:rPr>
              <w:color w:val="auto"/>
            </w:rPr>
            <w:tab/>
          </w:r>
          <w:r>
            <w:rPr>
              <w:color w:val="auto"/>
            </w:rPr>
            <w:fldChar w:fldCharType="begin"/>
          </w:r>
          <w:r>
            <w:rPr>
              <w:color w:val="auto"/>
            </w:rPr>
            <w:instrText xml:space="preserve"> PAGEREF _Toc32709 </w:instrText>
          </w:r>
          <w:r>
            <w:rPr>
              <w:color w:val="auto"/>
            </w:rPr>
            <w:fldChar w:fldCharType="separate"/>
          </w:r>
          <w:r>
            <w:rPr>
              <w:color w:val="auto"/>
            </w:rPr>
            <w:t>66</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_Toc26021 </w:instrText>
          </w:r>
          <w:r>
            <w:rPr>
              <w:color w:val="auto"/>
            </w:rPr>
            <w:fldChar w:fldCharType="separate"/>
          </w:r>
          <w:r>
            <w:rPr>
              <w:color w:val="auto"/>
              <w:szCs w:val="36"/>
            </w:rPr>
            <w:t>第八篇  提升共建共享水平，创建高品质生活宜居地</w:t>
          </w:r>
          <w:r>
            <w:rPr>
              <w:color w:val="auto"/>
            </w:rPr>
            <w:tab/>
          </w:r>
          <w:r>
            <w:rPr>
              <w:color w:val="auto"/>
            </w:rPr>
            <w:fldChar w:fldCharType="begin"/>
          </w:r>
          <w:r>
            <w:rPr>
              <w:color w:val="auto"/>
            </w:rPr>
            <w:instrText xml:space="preserve"> PAGEREF _Toc26021 </w:instrText>
          </w:r>
          <w:r>
            <w:rPr>
              <w:color w:val="auto"/>
            </w:rPr>
            <w:fldChar w:fldCharType="separate"/>
          </w:r>
          <w:r>
            <w:rPr>
              <w:color w:val="auto"/>
            </w:rPr>
            <w:t>67</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_Toc7135 </w:instrText>
          </w:r>
          <w:r>
            <w:rPr>
              <w:color w:val="auto"/>
            </w:rPr>
            <w:fldChar w:fldCharType="separate"/>
          </w:r>
          <w:r>
            <w:rPr>
              <w:rFonts w:ascii="Times New Roman" w:hAnsi="Times New Roman" w:eastAsia="黑体"/>
              <w:bCs w:val="0"/>
              <w:color w:val="auto"/>
              <w:kern w:val="2"/>
              <w:szCs w:val="32"/>
            </w:rPr>
            <w:t>第二十四章  做好就业增收</w:t>
          </w:r>
          <w:r>
            <w:rPr>
              <w:rFonts w:hint="eastAsia" w:ascii="Times New Roman" w:hAnsi="Times New Roman" w:eastAsia="黑体"/>
              <w:bCs w:val="0"/>
              <w:color w:val="auto"/>
              <w:kern w:val="2"/>
              <w:szCs w:val="32"/>
            </w:rPr>
            <w:t>工作</w:t>
          </w:r>
          <w:r>
            <w:rPr>
              <w:color w:val="auto"/>
            </w:rPr>
            <w:tab/>
          </w:r>
          <w:r>
            <w:rPr>
              <w:color w:val="auto"/>
            </w:rPr>
            <w:fldChar w:fldCharType="begin"/>
          </w:r>
          <w:r>
            <w:rPr>
              <w:color w:val="auto"/>
            </w:rPr>
            <w:instrText xml:space="preserve"> PAGEREF _Toc7135 </w:instrText>
          </w:r>
          <w:r>
            <w:rPr>
              <w:color w:val="auto"/>
            </w:rPr>
            <w:fldChar w:fldCharType="separate"/>
          </w:r>
          <w:r>
            <w:rPr>
              <w:color w:val="auto"/>
            </w:rPr>
            <w:t>67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_Toc31109 </w:instrText>
          </w:r>
          <w:r>
            <w:rPr>
              <w:color w:val="auto"/>
            </w:rPr>
            <w:fldChar w:fldCharType="separate"/>
          </w:r>
          <w:r>
            <w:rPr>
              <w:rFonts w:eastAsia="楷体_GB2312"/>
              <w:color w:val="auto"/>
            </w:rPr>
            <w:t>第一节  千方百计扩大就业</w:t>
          </w:r>
          <w:r>
            <w:rPr>
              <w:color w:val="auto"/>
            </w:rPr>
            <w:tab/>
          </w:r>
          <w:r>
            <w:rPr>
              <w:color w:val="auto"/>
            </w:rPr>
            <w:fldChar w:fldCharType="begin"/>
          </w:r>
          <w:r>
            <w:rPr>
              <w:color w:val="auto"/>
            </w:rPr>
            <w:instrText xml:space="preserve"> PAGEREF _Toc31109 </w:instrText>
          </w:r>
          <w:r>
            <w:rPr>
              <w:color w:val="auto"/>
            </w:rPr>
            <w:fldChar w:fldCharType="separate"/>
          </w:r>
          <w:r>
            <w:rPr>
              <w:color w:val="auto"/>
            </w:rPr>
            <w:t>67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_Toc9336 </w:instrText>
          </w:r>
          <w:r>
            <w:rPr>
              <w:color w:val="auto"/>
            </w:rPr>
            <w:fldChar w:fldCharType="separate"/>
          </w:r>
          <w:r>
            <w:rPr>
              <w:rFonts w:eastAsia="楷体_GB2312"/>
              <w:color w:val="auto"/>
            </w:rPr>
            <w:t>第二节  激发创业倍增效应</w:t>
          </w:r>
          <w:r>
            <w:rPr>
              <w:color w:val="auto"/>
            </w:rPr>
            <w:tab/>
          </w:r>
          <w:r>
            <w:rPr>
              <w:color w:val="auto"/>
            </w:rPr>
            <w:fldChar w:fldCharType="begin"/>
          </w:r>
          <w:r>
            <w:rPr>
              <w:color w:val="auto"/>
            </w:rPr>
            <w:instrText xml:space="preserve"> PAGEREF _Toc9336 </w:instrText>
          </w:r>
          <w:r>
            <w:rPr>
              <w:color w:val="auto"/>
            </w:rPr>
            <w:fldChar w:fldCharType="separate"/>
          </w:r>
          <w:r>
            <w:rPr>
              <w:color w:val="auto"/>
            </w:rPr>
            <w:t>68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_Toc359 </w:instrText>
          </w:r>
          <w:r>
            <w:rPr>
              <w:color w:val="auto"/>
            </w:rPr>
            <w:fldChar w:fldCharType="separate"/>
          </w:r>
          <w:r>
            <w:rPr>
              <w:rFonts w:eastAsia="楷体_GB2312"/>
              <w:color w:val="auto"/>
            </w:rPr>
            <w:t>第三节  强化就业创业服务</w:t>
          </w:r>
          <w:r>
            <w:rPr>
              <w:color w:val="auto"/>
            </w:rPr>
            <w:tab/>
          </w:r>
          <w:r>
            <w:rPr>
              <w:color w:val="auto"/>
            </w:rPr>
            <w:fldChar w:fldCharType="begin"/>
          </w:r>
          <w:r>
            <w:rPr>
              <w:color w:val="auto"/>
            </w:rPr>
            <w:instrText xml:space="preserve"> PAGEREF _Toc359 </w:instrText>
          </w:r>
          <w:r>
            <w:rPr>
              <w:color w:val="auto"/>
            </w:rPr>
            <w:fldChar w:fldCharType="separate"/>
          </w:r>
          <w:r>
            <w:rPr>
              <w:color w:val="auto"/>
            </w:rPr>
            <w:t>68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_Toc12275 </w:instrText>
          </w:r>
          <w:r>
            <w:rPr>
              <w:color w:val="auto"/>
            </w:rPr>
            <w:fldChar w:fldCharType="separate"/>
          </w:r>
          <w:r>
            <w:rPr>
              <w:rFonts w:eastAsia="楷体_GB2312"/>
              <w:color w:val="auto"/>
            </w:rPr>
            <w:t>第四节  构建和谐劳动关系</w:t>
          </w:r>
          <w:r>
            <w:rPr>
              <w:color w:val="auto"/>
            </w:rPr>
            <w:tab/>
          </w:r>
          <w:r>
            <w:rPr>
              <w:color w:val="auto"/>
            </w:rPr>
            <w:fldChar w:fldCharType="begin"/>
          </w:r>
          <w:r>
            <w:rPr>
              <w:color w:val="auto"/>
            </w:rPr>
            <w:instrText xml:space="preserve"> PAGEREF _Toc12275 </w:instrText>
          </w:r>
          <w:r>
            <w:rPr>
              <w:color w:val="auto"/>
            </w:rPr>
            <w:fldChar w:fldCharType="separate"/>
          </w:r>
          <w:r>
            <w:rPr>
              <w:color w:val="auto"/>
            </w:rPr>
            <w:t>69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_Toc30774 </w:instrText>
          </w:r>
          <w:r>
            <w:rPr>
              <w:color w:val="auto"/>
            </w:rPr>
            <w:fldChar w:fldCharType="separate"/>
          </w:r>
          <w:r>
            <w:rPr>
              <w:rFonts w:eastAsia="楷体_GB2312"/>
              <w:color w:val="auto"/>
            </w:rPr>
            <w:t>第五节  提高群众收入水平</w:t>
          </w:r>
          <w:r>
            <w:rPr>
              <w:color w:val="auto"/>
            </w:rPr>
            <w:tab/>
          </w:r>
          <w:r>
            <w:rPr>
              <w:color w:val="auto"/>
            </w:rPr>
            <w:fldChar w:fldCharType="begin"/>
          </w:r>
          <w:r>
            <w:rPr>
              <w:color w:val="auto"/>
            </w:rPr>
            <w:instrText xml:space="preserve"> PAGEREF _Toc30774 </w:instrText>
          </w:r>
          <w:r>
            <w:rPr>
              <w:color w:val="auto"/>
            </w:rPr>
            <w:fldChar w:fldCharType="separate"/>
          </w:r>
          <w:r>
            <w:rPr>
              <w:color w:val="auto"/>
            </w:rPr>
            <w:t>69</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_Toc30697 </w:instrText>
          </w:r>
          <w:r>
            <w:rPr>
              <w:color w:val="auto"/>
            </w:rPr>
            <w:fldChar w:fldCharType="separate"/>
          </w:r>
          <w:r>
            <w:rPr>
              <w:rFonts w:ascii="Times New Roman" w:hAnsi="Times New Roman" w:eastAsia="黑体"/>
              <w:bCs w:val="0"/>
              <w:color w:val="auto"/>
              <w:kern w:val="2"/>
              <w:szCs w:val="32"/>
            </w:rPr>
            <w:t>第二十五章  办好人民满意教育</w:t>
          </w:r>
          <w:r>
            <w:rPr>
              <w:color w:val="auto"/>
            </w:rPr>
            <w:tab/>
          </w:r>
          <w:r>
            <w:rPr>
              <w:color w:val="auto"/>
            </w:rPr>
            <w:fldChar w:fldCharType="begin"/>
          </w:r>
          <w:r>
            <w:rPr>
              <w:color w:val="auto"/>
            </w:rPr>
            <w:instrText xml:space="preserve"> PAGEREF _Toc30697 </w:instrText>
          </w:r>
          <w:r>
            <w:rPr>
              <w:color w:val="auto"/>
            </w:rPr>
            <w:fldChar w:fldCharType="separate"/>
          </w:r>
          <w:r>
            <w:rPr>
              <w:color w:val="auto"/>
            </w:rPr>
            <w:t>70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_Toc13008 </w:instrText>
          </w:r>
          <w:r>
            <w:rPr>
              <w:color w:val="auto"/>
            </w:rPr>
            <w:fldChar w:fldCharType="separate"/>
          </w:r>
          <w:r>
            <w:rPr>
              <w:rFonts w:eastAsia="楷体_GB2312"/>
              <w:color w:val="auto"/>
            </w:rPr>
            <w:t>第一节  调整优化学校布局</w:t>
          </w:r>
          <w:r>
            <w:rPr>
              <w:color w:val="auto"/>
            </w:rPr>
            <w:tab/>
          </w:r>
          <w:r>
            <w:rPr>
              <w:color w:val="auto"/>
            </w:rPr>
            <w:fldChar w:fldCharType="begin"/>
          </w:r>
          <w:r>
            <w:rPr>
              <w:color w:val="auto"/>
            </w:rPr>
            <w:instrText xml:space="preserve"> PAGEREF _Toc13008 </w:instrText>
          </w:r>
          <w:r>
            <w:rPr>
              <w:color w:val="auto"/>
            </w:rPr>
            <w:fldChar w:fldCharType="separate"/>
          </w:r>
          <w:r>
            <w:rPr>
              <w:color w:val="auto"/>
            </w:rPr>
            <w:t>70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_Toc18885 </w:instrText>
          </w:r>
          <w:r>
            <w:rPr>
              <w:color w:val="auto"/>
            </w:rPr>
            <w:fldChar w:fldCharType="separate"/>
          </w:r>
          <w:r>
            <w:rPr>
              <w:rFonts w:eastAsia="楷体_GB2312"/>
              <w:color w:val="auto"/>
            </w:rPr>
            <w:t>第二节  协调发展各类教育</w:t>
          </w:r>
          <w:r>
            <w:rPr>
              <w:color w:val="auto"/>
            </w:rPr>
            <w:tab/>
          </w:r>
          <w:r>
            <w:rPr>
              <w:color w:val="auto"/>
            </w:rPr>
            <w:fldChar w:fldCharType="begin"/>
          </w:r>
          <w:r>
            <w:rPr>
              <w:color w:val="auto"/>
            </w:rPr>
            <w:instrText xml:space="preserve"> PAGEREF _Toc18885 </w:instrText>
          </w:r>
          <w:r>
            <w:rPr>
              <w:color w:val="auto"/>
            </w:rPr>
            <w:fldChar w:fldCharType="separate"/>
          </w:r>
          <w:r>
            <w:rPr>
              <w:color w:val="auto"/>
            </w:rPr>
            <w:t>70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_Toc20227 </w:instrText>
          </w:r>
          <w:r>
            <w:rPr>
              <w:color w:val="auto"/>
            </w:rPr>
            <w:fldChar w:fldCharType="separate"/>
          </w:r>
          <w:r>
            <w:rPr>
              <w:rFonts w:eastAsia="楷体_GB2312"/>
              <w:color w:val="auto"/>
            </w:rPr>
            <w:t>第三节  扎实开展素质教育</w:t>
          </w:r>
          <w:r>
            <w:rPr>
              <w:color w:val="auto"/>
            </w:rPr>
            <w:tab/>
          </w:r>
          <w:r>
            <w:rPr>
              <w:color w:val="auto"/>
            </w:rPr>
            <w:fldChar w:fldCharType="begin"/>
          </w:r>
          <w:r>
            <w:rPr>
              <w:color w:val="auto"/>
            </w:rPr>
            <w:instrText xml:space="preserve"> PAGEREF _Toc20227 </w:instrText>
          </w:r>
          <w:r>
            <w:rPr>
              <w:color w:val="auto"/>
            </w:rPr>
            <w:fldChar w:fldCharType="separate"/>
          </w:r>
          <w:r>
            <w:rPr>
              <w:color w:val="auto"/>
            </w:rPr>
            <w:t>71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_Toc15559 </w:instrText>
          </w:r>
          <w:r>
            <w:rPr>
              <w:color w:val="auto"/>
            </w:rPr>
            <w:fldChar w:fldCharType="separate"/>
          </w:r>
          <w:r>
            <w:rPr>
              <w:rFonts w:eastAsia="楷体_GB2312"/>
              <w:color w:val="auto"/>
            </w:rPr>
            <w:t>第四节  夯实教育发展基础</w:t>
          </w:r>
          <w:r>
            <w:rPr>
              <w:color w:val="auto"/>
            </w:rPr>
            <w:tab/>
          </w:r>
          <w:r>
            <w:rPr>
              <w:color w:val="auto"/>
            </w:rPr>
            <w:fldChar w:fldCharType="begin"/>
          </w:r>
          <w:r>
            <w:rPr>
              <w:color w:val="auto"/>
            </w:rPr>
            <w:instrText xml:space="preserve"> PAGEREF _Toc15559 </w:instrText>
          </w:r>
          <w:r>
            <w:rPr>
              <w:color w:val="auto"/>
            </w:rPr>
            <w:fldChar w:fldCharType="separate"/>
          </w:r>
          <w:r>
            <w:rPr>
              <w:color w:val="auto"/>
            </w:rPr>
            <w:t>71</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_Toc4948 </w:instrText>
          </w:r>
          <w:r>
            <w:rPr>
              <w:color w:val="auto"/>
            </w:rPr>
            <w:fldChar w:fldCharType="separate"/>
          </w:r>
          <w:r>
            <w:rPr>
              <w:rFonts w:ascii="Times New Roman" w:hAnsi="Times New Roman" w:eastAsia="黑体"/>
              <w:bCs w:val="0"/>
              <w:color w:val="auto"/>
              <w:kern w:val="2"/>
              <w:szCs w:val="32"/>
            </w:rPr>
            <w:t>第二十六章  深化健康金川建设</w:t>
          </w:r>
          <w:r>
            <w:rPr>
              <w:color w:val="auto"/>
            </w:rPr>
            <w:tab/>
          </w:r>
          <w:r>
            <w:rPr>
              <w:color w:val="auto"/>
            </w:rPr>
            <w:fldChar w:fldCharType="begin"/>
          </w:r>
          <w:r>
            <w:rPr>
              <w:color w:val="auto"/>
            </w:rPr>
            <w:instrText xml:space="preserve"> PAGEREF _Toc4948 </w:instrText>
          </w:r>
          <w:r>
            <w:rPr>
              <w:color w:val="auto"/>
            </w:rPr>
            <w:fldChar w:fldCharType="separate"/>
          </w:r>
          <w:r>
            <w:rPr>
              <w:color w:val="auto"/>
            </w:rPr>
            <w:t>72</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_Toc14864 </w:instrText>
          </w:r>
          <w:r>
            <w:rPr>
              <w:color w:val="auto"/>
            </w:rPr>
            <w:fldChar w:fldCharType="separate"/>
          </w:r>
          <w:r>
            <w:rPr>
              <w:rFonts w:eastAsia="楷体_GB2312"/>
              <w:color w:val="auto"/>
            </w:rPr>
            <w:t>第一节  实施医疗质量提升行动</w:t>
          </w:r>
          <w:r>
            <w:rPr>
              <w:color w:val="auto"/>
            </w:rPr>
            <w:tab/>
          </w:r>
          <w:r>
            <w:rPr>
              <w:color w:val="auto"/>
            </w:rPr>
            <w:fldChar w:fldCharType="begin"/>
          </w:r>
          <w:r>
            <w:rPr>
              <w:color w:val="auto"/>
            </w:rPr>
            <w:instrText xml:space="preserve"> PAGEREF _Toc14864 </w:instrText>
          </w:r>
          <w:r>
            <w:rPr>
              <w:color w:val="auto"/>
            </w:rPr>
            <w:fldChar w:fldCharType="separate"/>
          </w:r>
          <w:r>
            <w:rPr>
              <w:color w:val="auto"/>
            </w:rPr>
            <w:t>73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_Toc26850 </w:instrText>
          </w:r>
          <w:r>
            <w:rPr>
              <w:color w:val="auto"/>
            </w:rPr>
            <w:fldChar w:fldCharType="separate"/>
          </w:r>
          <w:r>
            <w:rPr>
              <w:rFonts w:eastAsia="楷体_GB2312"/>
              <w:color w:val="auto"/>
            </w:rPr>
            <w:t>第二节  加强公共卫生体系建设</w:t>
          </w:r>
          <w:r>
            <w:rPr>
              <w:color w:val="auto"/>
            </w:rPr>
            <w:tab/>
          </w:r>
          <w:r>
            <w:rPr>
              <w:color w:val="auto"/>
            </w:rPr>
            <w:fldChar w:fldCharType="begin"/>
          </w:r>
          <w:r>
            <w:rPr>
              <w:color w:val="auto"/>
            </w:rPr>
            <w:instrText xml:space="preserve"> PAGEREF _Toc26850 </w:instrText>
          </w:r>
          <w:r>
            <w:rPr>
              <w:color w:val="auto"/>
            </w:rPr>
            <w:fldChar w:fldCharType="separate"/>
          </w:r>
          <w:r>
            <w:rPr>
              <w:color w:val="auto"/>
            </w:rPr>
            <w:t>73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_Toc19653 </w:instrText>
          </w:r>
          <w:r>
            <w:rPr>
              <w:color w:val="auto"/>
            </w:rPr>
            <w:fldChar w:fldCharType="separate"/>
          </w:r>
          <w:r>
            <w:rPr>
              <w:rFonts w:eastAsia="楷体_GB2312"/>
              <w:color w:val="auto"/>
            </w:rPr>
            <w:t>第三节  传承发展中藏医药事业</w:t>
          </w:r>
          <w:r>
            <w:rPr>
              <w:color w:val="auto"/>
            </w:rPr>
            <w:tab/>
          </w:r>
          <w:r>
            <w:rPr>
              <w:color w:val="auto"/>
            </w:rPr>
            <w:fldChar w:fldCharType="begin"/>
          </w:r>
          <w:r>
            <w:rPr>
              <w:color w:val="auto"/>
            </w:rPr>
            <w:instrText xml:space="preserve"> PAGEREF _Toc19653 </w:instrText>
          </w:r>
          <w:r>
            <w:rPr>
              <w:color w:val="auto"/>
            </w:rPr>
            <w:fldChar w:fldCharType="separate"/>
          </w:r>
          <w:r>
            <w:rPr>
              <w:color w:val="auto"/>
            </w:rPr>
            <w:t>74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_Toc961 </w:instrText>
          </w:r>
          <w:r>
            <w:rPr>
              <w:color w:val="auto"/>
            </w:rPr>
            <w:fldChar w:fldCharType="separate"/>
          </w:r>
          <w:r>
            <w:rPr>
              <w:rFonts w:eastAsia="楷体_GB2312"/>
              <w:color w:val="auto"/>
            </w:rPr>
            <w:t>第四节  深化医药卫生体制改革</w:t>
          </w:r>
          <w:r>
            <w:rPr>
              <w:color w:val="auto"/>
            </w:rPr>
            <w:tab/>
          </w:r>
          <w:r>
            <w:rPr>
              <w:color w:val="auto"/>
            </w:rPr>
            <w:fldChar w:fldCharType="begin"/>
          </w:r>
          <w:r>
            <w:rPr>
              <w:color w:val="auto"/>
            </w:rPr>
            <w:instrText xml:space="preserve"> PAGEREF _Toc961 </w:instrText>
          </w:r>
          <w:r>
            <w:rPr>
              <w:color w:val="auto"/>
            </w:rPr>
            <w:fldChar w:fldCharType="separate"/>
          </w:r>
          <w:r>
            <w:rPr>
              <w:color w:val="auto"/>
            </w:rPr>
            <w:t>74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_Toc23505 </w:instrText>
          </w:r>
          <w:r>
            <w:rPr>
              <w:color w:val="auto"/>
            </w:rPr>
            <w:fldChar w:fldCharType="separate"/>
          </w:r>
          <w:r>
            <w:rPr>
              <w:rFonts w:eastAsia="楷体_GB2312"/>
              <w:color w:val="auto"/>
            </w:rPr>
            <w:t>第五节  广泛开展全民健身运动</w:t>
          </w:r>
          <w:r>
            <w:rPr>
              <w:color w:val="auto"/>
            </w:rPr>
            <w:tab/>
          </w:r>
          <w:r>
            <w:rPr>
              <w:color w:val="auto"/>
            </w:rPr>
            <w:fldChar w:fldCharType="begin"/>
          </w:r>
          <w:r>
            <w:rPr>
              <w:color w:val="auto"/>
            </w:rPr>
            <w:instrText xml:space="preserve"> PAGEREF _Toc23505 </w:instrText>
          </w:r>
          <w:r>
            <w:rPr>
              <w:color w:val="auto"/>
            </w:rPr>
            <w:fldChar w:fldCharType="separate"/>
          </w:r>
          <w:r>
            <w:rPr>
              <w:color w:val="auto"/>
            </w:rPr>
            <w:t>75</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_Toc11721 </w:instrText>
          </w:r>
          <w:r>
            <w:rPr>
              <w:color w:val="auto"/>
            </w:rPr>
            <w:fldChar w:fldCharType="separate"/>
          </w:r>
          <w:r>
            <w:rPr>
              <w:rFonts w:ascii="Times New Roman" w:hAnsi="Times New Roman" w:eastAsia="黑体"/>
              <w:bCs w:val="0"/>
              <w:color w:val="auto"/>
              <w:kern w:val="2"/>
              <w:szCs w:val="32"/>
            </w:rPr>
            <w:t>第二十七章  织密社会保障体系</w:t>
          </w:r>
          <w:r>
            <w:rPr>
              <w:color w:val="auto"/>
            </w:rPr>
            <w:tab/>
          </w:r>
          <w:r>
            <w:rPr>
              <w:color w:val="auto"/>
            </w:rPr>
            <w:fldChar w:fldCharType="begin"/>
          </w:r>
          <w:r>
            <w:rPr>
              <w:color w:val="auto"/>
            </w:rPr>
            <w:instrText xml:space="preserve"> PAGEREF _Toc11721 </w:instrText>
          </w:r>
          <w:r>
            <w:rPr>
              <w:color w:val="auto"/>
            </w:rPr>
            <w:fldChar w:fldCharType="separate"/>
          </w:r>
          <w:r>
            <w:rPr>
              <w:color w:val="auto"/>
            </w:rPr>
            <w:t>75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_Toc30169 </w:instrText>
          </w:r>
          <w:r>
            <w:rPr>
              <w:color w:val="auto"/>
            </w:rPr>
            <w:fldChar w:fldCharType="separate"/>
          </w:r>
          <w:r>
            <w:rPr>
              <w:rFonts w:eastAsia="楷体_GB2312"/>
              <w:color w:val="auto"/>
            </w:rPr>
            <w:t>第一节  完善社会保险制度</w:t>
          </w:r>
          <w:r>
            <w:rPr>
              <w:color w:val="auto"/>
            </w:rPr>
            <w:tab/>
          </w:r>
          <w:r>
            <w:rPr>
              <w:color w:val="auto"/>
            </w:rPr>
            <w:fldChar w:fldCharType="begin"/>
          </w:r>
          <w:r>
            <w:rPr>
              <w:color w:val="auto"/>
            </w:rPr>
            <w:instrText xml:space="preserve"> PAGEREF _Toc30169 </w:instrText>
          </w:r>
          <w:r>
            <w:rPr>
              <w:color w:val="auto"/>
            </w:rPr>
            <w:fldChar w:fldCharType="separate"/>
          </w:r>
          <w:r>
            <w:rPr>
              <w:color w:val="auto"/>
            </w:rPr>
            <w:t>76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_Toc15986 </w:instrText>
          </w:r>
          <w:r>
            <w:rPr>
              <w:color w:val="auto"/>
            </w:rPr>
            <w:fldChar w:fldCharType="separate"/>
          </w:r>
          <w:r>
            <w:rPr>
              <w:rFonts w:eastAsia="楷体_GB2312"/>
              <w:color w:val="auto"/>
            </w:rPr>
            <w:t>第二节  提升社会救助水平</w:t>
          </w:r>
          <w:r>
            <w:rPr>
              <w:color w:val="auto"/>
            </w:rPr>
            <w:tab/>
          </w:r>
          <w:r>
            <w:rPr>
              <w:color w:val="auto"/>
            </w:rPr>
            <w:fldChar w:fldCharType="begin"/>
          </w:r>
          <w:r>
            <w:rPr>
              <w:color w:val="auto"/>
            </w:rPr>
            <w:instrText xml:space="preserve"> PAGEREF _Toc15986 </w:instrText>
          </w:r>
          <w:r>
            <w:rPr>
              <w:color w:val="auto"/>
            </w:rPr>
            <w:fldChar w:fldCharType="separate"/>
          </w:r>
          <w:r>
            <w:rPr>
              <w:color w:val="auto"/>
            </w:rPr>
            <w:t>76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_Toc12855 </w:instrText>
          </w:r>
          <w:r>
            <w:rPr>
              <w:color w:val="auto"/>
            </w:rPr>
            <w:fldChar w:fldCharType="separate"/>
          </w:r>
          <w:r>
            <w:rPr>
              <w:rFonts w:eastAsia="楷体_GB2312"/>
              <w:color w:val="auto"/>
            </w:rPr>
            <w:t>第三节  发展福利慈善事业</w:t>
          </w:r>
          <w:r>
            <w:rPr>
              <w:color w:val="auto"/>
            </w:rPr>
            <w:tab/>
          </w:r>
          <w:r>
            <w:rPr>
              <w:color w:val="auto"/>
            </w:rPr>
            <w:fldChar w:fldCharType="begin"/>
          </w:r>
          <w:r>
            <w:rPr>
              <w:color w:val="auto"/>
            </w:rPr>
            <w:instrText xml:space="preserve"> PAGEREF _Toc12855 </w:instrText>
          </w:r>
          <w:r>
            <w:rPr>
              <w:color w:val="auto"/>
            </w:rPr>
            <w:fldChar w:fldCharType="separate"/>
          </w:r>
          <w:r>
            <w:rPr>
              <w:color w:val="auto"/>
            </w:rPr>
            <w:t>77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_Toc7790 </w:instrText>
          </w:r>
          <w:r>
            <w:rPr>
              <w:color w:val="auto"/>
            </w:rPr>
            <w:fldChar w:fldCharType="separate"/>
          </w:r>
          <w:r>
            <w:rPr>
              <w:rFonts w:eastAsia="楷体_GB2312"/>
              <w:color w:val="auto"/>
            </w:rPr>
            <w:t>第四节  健全养老服务体系</w:t>
          </w:r>
          <w:r>
            <w:rPr>
              <w:color w:val="auto"/>
            </w:rPr>
            <w:tab/>
          </w:r>
          <w:r>
            <w:rPr>
              <w:color w:val="auto"/>
            </w:rPr>
            <w:fldChar w:fldCharType="begin"/>
          </w:r>
          <w:r>
            <w:rPr>
              <w:color w:val="auto"/>
            </w:rPr>
            <w:instrText xml:space="preserve"> PAGEREF _Toc7790 </w:instrText>
          </w:r>
          <w:r>
            <w:rPr>
              <w:color w:val="auto"/>
            </w:rPr>
            <w:fldChar w:fldCharType="separate"/>
          </w:r>
          <w:r>
            <w:rPr>
              <w:color w:val="auto"/>
            </w:rPr>
            <w:t>78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_Toc12968 </w:instrText>
          </w:r>
          <w:r>
            <w:rPr>
              <w:color w:val="auto"/>
            </w:rPr>
            <w:fldChar w:fldCharType="separate"/>
          </w:r>
          <w:r>
            <w:rPr>
              <w:rFonts w:eastAsia="楷体_GB2312"/>
              <w:color w:val="auto"/>
            </w:rPr>
            <w:t>第五节  推进殡葬婚俗改革</w:t>
          </w:r>
          <w:r>
            <w:rPr>
              <w:color w:val="auto"/>
            </w:rPr>
            <w:tab/>
          </w:r>
          <w:r>
            <w:rPr>
              <w:color w:val="auto"/>
            </w:rPr>
            <w:fldChar w:fldCharType="begin"/>
          </w:r>
          <w:r>
            <w:rPr>
              <w:color w:val="auto"/>
            </w:rPr>
            <w:instrText xml:space="preserve"> PAGEREF _Toc12968 </w:instrText>
          </w:r>
          <w:r>
            <w:rPr>
              <w:color w:val="auto"/>
            </w:rPr>
            <w:fldChar w:fldCharType="separate"/>
          </w:r>
          <w:r>
            <w:rPr>
              <w:color w:val="auto"/>
            </w:rPr>
            <w:t>78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_Toc7432 </w:instrText>
          </w:r>
          <w:r>
            <w:rPr>
              <w:color w:val="auto"/>
            </w:rPr>
            <w:fldChar w:fldCharType="separate"/>
          </w:r>
          <w:r>
            <w:rPr>
              <w:rFonts w:eastAsia="楷体_GB2312"/>
              <w:color w:val="auto"/>
            </w:rPr>
            <w:t>第六节  做好退役军人事务</w:t>
          </w:r>
          <w:r>
            <w:rPr>
              <w:color w:val="auto"/>
            </w:rPr>
            <w:tab/>
          </w:r>
          <w:r>
            <w:rPr>
              <w:color w:val="auto"/>
            </w:rPr>
            <w:fldChar w:fldCharType="begin"/>
          </w:r>
          <w:r>
            <w:rPr>
              <w:color w:val="auto"/>
            </w:rPr>
            <w:instrText xml:space="preserve"> PAGEREF _Toc7432 </w:instrText>
          </w:r>
          <w:r>
            <w:rPr>
              <w:color w:val="auto"/>
            </w:rPr>
            <w:fldChar w:fldCharType="separate"/>
          </w:r>
          <w:r>
            <w:rPr>
              <w:color w:val="auto"/>
            </w:rPr>
            <w:t>79</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_Toc5039 </w:instrText>
          </w:r>
          <w:r>
            <w:rPr>
              <w:color w:val="auto"/>
            </w:rPr>
            <w:fldChar w:fldCharType="separate"/>
          </w:r>
          <w:r>
            <w:rPr>
              <w:rFonts w:ascii="Times New Roman" w:hAnsi="Times New Roman" w:eastAsia="黑体"/>
              <w:bCs w:val="0"/>
              <w:color w:val="auto"/>
              <w:kern w:val="2"/>
              <w:szCs w:val="32"/>
            </w:rPr>
            <w:t>第二十八章  丰富群众精神家园</w:t>
          </w:r>
          <w:r>
            <w:rPr>
              <w:color w:val="auto"/>
            </w:rPr>
            <w:tab/>
          </w:r>
          <w:r>
            <w:rPr>
              <w:color w:val="auto"/>
            </w:rPr>
            <w:fldChar w:fldCharType="begin"/>
          </w:r>
          <w:r>
            <w:rPr>
              <w:color w:val="auto"/>
            </w:rPr>
            <w:instrText xml:space="preserve"> PAGEREF _Toc5039 </w:instrText>
          </w:r>
          <w:r>
            <w:rPr>
              <w:color w:val="auto"/>
            </w:rPr>
            <w:fldChar w:fldCharType="separate"/>
          </w:r>
          <w:r>
            <w:rPr>
              <w:color w:val="auto"/>
            </w:rPr>
            <w:t>80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_Toc19864 </w:instrText>
          </w:r>
          <w:r>
            <w:rPr>
              <w:color w:val="auto"/>
            </w:rPr>
            <w:fldChar w:fldCharType="separate"/>
          </w:r>
          <w:r>
            <w:rPr>
              <w:rFonts w:eastAsia="楷体_GB2312"/>
              <w:color w:val="auto"/>
            </w:rPr>
            <w:t>第一节  加强社会精神文明建设</w:t>
          </w:r>
          <w:r>
            <w:rPr>
              <w:color w:val="auto"/>
            </w:rPr>
            <w:tab/>
          </w:r>
          <w:r>
            <w:rPr>
              <w:color w:val="auto"/>
            </w:rPr>
            <w:fldChar w:fldCharType="begin"/>
          </w:r>
          <w:r>
            <w:rPr>
              <w:color w:val="auto"/>
            </w:rPr>
            <w:instrText xml:space="preserve"> PAGEREF _Toc19864 </w:instrText>
          </w:r>
          <w:r>
            <w:rPr>
              <w:color w:val="auto"/>
            </w:rPr>
            <w:fldChar w:fldCharType="separate"/>
          </w:r>
          <w:r>
            <w:rPr>
              <w:color w:val="auto"/>
            </w:rPr>
            <w:t>80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_Toc18610 </w:instrText>
          </w:r>
          <w:r>
            <w:rPr>
              <w:color w:val="auto"/>
            </w:rPr>
            <w:fldChar w:fldCharType="separate"/>
          </w:r>
          <w:r>
            <w:rPr>
              <w:rFonts w:eastAsia="楷体_GB2312"/>
              <w:color w:val="auto"/>
            </w:rPr>
            <w:t>第二节  完善公共文化服务体系</w:t>
          </w:r>
          <w:r>
            <w:rPr>
              <w:color w:val="auto"/>
            </w:rPr>
            <w:tab/>
          </w:r>
          <w:r>
            <w:rPr>
              <w:color w:val="auto"/>
            </w:rPr>
            <w:fldChar w:fldCharType="begin"/>
          </w:r>
          <w:r>
            <w:rPr>
              <w:color w:val="auto"/>
            </w:rPr>
            <w:instrText xml:space="preserve"> PAGEREF _Toc18610 </w:instrText>
          </w:r>
          <w:r>
            <w:rPr>
              <w:color w:val="auto"/>
            </w:rPr>
            <w:fldChar w:fldCharType="separate"/>
          </w:r>
          <w:r>
            <w:rPr>
              <w:color w:val="auto"/>
            </w:rPr>
            <w:t>81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_Toc5521 </w:instrText>
          </w:r>
          <w:r>
            <w:rPr>
              <w:color w:val="auto"/>
            </w:rPr>
            <w:fldChar w:fldCharType="separate"/>
          </w:r>
          <w:r>
            <w:rPr>
              <w:rFonts w:eastAsia="楷体_GB2312"/>
              <w:color w:val="auto"/>
            </w:rPr>
            <w:t>第三节  强化文化遗产保护利用</w:t>
          </w:r>
          <w:r>
            <w:rPr>
              <w:color w:val="auto"/>
            </w:rPr>
            <w:tab/>
          </w:r>
          <w:r>
            <w:rPr>
              <w:color w:val="auto"/>
            </w:rPr>
            <w:fldChar w:fldCharType="begin"/>
          </w:r>
          <w:r>
            <w:rPr>
              <w:color w:val="auto"/>
            </w:rPr>
            <w:instrText xml:space="preserve"> PAGEREF _Toc5521 </w:instrText>
          </w:r>
          <w:r>
            <w:rPr>
              <w:color w:val="auto"/>
            </w:rPr>
            <w:fldChar w:fldCharType="separate"/>
          </w:r>
          <w:r>
            <w:rPr>
              <w:color w:val="auto"/>
            </w:rPr>
            <w:t>81</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_Toc2653 </w:instrText>
          </w:r>
          <w:r>
            <w:rPr>
              <w:color w:val="auto"/>
            </w:rPr>
            <w:fldChar w:fldCharType="separate"/>
          </w:r>
          <w:r>
            <w:rPr>
              <w:rFonts w:eastAsia="楷体_GB2312"/>
              <w:color w:val="auto"/>
            </w:rPr>
            <w:t>第四节  推进文艺精品创作生产</w:t>
          </w:r>
          <w:r>
            <w:rPr>
              <w:color w:val="auto"/>
            </w:rPr>
            <w:tab/>
          </w:r>
          <w:r>
            <w:rPr>
              <w:color w:val="auto"/>
            </w:rPr>
            <w:fldChar w:fldCharType="begin"/>
          </w:r>
          <w:r>
            <w:rPr>
              <w:color w:val="auto"/>
            </w:rPr>
            <w:instrText xml:space="preserve"> PAGEREF _Toc2653 </w:instrText>
          </w:r>
          <w:r>
            <w:rPr>
              <w:color w:val="auto"/>
            </w:rPr>
            <w:fldChar w:fldCharType="separate"/>
          </w:r>
          <w:r>
            <w:rPr>
              <w:color w:val="auto"/>
            </w:rPr>
            <w:t>82</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_Toc6124 </w:instrText>
          </w:r>
          <w:r>
            <w:rPr>
              <w:color w:val="auto"/>
            </w:rPr>
            <w:fldChar w:fldCharType="separate"/>
          </w:r>
          <w:r>
            <w:rPr>
              <w:color w:val="auto"/>
              <w:szCs w:val="36"/>
            </w:rPr>
            <w:t>第九篇  推进基层治理创新，维护社会大局和谐稳定</w:t>
          </w:r>
          <w:r>
            <w:rPr>
              <w:color w:val="auto"/>
            </w:rPr>
            <w:tab/>
          </w:r>
          <w:r>
            <w:rPr>
              <w:color w:val="auto"/>
            </w:rPr>
            <w:fldChar w:fldCharType="begin"/>
          </w:r>
          <w:r>
            <w:rPr>
              <w:color w:val="auto"/>
            </w:rPr>
            <w:instrText xml:space="preserve"> PAGEREF _Toc6124 </w:instrText>
          </w:r>
          <w:r>
            <w:rPr>
              <w:color w:val="auto"/>
            </w:rPr>
            <w:fldChar w:fldCharType="separate"/>
          </w:r>
          <w:r>
            <w:rPr>
              <w:color w:val="auto"/>
            </w:rPr>
            <w:t>83</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_Toc28887 </w:instrText>
          </w:r>
          <w:r>
            <w:rPr>
              <w:color w:val="auto"/>
            </w:rPr>
            <w:fldChar w:fldCharType="separate"/>
          </w:r>
          <w:r>
            <w:rPr>
              <w:rFonts w:ascii="Times New Roman" w:hAnsi="Times New Roman" w:eastAsia="黑体"/>
              <w:bCs w:val="0"/>
              <w:color w:val="auto"/>
              <w:kern w:val="2"/>
              <w:szCs w:val="32"/>
            </w:rPr>
            <w:t>第二十九章  深化法治金川实践</w:t>
          </w:r>
          <w:r>
            <w:rPr>
              <w:color w:val="auto"/>
            </w:rPr>
            <w:tab/>
          </w:r>
          <w:r>
            <w:rPr>
              <w:color w:val="auto"/>
            </w:rPr>
            <w:fldChar w:fldCharType="begin"/>
          </w:r>
          <w:r>
            <w:rPr>
              <w:color w:val="auto"/>
            </w:rPr>
            <w:instrText xml:space="preserve"> PAGEREF _Toc28887 </w:instrText>
          </w:r>
          <w:r>
            <w:rPr>
              <w:color w:val="auto"/>
            </w:rPr>
            <w:fldChar w:fldCharType="separate"/>
          </w:r>
          <w:r>
            <w:rPr>
              <w:color w:val="auto"/>
            </w:rPr>
            <w:t>83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_Toc20735 </w:instrText>
          </w:r>
          <w:r>
            <w:rPr>
              <w:color w:val="auto"/>
            </w:rPr>
            <w:fldChar w:fldCharType="separate"/>
          </w:r>
          <w:r>
            <w:rPr>
              <w:rFonts w:eastAsia="楷体_GB2312"/>
              <w:color w:val="auto"/>
            </w:rPr>
            <w:t>第一节  加强法治政府建设</w:t>
          </w:r>
          <w:r>
            <w:rPr>
              <w:color w:val="auto"/>
            </w:rPr>
            <w:tab/>
          </w:r>
          <w:r>
            <w:rPr>
              <w:color w:val="auto"/>
            </w:rPr>
            <w:fldChar w:fldCharType="begin"/>
          </w:r>
          <w:r>
            <w:rPr>
              <w:color w:val="auto"/>
            </w:rPr>
            <w:instrText xml:space="preserve"> PAGEREF _Toc20735 </w:instrText>
          </w:r>
          <w:r>
            <w:rPr>
              <w:color w:val="auto"/>
            </w:rPr>
            <w:fldChar w:fldCharType="separate"/>
          </w:r>
          <w:r>
            <w:rPr>
              <w:color w:val="auto"/>
            </w:rPr>
            <w:t>83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_Toc24767 </w:instrText>
          </w:r>
          <w:r>
            <w:rPr>
              <w:color w:val="auto"/>
            </w:rPr>
            <w:fldChar w:fldCharType="separate"/>
          </w:r>
          <w:r>
            <w:rPr>
              <w:rFonts w:eastAsia="楷体_GB2312"/>
              <w:color w:val="auto"/>
            </w:rPr>
            <w:t>第二节  提高司法公正水平</w:t>
          </w:r>
          <w:r>
            <w:rPr>
              <w:color w:val="auto"/>
            </w:rPr>
            <w:tab/>
          </w:r>
          <w:r>
            <w:rPr>
              <w:color w:val="auto"/>
            </w:rPr>
            <w:fldChar w:fldCharType="begin"/>
          </w:r>
          <w:r>
            <w:rPr>
              <w:color w:val="auto"/>
            </w:rPr>
            <w:instrText xml:space="preserve"> PAGEREF _Toc24767 </w:instrText>
          </w:r>
          <w:r>
            <w:rPr>
              <w:color w:val="auto"/>
            </w:rPr>
            <w:fldChar w:fldCharType="separate"/>
          </w:r>
          <w:r>
            <w:rPr>
              <w:color w:val="auto"/>
            </w:rPr>
            <w:t>83</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_Toc3588 </w:instrText>
          </w:r>
          <w:r>
            <w:rPr>
              <w:color w:val="auto"/>
            </w:rPr>
            <w:fldChar w:fldCharType="separate"/>
          </w:r>
          <w:r>
            <w:rPr>
              <w:rFonts w:eastAsia="楷体_GB2312"/>
              <w:color w:val="auto"/>
            </w:rPr>
            <w:t>第三节  加快法治社会建设</w:t>
          </w:r>
          <w:r>
            <w:rPr>
              <w:color w:val="auto"/>
            </w:rPr>
            <w:tab/>
          </w:r>
          <w:r>
            <w:rPr>
              <w:color w:val="auto"/>
            </w:rPr>
            <w:fldChar w:fldCharType="begin"/>
          </w:r>
          <w:r>
            <w:rPr>
              <w:color w:val="auto"/>
            </w:rPr>
            <w:instrText xml:space="preserve"> PAGEREF _Toc3588 </w:instrText>
          </w:r>
          <w:r>
            <w:rPr>
              <w:color w:val="auto"/>
            </w:rPr>
            <w:fldChar w:fldCharType="separate"/>
          </w:r>
          <w:r>
            <w:rPr>
              <w:color w:val="auto"/>
            </w:rPr>
            <w:t>84</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_Toc26905 </w:instrText>
          </w:r>
          <w:r>
            <w:rPr>
              <w:color w:val="auto"/>
            </w:rPr>
            <w:fldChar w:fldCharType="separate"/>
          </w:r>
          <w:r>
            <w:rPr>
              <w:rFonts w:ascii="Times New Roman" w:hAnsi="Times New Roman" w:eastAsia="黑体"/>
              <w:bCs w:val="0"/>
              <w:color w:val="auto"/>
              <w:kern w:val="2"/>
              <w:szCs w:val="32"/>
            </w:rPr>
            <w:t>第三十章  加快基层治理创新</w:t>
          </w:r>
          <w:r>
            <w:rPr>
              <w:color w:val="auto"/>
            </w:rPr>
            <w:tab/>
          </w:r>
          <w:r>
            <w:rPr>
              <w:color w:val="auto"/>
            </w:rPr>
            <w:fldChar w:fldCharType="begin"/>
          </w:r>
          <w:r>
            <w:rPr>
              <w:color w:val="auto"/>
            </w:rPr>
            <w:instrText xml:space="preserve"> PAGEREF _Toc26905 </w:instrText>
          </w:r>
          <w:r>
            <w:rPr>
              <w:color w:val="auto"/>
            </w:rPr>
            <w:fldChar w:fldCharType="separate"/>
          </w:r>
          <w:r>
            <w:rPr>
              <w:color w:val="auto"/>
            </w:rPr>
            <w:t>84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_Toc1498 </w:instrText>
          </w:r>
          <w:r>
            <w:rPr>
              <w:color w:val="auto"/>
            </w:rPr>
            <w:fldChar w:fldCharType="separate"/>
          </w:r>
          <w:r>
            <w:rPr>
              <w:rFonts w:eastAsia="楷体_GB2312"/>
              <w:color w:val="auto"/>
            </w:rPr>
            <w:t>第一节  完善城乡基层治理体系</w:t>
          </w:r>
          <w:r>
            <w:rPr>
              <w:color w:val="auto"/>
            </w:rPr>
            <w:tab/>
          </w:r>
          <w:r>
            <w:rPr>
              <w:color w:val="auto"/>
            </w:rPr>
            <w:fldChar w:fldCharType="begin"/>
          </w:r>
          <w:r>
            <w:rPr>
              <w:color w:val="auto"/>
            </w:rPr>
            <w:instrText xml:space="preserve"> PAGEREF _Toc1498 </w:instrText>
          </w:r>
          <w:r>
            <w:rPr>
              <w:color w:val="auto"/>
            </w:rPr>
            <w:fldChar w:fldCharType="separate"/>
          </w:r>
          <w:r>
            <w:rPr>
              <w:color w:val="auto"/>
            </w:rPr>
            <w:t>84</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_Toc24973 </w:instrText>
          </w:r>
          <w:r>
            <w:rPr>
              <w:color w:val="auto"/>
            </w:rPr>
            <w:fldChar w:fldCharType="separate"/>
          </w:r>
          <w:r>
            <w:rPr>
              <w:rFonts w:eastAsia="楷体_GB2312"/>
              <w:color w:val="auto"/>
            </w:rPr>
            <w:t>第二节  提升基层管理服务能力</w:t>
          </w:r>
          <w:r>
            <w:rPr>
              <w:color w:val="auto"/>
            </w:rPr>
            <w:tab/>
          </w:r>
          <w:r>
            <w:rPr>
              <w:color w:val="auto"/>
            </w:rPr>
            <w:fldChar w:fldCharType="begin"/>
          </w:r>
          <w:r>
            <w:rPr>
              <w:color w:val="auto"/>
            </w:rPr>
            <w:instrText xml:space="preserve"> PAGEREF _Toc24973 </w:instrText>
          </w:r>
          <w:r>
            <w:rPr>
              <w:color w:val="auto"/>
            </w:rPr>
            <w:fldChar w:fldCharType="separate"/>
          </w:r>
          <w:r>
            <w:rPr>
              <w:color w:val="auto"/>
            </w:rPr>
            <w:t>85</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_Toc17602 </w:instrText>
          </w:r>
          <w:r>
            <w:rPr>
              <w:color w:val="auto"/>
            </w:rPr>
            <w:fldChar w:fldCharType="separate"/>
          </w:r>
          <w:r>
            <w:rPr>
              <w:rFonts w:ascii="Times New Roman" w:hAnsi="Times New Roman" w:eastAsia="黑体"/>
              <w:bCs w:val="0"/>
              <w:color w:val="auto"/>
              <w:kern w:val="2"/>
              <w:szCs w:val="32"/>
            </w:rPr>
            <w:t>第三十一章  健全应急管理体系</w:t>
          </w:r>
          <w:r>
            <w:rPr>
              <w:color w:val="auto"/>
            </w:rPr>
            <w:tab/>
          </w:r>
          <w:r>
            <w:rPr>
              <w:color w:val="auto"/>
            </w:rPr>
            <w:fldChar w:fldCharType="begin"/>
          </w:r>
          <w:r>
            <w:rPr>
              <w:color w:val="auto"/>
            </w:rPr>
            <w:instrText xml:space="preserve"> PAGEREF _Toc17602 </w:instrText>
          </w:r>
          <w:r>
            <w:rPr>
              <w:color w:val="auto"/>
            </w:rPr>
            <w:fldChar w:fldCharType="separate"/>
          </w:r>
          <w:r>
            <w:rPr>
              <w:color w:val="auto"/>
            </w:rPr>
            <w:t>85</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_Toc21411 </w:instrText>
          </w:r>
          <w:r>
            <w:rPr>
              <w:color w:val="auto"/>
            </w:rPr>
            <w:fldChar w:fldCharType="separate"/>
          </w:r>
          <w:r>
            <w:rPr>
              <w:rFonts w:eastAsia="楷体_GB2312"/>
              <w:color w:val="auto"/>
            </w:rPr>
            <w:t>第一节  筑牢安全生产稳固防线</w:t>
          </w:r>
          <w:r>
            <w:rPr>
              <w:color w:val="auto"/>
            </w:rPr>
            <w:tab/>
          </w:r>
          <w:r>
            <w:rPr>
              <w:color w:val="auto"/>
            </w:rPr>
            <w:fldChar w:fldCharType="begin"/>
          </w:r>
          <w:r>
            <w:rPr>
              <w:color w:val="auto"/>
            </w:rPr>
            <w:instrText xml:space="preserve"> PAGEREF _Toc21411 </w:instrText>
          </w:r>
          <w:r>
            <w:rPr>
              <w:color w:val="auto"/>
            </w:rPr>
            <w:fldChar w:fldCharType="separate"/>
          </w:r>
          <w:r>
            <w:rPr>
              <w:color w:val="auto"/>
            </w:rPr>
            <w:t>86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_Toc27441 </w:instrText>
          </w:r>
          <w:r>
            <w:rPr>
              <w:color w:val="auto"/>
            </w:rPr>
            <w:fldChar w:fldCharType="separate"/>
          </w:r>
          <w:r>
            <w:rPr>
              <w:rFonts w:eastAsia="楷体_GB2312"/>
              <w:color w:val="auto"/>
            </w:rPr>
            <w:t>第二节  强化监测预警体系建设</w:t>
          </w:r>
          <w:r>
            <w:rPr>
              <w:color w:val="auto"/>
            </w:rPr>
            <w:tab/>
          </w:r>
          <w:r>
            <w:rPr>
              <w:color w:val="auto"/>
            </w:rPr>
            <w:fldChar w:fldCharType="begin"/>
          </w:r>
          <w:r>
            <w:rPr>
              <w:color w:val="auto"/>
            </w:rPr>
            <w:instrText xml:space="preserve"> PAGEREF _Toc27441 </w:instrText>
          </w:r>
          <w:r>
            <w:rPr>
              <w:color w:val="auto"/>
            </w:rPr>
            <w:fldChar w:fldCharType="separate"/>
          </w:r>
          <w:r>
            <w:rPr>
              <w:color w:val="auto"/>
            </w:rPr>
            <w:t>86</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_Toc20196 </w:instrText>
          </w:r>
          <w:r>
            <w:rPr>
              <w:color w:val="auto"/>
            </w:rPr>
            <w:fldChar w:fldCharType="separate"/>
          </w:r>
          <w:r>
            <w:rPr>
              <w:rFonts w:eastAsia="楷体_GB2312"/>
              <w:color w:val="auto"/>
            </w:rPr>
            <w:t>第三节  完善灾害应急救援体系</w:t>
          </w:r>
          <w:r>
            <w:rPr>
              <w:color w:val="auto"/>
            </w:rPr>
            <w:tab/>
          </w:r>
          <w:r>
            <w:rPr>
              <w:color w:val="auto"/>
            </w:rPr>
            <w:fldChar w:fldCharType="begin"/>
          </w:r>
          <w:r>
            <w:rPr>
              <w:color w:val="auto"/>
            </w:rPr>
            <w:instrText xml:space="preserve"> PAGEREF _Toc20196 </w:instrText>
          </w:r>
          <w:r>
            <w:rPr>
              <w:color w:val="auto"/>
            </w:rPr>
            <w:fldChar w:fldCharType="separate"/>
          </w:r>
          <w:r>
            <w:rPr>
              <w:color w:val="auto"/>
            </w:rPr>
            <w:t>87</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_Toc32740 </w:instrText>
          </w:r>
          <w:r>
            <w:rPr>
              <w:color w:val="auto"/>
            </w:rPr>
            <w:fldChar w:fldCharType="separate"/>
          </w:r>
          <w:r>
            <w:rPr>
              <w:rFonts w:eastAsia="楷体_GB2312"/>
              <w:color w:val="auto"/>
            </w:rPr>
            <w:t>第四节  加强防灾减灾能力建设</w:t>
          </w:r>
          <w:r>
            <w:rPr>
              <w:color w:val="auto"/>
            </w:rPr>
            <w:tab/>
          </w:r>
          <w:r>
            <w:rPr>
              <w:color w:val="auto"/>
            </w:rPr>
            <w:fldChar w:fldCharType="begin"/>
          </w:r>
          <w:r>
            <w:rPr>
              <w:color w:val="auto"/>
            </w:rPr>
            <w:instrText xml:space="preserve"> PAGEREF _Toc32740 </w:instrText>
          </w:r>
          <w:r>
            <w:rPr>
              <w:color w:val="auto"/>
            </w:rPr>
            <w:fldChar w:fldCharType="separate"/>
          </w:r>
          <w:r>
            <w:rPr>
              <w:color w:val="auto"/>
            </w:rPr>
            <w:t>87</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_Toc1803 </w:instrText>
          </w:r>
          <w:r>
            <w:rPr>
              <w:color w:val="auto"/>
            </w:rPr>
            <w:fldChar w:fldCharType="separate"/>
          </w:r>
          <w:r>
            <w:rPr>
              <w:rFonts w:ascii="Times New Roman" w:hAnsi="Times New Roman" w:eastAsia="黑体"/>
              <w:bCs w:val="0"/>
              <w:color w:val="auto"/>
              <w:kern w:val="2"/>
              <w:szCs w:val="32"/>
            </w:rPr>
            <w:t>第三十二章  增进民族团结进步</w:t>
          </w:r>
          <w:r>
            <w:rPr>
              <w:color w:val="auto"/>
            </w:rPr>
            <w:tab/>
          </w:r>
          <w:r>
            <w:rPr>
              <w:color w:val="auto"/>
            </w:rPr>
            <w:fldChar w:fldCharType="begin"/>
          </w:r>
          <w:r>
            <w:rPr>
              <w:color w:val="auto"/>
            </w:rPr>
            <w:instrText xml:space="preserve"> PAGEREF _Toc1803 </w:instrText>
          </w:r>
          <w:r>
            <w:rPr>
              <w:color w:val="auto"/>
            </w:rPr>
            <w:fldChar w:fldCharType="separate"/>
          </w:r>
          <w:r>
            <w:rPr>
              <w:color w:val="auto"/>
            </w:rPr>
            <w:t>88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_Toc22486 </w:instrText>
          </w:r>
          <w:r>
            <w:rPr>
              <w:color w:val="auto"/>
            </w:rPr>
            <w:fldChar w:fldCharType="separate"/>
          </w:r>
          <w:r>
            <w:rPr>
              <w:rFonts w:eastAsia="楷体_GB2312"/>
              <w:color w:val="auto"/>
            </w:rPr>
            <w:t>第一节  铸牢中华民族共同体意识</w:t>
          </w:r>
          <w:r>
            <w:rPr>
              <w:color w:val="auto"/>
            </w:rPr>
            <w:tab/>
          </w:r>
          <w:r>
            <w:rPr>
              <w:color w:val="auto"/>
            </w:rPr>
            <w:fldChar w:fldCharType="begin"/>
          </w:r>
          <w:r>
            <w:rPr>
              <w:color w:val="auto"/>
            </w:rPr>
            <w:instrText xml:space="preserve"> PAGEREF _Toc22486 </w:instrText>
          </w:r>
          <w:r>
            <w:rPr>
              <w:color w:val="auto"/>
            </w:rPr>
            <w:fldChar w:fldCharType="separate"/>
          </w:r>
          <w:r>
            <w:rPr>
              <w:color w:val="auto"/>
            </w:rPr>
            <w:t>88</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_Toc21668 </w:instrText>
          </w:r>
          <w:r>
            <w:rPr>
              <w:color w:val="auto"/>
            </w:rPr>
            <w:fldChar w:fldCharType="separate"/>
          </w:r>
          <w:r>
            <w:rPr>
              <w:rFonts w:eastAsia="楷体_GB2312"/>
              <w:color w:val="auto"/>
            </w:rPr>
            <w:t>第二节  提高宗教事务法治化水平</w:t>
          </w:r>
          <w:r>
            <w:rPr>
              <w:color w:val="auto"/>
            </w:rPr>
            <w:tab/>
          </w:r>
          <w:r>
            <w:rPr>
              <w:color w:val="auto"/>
            </w:rPr>
            <w:fldChar w:fldCharType="begin"/>
          </w:r>
          <w:r>
            <w:rPr>
              <w:color w:val="auto"/>
            </w:rPr>
            <w:instrText xml:space="preserve"> PAGEREF _Toc21668 </w:instrText>
          </w:r>
          <w:r>
            <w:rPr>
              <w:color w:val="auto"/>
            </w:rPr>
            <w:fldChar w:fldCharType="separate"/>
          </w:r>
          <w:r>
            <w:rPr>
              <w:color w:val="auto"/>
            </w:rPr>
            <w:t>89</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_Toc27352 </w:instrText>
          </w:r>
          <w:r>
            <w:rPr>
              <w:color w:val="auto"/>
            </w:rPr>
            <w:fldChar w:fldCharType="separate"/>
          </w:r>
          <w:r>
            <w:rPr>
              <w:rFonts w:ascii="Times New Roman" w:hAnsi="Times New Roman" w:eastAsia="黑体"/>
              <w:bCs w:val="0"/>
              <w:color w:val="auto"/>
              <w:kern w:val="2"/>
              <w:szCs w:val="32"/>
            </w:rPr>
            <w:t>第三十三章  推进平安金川建设</w:t>
          </w:r>
          <w:r>
            <w:rPr>
              <w:color w:val="auto"/>
            </w:rPr>
            <w:tab/>
          </w:r>
          <w:r>
            <w:rPr>
              <w:color w:val="auto"/>
            </w:rPr>
            <w:fldChar w:fldCharType="begin"/>
          </w:r>
          <w:r>
            <w:rPr>
              <w:color w:val="auto"/>
            </w:rPr>
            <w:instrText xml:space="preserve"> PAGEREF _Toc27352 </w:instrText>
          </w:r>
          <w:r>
            <w:rPr>
              <w:color w:val="auto"/>
            </w:rPr>
            <w:fldChar w:fldCharType="separate"/>
          </w:r>
          <w:r>
            <w:rPr>
              <w:color w:val="auto"/>
            </w:rPr>
            <w:t>89</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_Toc13268 </w:instrText>
          </w:r>
          <w:r>
            <w:rPr>
              <w:color w:val="auto"/>
            </w:rPr>
            <w:fldChar w:fldCharType="separate"/>
          </w:r>
          <w:r>
            <w:rPr>
              <w:rFonts w:eastAsia="楷体_GB2312"/>
              <w:color w:val="auto"/>
            </w:rPr>
            <w:t>第一节  深化“三反两防”斗争</w:t>
          </w:r>
          <w:r>
            <w:rPr>
              <w:color w:val="auto"/>
            </w:rPr>
            <w:tab/>
          </w:r>
          <w:r>
            <w:rPr>
              <w:color w:val="auto"/>
            </w:rPr>
            <w:fldChar w:fldCharType="begin"/>
          </w:r>
          <w:r>
            <w:rPr>
              <w:color w:val="auto"/>
            </w:rPr>
            <w:instrText xml:space="preserve"> PAGEREF _Toc13268 </w:instrText>
          </w:r>
          <w:r>
            <w:rPr>
              <w:color w:val="auto"/>
            </w:rPr>
            <w:fldChar w:fldCharType="separate"/>
          </w:r>
          <w:r>
            <w:rPr>
              <w:color w:val="auto"/>
            </w:rPr>
            <w:t>90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_Toc25035 </w:instrText>
          </w:r>
          <w:r>
            <w:rPr>
              <w:color w:val="auto"/>
            </w:rPr>
            <w:fldChar w:fldCharType="separate"/>
          </w:r>
          <w:r>
            <w:rPr>
              <w:rFonts w:eastAsia="楷体_GB2312"/>
              <w:color w:val="auto"/>
            </w:rPr>
            <w:t>第二节  完善社会治安防控体系</w:t>
          </w:r>
          <w:r>
            <w:rPr>
              <w:color w:val="auto"/>
            </w:rPr>
            <w:tab/>
          </w:r>
          <w:r>
            <w:rPr>
              <w:color w:val="auto"/>
            </w:rPr>
            <w:fldChar w:fldCharType="begin"/>
          </w:r>
          <w:r>
            <w:rPr>
              <w:color w:val="auto"/>
            </w:rPr>
            <w:instrText xml:space="preserve"> PAGEREF _Toc25035 </w:instrText>
          </w:r>
          <w:r>
            <w:rPr>
              <w:color w:val="auto"/>
            </w:rPr>
            <w:fldChar w:fldCharType="separate"/>
          </w:r>
          <w:r>
            <w:rPr>
              <w:color w:val="auto"/>
            </w:rPr>
            <w:t>90</w:t>
          </w:r>
          <w:r>
            <w:rPr>
              <w:color w:val="auto"/>
            </w:rPr>
            <w:fldChar w:fldCharType="end"/>
          </w:r>
          <w:r>
            <w:rPr>
              <w:color w:val="auto"/>
            </w:rPr>
            <w:fldChar w:fldCharType="end"/>
          </w:r>
        </w:p>
        <w:p>
          <w:pPr>
            <w:pStyle w:val="10"/>
            <w:tabs>
              <w:tab w:val="right" w:leader="dot" w:pos="8306"/>
            </w:tabs>
            <w:rPr>
              <w:color w:val="auto"/>
            </w:rPr>
          </w:pPr>
          <w:r>
            <w:rPr>
              <w:color w:val="auto"/>
            </w:rPr>
            <w:fldChar w:fldCharType="begin"/>
          </w:r>
          <w:r>
            <w:rPr>
              <w:color w:val="auto"/>
            </w:rPr>
            <w:instrText xml:space="preserve"> HYPERLINK \l _Toc31255 </w:instrText>
          </w:r>
          <w:r>
            <w:rPr>
              <w:color w:val="auto"/>
            </w:rPr>
            <w:fldChar w:fldCharType="separate"/>
          </w:r>
          <w:r>
            <w:rPr>
              <w:rFonts w:eastAsia="楷体_GB2312"/>
              <w:color w:val="auto"/>
            </w:rPr>
            <w:t>第三节  预防调处化解矛盾纠纷</w:t>
          </w:r>
          <w:r>
            <w:rPr>
              <w:color w:val="auto"/>
            </w:rPr>
            <w:tab/>
          </w:r>
          <w:r>
            <w:rPr>
              <w:color w:val="auto"/>
            </w:rPr>
            <w:fldChar w:fldCharType="begin"/>
          </w:r>
          <w:r>
            <w:rPr>
              <w:color w:val="auto"/>
            </w:rPr>
            <w:instrText xml:space="preserve"> PAGEREF _Toc31255 </w:instrText>
          </w:r>
          <w:r>
            <w:rPr>
              <w:color w:val="auto"/>
            </w:rPr>
            <w:fldChar w:fldCharType="separate"/>
          </w:r>
          <w:r>
            <w:rPr>
              <w:color w:val="auto"/>
            </w:rPr>
            <w:t>91</w:t>
          </w:r>
          <w:r>
            <w:rPr>
              <w:color w:val="auto"/>
            </w:rPr>
            <w:fldChar w:fldCharType="end"/>
          </w:r>
          <w:r>
            <w:rPr>
              <w:color w:val="auto"/>
            </w:rPr>
            <w:fldChar w:fldCharType="end"/>
          </w:r>
        </w:p>
        <w:p>
          <w:pPr>
            <w:pStyle w:val="16"/>
            <w:tabs>
              <w:tab w:val="right" w:leader="dot" w:pos="8306"/>
            </w:tabs>
            <w:rPr>
              <w:color w:val="auto"/>
            </w:rPr>
          </w:pPr>
          <w:r>
            <w:rPr>
              <w:color w:val="auto"/>
            </w:rPr>
            <w:fldChar w:fldCharType="begin"/>
          </w:r>
          <w:r>
            <w:rPr>
              <w:color w:val="auto"/>
            </w:rPr>
            <w:instrText xml:space="preserve"> HYPERLINK \l _Toc21457 </w:instrText>
          </w:r>
          <w:r>
            <w:rPr>
              <w:color w:val="auto"/>
            </w:rPr>
            <w:fldChar w:fldCharType="separate"/>
          </w:r>
          <w:r>
            <w:rPr>
              <w:color w:val="auto"/>
              <w:w w:val="95"/>
              <w:szCs w:val="36"/>
            </w:rPr>
            <w:t>第十篇  凝聚发展强大合力，推动规划纲要落地见效</w:t>
          </w:r>
          <w:r>
            <w:rPr>
              <w:color w:val="auto"/>
            </w:rPr>
            <w:tab/>
          </w:r>
          <w:r>
            <w:rPr>
              <w:color w:val="auto"/>
            </w:rPr>
            <w:fldChar w:fldCharType="begin"/>
          </w:r>
          <w:r>
            <w:rPr>
              <w:color w:val="auto"/>
            </w:rPr>
            <w:instrText xml:space="preserve"> PAGEREF _Toc21457 </w:instrText>
          </w:r>
          <w:r>
            <w:rPr>
              <w:color w:val="auto"/>
            </w:rPr>
            <w:fldChar w:fldCharType="separate"/>
          </w:r>
          <w:r>
            <w:rPr>
              <w:color w:val="auto"/>
            </w:rPr>
            <w:t>91</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_Toc823 </w:instrText>
          </w:r>
          <w:r>
            <w:rPr>
              <w:color w:val="auto"/>
            </w:rPr>
            <w:fldChar w:fldCharType="separate"/>
          </w:r>
          <w:r>
            <w:rPr>
              <w:rFonts w:ascii="Times New Roman" w:hAnsi="Times New Roman" w:eastAsia="黑体"/>
              <w:bCs w:val="0"/>
              <w:color w:val="auto"/>
              <w:kern w:val="2"/>
              <w:szCs w:val="32"/>
            </w:rPr>
            <w:t>第三十四章  加强党的全面领导</w:t>
          </w:r>
          <w:r>
            <w:rPr>
              <w:color w:val="auto"/>
            </w:rPr>
            <w:tab/>
          </w:r>
          <w:r>
            <w:rPr>
              <w:color w:val="auto"/>
            </w:rPr>
            <w:fldChar w:fldCharType="begin"/>
          </w:r>
          <w:r>
            <w:rPr>
              <w:color w:val="auto"/>
            </w:rPr>
            <w:instrText xml:space="preserve"> PAGEREF _Toc823 </w:instrText>
          </w:r>
          <w:r>
            <w:rPr>
              <w:color w:val="auto"/>
            </w:rPr>
            <w:fldChar w:fldCharType="separate"/>
          </w:r>
          <w:r>
            <w:rPr>
              <w:color w:val="auto"/>
            </w:rPr>
            <w:t>92</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_Toc4599 </w:instrText>
          </w:r>
          <w:r>
            <w:rPr>
              <w:color w:val="auto"/>
            </w:rPr>
            <w:fldChar w:fldCharType="separate"/>
          </w:r>
          <w:r>
            <w:rPr>
              <w:rFonts w:ascii="Times New Roman" w:hAnsi="Times New Roman" w:eastAsia="黑体"/>
              <w:bCs w:val="0"/>
              <w:color w:val="auto"/>
              <w:kern w:val="2"/>
              <w:szCs w:val="32"/>
            </w:rPr>
            <w:t>第三十五章  推进民主政治建设</w:t>
          </w:r>
          <w:r>
            <w:rPr>
              <w:color w:val="auto"/>
            </w:rPr>
            <w:tab/>
          </w:r>
          <w:r>
            <w:rPr>
              <w:color w:val="auto"/>
            </w:rPr>
            <w:fldChar w:fldCharType="begin"/>
          </w:r>
          <w:r>
            <w:rPr>
              <w:color w:val="auto"/>
            </w:rPr>
            <w:instrText xml:space="preserve"> PAGEREF _Toc4599 </w:instrText>
          </w:r>
          <w:r>
            <w:rPr>
              <w:color w:val="auto"/>
            </w:rPr>
            <w:fldChar w:fldCharType="separate"/>
          </w:r>
          <w:r>
            <w:rPr>
              <w:color w:val="auto"/>
            </w:rPr>
            <w:t>92</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_Toc22227 </w:instrText>
          </w:r>
          <w:r>
            <w:rPr>
              <w:color w:val="auto"/>
            </w:rPr>
            <w:fldChar w:fldCharType="separate"/>
          </w:r>
          <w:r>
            <w:rPr>
              <w:rFonts w:ascii="Times New Roman" w:hAnsi="Times New Roman" w:eastAsia="黑体"/>
              <w:bCs w:val="0"/>
              <w:color w:val="auto"/>
              <w:kern w:val="2"/>
              <w:szCs w:val="32"/>
            </w:rPr>
            <w:t>第三十六章  强化资源要素保障</w:t>
          </w:r>
          <w:r>
            <w:rPr>
              <w:color w:val="auto"/>
            </w:rPr>
            <w:tab/>
          </w:r>
          <w:r>
            <w:rPr>
              <w:color w:val="auto"/>
            </w:rPr>
            <w:fldChar w:fldCharType="begin"/>
          </w:r>
          <w:r>
            <w:rPr>
              <w:color w:val="auto"/>
            </w:rPr>
            <w:instrText xml:space="preserve"> PAGEREF _Toc22227 </w:instrText>
          </w:r>
          <w:r>
            <w:rPr>
              <w:color w:val="auto"/>
            </w:rPr>
            <w:fldChar w:fldCharType="separate"/>
          </w:r>
          <w:r>
            <w:rPr>
              <w:color w:val="auto"/>
            </w:rPr>
            <w:t>93</w:t>
          </w:r>
          <w:r>
            <w:rPr>
              <w:color w:val="auto"/>
            </w:rPr>
            <w:fldChar w:fldCharType="end"/>
          </w:r>
          <w:r>
            <w:rPr>
              <w:color w:val="auto"/>
            </w:rPr>
            <w:fldChar w:fldCharType="end"/>
          </w:r>
        </w:p>
        <w:p>
          <w:pPr>
            <w:pStyle w:val="21"/>
            <w:tabs>
              <w:tab w:val="right" w:leader="dot" w:pos="8306"/>
            </w:tabs>
            <w:rPr>
              <w:color w:val="auto"/>
            </w:rPr>
          </w:pPr>
          <w:r>
            <w:rPr>
              <w:color w:val="auto"/>
            </w:rPr>
            <w:fldChar w:fldCharType="begin"/>
          </w:r>
          <w:r>
            <w:rPr>
              <w:color w:val="auto"/>
            </w:rPr>
            <w:instrText xml:space="preserve"> HYPERLINK \l _Toc7450 </w:instrText>
          </w:r>
          <w:r>
            <w:rPr>
              <w:color w:val="auto"/>
            </w:rPr>
            <w:fldChar w:fldCharType="separate"/>
          </w:r>
          <w:r>
            <w:rPr>
              <w:rFonts w:ascii="Times New Roman" w:hAnsi="Times New Roman" w:eastAsia="黑体"/>
              <w:bCs w:val="0"/>
              <w:color w:val="auto"/>
              <w:kern w:val="2"/>
              <w:szCs w:val="32"/>
            </w:rPr>
            <w:t>第三十七章  健全规划实施机制</w:t>
          </w:r>
          <w:r>
            <w:rPr>
              <w:color w:val="auto"/>
            </w:rPr>
            <w:tab/>
          </w:r>
          <w:r>
            <w:rPr>
              <w:color w:val="auto"/>
            </w:rPr>
            <w:fldChar w:fldCharType="begin"/>
          </w:r>
          <w:r>
            <w:rPr>
              <w:color w:val="auto"/>
            </w:rPr>
            <w:instrText xml:space="preserve"> PAGEREF _Toc7450 </w:instrText>
          </w:r>
          <w:r>
            <w:rPr>
              <w:color w:val="auto"/>
            </w:rPr>
            <w:fldChar w:fldCharType="separate"/>
          </w:r>
          <w:r>
            <w:rPr>
              <w:color w:val="auto"/>
            </w:rPr>
            <w:t>93</w:t>
          </w:r>
          <w:r>
            <w:rPr>
              <w:color w:val="auto"/>
            </w:rPr>
            <w:fldChar w:fldCharType="end"/>
          </w:r>
          <w:r>
            <w:rPr>
              <w:color w:val="auto"/>
            </w:rPr>
            <w:fldChar w:fldCharType="end"/>
          </w:r>
        </w:p>
        <w:p>
          <w:pPr>
            <w:spacing w:before="0" w:beforeLines="0" w:after="0" w:afterLines="0" w:line="240" w:lineRule="auto"/>
            <w:ind w:left="0" w:leftChars="0" w:right="0" w:rightChars="0" w:firstLine="0" w:firstLineChars="0"/>
            <w:jc w:val="center"/>
            <w:rPr>
              <w:color w:val="auto"/>
            </w:rPr>
            <w:sectPr>
              <w:headerReference r:id="rId4" w:type="default"/>
              <w:footerReference r:id="rId5" w:type="default"/>
              <w:pgSz w:w="11906" w:h="16838"/>
              <w:pgMar w:top="1440" w:right="1800" w:bottom="1440" w:left="1800" w:header="851" w:footer="992" w:gutter="0"/>
              <w:pgNumType w:start="1"/>
              <w:cols w:space="0" w:num="1"/>
              <w:docGrid w:type="lines" w:linePitch="312" w:charSpace="0"/>
            </w:sectPr>
          </w:pPr>
          <w:r>
            <w:rPr>
              <w:color w:val="auto"/>
            </w:rPr>
            <w:fldChar w:fldCharType="end"/>
          </w:r>
        </w:p>
      </w:sdtContent>
    </w:sdt>
    <w:p>
      <w:pPr>
        <w:spacing w:line="576" w:lineRule="exact"/>
        <w:jc w:val="center"/>
        <w:outlineLvl w:val="0"/>
        <w:rPr>
          <w:rFonts w:eastAsia="黑体" w:cs="Times New Roman"/>
          <w:color w:val="auto"/>
          <w:sz w:val="44"/>
          <w:szCs w:val="44"/>
        </w:rPr>
      </w:pPr>
      <w:bookmarkStart w:id="2" w:name="_Toc7894"/>
      <w:bookmarkStart w:id="3" w:name="_Toc8354"/>
      <w:r>
        <w:rPr>
          <w:rFonts w:eastAsia="黑体" w:cs="Times New Roman"/>
          <w:color w:val="auto"/>
          <w:sz w:val="44"/>
          <w:szCs w:val="44"/>
        </w:rPr>
        <w:t>金川县国民经济和社会发展第十四个</w:t>
      </w:r>
      <w:bookmarkEnd w:id="0"/>
      <w:bookmarkEnd w:id="1"/>
      <w:bookmarkEnd w:id="2"/>
      <w:bookmarkStart w:id="4" w:name="_Toc8859"/>
      <w:bookmarkStart w:id="5" w:name="_Toc1809"/>
      <w:bookmarkStart w:id="6" w:name="_Toc19128"/>
      <w:r>
        <w:rPr>
          <w:rFonts w:eastAsia="黑体" w:cs="Times New Roman"/>
          <w:color w:val="auto"/>
          <w:sz w:val="44"/>
          <w:szCs w:val="44"/>
        </w:rPr>
        <w:t>五年规划和二〇三五年远景目标纲要</w:t>
      </w:r>
      <w:bookmarkEnd w:id="3"/>
      <w:bookmarkEnd w:id="4"/>
      <w:bookmarkEnd w:id="5"/>
      <w:bookmarkEnd w:id="6"/>
    </w:p>
    <w:p>
      <w:pPr>
        <w:spacing w:line="576" w:lineRule="exact"/>
        <w:jc w:val="center"/>
        <w:rPr>
          <w:rFonts w:cs="Times New Roman"/>
          <w:color w:val="auto"/>
        </w:rPr>
      </w:pPr>
    </w:p>
    <w:p>
      <w:pPr>
        <w:pStyle w:val="23"/>
        <w:spacing w:line="576" w:lineRule="exact"/>
        <w:ind w:firstLine="640" w:firstLineChars="200"/>
        <w:rPr>
          <w:rFonts w:cs="Times New Roman"/>
          <w:color w:val="auto"/>
          <w:kern w:val="0"/>
          <w:sz w:val="32"/>
          <w:szCs w:val="32"/>
        </w:rPr>
      </w:pPr>
      <w:r>
        <w:rPr>
          <w:rFonts w:cs="Times New Roman"/>
          <w:color w:val="auto"/>
          <w:kern w:val="0"/>
          <w:sz w:val="32"/>
          <w:szCs w:val="32"/>
        </w:rPr>
        <w:t>《金川县国民经济和社会发展第十四个五年规划和二〇三五年远景目标纲要》（以下简称《纲要》）根据党的十九届五中全会、中央第七次西藏工作座谈会、省委十一届八次全会、省委涉藏工作会议、州委十一届十次全会精神和《中共金川县委关于制定国民经济和社会发展第十四个五年规划和二〇三五年远景目标的建议》编制，主要阐明“十四五”时期我县经济社会发展总体要求、主要任务和重大举措，是政府履行职责的重要依据，是市场主体行为的重要参考，是全县人民共同奋斗、加快建成“四地三县两个金川”、开启全面建设社会主义现代化新征程的行动纲领和宏伟蓝图。</w:t>
      </w:r>
    </w:p>
    <w:p>
      <w:pPr>
        <w:pStyle w:val="3"/>
        <w:spacing w:before="312" w:beforeLines="100" w:after="312" w:afterLines="100" w:line="576" w:lineRule="exact"/>
        <w:rPr>
          <w:color w:val="auto"/>
          <w:sz w:val="36"/>
          <w:szCs w:val="36"/>
        </w:rPr>
      </w:pPr>
      <w:bookmarkStart w:id="7" w:name="_Toc2621"/>
      <w:bookmarkStart w:id="8" w:name="_Toc10301_WPSOffice_Level1"/>
      <w:bookmarkStart w:id="9" w:name="_Toc11704"/>
      <w:bookmarkStart w:id="10" w:name="_Toc22252"/>
      <w:r>
        <w:rPr>
          <w:color w:val="auto"/>
          <w:sz w:val="36"/>
          <w:szCs w:val="36"/>
        </w:rPr>
        <w:t>第一篇  全面建成小康社会，开启现代化金川新</w:t>
      </w:r>
      <w:bookmarkEnd w:id="7"/>
      <w:bookmarkEnd w:id="8"/>
      <w:r>
        <w:rPr>
          <w:color w:val="auto"/>
          <w:sz w:val="36"/>
          <w:szCs w:val="36"/>
        </w:rPr>
        <w:t>征程</w:t>
      </w:r>
      <w:bookmarkEnd w:id="9"/>
      <w:bookmarkEnd w:id="10"/>
    </w:p>
    <w:p>
      <w:pPr>
        <w:pStyle w:val="23"/>
        <w:spacing w:line="576" w:lineRule="exact"/>
        <w:ind w:firstLine="640" w:firstLineChars="200"/>
        <w:rPr>
          <w:rFonts w:cs="Times New Roman"/>
          <w:color w:val="auto"/>
          <w:kern w:val="0"/>
          <w:sz w:val="32"/>
          <w:szCs w:val="32"/>
        </w:rPr>
      </w:pPr>
      <w:r>
        <w:rPr>
          <w:rFonts w:cs="Times New Roman"/>
          <w:color w:val="auto"/>
          <w:kern w:val="0"/>
          <w:sz w:val="32"/>
          <w:szCs w:val="32"/>
        </w:rPr>
        <w:t>“十四五”时期是我县在全面建成小康社会基础上，开启全面建设社会主义现代化新征程、向第二个百年奋斗目标进军的起步期，是推动实现“四地三县两个金川”宏伟目标的关键期。必须深刻认识基础条件和发展环境的深刻变化，积极顺应群众美好生活</w:t>
      </w:r>
      <w:r>
        <w:rPr>
          <w:rFonts w:cs="Times New Roman"/>
          <w:color w:val="auto"/>
          <w:spacing w:val="-6"/>
          <w:kern w:val="0"/>
          <w:sz w:val="32"/>
          <w:szCs w:val="32"/>
        </w:rPr>
        <w:t>新期盼，科学制定发展目标任务，推动全县经济社会持续健康发展。</w:t>
      </w:r>
      <w:bookmarkStart w:id="11" w:name="_Toc12555"/>
      <w:bookmarkStart w:id="12" w:name="_Toc13468"/>
      <w:bookmarkStart w:id="13" w:name="_Toc16124_WPSOffice_Level2"/>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14" w:name="_Toc5486"/>
      <w:r>
        <w:rPr>
          <w:rFonts w:ascii="Times New Roman" w:hAnsi="Times New Roman" w:eastAsia="黑体"/>
          <w:b w:val="0"/>
          <w:bCs w:val="0"/>
          <w:color w:val="auto"/>
          <w:kern w:val="2"/>
          <w:sz w:val="32"/>
          <w:szCs w:val="32"/>
        </w:rPr>
        <w:t>第一章  现实基础与面临形势</w:t>
      </w:r>
      <w:bookmarkEnd w:id="11"/>
      <w:bookmarkEnd w:id="12"/>
      <w:bookmarkEnd w:id="13"/>
      <w:bookmarkEnd w:id="14"/>
    </w:p>
    <w:p>
      <w:pPr>
        <w:pStyle w:val="23"/>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cs="Times New Roman"/>
          <w:color w:val="auto"/>
          <w:kern w:val="0"/>
          <w:sz w:val="32"/>
          <w:szCs w:val="32"/>
        </w:rPr>
      </w:pPr>
      <w:r>
        <w:rPr>
          <w:rFonts w:cs="Times New Roman"/>
          <w:color w:val="auto"/>
          <w:kern w:val="0"/>
          <w:sz w:val="32"/>
          <w:szCs w:val="32"/>
        </w:rPr>
        <w:t>充分把握新时代发展基础和发展环境的深刻变化，精准研判未来五年战略机遇与主要挑战，是科学谋划“十四五”时期经济社会发展的基础和关键。</w:t>
      </w:r>
    </w:p>
    <w:p>
      <w:pPr>
        <w:pStyle w:val="5"/>
        <w:keepNext/>
        <w:keepLines/>
        <w:pageBreakBefore w:val="0"/>
        <w:widowControl w:val="0"/>
        <w:kinsoku/>
        <w:wordWrap/>
        <w:overflowPunct/>
        <w:topLinePunct w:val="0"/>
        <w:autoSpaceDE/>
        <w:autoSpaceDN/>
        <w:bidi w:val="0"/>
        <w:adjustRightInd/>
        <w:snapToGrid/>
        <w:spacing w:before="126" w:beforeLines="40" w:after="126" w:afterLines="40" w:line="576" w:lineRule="exact"/>
        <w:jc w:val="center"/>
        <w:textAlignment w:val="auto"/>
        <w:rPr>
          <w:rFonts w:eastAsia="楷体_GB2312"/>
          <w:color w:val="auto"/>
        </w:rPr>
      </w:pPr>
      <w:bookmarkStart w:id="15" w:name="_Toc8346"/>
      <w:bookmarkStart w:id="16" w:name="_Toc16124_WPSOffice_Level3"/>
      <w:bookmarkStart w:id="17" w:name="_Toc9267"/>
      <w:bookmarkStart w:id="18" w:name="_Toc2423"/>
      <w:r>
        <w:rPr>
          <w:rFonts w:eastAsia="楷体_GB2312"/>
          <w:color w:val="auto"/>
        </w:rPr>
        <w:t xml:space="preserve">第一节  </w:t>
      </w:r>
      <w:bookmarkEnd w:id="15"/>
      <w:bookmarkEnd w:id="16"/>
      <w:bookmarkEnd w:id="17"/>
      <w:bookmarkEnd w:id="18"/>
      <w:r>
        <w:rPr>
          <w:rFonts w:hint="eastAsia" w:eastAsia="楷体_GB2312"/>
          <w:color w:val="auto"/>
        </w:rPr>
        <w:t>决胜全面建成小康社会取得决定性成就</w:t>
      </w:r>
    </w:p>
    <w:p>
      <w:pPr>
        <w:pStyle w:val="23"/>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cs="Times New Roman"/>
          <w:color w:val="auto"/>
          <w:kern w:val="0"/>
          <w:sz w:val="32"/>
          <w:szCs w:val="32"/>
        </w:rPr>
      </w:pPr>
      <w:r>
        <w:rPr>
          <w:rFonts w:cs="Times New Roman"/>
          <w:color w:val="auto"/>
          <w:kern w:val="0"/>
          <w:sz w:val="32"/>
          <w:szCs w:val="32"/>
        </w:rPr>
        <w:t>“十三五”时期，是攻坚克难、加快发展的五年，是精准扶贫、增进福祉的五年，是多灾多难、复杂曲折的五年。五年来，县委、县政府团结带领全县各族人民，坚持以习近平新时代中国特色社会主义思想和习近平总书记对四川工作系列重要指示精神为指导，认真践行“创新、协调、绿色、开放、共享”新发展理念，全面落实中央、省、州各项决策部署，攻坚克难、锐意进取，全力推进“四地三县两个金川”建设，圆满完成“十三五”规划确定的各项目标任务，经济社会发展取得显著成效。</w:t>
      </w:r>
    </w:p>
    <w:p>
      <w:pPr>
        <w:pStyle w:val="23"/>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cs="Times New Roman"/>
          <w:color w:val="auto"/>
          <w:kern w:val="0"/>
          <w:sz w:val="32"/>
          <w:szCs w:val="32"/>
        </w:rPr>
      </w:pPr>
      <w:r>
        <w:rPr>
          <w:rFonts w:ascii="Times New Roman" w:hAnsi="Times New Roman" w:eastAsia="仿宋_GB2312" w:cs="Times New Roman"/>
          <w:b/>
          <w:bCs/>
          <w:color w:val="auto"/>
          <w:kern w:val="0"/>
          <w:sz w:val="32"/>
          <w:szCs w:val="32"/>
          <w:lang w:val="en-US" w:eastAsia="zh-CN" w:bidi="ar-SA"/>
        </w:rPr>
        <w:t>生态环境显著改善</w:t>
      </w:r>
      <w:r>
        <w:rPr>
          <w:rFonts w:cs="Times New Roman"/>
          <w:color w:val="auto"/>
          <w:kern w:val="0"/>
          <w:sz w:val="32"/>
          <w:szCs w:val="32"/>
        </w:rPr>
        <w:t>。坚持以习近平生态文明思想为指引，紧扣“一增一减”原则，打好污染防治“八大战役”，加快推进大渡河上游生态修复工程，突出问题得到有力整治。生态保护机制基本建立，成功创建四川·金川国家森林公园和措郎沟省级湿地公园，有效管护天然林252万亩，林草综合覆盖率达88%以上，荣膺省级绿色植物保护先进县称号。生态治理能力全面提升，治理“两化三害”</w:t>
      </w:r>
      <w:r>
        <w:rPr>
          <w:rFonts w:hint="eastAsia" w:cs="Times New Roman"/>
          <w:color w:val="auto"/>
          <w:kern w:val="0"/>
          <w:sz w:val="32"/>
          <w:szCs w:val="32"/>
          <w:lang w:val="en-US" w:eastAsia="zh-CN"/>
        </w:rPr>
        <w:t>85.7</w:t>
      </w:r>
      <w:r>
        <w:rPr>
          <w:rFonts w:cs="Times New Roman"/>
          <w:color w:val="auto"/>
          <w:kern w:val="0"/>
          <w:sz w:val="32"/>
          <w:szCs w:val="32"/>
        </w:rPr>
        <w:t>万亩、中小河流8.72公里、水土流失面积84.07平方公里、地质灾害2950平方公里。生态环境质量持续改善，</w:t>
      </w:r>
      <w:bookmarkStart w:id="19" w:name="_Toc19453"/>
      <w:bookmarkStart w:id="20" w:name="_Toc22012"/>
      <w:r>
        <w:rPr>
          <w:rFonts w:cs="Times New Roman"/>
          <w:color w:val="auto"/>
          <w:kern w:val="0"/>
          <w:sz w:val="32"/>
          <w:szCs w:val="32"/>
        </w:rPr>
        <w:t>城镇生活垃圾无害化处理率达90%以上，主要河流出境断面水质常年保持Ⅲ类标准以上，环境空气质量稳居全省前茅、全国前列。</w:t>
      </w:r>
    </w:p>
    <w:p>
      <w:pPr>
        <w:spacing w:line="576" w:lineRule="exact"/>
        <w:ind w:firstLine="641"/>
        <w:rPr>
          <w:rFonts w:cs="Times New Roman"/>
          <w:color w:val="auto"/>
          <w:kern w:val="0"/>
          <w:szCs w:val="32"/>
        </w:rPr>
      </w:pPr>
      <w:r>
        <w:rPr>
          <w:rFonts w:cs="Times New Roman"/>
          <w:b/>
          <w:bCs/>
          <w:color w:val="auto"/>
          <w:kern w:val="0"/>
          <w:szCs w:val="32"/>
        </w:rPr>
        <w:t>经济实力大幅增强。</w:t>
      </w:r>
      <w:r>
        <w:rPr>
          <w:rFonts w:cs="Times New Roman"/>
          <w:color w:val="auto"/>
          <w:kern w:val="0"/>
          <w:szCs w:val="32"/>
        </w:rPr>
        <w:t>坚持“川西北生态经济示范县”总方向不偏移，以“绿色生态基地、清洁能源高地、多元文化福地、旅游度假胜地”建设为抓手，主要经济指标快速增长，县域经济整体呈现出“增效提速、逆势上扬”“高质量发展”的可喜态势。2020年，全县实现地区生产总值</w:t>
      </w:r>
      <w:r>
        <w:rPr>
          <w:rFonts w:hint="eastAsia" w:cs="Times New Roman"/>
          <w:color w:val="auto"/>
          <w:kern w:val="0"/>
          <w:szCs w:val="32"/>
          <w:lang w:val="en-US" w:eastAsia="zh-CN"/>
        </w:rPr>
        <w:t>20.7</w:t>
      </w:r>
      <w:r>
        <w:rPr>
          <w:rFonts w:cs="Times New Roman"/>
          <w:color w:val="auto"/>
          <w:kern w:val="0"/>
          <w:szCs w:val="32"/>
        </w:rPr>
        <w:t>亿元，年均增长</w:t>
      </w:r>
      <w:r>
        <w:rPr>
          <w:rFonts w:hint="eastAsia" w:cs="Times New Roman"/>
          <w:color w:val="auto"/>
          <w:kern w:val="0"/>
          <w:szCs w:val="32"/>
          <w:lang w:val="en-US" w:eastAsia="zh-CN"/>
        </w:rPr>
        <w:t>4.1</w:t>
      </w:r>
      <w:r>
        <w:rPr>
          <w:rFonts w:cs="Times New Roman"/>
          <w:color w:val="auto"/>
          <w:kern w:val="0"/>
          <w:szCs w:val="32"/>
        </w:rPr>
        <w:t>%，较2015年增长</w:t>
      </w:r>
      <w:r>
        <w:rPr>
          <w:rFonts w:hint="eastAsia" w:cs="Times New Roman"/>
          <w:color w:val="auto"/>
          <w:kern w:val="0"/>
          <w:szCs w:val="32"/>
          <w:lang w:val="en-US" w:eastAsia="zh-CN"/>
        </w:rPr>
        <w:t>81.6</w:t>
      </w:r>
      <w:r>
        <w:rPr>
          <w:rFonts w:cs="Times New Roman"/>
          <w:color w:val="auto"/>
          <w:kern w:val="0"/>
          <w:szCs w:val="32"/>
        </w:rPr>
        <w:t>%。人均地区生产总值</w:t>
      </w:r>
      <w:r>
        <w:rPr>
          <w:rFonts w:hint="eastAsia" w:cs="Times New Roman"/>
          <w:color w:val="auto"/>
          <w:kern w:val="0"/>
          <w:szCs w:val="32"/>
          <w:lang w:val="en-US" w:eastAsia="zh-CN"/>
        </w:rPr>
        <w:t>27938</w:t>
      </w:r>
      <w:r>
        <w:rPr>
          <w:rFonts w:cs="Times New Roman"/>
          <w:color w:val="auto"/>
          <w:kern w:val="0"/>
          <w:szCs w:val="32"/>
        </w:rPr>
        <w:t>元，年均增长</w:t>
      </w:r>
      <w:r>
        <w:rPr>
          <w:rFonts w:hint="eastAsia" w:cs="Times New Roman"/>
          <w:color w:val="auto"/>
          <w:kern w:val="0"/>
          <w:szCs w:val="32"/>
          <w:lang w:val="en-US" w:eastAsia="zh-CN"/>
        </w:rPr>
        <w:t>12</w:t>
      </w:r>
      <w:r>
        <w:rPr>
          <w:rFonts w:cs="Times New Roman"/>
          <w:color w:val="auto"/>
          <w:kern w:val="0"/>
          <w:szCs w:val="32"/>
        </w:rPr>
        <w:t>%。地方公共财政预算收入</w:t>
      </w:r>
      <w:r>
        <w:rPr>
          <w:rFonts w:hint="eastAsia" w:cs="Times New Roman"/>
          <w:color w:val="auto"/>
          <w:kern w:val="0"/>
          <w:szCs w:val="32"/>
          <w:lang w:val="en-US" w:eastAsia="zh-CN"/>
        </w:rPr>
        <w:t>10008</w:t>
      </w:r>
      <w:r>
        <w:rPr>
          <w:rFonts w:cs="Times New Roman"/>
          <w:color w:val="auto"/>
          <w:kern w:val="0"/>
          <w:szCs w:val="32"/>
        </w:rPr>
        <w:t>万元，年均增长10.7%。</w:t>
      </w:r>
      <w:r>
        <w:rPr>
          <w:rFonts w:hint="eastAsia" w:cs="Times New Roman"/>
          <w:color w:val="auto"/>
          <w:kern w:val="0"/>
          <w:szCs w:val="32"/>
          <w:lang w:val="en-US" w:eastAsia="zh-CN"/>
        </w:rPr>
        <w:t>全部</w:t>
      </w:r>
      <w:r>
        <w:rPr>
          <w:rFonts w:cs="Times New Roman"/>
          <w:color w:val="auto"/>
          <w:kern w:val="0"/>
          <w:szCs w:val="32"/>
        </w:rPr>
        <w:t>工业增加值达</w:t>
      </w:r>
      <w:r>
        <w:rPr>
          <w:rFonts w:hint="eastAsia" w:cs="Times New Roman"/>
          <w:color w:val="auto"/>
          <w:kern w:val="0"/>
          <w:szCs w:val="32"/>
          <w:lang w:val="en-US" w:eastAsia="zh-CN"/>
        </w:rPr>
        <w:t>7997</w:t>
      </w:r>
      <w:r>
        <w:rPr>
          <w:rFonts w:hint="eastAsia" w:cs="Times New Roman"/>
          <w:color w:val="auto"/>
          <w:kern w:val="0"/>
          <w:szCs w:val="32"/>
        </w:rPr>
        <w:t>万</w:t>
      </w:r>
      <w:r>
        <w:rPr>
          <w:rFonts w:cs="Times New Roman"/>
          <w:color w:val="auto"/>
          <w:kern w:val="0"/>
          <w:szCs w:val="32"/>
        </w:rPr>
        <w:t>元。投资消费双轮驱动效应显著，累计完成全社会固定资产投资151亿元，社会消费品零售总额年均增长</w:t>
      </w:r>
      <w:r>
        <w:rPr>
          <w:rFonts w:hint="eastAsia" w:cs="Times New Roman"/>
          <w:color w:val="auto"/>
          <w:spacing w:val="-6"/>
          <w:kern w:val="0"/>
          <w:szCs w:val="32"/>
          <w:lang w:val="en-US" w:eastAsia="zh-CN"/>
        </w:rPr>
        <w:t>9.9</w:t>
      </w:r>
      <w:r>
        <w:rPr>
          <w:rFonts w:cs="Times New Roman"/>
          <w:color w:val="auto"/>
          <w:spacing w:val="-6"/>
          <w:kern w:val="0"/>
          <w:szCs w:val="32"/>
        </w:rPr>
        <w:t>%。</w:t>
      </w:r>
    </w:p>
    <w:tbl>
      <w:tblPr>
        <w:tblStyle w:val="27"/>
        <w:tblW w:w="8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6" w:type="dxa"/>
            <w:vAlign w:val="top"/>
          </w:tcPr>
          <w:p>
            <w:pPr>
              <w:spacing w:line="240" w:lineRule="auto"/>
              <w:ind w:firstLine="0"/>
              <w:jc w:val="center"/>
              <w:rPr>
                <w:rFonts w:hint="eastAsia" w:eastAsia="仿宋_GB2312" w:cs="Times New Roman"/>
                <w:b/>
                <w:bCs/>
                <w:color w:val="auto"/>
                <w:kern w:val="0"/>
                <w:szCs w:val="32"/>
                <w:vertAlign w:val="baseline"/>
                <w:lang w:eastAsia="zh-CN"/>
              </w:rPr>
            </w:pPr>
            <w:r>
              <w:rPr>
                <w:color w:val="auto"/>
              </w:rPr>
              <w:drawing>
                <wp:inline distT="0" distB="0" distL="114300" distR="114300">
                  <wp:extent cx="5386705" cy="2747645"/>
                  <wp:effectExtent l="0" t="0" r="1079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rcRect b="4418"/>
                          <a:stretch>
                            <a:fillRect/>
                          </a:stretch>
                        </pic:blipFill>
                        <pic:spPr>
                          <a:xfrm>
                            <a:off x="0" y="0"/>
                            <a:ext cx="5386705" cy="27476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716"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图1  2015—2020年金川县地区生产总值与财政预算收入增长情况</w:t>
            </w:r>
          </w:p>
        </w:tc>
      </w:tr>
    </w:tbl>
    <w:p>
      <w:pPr>
        <w:keepNext w:val="0"/>
        <w:keepLines w:val="0"/>
        <w:pageBreakBefore w:val="0"/>
        <w:widowControl w:val="0"/>
        <w:kinsoku/>
        <w:wordWrap/>
        <w:overflowPunct/>
        <w:topLinePunct w:val="0"/>
        <w:autoSpaceDE/>
        <w:autoSpaceDN/>
        <w:bidi w:val="0"/>
        <w:adjustRightInd/>
        <w:snapToGrid/>
        <w:spacing w:line="576" w:lineRule="exact"/>
        <w:ind w:firstLine="641"/>
        <w:textAlignment w:val="auto"/>
        <w:rPr>
          <w:rFonts w:eastAsia="仿宋" w:cs="Times New Roman"/>
          <w:color w:val="auto"/>
          <w:kern w:val="0"/>
          <w:szCs w:val="32"/>
        </w:rPr>
      </w:pPr>
      <w:r>
        <w:rPr>
          <w:rFonts w:hint="eastAsia" w:ascii="Times New Roman" w:hAnsi="Times New Roman" w:eastAsia="仿宋_GB2312" w:cs="Times New Roman"/>
          <w:b/>
          <w:bCs/>
          <w:color w:val="auto"/>
          <w:kern w:val="0"/>
          <w:sz w:val="32"/>
          <w:szCs w:val="32"/>
          <w:lang w:val="en-US" w:eastAsia="zh-CN" w:bidi="ar-SA"/>
        </w:rPr>
        <w:t>产业发展亮点纷呈</w:t>
      </w:r>
      <w:r>
        <w:rPr>
          <w:rFonts w:hint="eastAsia"/>
          <w:color w:val="auto"/>
          <w:lang w:val="en-US" w:eastAsia="zh-CN"/>
        </w:rPr>
        <w:t>。</w:t>
      </w:r>
      <w:r>
        <w:rPr>
          <w:rFonts w:eastAsia="仿宋" w:cs="Times New Roman"/>
          <w:color w:val="auto"/>
          <w:kern w:val="0"/>
          <w:szCs w:val="32"/>
        </w:rPr>
        <w:t>三次产业结构从2015年的23：3</w:t>
      </w:r>
      <w:r>
        <w:rPr>
          <w:rFonts w:hint="eastAsia" w:eastAsia="仿宋" w:cs="Times New Roman"/>
          <w:color w:val="auto"/>
          <w:kern w:val="0"/>
          <w:szCs w:val="32"/>
          <w:lang w:val="en-US" w:eastAsia="zh-CN"/>
        </w:rPr>
        <w:t>7</w:t>
      </w:r>
      <w:r>
        <w:rPr>
          <w:rFonts w:eastAsia="仿宋" w:cs="Times New Roman"/>
          <w:color w:val="auto"/>
          <w:kern w:val="0"/>
          <w:szCs w:val="32"/>
        </w:rPr>
        <w:t>：40调整为</w:t>
      </w:r>
      <w:r>
        <w:rPr>
          <w:rFonts w:hint="eastAsia" w:eastAsia="仿宋" w:cs="Times New Roman"/>
          <w:color w:val="auto"/>
          <w:kern w:val="0"/>
          <w:szCs w:val="32"/>
        </w:rPr>
        <w:t>2020</w:t>
      </w:r>
      <w:r>
        <w:rPr>
          <w:rFonts w:eastAsia="仿宋" w:cs="Times New Roman"/>
          <w:color w:val="auto"/>
          <w:kern w:val="0"/>
          <w:szCs w:val="32"/>
        </w:rPr>
        <w:t>年的</w:t>
      </w:r>
      <w:r>
        <w:rPr>
          <w:rFonts w:hint="eastAsia" w:eastAsia="仿宋" w:cs="Times New Roman"/>
          <w:color w:val="auto"/>
          <w:kern w:val="0"/>
          <w:szCs w:val="32"/>
        </w:rPr>
        <w:t>2</w:t>
      </w:r>
      <w:r>
        <w:rPr>
          <w:rFonts w:hint="eastAsia" w:eastAsia="仿宋" w:cs="Times New Roman"/>
          <w:color w:val="auto"/>
          <w:kern w:val="0"/>
          <w:szCs w:val="32"/>
          <w:lang w:val="en-US" w:eastAsia="zh-CN"/>
        </w:rPr>
        <w:t>1</w:t>
      </w:r>
      <w:r>
        <w:rPr>
          <w:rFonts w:eastAsia="仿宋" w:cs="Times New Roman"/>
          <w:color w:val="auto"/>
          <w:kern w:val="0"/>
          <w:szCs w:val="32"/>
        </w:rPr>
        <w:t>：</w:t>
      </w:r>
      <w:r>
        <w:rPr>
          <w:rFonts w:hint="eastAsia" w:eastAsia="仿宋" w:cs="Times New Roman"/>
          <w:color w:val="auto"/>
          <w:kern w:val="0"/>
          <w:szCs w:val="32"/>
        </w:rPr>
        <w:t>7</w:t>
      </w:r>
      <w:r>
        <w:rPr>
          <w:rFonts w:eastAsia="仿宋" w:cs="Times New Roman"/>
          <w:color w:val="auto"/>
          <w:kern w:val="0"/>
          <w:szCs w:val="32"/>
        </w:rPr>
        <w:t>：</w:t>
      </w:r>
      <w:r>
        <w:rPr>
          <w:rFonts w:hint="eastAsia" w:eastAsia="仿宋" w:cs="Times New Roman"/>
          <w:color w:val="auto"/>
          <w:kern w:val="0"/>
          <w:szCs w:val="32"/>
          <w:lang w:val="en-US" w:eastAsia="zh-CN"/>
        </w:rPr>
        <w:t>72</w:t>
      </w:r>
      <w:r>
        <w:rPr>
          <w:rFonts w:hint="eastAsia" w:eastAsia="仿宋" w:cs="Times New Roman"/>
          <w:color w:val="auto"/>
          <w:kern w:val="0"/>
          <w:szCs w:val="32"/>
        </w:rPr>
        <w:t>，第三产业增加值比重提高3</w:t>
      </w:r>
      <w:r>
        <w:rPr>
          <w:rFonts w:hint="eastAsia" w:eastAsia="仿宋" w:cs="Times New Roman"/>
          <w:color w:val="auto"/>
          <w:kern w:val="0"/>
          <w:szCs w:val="32"/>
          <w:lang w:val="en-US" w:eastAsia="zh-CN"/>
        </w:rPr>
        <w:t>2</w:t>
      </w:r>
      <w:r>
        <w:rPr>
          <w:rFonts w:hint="eastAsia" w:eastAsia="仿宋" w:cs="Times New Roman"/>
          <w:color w:val="auto"/>
          <w:kern w:val="0"/>
          <w:szCs w:val="32"/>
        </w:rPr>
        <w:t>个百分点。</w:t>
      </w:r>
      <w:r>
        <w:rPr>
          <w:rFonts w:eastAsia="仿宋" w:cs="Times New Roman"/>
          <w:color w:val="auto"/>
          <w:kern w:val="0"/>
          <w:szCs w:val="32"/>
        </w:rPr>
        <w:t>生态</w:t>
      </w:r>
      <w:r>
        <w:rPr>
          <w:rFonts w:hint="eastAsia" w:eastAsia="仿宋" w:cs="Times New Roman"/>
          <w:color w:val="auto"/>
          <w:kern w:val="0"/>
          <w:szCs w:val="32"/>
          <w:lang w:val="en-US" w:eastAsia="zh-CN"/>
        </w:rPr>
        <w:t>农牧业</w:t>
      </w:r>
      <w:r>
        <w:rPr>
          <w:rFonts w:eastAsia="仿宋" w:cs="Times New Roman"/>
          <w:color w:val="auto"/>
          <w:kern w:val="0"/>
          <w:szCs w:val="32"/>
        </w:rPr>
        <w:t>提质增效，建成金川雪梨基地4万亩，特色小</w:t>
      </w:r>
      <w:r>
        <w:rPr>
          <w:rFonts w:cs="Times New Roman"/>
          <w:color w:val="auto"/>
          <w:kern w:val="0"/>
          <w:szCs w:val="32"/>
        </w:rPr>
        <w:t>水果</w:t>
      </w:r>
      <w:r>
        <w:rPr>
          <w:rFonts w:eastAsia="仿宋" w:cs="Times New Roman"/>
          <w:color w:val="auto"/>
          <w:kern w:val="0"/>
          <w:szCs w:val="32"/>
        </w:rPr>
        <w:t>、花椒、中药材等特色产业基地</w:t>
      </w:r>
      <w:r>
        <w:rPr>
          <w:rFonts w:hint="eastAsia" w:eastAsia="仿宋" w:cs="Times New Roman"/>
          <w:color w:val="auto"/>
          <w:kern w:val="0"/>
          <w:szCs w:val="32"/>
          <w:lang w:val="en-US" w:eastAsia="zh-CN"/>
        </w:rPr>
        <w:t>10.8</w:t>
      </w:r>
      <w:r>
        <w:rPr>
          <w:rFonts w:eastAsia="仿宋" w:cs="Times New Roman"/>
          <w:color w:val="auto"/>
          <w:kern w:val="0"/>
          <w:szCs w:val="32"/>
        </w:rPr>
        <w:t>万亩。清洁工业提能增产，平稳运行工业企业3</w:t>
      </w:r>
      <w:r>
        <w:rPr>
          <w:rFonts w:hint="eastAsia" w:eastAsia="仿宋" w:cs="Times New Roman"/>
          <w:color w:val="auto"/>
          <w:kern w:val="0"/>
          <w:szCs w:val="32"/>
          <w:lang w:val="en-US" w:eastAsia="zh-CN"/>
        </w:rPr>
        <w:t>2</w:t>
      </w:r>
      <w:r>
        <w:rPr>
          <w:rFonts w:eastAsia="仿宋" w:cs="Times New Roman"/>
          <w:color w:val="auto"/>
          <w:kern w:val="0"/>
          <w:szCs w:val="32"/>
        </w:rPr>
        <w:t>户，规模以上企业3户</w:t>
      </w:r>
      <w:r>
        <w:rPr>
          <w:rFonts w:hint="eastAsia" w:eastAsia="仿宋" w:cs="Times New Roman"/>
          <w:color w:val="auto"/>
          <w:kern w:val="0"/>
          <w:szCs w:val="32"/>
        </w:rPr>
        <w:t>，</w:t>
      </w:r>
      <w:r>
        <w:rPr>
          <w:rFonts w:eastAsia="仿宋" w:cs="Times New Roman"/>
          <w:color w:val="auto"/>
          <w:kern w:val="0"/>
          <w:szCs w:val="32"/>
        </w:rPr>
        <w:t>金川电站、绰斯甲电站核准开工，双江口电站、红卫桥、俄日河电站建设有序推进，新增光伏电站装机3.1万千瓦</w:t>
      </w:r>
      <w:r>
        <w:rPr>
          <w:rFonts w:hint="eastAsia" w:eastAsia="仿宋" w:cs="Times New Roman"/>
          <w:color w:val="auto"/>
          <w:kern w:val="0"/>
          <w:szCs w:val="32"/>
        </w:rPr>
        <w:t>，</w:t>
      </w:r>
      <w:r>
        <w:rPr>
          <w:rFonts w:eastAsia="仿宋" w:cs="Times New Roman"/>
          <w:color w:val="auto"/>
          <w:kern w:val="0"/>
          <w:szCs w:val="32"/>
        </w:rPr>
        <w:t>业隆沟40.5万吨/年锂辉石采选项目投产运行，李家沟105万吨/年锂辉石采选项目稳步推进。文旅产业取得新突破，成功创建世外梨园4A级景区</w:t>
      </w:r>
      <w:r>
        <w:rPr>
          <w:rFonts w:hint="eastAsia" w:eastAsia="仿宋" w:cs="Times New Roman"/>
          <w:color w:val="auto"/>
          <w:kern w:val="0"/>
          <w:szCs w:val="32"/>
        </w:rPr>
        <w:t>，建成精品旅游村寨6个，</w:t>
      </w:r>
      <w:r>
        <w:rPr>
          <w:rFonts w:eastAsia="仿宋" w:cs="Times New Roman"/>
          <w:color w:val="auto"/>
          <w:kern w:val="0"/>
          <w:szCs w:val="32"/>
        </w:rPr>
        <w:t>梨花红叶金字招牌越擦越亮，</w:t>
      </w:r>
      <w:r>
        <w:rPr>
          <w:rFonts w:hint="eastAsia" w:eastAsia="仿宋" w:cs="Times New Roman"/>
          <w:color w:val="auto"/>
          <w:kern w:val="0"/>
          <w:szCs w:val="32"/>
        </w:rPr>
        <w:t>“</w:t>
      </w:r>
      <w:r>
        <w:rPr>
          <w:rFonts w:eastAsia="仿宋" w:cs="Times New Roman"/>
          <w:color w:val="auto"/>
          <w:kern w:val="0"/>
          <w:szCs w:val="32"/>
        </w:rPr>
        <w:t>两州五县</w:t>
      </w:r>
      <w:r>
        <w:rPr>
          <w:rFonts w:hint="eastAsia" w:eastAsia="仿宋" w:cs="Times New Roman"/>
          <w:color w:val="auto"/>
          <w:kern w:val="0"/>
          <w:szCs w:val="32"/>
        </w:rPr>
        <w:t>”共建</w:t>
      </w:r>
      <w:r>
        <w:rPr>
          <w:rFonts w:eastAsia="仿宋" w:cs="Times New Roman"/>
          <w:color w:val="auto"/>
          <w:kern w:val="0"/>
          <w:szCs w:val="32"/>
        </w:rPr>
        <w:t>大东女阳光旅游度假区达成区域联盟共识，接待游客年均增长14.</w:t>
      </w:r>
      <w:r>
        <w:rPr>
          <w:rFonts w:hint="eastAsia" w:eastAsia="仿宋" w:cs="Times New Roman"/>
          <w:color w:val="auto"/>
          <w:kern w:val="0"/>
          <w:szCs w:val="32"/>
          <w:lang w:val="en-US" w:eastAsia="zh-CN"/>
        </w:rPr>
        <w:t>4</w:t>
      </w:r>
      <w:r>
        <w:rPr>
          <w:rFonts w:eastAsia="仿宋" w:cs="Times New Roman"/>
          <w:color w:val="auto"/>
          <w:kern w:val="0"/>
          <w:szCs w:val="32"/>
        </w:rPr>
        <w:t>%，旅游总收入年均增长13.</w:t>
      </w:r>
      <w:r>
        <w:rPr>
          <w:rFonts w:hint="eastAsia" w:eastAsia="仿宋" w:cs="Times New Roman"/>
          <w:color w:val="auto"/>
          <w:kern w:val="0"/>
          <w:szCs w:val="32"/>
          <w:lang w:val="en-US" w:eastAsia="zh-CN"/>
        </w:rPr>
        <w:t>1</w:t>
      </w:r>
      <w:r>
        <w:rPr>
          <w:rFonts w:eastAsia="仿宋" w:cs="Times New Roman"/>
          <w:color w:val="auto"/>
          <w:kern w:val="0"/>
          <w:szCs w:val="32"/>
        </w:rPr>
        <w:t>%。</w:t>
      </w:r>
    </w:p>
    <w:bookmarkEnd w:id="19"/>
    <w:bookmarkEnd w:id="20"/>
    <w:tbl>
      <w:tblPr>
        <w:tblStyle w:val="27"/>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6" w:type="dxa"/>
            <w:vAlign w:val="top"/>
          </w:tcPr>
          <w:p>
            <w:pPr>
              <w:spacing w:line="240" w:lineRule="auto"/>
              <w:ind w:firstLine="0"/>
              <w:jc w:val="center"/>
              <w:rPr>
                <w:rFonts w:cs="Times New Roman"/>
                <w:b/>
                <w:bCs/>
                <w:color w:val="auto"/>
                <w:kern w:val="0"/>
                <w:szCs w:val="32"/>
                <w:vertAlign w:val="baseline"/>
              </w:rPr>
            </w:pPr>
            <w:bookmarkStart w:id="21" w:name="_Toc6492"/>
            <w:r>
              <w:rPr>
                <w:color w:val="auto"/>
              </w:rPr>
              <w:drawing>
                <wp:inline distT="0" distB="0" distL="114300" distR="114300">
                  <wp:extent cx="5376545" cy="2764790"/>
                  <wp:effectExtent l="0" t="0" r="825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376545" cy="27647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696"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图2  2015—2020年金川县旅游总收入及人次变化</w:t>
            </w:r>
          </w:p>
        </w:tc>
      </w:tr>
    </w:tbl>
    <w:p>
      <w:pPr>
        <w:spacing w:line="576" w:lineRule="exact"/>
        <w:ind w:firstLine="641"/>
        <w:rPr>
          <w:rFonts w:cs="Times New Roman"/>
          <w:color w:val="auto"/>
          <w:kern w:val="0"/>
          <w:szCs w:val="32"/>
        </w:rPr>
      </w:pPr>
      <w:r>
        <w:rPr>
          <w:rFonts w:cs="Times New Roman"/>
          <w:b/>
          <w:bCs/>
          <w:color w:val="auto"/>
          <w:kern w:val="0"/>
          <w:szCs w:val="32"/>
        </w:rPr>
        <w:t>脱贫攻坚圆满收官</w:t>
      </w:r>
      <w:bookmarkEnd w:id="21"/>
      <w:r>
        <w:rPr>
          <w:rFonts w:cs="Times New Roman"/>
          <w:b/>
          <w:bCs/>
          <w:color w:val="auto"/>
          <w:kern w:val="0"/>
          <w:szCs w:val="32"/>
        </w:rPr>
        <w:t>。</w:t>
      </w:r>
      <w:r>
        <w:rPr>
          <w:rFonts w:cs="Times New Roman"/>
          <w:color w:val="auto"/>
          <w:kern w:val="0"/>
          <w:szCs w:val="32"/>
        </w:rPr>
        <w:t>坚持把脱贫攻坚作为最大的政治任务、民生工程、发展机遇，聚焦“两不愁、三保障”目标要求，顺利实现52个贫困村全数退出、累计实现2529户9429人全部脱贫，彻底摘掉绝对贫困的历史标签。扶贫资金项目精准落地，累计投入扶贫资金</w:t>
      </w:r>
      <w:r>
        <w:rPr>
          <w:rFonts w:hint="eastAsia" w:cs="Times New Roman"/>
          <w:color w:val="auto"/>
          <w:kern w:val="0"/>
          <w:szCs w:val="32"/>
          <w:lang w:val="en-US" w:eastAsia="zh-CN"/>
        </w:rPr>
        <w:t>19.14</w:t>
      </w:r>
      <w:r>
        <w:rPr>
          <w:rFonts w:cs="Times New Roman"/>
          <w:color w:val="auto"/>
          <w:kern w:val="0"/>
          <w:szCs w:val="32"/>
        </w:rPr>
        <w:t>亿元、实施项目</w:t>
      </w:r>
      <w:r>
        <w:rPr>
          <w:rFonts w:hint="eastAsia" w:cs="Times New Roman"/>
          <w:color w:val="auto"/>
          <w:kern w:val="0"/>
          <w:szCs w:val="32"/>
          <w:lang w:val="en-US" w:eastAsia="zh-CN"/>
        </w:rPr>
        <w:t>1500</w:t>
      </w:r>
      <w:r>
        <w:rPr>
          <w:rFonts w:cs="Times New Roman"/>
          <w:color w:val="auto"/>
          <w:kern w:val="0"/>
          <w:szCs w:val="32"/>
        </w:rPr>
        <w:t>余个，县摘帽“1低3有”、村退出“1低5有”、户销号“1超6有”全部达标。致贫返贫防线更加稳固，生态扶贫、产业扶贫、就业扶贫、兜底</w:t>
      </w:r>
      <w:r>
        <w:rPr>
          <w:rFonts w:hint="eastAsia" w:cs="Times New Roman"/>
          <w:color w:val="auto"/>
          <w:kern w:val="0"/>
          <w:szCs w:val="32"/>
        </w:rPr>
        <w:t>保障</w:t>
      </w:r>
      <w:r>
        <w:rPr>
          <w:rFonts w:cs="Times New Roman"/>
          <w:color w:val="auto"/>
          <w:kern w:val="0"/>
          <w:szCs w:val="32"/>
        </w:rPr>
        <w:t>等巩固提升工程扎实推进，“一类一策”“一户一策”“一事一策”帮扶机制全面落实，“扶贫车间+托管”模式群众认可度达到99.08%。成功申创全国社会扶贫创新协作试点县，返还扶贫、股权量化、“飞地”扶贫、“扶贫车间+托管”等典型经验获得省州领导肯定。</w:t>
      </w:r>
    </w:p>
    <w:p>
      <w:pPr>
        <w:spacing w:line="576" w:lineRule="exact"/>
        <w:ind w:firstLine="641"/>
        <w:rPr>
          <w:rFonts w:cs="Times New Roman"/>
          <w:color w:val="auto"/>
          <w:kern w:val="0"/>
          <w:szCs w:val="32"/>
        </w:rPr>
      </w:pPr>
      <w:r>
        <w:rPr>
          <w:rFonts w:cs="Times New Roman"/>
          <w:b/>
          <w:bCs/>
          <w:color w:val="auto"/>
          <w:kern w:val="0"/>
          <w:szCs w:val="32"/>
        </w:rPr>
        <w:t>民生福祉均衡普惠。</w:t>
      </w:r>
      <w:r>
        <w:rPr>
          <w:rFonts w:cs="Times New Roman"/>
          <w:color w:val="auto"/>
          <w:kern w:val="0"/>
          <w:szCs w:val="32"/>
        </w:rPr>
        <w:t>坚持把民生事业作为打赢脱贫攻坚战的关键支撑，切实把使命记在心上、责任扛在肩上、工作拽在手上，矢志不渝改善民生，社会事业蓬勃发展。群众收入稳步增长，城镇居民人均可支配收入</w:t>
      </w:r>
      <w:r>
        <w:rPr>
          <w:rFonts w:hint="eastAsia" w:cs="Times New Roman"/>
          <w:color w:val="auto"/>
          <w:kern w:val="0"/>
          <w:szCs w:val="32"/>
          <w:lang w:val="en-US" w:eastAsia="zh-CN"/>
        </w:rPr>
        <w:t>36520</w:t>
      </w:r>
      <w:r>
        <w:rPr>
          <w:rFonts w:cs="Times New Roman"/>
          <w:color w:val="auto"/>
          <w:kern w:val="0"/>
          <w:szCs w:val="32"/>
        </w:rPr>
        <w:t>元，年均增长</w:t>
      </w:r>
      <w:r>
        <w:rPr>
          <w:rFonts w:hint="eastAsia" w:cs="Times New Roman"/>
          <w:color w:val="auto"/>
          <w:kern w:val="0"/>
          <w:szCs w:val="32"/>
          <w:lang w:val="en-US" w:eastAsia="zh-CN"/>
        </w:rPr>
        <w:t>7.4</w:t>
      </w:r>
      <w:r>
        <w:rPr>
          <w:rFonts w:cs="Times New Roman"/>
          <w:color w:val="auto"/>
          <w:kern w:val="0"/>
          <w:szCs w:val="32"/>
        </w:rPr>
        <w:t>%；农村居民人均可支配收入</w:t>
      </w:r>
      <w:r>
        <w:rPr>
          <w:rFonts w:hint="eastAsia" w:cs="Times New Roman"/>
          <w:color w:val="auto"/>
          <w:kern w:val="0"/>
          <w:szCs w:val="32"/>
          <w:lang w:val="en-US" w:eastAsia="zh-CN"/>
        </w:rPr>
        <w:t>15513</w:t>
      </w:r>
      <w:r>
        <w:rPr>
          <w:rFonts w:cs="Times New Roman"/>
          <w:color w:val="auto"/>
          <w:kern w:val="0"/>
          <w:szCs w:val="32"/>
        </w:rPr>
        <w:t>元，年均增长10.</w:t>
      </w:r>
      <w:r>
        <w:rPr>
          <w:rFonts w:hint="eastAsia" w:cs="Times New Roman"/>
          <w:color w:val="auto"/>
          <w:kern w:val="0"/>
          <w:szCs w:val="32"/>
          <w:lang w:val="en-US" w:eastAsia="zh-CN"/>
        </w:rPr>
        <w:t>0</w:t>
      </w:r>
      <w:r>
        <w:rPr>
          <w:rFonts w:cs="Times New Roman"/>
          <w:color w:val="auto"/>
          <w:kern w:val="0"/>
          <w:szCs w:val="32"/>
        </w:rPr>
        <w:t>%。社保体系更加完善、公平、可持续，城乡居民养老保险参保率达90%，城乡医疗保险参保率达99%，城乡低保实现应保尽保。就业创业质量显著提升，累计新增城镇就业4130人，转移农村富余劳动力7.91万人次，城镇登记失业率控制在3.8%以内，高校毕业生就业率年均超过97%。教育教学质量大幅提升，民族地区15年免费教育和“9+3”免费教育扩面提质，“义务教育发展基本均衡县”通过国家验收，金川高级中学建成开班。健康金川建设全面推进，现代化</w:t>
      </w:r>
      <w:r>
        <w:rPr>
          <w:rFonts w:hint="eastAsia" w:cs="Times New Roman"/>
          <w:color w:val="auto"/>
          <w:kern w:val="0"/>
          <w:szCs w:val="32"/>
          <w:lang w:val="en-US" w:eastAsia="zh-CN"/>
        </w:rPr>
        <w:t>新城区</w:t>
      </w:r>
      <w:r>
        <w:rPr>
          <w:rFonts w:cs="Times New Roman"/>
          <w:color w:val="auto"/>
          <w:kern w:val="0"/>
          <w:szCs w:val="32"/>
        </w:rPr>
        <w:t>医院建成投用，县域内就诊率提高至71%，药品实行零差率销售，珍珠球比赛项目在全省民运会上喜获冠军，成功创建省级卫生县城。文化事业蓬勃发展，“孝善和俭”美德活动落地开花，弘扬“孝善和俭”的有益经验被广泛借鉴学习，成功创建全国新时代文明实践中心试点县。</w:t>
      </w:r>
    </w:p>
    <w:tbl>
      <w:tblPr>
        <w:tblStyle w:val="27"/>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6" w:type="dxa"/>
            <w:vAlign w:val="top"/>
          </w:tcPr>
          <w:p>
            <w:pPr>
              <w:spacing w:line="240" w:lineRule="auto"/>
              <w:ind w:firstLine="0"/>
              <w:jc w:val="center"/>
              <w:rPr>
                <w:rFonts w:hint="eastAsia" w:eastAsia="仿宋_GB2312" w:cs="Times New Roman"/>
                <w:b/>
                <w:bCs/>
                <w:color w:val="auto"/>
                <w:kern w:val="0"/>
                <w:szCs w:val="32"/>
                <w:vertAlign w:val="baseline"/>
                <w:lang w:eastAsia="zh-CN"/>
              </w:rPr>
            </w:pPr>
            <w:r>
              <w:rPr>
                <w:color w:val="auto"/>
              </w:rPr>
              <w:drawing>
                <wp:inline distT="0" distB="0" distL="114300" distR="114300">
                  <wp:extent cx="5454650" cy="2717800"/>
                  <wp:effectExtent l="0" t="0" r="635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454650" cy="27178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816" w:type="dxa"/>
            <w:vAlign w:val="center"/>
          </w:tcPr>
          <w:p>
            <w:pPr>
              <w:spacing w:line="240" w:lineRule="auto"/>
              <w:jc w:val="center"/>
              <w:rPr>
                <w:rFonts w:hint="eastAsia"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图3  2015—2020年金川县城乡居民可支配收入变动情况</w:t>
            </w:r>
          </w:p>
        </w:tc>
      </w:tr>
    </w:tbl>
    <w:p>
      <w:pPr>
        <w:spacing w:line="576" w:lineRule="exact"/>
        <w:ind w:firstLine="641"/>
        <w:rPr>
          <w:rFonts w:cs="Times New Roman"/>
          <w:color w:val="auto"/>
          <w:kern w:val="0"/>
          <w:szCs w:val="32"/>
        </w:rPr>
      </w:pPr>
      <w:r>
        <w:rPr>
          <w:rFonts w:cs="Times New Roman"/>
          <w:b/>
          <w:bCs/>
          <w:color w:val="auto"/>
          <w:kern w:val="0"/>
          <w:szCs w:val="32"/>
        </w:rPr>
        <w:t>城乡面貌形神俱美。</w:t>
      </w:r>
      <w:r>
        <w:rPr>
          <w:rFonts w:cs="Times New Roman"/>
          <w:color w:val="auto"/>
          <w:kern w:val="0"/>
          <w:szCs w:val="32"/>
        </w:rPr>
        <w:t>紧紧围绕“乡村振兴、融合互动”战略，全力推动城乡互补、全面融合、共同繁荣，城乡“颜值”持续刷新。城镇建设力度持续加大，旧城基础设施提升改造全面完成，金川中学、县人民医院、生态环境局、市政公用服务中心、中藏医院等顺利搬迁提升，观音桥、安宁、马奈集镇功能不断完善、辐射作用明显增强，常住人口城镇化率提高至40%。乡村振兴“一十百千万”工程纵深推进，建成幸福美丽新村19个。城乡基础设施全面升级，公路总里程比“十二五”末净增380公里，自来水普及率达到87%，农田灌面提质扩面，电网设施不断</w:t>
      </w:r>
      <w:r>
        <w:rPr>
          <w:rFonts w:hint="eastAsia" w:cs="Times New Roman"/>
          <w:color w:val="auto"/>
          <w:kern w:val="0"/>
          <w:szCs w:val="32"/>
        </w:rPr>
        <w:t>密织</w:t>
      </w:r>
      <w:r>
        <w:rPr>
          <w:rFonts w:cs="Times New Roman"/>
          <w:color w:val="auto"/>
          <w:kern w:val="0"/>
          <w:szCs w:val="32"/>
        </w:rPr>
        <w:t>，行政村光纤通达率和4G网络覆盖率达100%。</w:t>
      </w:r>
    </w:p>
    <w:p>
      <w:pPr>
        <w:spacing w:line="576" w:lineRule="exact"/>
        <w:ind w:firstLine="641"/>
        <w:rPr>
          <w:rFonts w:cs="Times New Roman"/>
          <w:color w:val="auto"/>
          <w:kern w:val="0"/>
          <w:szCs w:val="32"/>
        </w:rPr>
      </w:pPr>
      <w:r>
        <w:rPr>
          <w:rFonts w:cs="Times New Roman"/>
          <w:b/>
          <w:bCs/>
          <w:color w:val="auto"/>
          <w:kern w:val="0"/>
          <w:szCs w:val="32"/>
        </w:rPr>
        <w:t>社会大局和谐稳定。</w:t>
      </w:r>
      <w:r>
        <w:rPr>
          <w:rFonts w:cs="Times New Roman"/>
          <w:color w:val="auto"/>
          <w:kern w:val="0"/>
          <w:szCs w:val="32"/>
        </w:rPr>
        <w:t>坚持“人民至上、生命至上”理念，有效应对曾达“6·27”特大山洪泥石流、勒乌咯尔卡撒等地质灾害、新冠肺炎疫情等多重风险考验，</w:t>
      </w:r>
      <w:r>
        <w:rPr>
          <w:rFonts w:hint="eastAsia" w:cs="Times New Roman"/>
          <w:color w:val="auto"/>
          <w:kern w:val="0"/>
          <w:szCs w:val="32"/>
        </w:rPr>
        <w:t>连续33年实现无重特大森林草原火灾，</w:t>
      </w:r>
      <w:r>
        <w:rPr>
          <w:rFonts w:cs="Times New Roman"/>
          <w:color w:val="auto"/>
          <w:kern w:val="0"/>
          <w:szCs w:val="32"/>
        </w:rPr>
        <w:t>防灾减灾抗灾救灾体系日趋完善。中华民族共同体意识入心见行，入选民族团结进步示范单位省级2个、州级31个，创建省州级文明和谐寺庙27座，被评为全省民族团结进步示范县。藏区党建引领基层治理效能大提升，莫莫扎村荣获全国乡村治理示范村。全面依法治县取得重大进展，获全州“法律七进”先进县称号，荣膺全省“七五”普法先进县。“平安金川”建设成效明显，“扫黑除恶”和“清障拔钉”强力推进，“天网”“雪亮”工程覆盖面不断拓宽。安全生产形势总体平稳，连续五年事故起数、死亡</w:t>
      </w:r>
      <w:r>
        <w:rPr>
          <w:rFonts w:cs="Times New Roman"/>
          <w:color w:val="auto"/>
          <w:spacing w:val="-6"/>
          <w:kern w:val="0"/>
          <w:szCs w:val="32"/>
        </w:rPr>
        <w:t>人员、经济损失实现“三下降”，有力维护了人民群众生命财产安全。</w:t>
      </w:r>
    </w:p>
    <w:tbl>
      <w:tblPr>
        <w:tblStyle w:val="26"/>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230"/>
        <w:gridCol w:w="880"/>
        <w:gridCol w:w="1130"/>
        <w:gridCol w:w="906"/>
        <w:gridCol w:w="1089"/>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tblHeader/>
          <w:jc w:val="center"/>
        </w:trPr>
        <w:tc>
          <w:tcPr>
            <w:tcW w:w="8738" w:type="dxa"/>
            <w:gridSpan w:val="7"/>
            <w:vAlign w:val="center"/>
          </w:tcPr>
          <w:p>
            <w:pPr>
              <w:widowControl/>
              <w:spacing w:line="240" w:lineRule="auto"/>
              <w:jc w:val="center"/>
              <w:rPr>
                <w:rFonts w:cs="Times New Roman"/>
                <w:color w:val="auto"/>
                <w:kern w:val="0"/>
                <w:sz w:val="21"/>
                <w:szCs w:val="21"/>
              </w:rPr>
            </w:pPr>
            <w:r>
              <w:rPr>
                <w:rFonts w:eastAsia="黑体" w:cs="Times New Roman"/>
                <w:bCs/>
                <w:color w:val="auto"/>
                <w:kern w:val="0"/>
                <w:sz w:val="28"/>
                <w:szCs w:val="28"/>
              </w:rPr>
              <w:t>专栏1  金川县“十三五”规划主要指标完成情况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656" w:type="dxa"/>
            <w:vMerge w:val="restart"/>
            <w:vAlign w:val="center"/>
          </w:tcPr>
          <w:p>
            <w:pPr>
              <w:widowControl/>
              <w:spacing w:line="0" w:lineRule="atLeast"/>
              <w:jc w:val="center"/>
              <w:rPr>
                <w:rFonts w:eastAsia="方正小标宋简体" w:cs="Times New Roman"/>
                <w:bCs/>
                <w:color w:val="auto"/>
                <w:kern w:val="0"/>
                <w:sz w:val="21"/>
                <w:szCs w:val="21"/>
              </w:rPr>
            </w:pPr>
            <w:r>
              <w:rPr>
                <w:rFonts w:eastAsia="方正小标宋简体" w:cs="Times New Roman"/>
                <w:bCs/>
                <w:color w:val="auto"/>
                <w:kern w:val="0"/>
                <w:sz w:val="21"/>
                <w:szCs w:val="21"/>
              </w:rPr>
              <w:t>类别</w:t>
            </w:r>
          </w:p>
        </w:tc>
        <w:tc>
          <w:tcPr>
            <w:tcW w:w="3230" w:type="dxa"/>
            <w:vMerge w:val="restart"/>
            <w:vAlign w:val="center"/>
          </w:tcPr>
          <w:p>
            <w:pPr>
              <w:widowControl/>
              <w:spacing w:line="0" w:lineRule="atLeast"/>
              <w:jc w:val="center"/>
              <w:rPr>
                <w:rFonts w:eastAsia="方正小标宋简体" w:cs="Times New Roman"/>
                <w:bCs/>
                <w:color w:val="auto"/>
                <w:kern w:val="0"/>
                <w:sz w:val="21"/>
                <w:szCs w:val="21"/>
              </w:rPr>
            </w:pPr>
            <w:r>
              <w:rPr>
                <w:rFonts w:eastAsia="方正小标宋简体" w:cs="Times New Roman"/>
                <w:bCs/>
                <w:color w:val="auto"/>
                <w:kern w:val="0"/>
                <w:sz w:val="21"/>
                <w:szCs w:val="21"/>
              </w:rPr>
              <w:t>指标名称</w:t>
            </w:r>
          </w:p>
        </w:tc>
        <w:tc>
          <w:tcPr>
            <w:tcW w:w="880" w:type="dxa"/>
            <w:vMerge w:val="restart"/>
            <w:vAlign w:val="center"/>
          </w:tcPr>
          <w:p>
            <w:pPr>
              <w:widowControl/>
              <w:spacing w:line="0" w:lineRule="atLeast"/>
              <w:jc w:val="center"/>
              <w:rPr>
                <w:rFonts w:eastAsia="方正小标宋简体" w:cs="Times New Roman"/>
                <w:bCs/>
                <w:color w:val="auto"/>
                <w:kern w:val="0"/>
                <w:sz w:val="21"/>
                <w:szCs w:val="21"/>
              </w:rPr>
            </w:pPr>
            <w:r>
              <w:rPr>
                <w:rFonts w:eastAsia="方正小标宋简体" w:cs="Times New Roman"/>
                <w:bCs/>
                <w:color w:val="auto"/>
                <w:kern w:val="0"/>
                <w:sz w:val="21"/>
                <w:szCs w:val="21"/>
              </w:rPr>
              <w:t>指标</w:t>
            </w:r>
          </w:p>
          <w:p>
            <w:pPr>
              <w:widowControl/>
              <w:spacing w:line="0" w:lineRule="atLeast"/>
              <w:jc w:val="center"/>
              <w:rPr>
                <w:rFonts w:eastAsia="方正小标宋简体" w:cs="Times New Roman"/>
                <w:bCs/>
                <w:color w:val="auto"/>
                <w:kern w:val="0"/>
                <w:sz w:val="21"/>
                <w:szCs w:val="21"/>
              </w:rPr>
            </w:pPr>
            <w:r>
              <w:rPr>
                <w:rFonts w:eastAsia="方正小标宋简体" w:cs="Times New Roman"/>
                <w:bCs/>
                <w:color w:val="auto"/>
                <w:kern w:val="0"/>
                <w:sz w:val="21"/>
                <w:szCs w:val="21"/>
              </w:rPr>
              <w:t>属性</w:t>
            </w:r>
          </w:p>
        </w:tc>
        <w:tc>
          <w:tcPr>
            <w:tcW w:w="2036" w:type="dxa"/>
            <w:gridSpan w:val="2"/>
            <w:vAlign w:val="center"/>
          </w:tcPr>
          <w:p>
            <w:pPr>
              <w:widowControl/>
              <w:spacing w:line="0" w:lineRule="atLeast"/>
              <w:jc w:val="center"/>
              <w:rPr>
                <w:rFonts w:eastAsia="方正小标宋简体" w:cs="Times New Roman"/>
                <w:bCs/>
                <w:color w:val="auto"/>
                <w:kern w:val="0"/>
                <w:sz w:val="21"/>
                <w:szCs w:val="21"/>
              </w:rPr>
            </w:pPr>
            <w:r>
              <w:rPr>
                <w:rFonts w:eastAsia="方正小标宋简体" w:cs="Times New Roman"/>
                <w:bCs/>
                <w:color w:val="auto"/>
                <w:kern w:val="0"/>
                <w:sz w:val="21"/>
                <w:szCs w:val="21"/>
              </w:rPr>
              <w:t>规划目标</w:t>
            </w:r>
          </w:p>
        </w:tc>
        <w:tc>
          <w:tcPr>
            <w:tcW w:w="1936" w:type="dxa"/>
            <w:gridSpan w:val="2"/>
            <w:vAlign w:val="center"/>
          </w:tcPr>
          <w:p>
            <w:pPr>
              <w:widowControl/>
              <w:spacing w:line="0" w:lineRule="atLeast"/>
              <w:jc w:val="center"/>
              <w:rPr>
                <w:rFonts w:eastAsia="方正小标宋简体" w:cs="Times New Roman"/>
                <w:bCs/>
                <w:color w:val="auto"/>
                <w:kern w:val="0"/>
                <w:sz w:val="21"/>
                <w:szCs w:val="21"/>
              </w:rPr>
            </w:pPr>
            <w:r>
              <w:rPr>
                <w:rFonts w:eastAsia="方正小标宋简体" w:cs="Times New Roman"/>
                <w:bCs/>
                <w:color w:val="auto"/>
                <w:kern w:val="0"/>
                <w:sz w:val="21"/>
                <w:szCs w:val="21"/>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656" w:type="dxa"/>
            <w:vMerge w:val="continue"/>
            <w:vAlign w:val="center"/>
          </w:tcPr>
          <w:p>
            <w:pPr>
              <w:widowControl/>
              <w:spacing w:line="0" w:lineRule="atLeast"/>
              <w:jc w:val="center"/>
              <w:rPr>
                <w:rFonts w:eastAsia="方正小标宋简体" w:cs="Times New Roman"/>
                <w:bCs/>
                <w:color w:val="auto"/>
                <w:kern w:val="0"/>
                <w:sz w:val="21"/>
                <w:szCs w:val="21"/>
              </w:rPr>
            </w:pPr>
          </w:p>
        </w:tc>
        <w:tc>
          <w:tcPr>
            <w:tcW w:w="3230" w:type="dxa"/>
            <w:vMerge w:val="continue"/>
            <w:vAlign w:val="center"/>
          </w:tcPr>
          <w:p>
            <w:pPr>
              <w:widowControl/>
              <w:spacing w:line="0" w:lineRule="atLeast"/>
              <w:jc w:val="center"/>
              <w:rPr>
                <w:rFonts w:eastAsia="方正小标宋简体" w:cs="Times New Roman"/>
                <w:bCs/>
                <w:color w:val="auto"/>
                <w:kern w:val="0"/>
                <w:sz w:val="21"/>
                <w:szCs w:val="21"/>
              </w:rPr>
            </w:pPr>
          </w:p>
        </w:tc>
        <w:tc>
          <w:tcPr>
            <w:tcW w:w="880" w:type="dxa"/>
            <w:vMerge w:val="continue"/>
            <w:vAlign w:val="center"/>
          </w:tcPr>
          <w:p>
            <w:pPr>
              <w:widowControl/>
              <w:spacing w:line="0" w:lineRule="atLeast"/>
              <w:jc w:val="center"/>
              <w:rPr>
                <w:rFonts w:eastAsia="方正小标宋简体" w:cs="Times New Roman"/>
                <w:bCs/>
                <w:color w:val="auto"/>
                <w:kern w:val="0"/>
                <w:sz w:val="21"/>
                <w:szCs w:val="21"/>
              </w:rPr>
            </w:pPr>
          </w:p>
        </w:tc>
        <w:tc>
          <w:tcPr>
            <w:tcW w:w="1130"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方正小标宋简体" w:cs="Times New Roman"/>
                <w:bCs/>
                <w:color w:val="auto"/>
                <w:kern w:val="0"/>
                <w:sz w:val="21"/>
                <w:szCs w:val="21"/>
              </w:rPr>
            </w:pPr>
            <w:r>
              <w:rPr>
                <w:rFonts w:eastAsia="方正小标宋简体" w:cs="Times New Roman"/>
                <w:bCs/>
                <w:color w:val="auto"/>
                <w:kern w:val="0"/>
                <w:sz w:val="21"/>
                <w:szCs w:val="21"/>
              </w:rPr>
              <w:t>2020年</w:t>
            </w:r>
          </w:p>
        </w:tc>
        <w:tc>
          <w:tcPr>
            <w:tcW w:w="906"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方正小标宋简体" w:cs="Times New Roman"/>
                <w:bCs/>
                <w:color w:val="auto"/>
                <w:kern w:val="0"/>
                <w:sz w:val="21"/>
                <w:szCs w:val="21"/>
              </w:rPr>
            </w:pPr>
            <w:r>
              <w:rPr>
                <w:rFonts w:eastAsia="方正小标宋简体" w:cs="Times New Roman"/>
                <w:bCs/>
                <w:color w:val="auto"/>
                <w:kern w:val="0"/>
                <w:sz w:val="21"/>
                <w:szCs w:val="21"/>
              </w:rPr>
              <w:t>年均增长（%）</w:t>
            </w:r>
          </w:p>
        </w:tc>
        <w:tc>
          <w:tcPr>
            <w:tcW w:w="1089"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方正小标宋简体" w:cs="Times New Roman"/>
                <w:bCs/>
                <w:color w:val="auto"/>
                <w:kern w:val="0"/>
                <w:sz w:val="21"/>
                <w:szCs w:val="21"/>
              </w:rPr>
            </w:pPr>
            <w:r>
              <w:rPr>
                <w:rFonts w:eastAsia="方正小标宋简体" w:cs="Times New Roman"/>
                <w:bCs/>
                <w:color w:val="auto"/>
                <w:kern w:val="0"/>
                <w:sz w:val="21"/>
                <w:szCs w:val="21"/>
              </w:rPr>
              <w:t>2020年</w:t>
            </w:r>
          </w:p>
        </w:tc>
        <w:tc>
          <w:tcPr>
            <w:tcW w:w="847"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方正小标宋简体" w:cs="Times New Roman"/>
                <w:bCs/>
                <w:color w:val="auto"/>
                <w:kern w:val="0"/>
                <w:sz w:val="21"/>
                <w:szCs w:val="21"/>
              </w:rPr>
            </w:pPr>
            <w:r>
              <w:rPr>
                <w:rFonts w:eastAsia="方正小标宋简体" w:cs="Times New Roman"/>
                <w:bCs/>
                <w:color w:val="auto"/>
                <w:kern w:val="0"/>
                <w:sz w:val="21"/>
                <w:szCs w:val="21"/>
              </w:rPr>
              <w:t>年均增长（%）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restart"/>
            <w:vAlign w:val="center"/>
          </w:tcPr>
          <w:p>
            <w:pPr>
              <w:rPr>
                <w:rFonts w:eastAsia="楷体" w:cs="Times New Roman"/>
                <w:color w:val="auto"/>
                <w:kern w:val="0"/>
                <w:sz w:val="21"/>
                <w:szCs w:val="21"/>
              </w:rPr>
            </w:pPr>
            <w:r>
              <w:rPr>
                <w:rFonts w:eastAsia="黑体" w:cs="Times New Roman"/>
                <w:color w:val="auto"/>
                <w:kern w:val="0"/>
                <w:sz w:val="21"/>
                <w:szCs w:val="21"/>
              </w:rPr>
              <w:t>经济发展目标</w:t>
            </w: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地区生产总值（亿元）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17</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6.5</w:t>
            </w:r>
          </w:p>
        </w:tc>
        <w:tc>
          <w:tcPr>
            <w:tcW w:w="1089"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20.7</w:t>
            </w:r>
          </w:p>
        </w:tc>
        <w:tc>
          <w:tcPr>
            <w:tcW w:w="847"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人均地区生产总值（元）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23943</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7.6</w:t>
            </w:r>
          </w:p>
        </w:tc>
        <w:tc>
          <w:tcPr>
            <w:tcW w:w="1089" w:type="dxa"/>
            <w:vAlign w:val="center"/>
          </w:tcPr>
          <w:p>
            <w:pPr>
              <w:widowControl/>
              <w:jc w:val="center"/>
              <w:rPr>
                <w:rFonts w:hint="default" w:eastAsia="楷体" w:cs="Times New Roman"/>
                <w:color w:val="auto"/>
                <w:kern w:val="0"/>
                <w:sz w:val="21"/>
                <w:szCs w:val="21"/>
                <w:lang w:val="en-US"/>
              </w:rPr>
            </w:pPr>
            <w:r>
              <w:rPr>
                <w:rFonts w:hint="eastAsia" w:eastAsia="楷体" w:cs="Times New Roman"/>
                <w:color w:val="auto"/>
                <w:kern w:val="0"/>
                <w:sz w:val="21"/>
                <w:szCs w:val="21"/>
                <w:lang w:val="en-US" w:eastAsia="zh-CN"/>
              </w:rPr>
              <w:t>27938</w:t>
            </w:r>
          </w:p>
        </w:tc>
        <w:tc>
          <w:tcPr>
            <w:tcW w:w="847"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地方公共财政预算收入（万元）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9000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8.4</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10008</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三次产业结构比例</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20:42:38</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hint="eastAsia" w:eastAsia="楷体" w:cs="Times New Roman"/>
                <w:color w:val="auto"/>
                <w:kern w:val="0"/>
                <w:sz w:val="21"/>
                <w:szCs w:val="21"/>
                <w:lang w:eastAsia="zh-CN"/>
              </w:rPr>
            </w:pPr>
            <w:r>
              <w:rPr>
                <w:rFonts w:eastAsia="楷体" w:cs="Times New Roman"/>
                <w:color w:val="auto"/>
                <w:kern w:val="0"/>
                <w:sz w:val="21"/>
                <w:szCs w:val="21"/>
              </w:rPr>
              <w:t>2</w:t>
            </w:r>
            <w:r>
              <w:rPr>
                <w:rFonts w:hint="eastAsia" w:eastAsia="楷体" w:cs="Times New Roman"/>
                <w:color w:val="auto"/>
                <w:kern w:val="0"/>
                <w:sz w:val="21"/>
                <w:szCs w:val="21"/>
                <w:lang w:val="en-US" w:eastAsia="zh-CN"/>
              </w:rPr>
              <w:t>1</w:t>
            </w:r>
            <w:r>
              <w:rPr>
                <w:rFonts w:eastAsia="楷体" w:cs="Times New Roman"/>
                <w:color w:val="auto"/>
                <w:kern w:val="0"/>
                <w:sz w:val="21"/>
                <w:szCs w:val="21"/>
              </w:rPr>
              <w:t>:7:7</w:t>
            </w:r>
            <w:r>
              <w:rPr>
                <w:rFonts w:hint="eastAsia" w:eastAsia="楷体" w:cs="Times New Roman"/>
                <w:color w:val="auto"/>
                <w:kern w:val="0"/>
                <w:sz w:val="21"/>
                <w:szCs w:val="21"/>
                <w:lang w:val="en-US" w:eastAsia="zh-CN"/>
              </w:rPr>
              <w:t>2</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累计全社会固定资产投资（亿元）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[146]</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[151]</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社会消费品零售总额（万元）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57500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6.8</w:t>
            </w:r>
          </w:p>
        </w:tc>
        <w:tc>
          <w:tcPr>
            <w:tcW w:w="1089"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66424</w:t>
            </w:r>
          </w:p>
        </w:tc>
        <w:tc>
          <w:tcPr>
            <w:tcW w:w="847"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农林牧渔业增加值（亿元）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3.4</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3.3</w:t>
            </w:r>
          </w:p>
        </w:tc>
        <w:tc>
          <w:tcPr>
            <w:tcW w:w="1089" w:type="dxa"/>
            <w:vAlign w:val="center"/>
          </w:tcPr>
          <w:p>
            <w:pPr>
              <w:widowControl/>
              <w:jc w:val="center"/>
              <w:rPr>
                <w:rFonts w:hint="default" w:eastAsia="楷体" w:cs="Times New Roman"/>
                <w:color w:val="auto"/>
                <w:kern w:val="0"/>
                <w:sz w:val="21"/>
                <w:szCs w:val="21"/>
                <w:lang w:val="en-US" w:eastAsia="zh-CN"/>
              </w:rPr>
            </w:pPr>
            <w:r>
              <w:rPr>
                <w:rFonts w:eastAsia="楷体" w:cs="Times New Roman"/>
                <w:color w:val="auto"/>
                <w:kern w:val="0"/>
                <w:sz w:val="21"/>
                <w:szCs w:val="21"/>
              </w:rPr>
              <w:t>4</w:t>
            </w:r>
            <w:r>
              <w:rPr>
                <w:rFonts w:hint="eastAsia" w:eastAsia="楷体" w:cs="Times New Roman"/>
                <w:color w:val="auto"/>
                <w:kern w:val="0"/>
                <w:sz w:val="21"/>
                <w:szCs w:val="21"/>
                <w:lang w:val="en-US" w:eastAsia="zh-CN"/>
              </w:rPr>
              <w:t>.3</w:t>
            </w:r>
          </w:p>
        </w:tc>
        <w:tc>
          <w:tcPr>
            <w:tcW w:w="847"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能源发电装机容量（万千瓦）</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12</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11</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规模以上工业增加值（万元）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42.5</w:t>
            </w:r>
          </w:p>
        </w:tc>
        <w:tc>
          <w:tcPr>
            <w:tcW w:w="1089" w:type="dxa"/>
            <w:vAlign w:val="center"/>
          </w:tcPr>
          <w:p>
            <w:pPr>
              <w:widowControl/>
              <w:jc w:val="center"/>
              <w:rPr>
                <w:rFonts w:eastAsia="楷体" w:cs="Times New Roman"/>
                <w:color w:val="auto"/>
                <w:kern w:val="0"/>
                <w:sz w:val="21"/>
                <w:szCs w:val="21"/>
              </w:rPr>
            </w:pPr>
          </w:p>
        </w:tc>
        <w:tc>
          <w:tcPr>
            <w:tcW w:w="847"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旅游总收入（亿元）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11</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12</w:t>
            </w:r>
          </w:p>
        </w:tc>
        <w:tc>
          <w:tcPr>
            <w:tcW w:w="1089" w:type="dxa"/>
            <w:vAlign w:val="center"/>
          </w:tcPr>
          <w:p>
            <w:pPr>
              <w:widowControl/>
              <w:jc w:val="center"/>
              <w:rPr>
                <w:rFonts w:hint="eastAsia" w:eastAsia="楷体" w:cs="Times New Roman"/>
                <w:color w:val="auto"/>
                <w:kern w:val="0"/>
                <w:sz w:val="21"/>
                <w:szCs w:val="21"/>
                <w:lang w:eastAsia="zh-CN"/>
              </w:rPr>
            </w:pPr>
            <w:r>
              <w:rPr>
                <w:rFonts w:eastAsia="楷体" w:cs="Times New Roman"/>
                <w:color w:val="auto"/>
                <w:kern w:val="0"/>
                <w:sz w:val="21"/>
                <w:szCs w:val="21"/>
              </w:rPr>
              <w:t>11.5</w:t>
            </w:r>
            <w:r>
              <w:rPr>
                <w:rFonts w:hint="eastAsia" w:eastAsia="楷体" w:cs="Times New Roman"/>
                <w:color w:val="auto"/>
                <w:kern w:val="0"/>
                <w:sz w:val="21"/>
                <w:szCs w:val="21"/>
                <w:lang w:val="en-US" w:eastAsia="zh-CN"/>
              </w:rPr>
              <w:t>5</w:t>
            </w:r>
          </w:p>
        </w:tc>
        <w:tc>
          <w:tcPr>
            <w:tcW w:w="847" w:type="dxa"/>
            <w:vAlign w:val="center"/>
          </w:tcPr>
          <w:p>
            <w:pPr>
              <w:widowControl/>
              <w:jc w:val="center"/>
              <w:rPr>
                <w:rFonts w:hint="eastAsia" w:eastAsia="楷体" w:cs="Times New Roman"/>
                <w:color w:val="auto"/>
                <w:kern w:val="0"/>
                <w:sz w:val="21"/>
                <w:szCs w:val="21"/>
                <w:lang w:eastAsia="zh-CN"/>
              </w:rPr>
            </w:pPr>
            <w:r>
              <w:rPr>
                <w:rFonts w:eastAsia="楷体" w:cs="Times New Roman"/>
                <w:color w:val="auto"/>
                <w:kern w:val="0"/>
                <w:sz w:val="21"/>
                <w:szCs w:val="21"/>
              </w:rPr>
              <w:t>13.</w:t>
            </w:r>
            <w:r>
              <w:rPr>
                <w:rFonts w:hint="eastAsia" w:eastAsia="楷体" w:cs="Times New Roman"/>
                <w:color w:val="auto"/>
                <w:kern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游客总人数（万人次）</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145</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13.4</w:t>
            </w:r>
          </w:p>
        </w:tc>
        <w:tc>
          <w:tcPr>
            <w:tcW w:w="1089" w:type="dxa"/>
            <w:vAlign w:val="center"/>
          </w:tcPr>
          <w:p>
            <w:pPr>
              <w:widowControl/>
              <w:jc w:val="center"/>
              <w:rPr>
                <w:rFonts w:hint="default" w:eastAsia="楷体" w:cs="Times New Roman"/>
                <w:color w:val="auto"/>
                <w:kern w:val="0"/>
                <w:sz w:val="21"/>
                <w:szCs w:val="21"/>
                <w:lang w:val="en-US" w:eastAsia="zh-CN"/>
              </w:rPr>
            </w:pPr>
            <w:r>
              <w:rPr>
                <w:rFonts w:eastAsia="楷体" w:cs="Times New Roman"/>
                <w:color w:val="auto"/>
                <w:kern w:val="0"/>
                <w:sz w:val="21"/>
                <w:szCs w:val="21"/>
              </w:rPr>
              <w:t>151.</w:t>
            </w:r>
            <w:r>
              <w:rPr>
                <w:rFonts w:hint="eastAsia" w:eastAsia="楷体" w:cs="Times New Roman"/>
                <w:color w:val="auto"/>
                <w:kern w:val="0"/>
                <w:sz w:val="21"/>
                <w:szCs w:val="21"/>
                <w:lang w:val="en-US" w:eastAsia="zh-CN"/>
              </w:rPr>
              <w:t>86</w:t>
            </w:r>
          </w:p>
        </w:tc>
        <w:tc>
          <w:tcPr>
            <w:tcW w:w="847" w:type="dxa"/>
            <w:vAlign w:val="center"/>
          </w:tcPr>
          <w:p>
            <w:pPr>
              <w:widowControl/>
              <w:jc w:val="center"/>
              <w:rPr>
                <w:rFonts w:hint="eastAsia" w:eastAsia="楷体" w:cs="Times New Roman"/>
                <w:color w:val="auto"/>
                <w:kern w:val="0"/>
                <w:sz w:val="21"/>
                <w:szCs w:val="21"/>
                <w:lang w:eastAsia="zh-CN"/>
              </w:rPr>
            </w:pPr>
            <w:r>
              <w:rPr>
                <w:rFonts w:eastAsia="楷体" w:cs="Times New Roman"/>
                <w:color w:val="auto"/>
                <w:kern w:val="0"/>
                <w:sz w:val="21"/>
                <w:szCs w:val="21"/>
              </w:rPr>
              <w:t>14.</w:t>
            </w:r>
            <w:r>
              <w:rPr>
                <w:rFonts w:hint="eastAsia" w:eastAsia="楷体" w:cs="Times New Roman"/>
                <w:color w:val="auto"/>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kern w:val="0"/>
                <w:sz w:val="21"/>
                <w:szCs w:val="21"/>
              </w:rPr>
            </w:pPr>
          </w:p>
        </w:tc>
        <w:tc>
          <w:tcPr>
            <w:tcW w:w="3230" w:type="dxa"/>
            <w:vAlign w:val="center"/>
          </w:tcPr>
          <w:p>
            <w:pPr>
              <w:widowControl/>
              <w:rPr>
                <w:rFonts w:eastAsia="楷体" w:cs="Times New Roman"/>
                <w:color w:val="auto"/>
                <w:kern w:val="0"/>
                <w:sz w:val="21"/>
                <w:szCs w:val="21"/>
              </w:rPr>
            </w:pPr>
            <w:r>
              <w:rPr>
                <w:rFonts w:eastAsia="楷体" w:cs="Times New Roman"/>
                <w:color w:val="auto"/>
                <w:kern w:val="0"/>
                <w:sz w:val="21"/>
                <w:szCs w:val="21"/>
              </w:rPr>
              <w:t>服务业增加值（亿元）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6.5</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5.1</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14.9</w:t>
            </w:r>
          </w:p>
        </w:tc>
        <w:tc>
          <w:tcPr>
            <w:tcW w:w="847"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restart"/>
            <w:vAlign w:val="center"/>
          </w:tcPr>
          <w:p>
            <w:pPr>
              <w:rPr>
                <w:rFonts w:eastAsia="黑体" w:cs="Times New Roman"/>
                <w:color w:val="auto"/>
                <w:kern w:val="0"/>
                <w:sz w:val="21"/>
                <w:szCs w:val="21"/>
              </w:rPr>
            </w:pPr>
            <w:r>
              <w:rPr>
                <w:rFonts w:eastAsia="黑体" w:cs="Times New Roman"/>
                <w:color w:val="auto"/>
                <w:kern w:val="0"/>
                <w:sz w:val="21"/>
                <w:szCs w:val="21"/>
              </w:rPr>
              <w:t>社会</w:t>
            </w:r>
          </w:p>
          <w:p>
            <w:pPr>
              <w:rPr>
                <w:rFonts w:eastAsia="黑体" w:cs="Times New Roman"/>
                <w:color w:val="auto"/>
                <w:kern w:val="0"/>
                <w:sz w:val="21"/>
                <w:szCs w:val="21"/>
              </w:rPr>
            </w:pPr>
            <w:r>
              <w:rPr>
                <w:rFonts w:eastAsia="黑体" w:cs="Times New Roman"/>
                <w:color w:val="auto"/>
                <w:kern w:val="0"/>
                <w:sz w:val="21"/>
                <w:szCs w:val="21"/>
              </w:rPr>
              <w:t>发展</w:t>
            </w:r>
          </w:p>
          <w:p>
            <w:pPr>
              <w:rPr>
                <w:rFonts w:eastAsia="楷体" w:cs="Times New Roman"/>
                <w:color w:val="auto"/>
                <w:sz w:val="21"/>
                <w:szCs w:val="21"/>
              </w:rPr>
            </w:pPr>
            <w:r>
              <w:rPr>
                <w:rFonts w:eastAsia="黑体" w:cs="Times New Roman"/>
                <w:color w:val="auto"/>
                <w:kern w:val="0"/>
                <w:sz w:val="21"/>
                <w:szCs w:val="21"/>
              </w:rPr>
              <w:t>指标</w:t>
            </w: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城镇化率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36</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40</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城镇登记失业率控制在</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3.7</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3.8</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人均受教育年限</w:t>
            </w:r>
            <w:r>
              <w:rPr>
                <w:rFonts w:eastAsia="楷体" w:cs="Times New Roman"/>
                <w:color w:val="auto"/>
                <w:kern w:val="0"/>
                <w:sz w:val="21"/>
                <w:szCs w:val="21"/>
              </w:rPr>
              <w:t>（</w:t>
            </w:r>
            <w:r>
              <w:rPr>
                <w:rFonts w:eastAsia="楷体" w:cs="Times New Roman"/>
                <w:color w:val="auto"/>
                <w:sz w:val="21"/>
                <w:szCs w:val="21"/>
              </w:rPr>
              <w:t>年</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12</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12</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居民平均预期寿命（岁）</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72</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75</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基本社会保障覆盖率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100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100</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广播电视覆盖率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98</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98</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restart"/>
            <w:vAlign w:val="center"/>
          </w:tcPr>
          <w:p>
            <w:pPr>
              <w:rPr>
                <w:rFonts w:eastAsia="黑体" w:cs="Times New Roman"/>
                <w:color w:val="auto"/>
                <w:kern w:val="0"/>
                <w:sz w:val="21"/>
                <w:szCs w:val="21"/>
              </w:rPr>
            </w:pPr>
            <w:r>
              <w:rPr>
                <w:rFonts w:eastAsia="黑体" w:cs="Times New Roman"/>
                <w:color w:val="auto"/>
                <w:kern w:val="0"/>
                <w:sz w:val="21"/>
                <w:szCs w:val="21"/>
              </w:rPr>
              <w:t>人民</w:t>
            </w:r>
          </w:p>
          <w:p>
            <w:pPr>
              <w:rPr>
                <w:rFonts w:eastAsia="黑体" w:cs="Times New Roman"/>
                <w:color w:val="auto"/>
                <w:kern w:val="0"/>
                <w:sz w:val="21"/>
                <w:szCs w:val="21"/>
              </w:rPr>
            </w:pPr>
            <w:r>
              <w:rPr>
                <w:rFonts w:eastAsia="黑体" w:cs="Times New Roman"/>
                <w:color w:val="auto"/>
                <w:kern w:val="0"/>
                <w:sz w:val="21"/>
                <w:szCs w:val="21"/>
              </w:rPr>
              <w:t>生活</w:t>
            </w:r>
          </w:p>
          <w:p>
            <w:pPr>
              <w:rPr>
                <w:rFonts w:eastAsia="楷体" w:cs="Times New Roman"/>
                <w:color w:val="auto"/>
                <w:sz w:val="21"/>
                <w:szCs w:val="21"/>
              </w:rPr>
            </w:pPr>
            <w:r>
              <w:rPr>
                <w:rFonts w:eastAsia="黑体" w:cs="Times New Roman"/>
                <w:color w:val="auto"/>
                <w:kern w:val="0"/>
                <w:sz w:val="21"/>
                <w:szCs w:val="21"/>
              </w:rPr>
              <w:t>指标</w:t>
            </w: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非农产业从业人员占比</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预期性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12.4</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12.5</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城镇居民人均可支配收入</w:t>
            </w:r>
            <w:r>
              <w:rPr>
                <w:rFonts w:eastAsia="楷体" w:cs="Times New Roman"/>
                <w:color w:val="auto"/>
                <w:kern w:val="0"/>
                <w:sz w:val="21"/>
                <w:szCs w:val="21"/>
              </w:rPr>
              <w:t>（</w:t>
            </w:r>
            <w:r>
              <w:rPr>
                <w:rFonts w:eastAsia="楷体" w:cs="Times New Roman"/>
                <w:color w:val="auto"/>
                <w:sz w:val="21"/>
                <w:szCs w:val="21"/>
              </w:rPr>
              <w:t>元</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37800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8.2</w:t>
            </w:r>
          </w:p>
        </w:tc>
        <w:tc>
          <w:tcPr>
            <w:tcW w:w="1089"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36520</w:t>
            </w:r>
          </w:p>
        </w:tc>
        <w:tc>
          <w:tcPr>
            <w:tcW w:w="847" w:type="dxa"/>
            <w:vAlign w:val="center"/>
          </w:tcPr>
          <w:p>
            <w:pPr>
              <w:widowControl/>
              <w:jc w:val="center"/>
              <w:rPr>
                <w:rFonts w:hint="default" w:eastAsia="楷体" w:cs="Times New Roman"/>
                <w:color w:val="auto"/>
                <w:sz w:val="21"/>
                <w:szCs w:val="21"/>
                <w:lang w:val="en-US" w:eastAsia="zh-CN"/>
              </w:rPr>
            </w:pPr>
            <w:r>
              <w:rPr>
                <w:rFonts w:hint="eastAsia" w:eastAsia="楷体" w:cs="Times New Roman"/>
                <w:color w:val="auto"/>
                <w:sz w:val="21"/>
                <w:szCs w:val="21"/>
                <w:lang w:val="en-US" w:eastAsia="zh-C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农村居民人均可支配收入（元）</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16200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11</w:t>
            </w:r>
          </w:p>
        </w:tc>
        <w:tc>
          <w:tcPr>
            <w:tcW w:w="1089" w:type="dxa"/>
            <w:vAlign w:val="center"/>
          </w:tcPr>
          <w:p>
            <w:pPr>
              <w:widowControl/>
              <w:jc w:val="center"/>
              <w:rPr>
                <w:rFonts w:hint="default" w:eastAsia="楷体" w:cs="Times New Roman"/>
                <w:color w:val="auto"/>
                <w:kern w:val="0"/>
                <w:sz w:val="21"/>
                <w:szCs w:val="21"/>
                <w:lang w:val="en-US" w:eastAsia="zh-CN"/>
              </w:rPr>
            </w:pPr>
            <w:r>
              <w:rPr>
                <w:rFonts w:hint="eastAsia" w:eastAsia="楷体" w:cs="Times New Roman"/>
                <w:color w:val="auto"/>
                <w:kern w:val="0"/>
                <w:sz w:val="21"/>
                <w:szCs w:val="21"/>
                <w:lang w:val="en-US" w:eastAsia="zh-CN"/>
              </w:rPr>
              <w:t>15513</w:t>
            </w:r>
          </w:p>
        </w:tc>
        <w:tc>
          <w:tcPr>
            <w:tcW w:w="847" w:type="dxa"/>
            <w:vAlign w:val="center"/>
          </w:tcPr>
          <w:p>
            <w:pPr>
              <w:widowControl/>
              <w:jc w:val="center"/>
              <w:rPr>
                <w:rFonts w:hint="default" w:eastAsia="楷体" w:cs="Times New Roman"/>
                <w:color w:val="auto"/>
                <w:sz w:val="21"/>
                <w:szCs w:val="21"/>
                <w:lang w:val="en-US" w:eastAsia="zh-CN"/>
              </w:rPr>
            </w:pPr>
            <w:r>
              <w:rPr>
                <w:rFonts w:hint="eastAsia" w:eastAsia="楷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农村贫困变化率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0</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农村饮水安全普及率（%）</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100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100</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restart"/>
            <w:vAlign w:val="center"/>
          </w:tcPr>
          <w:p>
            <w:pPr>
              <w:rPr>
                <w:rFonts w:eastAsia="楷体" w:cs="Times New Roman"/>
                <w:color w:val="auto"/>
                <w:sz w:val="21"/>
                <w:szCs w:val="21"/>
              </w:rPr>
            </w:pPr>
            <w:r>
              <w:rPr>
                <w:rFonts w:eastAsia="黑体" w:cs="Times New Roman"/>
                <w:color w:val="auto"/>
                <w:kern w:val="0"/>
                <w:sz w:val="21"/>
                <w:szCs w:val="21"/>
              </w:rPr>
              <w:t>资源</w:t>
            </w:r>
          </w:p>
          <w:p>
            <w:pPr>
              <w:rPr>
                <w:rFonts w:eastAsia="黑体" w:cs="Times New Roman"/>
                <w:color w:val="auto"/>
                <w:kern w:val="0"/>
                <w:sz w:val="21"/>
                <w:szCs w:val="21"/>
              </w:rPr>
            </w:pPr>
            <w:r>
              <w:rPr>
                <w:rFonts w:eastAsia="黑体" w:cs="Times New Roman"/>
                <w:color w:val="auto"/>
                <w:kern w:val="0"/>
                <w:sz w:val="21"/>
                <w:szCs w:val="21"/>
              </w:rPr>
              <w:t>环境</w:t>
            </w:r>
          </w:p>
          <w:p>
            <w:pPr>
              <w:rPr>
                <w:rFonts w:eastAsia="楷体" w:cs="Times New Roman"/>
                <w:color w:val="auto"/>
                <w:sz w:val="21"/>
                <w:szCs w:val="21"/>
              </w:rPr>
            </w:pPr>
            <w:r>
              <w:rPr>
                <w:rFonts w:eastAsia="黑体" w:cs="Times New Roman"/>
                <w:color w:val="auto"/>
                <w:kern w:val="0"/>
                <w:sz w:val="21"/>
                <w:szCs w:val="21"/>
              </w:rPr>
              <w:t>指标</w:t>
            </w: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森林覆盖率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43</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45.86</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森林蓄积量</w:t>
            </w:r>
            <w:r>
              <w:rPr>
                <w:rFonts w:eastAsia="楷体" w:cs="Times New Roman"/>
                <w:color w:val="auto"/>
                <w:kern w:val="0"/>
                <w:sz w:val="21"/>
                <w:szCs w:val="21"/>
              </w:rPr>
              <w:t>（</w:t>
            </w:r>
            <w:r>
              <w:rPr>
                <w:rFonts w:eastAsia="楷体" w:cs="Times New Roman"/>
                <w:color w:val="auto"/>
                <w:sz w:val="21"/>
                <w:szCs w:val="21"/>
              </w:rPr>
              <w:t>万立方米</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2510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0.01</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3150</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草原综合植被覆盖度</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84</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85.1</w:t>
            </w:r>
          </w:p>
        </w:tc>
        <w:tc>
          <w:tcPr>
            <w:tcW w:w="847"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出境断面水质等级</w:t>
            </w:r>
            <w:r>
              <w:rPr>
                <w:rFonts w:eastAsia="楷体" w:cs="Times New Roman"/>
                <w:color w:val="auto"/>
                <w:kern w:val="0"/>
                <w:sz w:val="21"/>
                <w:szCs w:val="21"/>
              </w:rPr>
              <w:t>（</w:t>
            </w:r>
            <w:r>
              <w:rPr>
                <w:rFonts w:eastAsia="楷体" w:cs="Times New Roman"/>
                <w:color w:val="auto"/>
                <w:sz w:val="21"/>
                <w:szCs w:val="21"/>
              </w:rPr>
              <w:t>类</w:t>
            </w:r>
            <w:r>
              <w:rPr>
                <w:rFonts w:eastAsia="楷体" w:cs="Times New Roman"/>
                <w:color w:val="auto"/>
                <w:kern w:val="0"/>
                <w:sz w:val="21"/>
                <w:szCs w:val="21"/>
              </w:rPr>
              <w:t>）</w:t>
            </w:r>
          </w:p>
        </w:tc>
        <w:tc>
          <w:tcPr>
            <w:tcW w:w="880" w:type="dxa"/>
            <w:vAlign w:val="center"/>
          </w:tcPr>
          <w:p>
            <w:pPr>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Ⅲ类及</w:t>
            </w:r>
          </w:p>
          <w:p>
            <w:pPr>
              <w:keepNext w:val="0"/>
              <w:keepLines w:val="0"/>
              <w:pageBreakBefore w:val="0"/>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以上</w:t>
            </w:r>
          </w:p>
        </w:tc>
        <w:tc>
          <w:tcPr>
            <w:tcW w:w="906"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Ⅲ类及</w:t>
            </w:r>
          </w:p>
          <w:p>
            <w:pPr>
              <w:keepNext w:val="0"/>
              <w:keepLines w:val="0"/>
              <w:pageBreakBefore w:val="0"/>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以上</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空气质量等级（级）</w:t>
            </w:r>
          </w:p>
        </w:tc>
        <w:tc>
          <w:tcPr>
            <w:tcW w:w="880" w:type="dxa"/>
            <w:vAlign w:val="center"/>
          </w:tcPr>
          <w:p>
            <w:pPr>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Ⅱ级及</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以上</w:t>
            </w:r>
          </w:p>
        </w:tc>
        <w:tc>
          <w:tcPr>
            <w:tcW w:w="906" w:type="dxa"/>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Ⅱ级及</w:t>
            </w:r>
          </w:p>
          <w:p>
            <w:pPr>
              <w:keepNext w:val="0"/>
              <w:keepLines w:val="0"/>
              <w:pageBreakBefore w:val="0"/>
              <w:kinsoku/>
              <w:wordWrap/>
              <w:overflowPunct/>
              <w:topLinePunct w:val="0"/>
              <w:autoSpaceDE/>
              <w:autoSpaceDN/>
              <w:bidi w:val="0"/>
              <w:adjustRightInd/>
              <w:snapToGrid/>
              <w:spacing w:line="240" w:lineRule="exact"/>
              <w:jc w:val="center"/>
              <w:textAlignment w:val="auto"/>
              <w:rPr>
                <w:rFonts w:eastAsia="楷体" w:cs="Times New Roman"/>
                <w:color w:val="auto"/>
                <w:kern w:val="0"/>
                <w:sz w:val="21"/>
                <w:szCs w:val="21"/>
              </w:rPr>
            </w:pPr>
            <w:r>
              <w:rPr>
                <w:rFonts w:eastAsia="楷体" w:cs="Times New Roman"/>
                <w:color w:val="auto"/>
                <w:kern w:val="0"/>
                <w:sz w:val="21"/>
                <w:szCs w:val="21"/>
              </w:rPr>
              <w:t>以上</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污水集中处理率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82</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85</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生活垃圾无害化处理率</w:t>
            </w:r>
            <w:r>
              <w:rPr>
                <w:rFonts w:eastAsia="楷体" w:cs="Times New Roman"/>
                <w:color w:val="auto"/>
                <w:kern w:val="0"/>
                <w:sz w:val="21"/>
                <w:szCs w:val="21"/>
              </w:rPr>
              <w:t>（</w:t>
            </w:r>
            <w:r>
              <w:rPr>
                <w:rFonts w:eastAsia="楷体" w:cs="Times New Roman"/>
                <w:color w:val="auto"/>
                <w:sz w:val="21"/>
                <w:szCs w:val="21"/>
              </w:rPr>
              <w:t>%</w:t>
            </w:r>
            <w:r>
              <w:rPr>
                <w:rFonts w:eastAsia="楷体" w:cs="Times New Roman"/>
                <w:color w:val="auto"/>
                <w:kern w:val="0"/>
                <w:sz w:val="21"/>
                <w:szCs w:val="21"/>
              </w:rPr>
              <w:t>）</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90</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90</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jc w:val="center"/>
        </w:trPr>
        <w:tc>
          <w:tcPr>
            <w:tcW w:w="656" w:type="dxa"/>
            <w:vMerge w:val="continue"/>
            <w:vAlign w:val="center"/>
          </w:tcPr>
          <w:p>
            <w:pPr>
              <w:widowControl/>
              <w:rPr>
                <w:rFonts w:eastAsia="楷体" w:cs="Times New Roman"/>
                <w:color w:val="auto"/>
                <w:sz w:val="21"/>
                <w:szCs w:val="21"/>
              </w:rPr>
            </w:pPr>
          </w:p>
        </w:tc>
        <w:tc>
          <w:tcPr>
            <w:tcW w:w="3230" w:type="dxa"/>
            <w:vAlign w:val="center"/>
          </w:tcPr>
          <w:p>
            <w:pPr>
              <w:widowControl/>
              <w:rPr>
                <w:rFonts w:eastAsia="楷体" w:cs="Times New Roman"/>
                <w:color w:val="auto"/>
                <w:sz w:val="21"/>
                <w:szCs w:val="21"/>
              </w:rPr>
            </w:pPr>
            <w:r>
              <w:rPr>
                <w:rFonts w:eastAsia="楷体" w:cs="Times New Roman"/>
                <w:color w:val="auto"/>
                <w:sz w:val="21"/>
                <w:szCs w:val="21"/>
              </w:rPr>
              <w:t>单位GDP能耗降低（5年累计）</w:t>
            </w:r>
          </w:p>
        </w:tc>
        <w:tc>
          <w:tcPr>
            <w:tcW w:w="880" w:type="dxa"/>
            <w:vAlign w:val="center"/>
          </w:tcPr>
          <w:p>
            <w:pPr>
              <w:widowControl/>
              <w:jc w:val="center"/>
              <w:rPr>
                <w:rFonts w:eastAsia="楷体" w:cs="Times New Roman"/>
                <w:color w:val="auto"/>
                <w:kern w:val="0"/>
                <w:sz w:val="21"/>
                <w:szCs w:val="21"/>
              </w:rPr>
            </w:pPr>
            <w:r>
              <w:rPr>
                <w:rFonts w:eastAsia="楷体" w:cs="Times New Roman"/>
                <w:color w:val="auto"/>
                <w:sz w:val="21"/>
                <w:szCs w:val="21"/>
              </w:rPr>
              <w:t>约束性</w:t>
            </w:r>
          </w:p>
        </w:tc>
        <w:tc>
          <w:tcPr>
            <w:tcW w:w="1130"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 xml:space="preserve"> [20 ]</w:t>
            </w:r>
          </w:p>
        </w:tc>
        <w:tc>
          <w:tcPr>
            <w:tcW w:w="906"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w:t>
            </w:r>
          </w:p>
        </w:tc>
        <w:tc>
          <w:tcPr>
            <w:tcW w:w="1089" w:type="dxa"/>
            <w:vAlign w:val="center"/>
          </w:tcPr>
          <w:p>
            <w:pPr>
              <w:widowControl/>
              <w:jc w:val="center"/>
              <w:rPr>
                <w:rFonts w:eastAsia="楷体" w:cs="Times New Roman"/>
                <w:color w:val="auto"/>
                <w:kern w:val="0"/>
                <w:sz w:val="21"/>
                <w:szCs w:val="21"/>
              </w:rPr>
            </w:pPr>
            <w:r>
              <w:rPr>
                <w:rFonts w:eastAsia="楷体" w:cs="Times New Roman"/>
                <w:color w:val="auto"/>
                <w:kern w:val="0"/>
                <w:sz w:val="21"/>
                <w:szCs w:val="21"/>
              </w:rPr>
              <w:t>[ 20 ]</w:t>
            </w:r>
          </w:p>
        </w:tc>
        <w:tc>
          <w:tcPr>
            <w:tcW w:w="847" w:type="dxa"/>
            <w:vAlign w:val="center"/>
          </w:tcPr>
          <w:p>
            <w:pPr>
              <w:widowControl/>
              <w:jc w:val="center"/>
              <w:rPr>
                <w:rFonts w:eastAsia="楷体" w:cs="Times New Roman"/>
                <w:color w:val="auto"/>
                <w:sz w:val="21"/>
                <w:szCs w:val="21"/>
              </w:rPr>
            </w:pPr>
            <w:r>
              <w:rPr>
                <w:rFonts w:eastAsia="楷体" w:cs="Times New Roman"/>
                <w:color w:val="auto"/>
                <w:kern w:val="0"/>
                <w:sz w:val="21"/>
                <w:szCs w:val="21"/>
              </w:rPr>
              <w:t>—</w:t>
            </w:r>
          </w:p>
        </w:tc>
      </w:tr>
    </w:tbl>
    <w:p>
      <w:pPr>
        <w:spacing w:line="240" w:lineRule="auto"/>
        <w:rPr>
          <w:rFonts w:cs="Times New Roman" w:eastAsiaTheme="minorEastAsia"/>
          <w:color w:val="auto"/>
          <w:sz w:val="21"/>
        </w:rPr>
      </w:pPr>
      <w:bookmarkStart w:id="22" w:name="_Toc8179"/>
      <w:bookmarkStart w:id="23" w:name="_Toc26845_WPSOffice_Level3"/>
      <w:bookmarkStart w:id="24" w:name="_Toc8720"/>
      <w:r>
        <w:rPr>
          <w:rFonts w:cs="Times New Roman" w:eastAsiaTheme="minorEastAsia"/>
          <w:color w:val="auto"/>
          <w:sz w:val="21"/>
        </w:rPr>
        <w:t>注：1.GDP规划目标年均增速按现价计算，实际年均增速按可比价计算。2. [ ]为五年累计数。</w:t>
      </w:r>
    </w:p>
    <w:p>
      <w:pPr>
        <w:pStyle w:val="5"/>
        <w:spacing w:before="156" w:beforeLines="50" w:after="156" w:afterLines="50" w:line="576" w:lineRule="exact"/>
        <w:jc w:val="center"/>
        <w:rPr>
          <w:rFonts w:eastAsia="楷体"/>
          <w:color w:val="auto"/>
        </w:rPr>
      </w:pPr>
      <w:bookmarkStart w:id="25" w:name="_Toc25510"/>
      <w:r>
        <w:rPr>
          <w:rFonts w:eastAsia="楷体_GB2312"/>
          <w:color w:val="auto"/>
        </w:rPr>
        <w:t>第二节  发展环境面临深刻复杂变化</w:t>
      </w:r>
      <w:bookmarkEnd w:id="22"/>
      <w:bookmarkEnd w:id="23"/>
      <w:bookmarkEnd w:id="24"/>
      <w:bookmarkEnd w:id="25"/>
    </w:p>
    <w:p>
      <w:pPr>
        <w:spacing w:line="576" w:lineRule="exact"/>
        <w:ind w:firstLine="641"/>
        <w:rPr>
          <w:rFonts w:cs="Times New Roman"/>
          <w:color w:val="auto"/>
          <w:kern w:val="0"/>
          <w:szCs w:val="32"/>
        </w:rPr>
      </w:pPr>
      <w:r>
        <w:rPr>
          <w:rFonts w:cs="Times New Roman"/>
          <w:color w:val="auto"/>
          <w:kern w:val="0"/>
          <w:szCs w:val="32"/>
        </w:rPr>
        <w:t>随着内外发展环境和自身条件的新变化，国省州多重战略在我县交汇叠加、多重政策红利持续释放，我县比较优势更加明显，经济社会发展仍处于大有可为的重要战略机遇期。</w:t>
      </w:r>
    </w:p>
    <w:p>
      <w:pPr>
        <w:spacing w:line="576" w:lineRule="exact"/>
        <w:ind w:firstLine="641"/>
        <w:rPr>
          <w:rFonts w:cs="Times New Roman"/>
          <w:color w:val="auto"/>
          <w:kern w:val="0"/>
          <w:szCs w:val="32"/>
        </w:rPr>
      </w:pPr>
      <w:r>
        <w:rPr>
          <w:rFonts w:eastAsia="楷体" w:cs="Times New Roman"/>
          <w:b/>
          <w:bCs/>
          <w:color w:val="auto"/>
        </w:rPr>
        <w:t>面临形势</w:t>
      </w:r>
      <w:r>
        <w:rPr>
          <w:rFonts w:cs="Times New Roman"/>
          <w:b/>
          <w:bCs/>
          <w:color w:val="auto"/>
        </w:rPr>
        <w:t>。</w:t>
      </w:r>
      <w:r>
        <w:rPr>
          <w:rFonts w:cs="Times New Roman"/>
          <w:color w:val="auto"/>
          <w:kern w:val="0"/>
          <w:szCs w:val="32"/>
        </w:rPr>
        <w:t>当今世界正经历百年未有之大变局，新冠肺炎疫情加剧了大变局的演变，国际环境日趋复杂，经济全球化遭遇逆流，一些国家单边主义、保护主义盛行，国际经济、科技、文化、安全、政治等格局都在发生深刻调整。我国已进入高质量发展阶段，经济稳中向好、长期向好的基本面没有变，潜力足、韧性大、活力强、回旋空间大、政策工具多的基本特点没有变，发展具有的多方面优势和条件没有变，正加快形成以国内大循环为主体、国内国际双循环相互促进的新发展格局。全省站在了新的历史起点，处在转型发展、创新发展、跨越发展的关键时期，经济强省建设取得新进展，人均GDP进入全国前20位，区域发展格局加速优化、开放合作优势凸显、创新驱动能力加速提升，经济社会正逐步迈向高质量发展新阶段。全州紧紧围绕“一州两区三家园”战略目标，积极参与更大范围区域合作，着力构建更高水平开放格局，大力提升生态经济发展水平，将在川西北生态示范区建设中推动长江黄河上游生态保护治理和高质量发展，在“双核双驱”辐射溢出效应中推动稳州兴州再上新台阶。</w:t>
      </w:r>
    </w:p>
    <w:p>
      <w:pPr>
        <w:spacing w:line="576" w:lineRule="exact"/>
        <w:ind w:firstLine="641"/>
        <w:rPr>
          <w:rFonts w:cs="Times New Roman"/>
          <w:color w:val="auto"/>
          <w:kern w:val="0"/>
          <w:szCs w:val="32"/>
        </w:rPr>
      </w:pPr>
      <w:r>
        <w:rPr>
          <w:rFonts w:eastAsia="楷体" w:cs="Times New Roman"/>
          <w:b/>
          <w:bCs/>
          <w:color w:val="auto"/>
        </w:rPr>
        <w:t>发展机遇</w:t>
      </w:r>
      <w:r>
        <w:rPr>
          <w:rFonts w:eastAsia="仿宋" w:cs="Times New Roman"/>
          <w:color w:val="auto"/>
        </w:rPr>
        <w:t>。</w:t>
      </w:r>
      <w:r>
        <w:rPr>
          <w:rFonts w:cs="Times New Roman"/>
          <w:color w:val="auto"/>
          <w:kern w:val="0"/>
          <w:szCs w:val="32"/>
        </w:rPr>
        <w:t>放眼外部大环境，政策优势正在不断集聚。“一带一路”、新一轮西部大开发、长江经济带发展和成渝地区双城经济圈建设纵深推进，国家支持“三区三州”力度不断加大，东西部扶贫协作、省内对口帮扶等持续深入，将会有更多的发展机遇。中央第七次西藏工作座谈会顺利召开，持续支持四省涉藏地区经济社会发展，也会带来诸多利好政策。省委、省政府高度重视川西北生态示范区建设，持续加大大渡河上游生态保护投入，支持重点发展全域旅游、特色农牧业、清洁能源等绿色产业，有利于生态资源红利转变为增收福利，提高资源就地转化率。州委、州政府致力打造“国家清洁能源基地”，支持加快建设锂资源和清洁能源绿色开发示范基地，有利于最大限度激发“一水一矿”“水光互补”潜能。聚焦县内小环境，发展活力正在持续释放。近年来，我县大力推进“四地三县两个金川”建设，保持了稳中有进的良好态势，发展的物质基础、民心基础、组织基础持续向好，农业现代化、工业绿色化、文旅全域化格局初步形成，经济社会发展基本面和内在向上潜力持续向好。</w:t>
      </w:r>
    </w:p>
    <w:p>
      <w:pPr>
        <w:spacing w:line="576" w:lineRule="exact"/>
        <w:ind w:firstLine="641"/>
        <w:rPr>
          <w:rFonts w:cs="Times New Roman"/>
          <w:color w:val="auto"/>
          <w:kern w:val="0"/>
          <w:szCs w:val="32"/>
        </w:rPr>
      </w:pPr>
      <w:r>
        <w:rPr>
          <w:rFonts w:eastAsia="楷体" w:cs="Times New Roman"/>
          <w:b/>
          <w:bCs/>
          <w:color w:val="auto"/>
        </w:rPr>
        <w:t>主要挑战</w:t>
      </w:r>
      <w:r>
        <w:rPr>
          <w:rFonts w:cs="Times New Roman"/>
          <w:b/>
          <w:bCs/>
          <w:color w:val="auto"/>
        </w:rPr>
        <w:t>。</w:t>
      </w:r>
      <w:r>
        <w:rPr>
          <w:rFonts w:cs="Times New Roman"/>
          <w:color w:val="auto"/>
          <w:kern w:val="0"/>
          <w:szCs w:val="32"/>
        </w:rPr>
        <w:t>在把握好发展机遇与条件的同时，也必须保持清醒头脑，积极正视存在的问题和挑战。发展不足、发展水平不高的问题仍然突出；“城乡农牧”发展不平衡的总体情况没有根本改变，高半山、边远牧区发展相对滞后的问题仍然</w:t>
      </w:r>
      <w:r>
        <w:rPr>
          <w:rFonts w:hint="eastAsia" w:cs="Times New Roman"/>
          <w:color w:val="auto"/>
          <w:kern w:val="0"/>
          <w:szCs w:val="32"/>
        </w:rPr>
        <w:t>明显</w:t>
      </w:r>
      <w:r>
        <w:rPr>
          <w:rFonts w:cs="Times New Roman"/>
          <w:color w:val="auto"/>
          <w:kern w:val="0"/>
          <w:szCs w:val="32"/>
        </w:rPr>
        <w:t>；社会基本公共服务供给不足仍然存在；“水电路网”等基础设施短板仍然</w:t>
      </w:r>
      <w:r>
        <w:rPr>
          <w:rFonts w:hint="eastAsia" w:cs="Times New Roman"/>
          <w:color w:val="auto"/>
          <w:kern w:val="0"/>
          <w:szCs w:val="32"/>
        </w:rPr>
        <w:t>突出</w:t>
      </w:r>
      <w:r>
        <w:rPr>
          <w:rFonts w:cs="Times New Roman"/>
          <w:color w:val="auto"/>
          <w:kern w:val="0"/>
          <w:szCs w:val="32"/>
        </w:rPr>
        <w:t>；影响和谐稳定的因素依然较多，社会管理面临一些新情况新挑战；“不严不实”的问题还有表象；个别干部能力素质还不适应新形势新任务的要求，少数基层党组织战斗力凝聚力不强。</w:t>
      </w:r>
    </w:p>
    <w:p>
      <w:pPr>
        <w:pStyle w:val="5"/>
        <w:spacing w:before="156" w:beforeLines="50" w:after="156" w:afterLines="50" w:line="576" w:lineRule="exact"/>
        <w:jc w:val="center"/>
        <w:rPr>
          <w:rFonts w:eastAsia="楷体_GB2312"/>
          <w:color w:val="auto"/>
        </w:rPr>
      </w:pPr>
      <w:bookmarkStart w:id="26" w:name="_Toc18744"/>
      <w:bookmarkStart w:id="27" w:name="_Toc9064"/>
      <w:bookmarkStart w:id="28" w:name="_Toc10301_WPSOffice_Level3"/>
      <w:bookmarkStart w:id="29" w:name="_Toc14096"/>
      <w:r>
        <w:rPr>
          <w:rFonts w:eastAsia="楷体_GB2312"/>
          <w:color w:val="auto"/>
        </w:rPr>
        <w:t>第三节  经济社会发展进入新的阶段</w:t>
      </w:r>
      <w:bookmarkEnd w:id="26"/>
      <w:bookmarkEnd w:id="27"/>
      <w:bookmarkEnd w:id="28"/>
      <w:bookmarkEnd w:id="29"/>
    </w:p>
    <w:p>
      <w:pPr>
        <w:spacing w:line="576" w:lineRule="exact"/>
        <w:ind w:firstLine="641"/>
        <w:rPr>
          <w:rFonts w:cs="Times New Roman"/>
          <w:color w:val="auto"/>
          <w:kern w:val="0"/>
          <w:szCs w:val="32"/>
        </w:rPr>
      </w:pPr>
      <w:r>
        <w:rPr>
          <w:rFonts w:cs="Times New Roman"/>
          <w:color w:val="auto"/>
          <w:kern w:val="0"/>
          <w:szCs w:val="32"/>
        </w:rPr>
        <w:t>我县已经迈入以高质量发展为根本要求的新时代，进入内生动力全面迸发、后发优势加速彰显的快速发展期，经济社会发展呈现出一系列新特征。</w:t>
      </w:r>
    </w:p>
    <w:p>
      <w:pPr>
        <w:spacing w:line="576" w:lineRule="exact"/>
        <w:ind w:firstLine="641"/>
        <w:rPr>
          <w:rFonts w:cs="Times New Roman"/>
          <w:color w:val="auto"/>
          <w:kern w:val="0"/>
          <w:szCs w:val="32"/>
        </w:rPr>
      </w:pPr>
      <w:bookmarkStart w:id="30" w:name="_Toc18463"/>
      <w:r>
        <w:rPr>
          <w:rFonts w:cs="Times New Roman"/>
          <w:b/>
          <w:bCs/>
          <w:color w:val="auto"/>
        </w:rPr>
        <w:t>生态屏障持续巩固期</w:t>
      </w:r>
      <w:r>
        <w:rPr>
          <w:rFonts w:cs="Times New Roman"/>
          <w:color w:val="auto"/>
        </w:rPr>
        <w:t>。</w:t>
      </w:r>
      <w:r>
        <w:rPr>
          <w:rFonts w:cs="Times New Roman"/>
          <w:color w:val="auto"/>
          <w:kern w:val="0"/>
          <w:szCs w:val="32"/>
        </w:rPr>
        <w:t>生态文明建设是关乎中华民族永续发展的根本大计。我县作为大渡河上游重要生态屏障和水源涵养地，具有极重要的水源涵养和突出的水土保持、生物多样性维护等生态功能，对全州全省生态安全屏障建设乃至全国生态安全维护均具有重要作用。同时，绿水青山、绿色生态也是我县最大的发展优势，县委作出推动大渡河上游生态重在保护要在治理高质量发展的重大决定，“十四五”期间必将持续打好补齐生态环境短板的攻坚战和持久战，推动生态建设进入良性循环新阶段，为筑牢大渡河上游生态安全屏障奉献更多金川力量。</w:t>
      </w:r>
    </w:p>
    <w:p>
      <w:pPr>
        <w:spacing w:line="576" w:lineRule="exact"/>
        <w:ind w:firstLine="641"/>
        <w:rPr>
          <w:rFonts w:cs="Times New Roman"/>
          <w:color w:val="auto"/>
          <w:kern w:val="0"/>
          <w:szCs w:val="32"/>
        </w:rPr>
      </w:pPr>
      <w:r>
        <w:rPr>
          <w:rFonts w:cs="Times New Roman"/>
          <w:b/>
          <w:bCs/>
          <w:color w:val="auto"/>
        </w:rPr>
        <w:t>经济发展跨越赶超期</w:t>
      </w:r>
      <w:r>
        <w:rPr>
          <w:rFonts w:cs="Times New Roman"/>
          <w:color w:val="auto"/>
        </w:rPr>
        <w:t>。</w:t>
      </w:r>
      <w:r>
        <w:rPr>
          <w:rFonts w:cs="Times New Roman"/>
          <w:color w:val="auto"/>
          <w:kern w:val="0"/>
          <w:szCs w:val="32"/>
        </w:rPr>
        <w:t>我县自然资源富集，水能和锂硅资源丰富，历史文化璀璨，发展生态农业、绿色工业、特色旅游业等新兴产业具有独特的优势。随着从“一畜一果”为主的农业，到“一水一矿”为主的工业，再到“一花一叶”为主的旅游业，经济基础不断夯实，发展要素加速聚集，再经过几年的不懈努力，我县有望跻身全州发展前列，真正实现由资源大县向资源强县的历史性跨越，“四地三县两个金川”宏伟蓝图将一步一步变为美好现实。</w:t>
      </w:r>
    </w:p>
    <w:p>
      <w:pPr>
        <w:spacing w:line="576" w:lineRule="exact"/>
        <w:ind w:firstLine="641"/>
        <w:rPr>
          <w:rFonts w:cs="Times New Roman"/>
          <w:color w:val="auto"/>
          <w:kern w:val="0"/>
          <w:szCs w:val="32"/>
        </w:rPr>
      </w:pPr>
      <w:r>
        <w:rPr>
          <w:rFonts w:cs="Times New Roman"/>
          <w:b/>
          <w:bCs/>
          <w:color w:val="auto"/>
        </w:rPr>
        <w:t>城乡融合加速推进期</w:t>
      </w:r>
      <w:r>
        <w:rPr>
          <w:rFonts w:cs="Times New Roman"/>
          <w:color w:val="auto"/>
        </w:rPr>
        <w:t>。</w:t>
      </w:r>
      <w:r>
        <w:rPr>
          <w:rFonts w:cs="Times New Roman"/>
          <w:color w:val="auto"/>
          <w:kern w:val="0"/>
          <w:szCs w:val="32"/>
        </w:rPr>
        <w:t>我县城镇化率与全州、全省相比存在较大差距，面临加快城镇化进程的繁重任务，同时，城乡发展不平衡、农村发展不充分的问题也十分突出。“十四五”期间，在新型城镇化和乡村振兴战略协同推进的背景下，以县城为重要载体的新型城镇化建设取得重大进展，乡镇发展成为服务农民的区域中心，以城带乡能力显著增强，资源要素在城乡间双向自由流动的态势进一步确立，农村劳动力就地就近转移就业的空间进一步拓展，将有力推动乡村产业、人才、文化、生态、组织全面振兴，加快形成城乡共促共荣共兴的融合发展新局面。</w:t>
      </w:r>
    </w:p>
    <w:p>
      <w:pPr>
        <w:spacing w:line="576" w:lineRule="exact"/>
        <w:ind w:firstLine="641"/>
        <w:rPr>
          <w:rFonts w:cs="Times New Roman"/>
          <w:color w:val="auto"/>
          <w:kern w:val="0"/>
          <w:szCs w:val="32"/>
        </w:rPr>
      </w:pPr>
      <w:r>
        <w:rPr>
          <w:rFonts w:cs="Times New Roman"/>
          <w:b/>
          <w:bCs/>
          <w:color w:val="auto"/>
        </w:rPr>
        <w:t>民生质量全面改善期</w:t>
      </w:r>
      <w:r>
        <w:rPr>
          <w:rFonts w:cs="Times New Roman"/>
          <w:color w:val="auto"/>
        </w:rPr>
        <w:t>。</w:t>
      </w:r>
      <w:r>
        <w:rPr>
          <w:rFonts w:cs="Times New Roman"/>
          <w:color w:val="auto"/>
          <w:kern w:val="0"/>
          <w:szCs w:val="32"/>
        </w:rPr>
        <w:t>随着社会主要矛盾变化及消费转型升级需求，不断补齐发展短板、满足群众高品质生活已逐步成为社会刚性需求。我县在历史性消除绝对贫困基础上，人民群众对美好生活的需要正从物质需求转变为精神、文化、安全、公正等各方面需求。随着国家对民族地区民生和社会事业支持力度不断加大，基本公共服务均等化</w:t>
      </w:r>
      <w:r>
        <w:rPr>
          <w:rFonts w:hint="eastAsia" w:cs="Times New Roman"/>
          <w:color w:val="auto"/>
          <w:kern w:val="0"/>
          <w:szCs w:val="32"/>
          <w:lang w:val="en-US" w:eastAsia="zh-CN"/>
        </w:rPr>
        <w:t>进程加快</w:t>
      </w:r>
      <w:r>
        <w:rPr>
          <w:rFonts w:cs="Times New Roman"/>
          <w:color w:val="auto"/>
          <w:kern w:val="0"/>
          <w:szCs w:val="32"/>
        </w:rPr>
        <w:t>，我县在民生和社会事业领域支出占比势必持续提高，公共服务短板将得到有效破解，社会公平正义将进一步彰显，人民群众将享更优质均衡的教育、更公平可及的医疗卫生、</w:t>
      </w:r>
      <w:r>
        <w:rPr>
          <w:rFonts w:hint="eastAsia" w:cs="Times New Roman"/>
          <w:color w:val="auto"/>
          <w:kern w:val="0"/>
          <w:szCs w:val="32"/>
        </w:rPr>
        <w:t>有更充分高质的就业、</w:t>
      </w:r>
      <w:r>
        <w:rPr>
          <w:rFonts w:cs="Times New Roman"/>
          <w:color w:val="auto"/>
          <w:kern w:val="0"/>
          <w:szCs w:val="32"/>
        </w:rPr>
        <w:t>更普惠稳定的社会保障。</w:t>
      </w:r>
    </w:p>
    <w:bookmarkEnd w:id="30"/>
    <w:p>
      <w:pPr>
        <w:spacing w:line="576" w:lineRule="exact"/>
        <w:ind w:firstLine="641"/>
        <w:rPr>
          <w:rFonts w:cs="Times New Roman"/>
          <w:color w:val="auto"/>
          <w:kern w:val="0"/>
          <w:szCs w:val="32"/>
        </w:rPr>
      </w:pPr>
      <w:r>
        <w:rPr>
          <w:rFonts w:cs="Times New Roman"/>
          <w:color w:val="auto"/>
          <w:kern w:val="0"/>
          <w:szCs w:val="32"/>
        </w:rPr>
        <w:t>面向未来，机遇是长期的、优势是坚实的，短板是暂时的，问题是短期的。全县上下要牢牢把握进入新发展阶段、贯彻新发展理念、构建新发展格局的实践要求，增强机遇意识和风险意识，遵循发展规律，发扬斗争精神，树立底线思维，加快建成“四地三县两个金川”，为全面建设社会主义现代化金川奠定坚实基础。</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31" w:name="_Toc26845_WPSOffice_Level2"/>
      <w:bookmarkStart w:id="32" w:name="_Toc26016"/>
      <w:bookmarkStart w:id="33" w:name="_Toc25421"/>
      <w:bookmarkStart w:id="34" w:name="_Toc11988"/>
      <w:r>
        <w:rPr>
          <w:rFonts w:ascii="Times New Roman" w:hAnsi="Times New Roman" w:eastAsia="黑体"/>
          <w:b w:val="0"/>
          <w:bCs w:val="0"/>
          <w:color w:val="auto"/>
          <w:kern w:val="2"/>
          <w:sz w:val="32"/>
          <w:szCs w:val="32"/>
        </w:rPr>
        <w:t>第二章  总体思路与发展目标</w:t>
      </w:r>
      <w:bookmarkEnd w:id="31"/>
      <w:bookmarkEnd w:id="32"/>
      <w:bookmarkEnd w:id="33"/>
      <w:bookmarkEnd w:id="34"/>
    </w:p>
    <w:p>
      <w:pPr>
        <w:spacing w:line="576" w:lineRule="exact"/>
        <w:ind w:firstLine="641"/>
        <w:rPr>
          <w:rFonts w:cs="Times New Roman"/>
          <w:color w:val="auto"/>
          <w:kern w:val="0"/>
          <w:szCs w:val="32"/>
        </w:rPr>
      </w:pPr>
      <w:r>
        <w:rPr>
          <w:rFonts w:cs="Times New Roman"/>
          <w:color w:val="auto"/>
          <w:kern w:val="0"/>
          <w:szCs w:val="32"/>
        </w:rPr>
        <w:t>“十四五”时期，破解我县发展难题、厚植发展优势，必须坚持高质量发展，坚定不移把“创新、协调、绿色、开放、共享”发展理念贯彻到发展全过程和各领域。</w:t>
      </w:r>
    </w:p>
    <w:p>
      <w:pPr>
        <w:pStyle w:val="5"/>
        <w:spacing w:before="156" w:beforeLines="50" w:after="156" w:afterLines="50" w:line="576" w:lineRule="exact"/>
        <w:jc w:val="center"/>
        <w:rPr>
          <w:rFonts w:eastAsia="楷体_GB2312"/>
          <w:color w:val="auto"/>
        </w:rPr>
      </w:pPr>
      <w:bookmarkStart w:id="35" w:name="_Toc20755"/>
      <w:bookmarkStart w:id="36" w:name="_Toc23147"/>
      <w:bookmarkStart w:id="37" w:name="_Toc5421"/>
      <w:bookmarkStart w:id="38" w:name="_Toc18500_WPSOffice_Level3"/>
      <w:r>
        <w:rPr>
          <w:rFonts w:eastAsia="楷体_GB2312"/>
          <w:color w:val="auto"/>
        </w:rPr>
        <w:t>第一节  指导思想</w:t>
      </w:r>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高举中国特色社会主义伟大旗帜，坚持以习近平新时代中国特色社会主义思想为指导，全面贯彻习近平总书记对四川工作系列重要指示精神和关于涉藏工作的重要论述，认真践行生态“重在保护、要在治理、高质量发展”理念，深入落实新时代党的治藏方略和省委涉藏工作部署，统筹推进“五位一体”总体布局，协调推进“四个全面”战略布局，坚定贯彻新发展理念，坚持稳中求进工作总基调，以推动长治久安和高质量发展为主题，以深化供给侧结构性改革为主线，以改革创新为根本动力，以满足人民日益增长的美好生活需要为根本目的，紧扣“生态、发展、民生、稳定、作风”五个关键，深化拓展“全域生态、三区共兴，四地同推、五项引领，四向通畅、全域开放”战略部署，全面加强治理体系和治理能力现代化建设，推动经济社会发展于变局中开新局、扩增量中提</w:t>
      </w:r>
      <w:r>
        <w:rPr>
          <w:rFonts w:ascii="Times New Roman" w:hAnsi="Times New Roman" w:cs="Times New Roman"/>
          <w:color w:val="auto"/>
          <w:kern w:val="0"/>
          <w:szCs w:val="32"/>
        </w:rPr>
        <w:t>质量</w:t>
      </w:r>
      <w:r>
        <w:rPr>
          <w:rFonts w:cs="Times New Roman"/>
          <w:color w:val="auto"/>
          <w:kern w:val="0"/>
          <w:szCs w:val="32"/>
        </w:rPr>
        <w:t>，确保实现高质量发展，加快建成“四地三县两个金川”，为全面建设社会主义现代化开好局、起好步。</w:t>
      </w:r>
    </w:p>
    <w:p>
      <w:pPr>
        <w:pStyle w:val="5"/>
        <w:spacing w:before="156" w:beforeLines="50" w:after="156" w:afterLines="50" w:line="576" w:lineRule="exact"/>
        <w:jc w:val="center"/>
        <w:rPr>
          <w:rFonts w:eastAsia="楷体_GB2312"/>
          <w:color w:val="auto"/>
        </w:rPr>
      </w:pPr>
      <w:bookmarkStart w:id="39" w:name="_Toc29658"/>
      <w:bookmarkStart w:id="40" w:name="_Toc20013_WPSOffice_Level3"/>
      <w:bookmarkStart w:id="41" w:name="_Toc14699"/>
      <w:bookmarkStart w:id="42" w:name="_Toc6817"/>
      <w:r>
        <w:rPr>
          <w:rFonts w:eastAsia="楷体_GB2312"/>
          <w:color w:val="auto"/>
        </w:rPr>
        <w:t>第二节  基本原则</w:t>
      </w:r>
      <w:bookmarkEnd w:id="39"/>
      <w:bookmarkEnd w:id="40"/>
      <w:bookmarkEnd w:id="41"/>
      <w:bookmarkEnd w:id="42"/>
    </w:p>
    <w:p>
      <w:pPr>
        <w:spacing w:line="576" w:lineRule="exact"/>
        <w:ind w:firstLine="641"/>
        <w:rPr>
          <w:rFonts w:cs="Times New Roman"/>
          <w:color w:val="auto"/>
          <w:kern w:val="0"/>
          <w:szCs w:val="32"/>
        </w:rPr>
      </w:pPr>
      <w:r>
        <w:rPr>
          <w:rFonts w:cs="Times New Roman"/>
          <w:color w:val="auto"/>
          <w:kern w:val="0"/>
          <w:szCs w:val="32"/>
        </w:rPr>
        <w:t>遵循上述指导思想，要在发展中把握好以下原则：</w:t>
      </w:r>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b/>
          <w:bCs/>
          <w:color w:val="auto"/>
          <w:szCs w:val="32"/>
        </w:rPr>
        <w:t>坚持党的全面领导</w:t>
      </w:r>
      <w:r>
        <w:rPr>
          <w:rFonts w:cs="Times New Roman"/>
          <w:color w:val="auto"/>
        </w:rPr>
        <w:t>。</w:t>
      </w:r>
      <w:r>
        <w:rPr>
          <w:rFonts w:cs="Times New Roman"/>
          <w:color w:val="auto"/>
          <w:kern w:val="0"/>
          <w:szCs w:val="32"/>
        </w:rPr>
        <w:t>坚持和完善党领导经济社会发展的体制机制，坚持党把方向、谋大局、定政策的核心领导作用，贯彻落实党委研究经济社会发展战略、定期分析经济形势、研究重大政策的工作机制，不断提高贯彻新发展理念、融入新发展格局能力和水平，为实现高质量发展提供根本保证。</w:t>
      </w:r>
    </w:p>
    <w:p>
      <w:pPr>
        <w:spacing w:line="576" w:lineRule="exact"/>
        <w:ind w:firstLine="641"/>
        <w:rPr>
          <w:rFonts w:cs="Times New Roman"/>
          <w:color w:val="auto"/>
          <w:kern w:val="0"/>
          <w:szCs w:val="32"/>
        </w:rPr>
      </w:pPr>
      <w:r>
        <w:rPr>
          <w:rFonts w:cs="Times New Roman"/>
          <w:b/>
          <w:bCs/>
          <w:color w:val="auto"/>
          <w:szCs w:val="32"/>
        </w:rPr>
        <w:t>坚持以人民为中心</w:t>
      </w:r>
      <w:r>
        <w:rPr>
          <w:rFonts w:cs="Times New Roman"/>
          <w:color w:val="auto"/>
        </w:rPr>
        <w:t>。</w:t>
      </w:r>
      <w:r>
        <w:rPr>
          <w:rFonts w:cs="Times New Roman"/>
          <w:color w:val="auto"/>
          <w:kern w:val="0"/>
          <w:szCs w:val="32"/>
        </w:rPr>
        <w:t>坚持以人民为中心的发展思想，把满足人民群众对美好生活的向往作为奋斗目标，推动巩固拓展脱贫攻坚成果同乡村振兴有效衔接，聚力补齐短板、提升弱项，推动硬件与软件同步巩固提升，让发展成果更多更公平惠及全体人民，不断增强群众的获得感、幸福感、认同感。</w:t>
      </w:r>
    </w:p>
    <w:p>
      <w:pPr>
        <w:spacing w:line="576" w:lineRule="exact"/>
        <w:ind w:firstLine="641"/>
        <w:rPr>
          <w:rFonts w:cs="Times New Roman"/>
          <w:color w:val="auto"/>
          <w:kern w:val="0"/>
          <w:szCs w:val="32"/>
        </w:rPr>
      </w:pPr>
      <w:r>
        <w:rPr>
          <w:rFonts w:cs="Times New Roman"/>
          <w:b/>
          <w:bCs/>
          <w:color w:val="auto"/>
          <w:szCs w:val="32"/>
        </w:rPr>
        <w:t>坚持新发展理念</w:t>
      </w:r>
      <w:r>
        <w:rPr>
          <w:rFonts w:cs="Times New Roman"/>
          <w:color w:val="auto"/>
        </w:rPr>
        <w:t>。</w:t>
      </w:r>
      <w:r>
        <w:rPr>
          <w:rFonts w:cs="Times New Roman"/>
          <w:color w:val="auto"/>
          <w:kern w:val="0"/>
          <w:szCs w:val="32"/>
        </w:rPr>
        <w:t>坚定不移把</w:t>
      </w:r>
      <w:r>
        <w:rPr>
          <w:rFonts w:hint="eastAsia" w:cs="Times New Roman"/>
          <w:color w:val="auto"/>
          <w:kern w:val="0"/>
          <w:szCs w:val="32"/>
        </w:rPr>
        <w:t>“创新、协调、绿色、开放、共享”发展理念</w:t>
      </w:r>
      <w:r>
        <w:rPr>
          <w:rFonts w:cs="Times New Roman"/>
          <w:color w:val="auto"/>
          <w:kern w:val="0"/>
          <w:szCs w:val="32"/>
        </w:rPr>
        <w:t>贯穿金川经济社会发展的全过程和各领域，落实高质量发展要求，以“锂资源和清洁能源绿色开发示范基地”建设为抓手，大力发展生态农牧业、清洁能源、锂电材料、文化旅游等优势产业，</w:t>
      </w:r>
      <w:r>
        <w:rPr>
          <w:rFonts w:hint="eastAsia" w:cs="Times New Roman"/>
          <w:color w:val="auto"/>
          <w:kern w:val="0"/>
          <w:szCs w:val="32"/>
        </w:rPr>
        <w:t>做响</w:t>
      </w:r>
      <w:r>
        <w:rPr>
          <w:rFonts w:cs="Times New Roman"/>
          <w:color w:val="auto"/>
          <w:kern w:val="0"/>
          <w:szCs w:val="32"/>
        </w:rPr>
        <w:t>“一果一畜”“一水一矿”“一花一叶”</w:t>
      </w:r>
      <w:r>
        <w:rPr>
          <w:rFonts w:cs="Times New Roman"/>
          <w:b/>
          <w:bCs/>
          <w:color w:val="auto"/>
          <w:kern w:val="0"/>
          <w:szCs w:val="32"/>
        </w:rPr>
        <w:t>“</w:t>
      </w:r>
      <w:bookmarkStart w:id="682" w:name="_GoBack"/>
      <w:bookmarkEnd w:id="682"/>
      <w:r>
        <w:rPr>
          <w:rFonts w:cs="Times New Roman"/>
          <w:b/>
          <w:bCs/>
          <w:color w:val="auto"/>
          <w:kern w:val="0"/>
          <w:szCs w:val="32"/>
        </w:rPr>
        <w:t>一文一品”</w:t>
      </w:r>
      <w:r>
        <w:rPr>
          <w:rFonts w:cs="Times New Roman"/>
          <w:color w:val="auto"/>
          <w:kern w:val="0"/>
          <w:szCs w:val="32"/>
        </w:rPr>
        <w:t>品牌，加快构建具有金川特色的现代化生态产业体系，探索民族地区高质量发展的新路子。</w:t>
      </w:r>
    </w:p>
    <w:p>
      <w:pPr>
        <w:spacing w:line="576" w:lineRule="exact"/>
        <w:ind w:firstLine="641"/>
        <w:rPr>
          <w:rFonts w:cs="Times New Roman"/>
          <w:color w:val="auto"/>
          <w:kern w:val="0"/>
          <w:szCs w:val="32"/>
        </w:rPr>
      </w:pPr>
      <w:r>
        <w:rPr>
          <w:rFonts w:cs="Times New Roman"/>
          <w:b/>
          <w:bCs/>
          <w:color w:val="auto"/>
          <w:szCs w:val="32"/>
        </w:rPr>
        <w:t>坚持深化改革开放</w:t>
      </w:r>
      <w:r>
        <w:rPr>
          <w:rFonts w:cs="Times New Roman"/>
          <w:color w:val="auto"/>
        </w:rPr>
        <w:t>。</w:t>
      </w:r>
      <w:r>
        <w:rPr>
          <w:rFonts w:cs="Times New Roman"/>
          <w:color w:val="auto"/>
          <w:kern w:val="0"/>
          <w:szCs w:val="32"/>
        </w:rPr>
        <w:t>坚定不移推进改革，破除制约高质量发展、高品质生活的体制机制障碍，强化有利于提高资源配置效率、有利于调动全社会积极性的重大改革开放举措；坚定不移扩大开放，全面融入双循环新发展格局，以开放拓展发展空间，持续增强发展动力和活力。</w:t>
      </w:r>
    </w:p>
    <w:p>
      <w:pPr>
        <w:spacing w:line="576" w:lineRule="exact"/>
        <w:ind w:firstLine="641"/>
        <w:rPr>
          <w:rFonts w:cs="Times New Roman"/>
          <w:color w:val="auto"/>
          <w:kern w:val="0"/>
          <w:szCs w:val="32"/>
        </w:rPr>
      </w:pPr>
      <w:r>
        <w:rPr>
          <w:rFonts w:cs="Times New Roman"/>
          <w:b/>
          <w:bCs/>
          <w:color w:val="auto"/>
          <w:szCs w:val="32"/>
        </w:rPr>
        <w:t>坚持系统思维观念</w:t>
      </w:r>
      <w:r>
        <w:rPr>
          <w:rFonts w:cs="Times New Roman"/>
          <w:color w:val="auto"/>
        </w:rPr>
        <w:t>。坚定</w:t>
      </w:r>
      <w:r>
        <w:rPr>
          <w:rFonts w:hint="eastAsia" w:cs="Times New Roman"/>
          <w:color w:val="auto"/>
        </w:rPr>
        <w:t>“上下一条心”、下好“全县一盘棋”，</w:t>
      </w:r>
      <w:r>
        <w:rPr>
          <w:rFonts w:cs="Times New Roman"/>
          <w:color w:val="auto"/>
          <w:kern w:val="0"/>
          <w:szCs w:val="32"/>
        </w:rPr>
        <w:t>加强前瞻性思考、全局性谋划、战略性布局、整体性推进，着力固根基、扬优势、补短板、强弱项，提高防范化解重大风险能力，实现发展质量、结构、规模、速度、效益、安全相统一。</w:t>
      </w:r>
    </w:p>
    <w:p>
      <w:pPr>
        <w:pStyle w:val="5"/>
        <w:spacing w:before="156" w:beforeLines="50" w:after="156" w:afterLines="50" w:line="576" w:lineRule="exact"/>
        <w:jc w:val="center"/>
        <w:rPr>
          <w:rFonts w:eastAsia="楷体_GB2312"/>
          <w:color w:val="auto"/>
        </w:rPr>
      </w:pPr>
      <w:bookmarkStart w:id="43" w:name="_Toc24577"/>
      <w:bookmarkStart w:id="44" w:name="_Toc26575"/>
      <w:bookmarkStart w:id="45" w:name="_Toc18723_WPSOffice_Level3"/>
      <w:bookmarkStart w:id="46" w:name="_Toc28804"/>
      <w:r>
        <w:rPr>
          <w:rFonts w:hint="eastAsia" w:eastAsia="楷体_GB2312"/>
          <w:color w:val="auto"/>
          <w:lang w:val="en-US" w:eastAsia="zh-CN"/>
        </w:rPr>
        <w:t xml:space="preserve"> </w:t>
      </w:r>
      <w:r>
        <w:rPr>
          <w:rFonts w:eastAsia="楷体_GB2312"/>
          <w:color w:val="auto"/>
        </w:rPr>
        <w:t>第三节  发展目标</w:t>
      </w:r>
      <w:bookmarkEnd w:id="43"/>
      <w:bookmarkEnd w:id="44"/>
      <w:bookmarkEnd w:id="45"/>
      <w:bookmarkEnd w:id="46"/>
    </w:p>
    <w:p>
      <w:pPr>
        <w:spacing w:line="576" w:lineRule="exact"/>
        <w:ind w:firstLine="641"/>
        <w:rPr>
          <w:rFonts w:cs="Times New Roman"/>
          <w:color w:val="auto"/>
          <w:kern w:val="0"/>
          <w:szCs w:val="32"/>
        </w:rPr>
      </w:pPr>
      <w:r>
        <w:rPr>
          <w:rFonts w:cs="Times New Roman"/>
          <w:color w:val="auto"/>
          <w:kern w:val="0"/>
          <w:szCs w:val="32"/>
        </w:rPr>
        <w:t>立足“两个一百年”奋斗目标有机衔接，综合考虑内外环境和阶段性特征，统筹短期和长远，兼顾需要和可能，今后五年要努力实现以下主要目标：</w:t>
      </w:r>
    </w:p>
    <w:p>
      <w:pPr>
        <w:spacing w:line="576" w:lineRule="exact"/>
        <w:ind w:firstLine="641"/>
        <w:rPr>
          <w:rFonts w:cs="Times New Roman"/>
          <w:color w:val="auto"/>
          <w:kern w:val="0"/>
          <w:szCs w:val="32"/>
        </w:rPr>
      </w:pPr>
      <w:r>
        <w:rPr>
          <w:rFonts w:cs="Times New Roman"/>
          <w:b/>
          <w:bCs/>
          <w:color w:val="auto"/>
        </w:rPr>
        <w:t>生态建设实现新进步</w:t>
      </w:r>
      <w:r>
        <w:rPr>
          <w:rFonts w:cs="Times New Roman"/>
          <w:color w:val="auto"/>
        </w:rPr>
        <w:t>。</w:t>
      </w:r>
      <w:r>
        <w:rPr>
          <w:rFonts w:cs="Times New Roman"/>
          <w:color w:val="auto"/>
          <w:kern w:val="0"/>
          <w:szCs w:val="32"/>
        </w:rPr>
        <w:t>“全域生态、三区共兴”建设取得重大进展，大渡河上游生态屏障区生态环境质量持续改善，建成国家生态文明示范县。精准治污成效显著，主要污染物排放总量继续减少，人居环境更加优美，空气质量保持全国领先。能源资源配置合理、利用效率大幅提高，绿色生产生活方式成为常态。</w:t>
      </w:r>
    </w:p>
    <w:p>
      <w:pPr>
        <w:spacing w:line="576" w:lineRule="exact"/>
        <w:ind w:firstLine="641"/>
        <w:rPr>
          <w:rFonts w:cs="Times New Roman"/>
          <w:color w:val="auto"/>
          <w:kern w:val="0"/>
          <w:szCs w:val="32"/>
        </w:rPr>
      </w:pPr>
      <w:r>
        <w:rPr>
          <w:rFonts w:cs="Times New Roman"/>
          <w:b/>
          <w:bCs/>
          <w:color w:val="auto"/>
        </w:rPr>
        <w:t>经济实力迈上新台阶。</w:t>
      </w:r>
      <w:r>
        <w:rPr>
          <w:rFonts w:cs="Times New Roman"/>
          <w:color w:val="auto"/>
          <w:kern w:val="0"/>
          <w:szCs w:val="32"/>
        </w:rPr>
        <w:t>地区生产总值增速保持高于省州平均水平，经济总量达到全州靠前水平。“四地同推、五项引领”发展机制更加健全，城乡发展更加协调，产业结构更加优化，以生态经济为支撑的现代产业体系结构更加合理，县域经济发展质量进一步提高。</w:t>
      </w:r>
    </w:p>
    <w:p>
      <w:pPr>
        <w:spacing w:line="576" w:lineRule="exact"/>
        <w:ind w:firstLine="641"/>
        <w:rPr>
          <w:rFonts w:cs="Times New Roman"/>
          <w:color w:val="auto"/>
          <w:szCs w:val="32"/>
        </w:rPr>
      </w:pPr>
      <w:r>
        <w:rPr>
          <w:rFonts w:cs="Times New Roman"/>
          <w:b/>
          <w:bCs/>
          <w:color w:val="auto"/>
        </w:rPr>
        <w:t>民生福祉达到新水平</w:t>
      </w:r>
      <w:r>
        <w:rPr>
          <w:rFonts w:cs="Times New Roman"/>
          <w:color w:val="auto"/>
          <w:szCs w:val="32"/>
        </w:rPr>
        <w:t>。</w:t>
      </w:r>
      <w:r>
        <w:rPr>
          <w:rFonts w:cs="Times New Roman"/>
          <w:color w:val="auto"/>
          <w:kern w:val="0"/>
          <w:szCs w:val="32"/>
        </w:rPr>
        <w:t>实现更加充分更高质量就业，居民收入与经济增长保持基本同步，民生短板加快补齐，城乡基本公共服务均等化水平显著提高，现代化教育强县建设取得实质进展，卫生健康体系更加完善，社会保障体系更加健全，人民群众获得感幸福感全面增强。</w:t>
      </w:r>
    </w:p>
    <w:p>
      <w:pPr>
        <w:spacing w:line="576" w:lineRule="exact"/>
        <w:ind w:firstLine="641"/>
        <w:rPr>
          <w:rFonts w:cs="Times New Roman"/>
          <w:color w:val="auto"/>
          <w:kern w:val="0"/>
          <w:szCs w:val="32"/>
        </w:rPr>
      </w:pPr>
      <w:r>
        <w:rPr>
          <w:rFonts w:cs="Times New Roman"/>
          <w:b/>
          <w:bCs/>
          <w:color w:val="auto"/>
          <w:szCs w:val="32"/>
        </w:rPr>
        <w:t>开放合作开创新局面</w:t>
      </w:r>
      <w:r>
        <w:rPr>
          <w:rFonts w:cs="Times New Roman"/>
          <w:color w:val="auto"/>
          <w:szCs w:val="32"/>
        </w:rPr>
        <w:t>。</w:t>
      </w:r>
      <w:r>
        <w:rPr>
          <w:rFonts w:cs="Times New Roman"/>
          <w:color w:val="auto"/>
          <w:kern w:val="0"/>
          <w:szCs w:val="32"/>
        </w:rPr>
        <w:t>“四向通畅、全域开放”态势持续深化，全面融入双循环新发展格局取得积极进展，主动融入、主动服务、主动贡献成渝地区双城经济圈建设迈出新步伐，开放合作“朋友圈”不断扩大，跨区域合作能级不断提升，统筹运用土地、技术、资本、数据和人力资源等生产要素能力显著增强，助力畅通国</w:t>
      </w:r>
      <w:r>
        <w:rPr>
          <w:rFonts w:hint="eastAsia" w:cs="Times New Roman"/>
          <w:color w:val="auto"/>
          <w:kern w:val="0"/>
          <w:szCs w:val="32"/>
        </w:rPr>
        <w:t>内</w:t>
      </w:r>
      <w:r>
        <w:rPr>
          <w:rFonts w:cs="Times New Roman"/>
          <w:color w:val="auto"/>
          <w:kern w:val="0"/>
          <w:szCs w:val="32"/>
        </w:rPr>
        <w:t>经济大循环。</w:t>
      </w:r>
    </w:p>
    <w:p>
      <w:pPr>
        <w:spacing w:line="576" w:lineRule="exact"/>
        <w:ind w:firstLine="641"/>
        <w:rPr>
          <w:rFonts w:cs="Times New Roman"/>
          <w:color w:val="auto"/>
          <w:kern w:val="0"/>
          <w:szCs w:val="32"/>
        </w:rPr>
      </w:pPr>
      <w:r>
        <w:rPr>
          <w:rFonts w:cs="Times New Roman"/>
          <w:b/>
          <w:bCs/>
          <w:color w:val="auto"/>
          <w:szCs w:val="32"/>
        </w:rPr>
        <w:t>社会文明跃上新高度</w:t>
      </w:r>
      <w:r>
        <w:rPr>
          <w:rFonts w:cs="Times New Roman"/>
          <w:color w:val="auto"/>
        </w:rPr>
        <w:t>。</w:t>
      </w:r>
      <w:r>
        <w:rPr>
          <w:rFonts w:cs="Times New Roman"/>
          <w:color w:val="auto"/>
          <w:kern w:val="0"/>
          <w:szCs w:val="32"/>
        </w:rPr>
        <w:t>中华民族共同体意识深入人心，民族团结进步基础不断夯实，各民族共有精神家园进一步筑牢。社会主义核心价值观深入践行、“孝善和俭”美德持续弘扬，文明建设走深走实，人民思想道德素质、科学文化素质和身心健康素质明显提高，公共文化服务体系和文化产业体系更加健全，多元文化福地焕发新魅力。</w:t>
      </w:r>
    </w:p>
    <w:p>
      <w:pPr>
        <w:spacing w:line="576" w:lineRule="exact"/>
        <w:ind w:firstLine="641"/>
        <w:rPr>
          <w:rFonts w:cs="Times New Roman"/>
          <w:color w:val="auto"/>
          <w:kern w:val="0"/>
          <w:szCs w:val="32"/>
        </w:rPr>
      </w:pPr>
      <w:r>
        <w:rPr>
          <w:rFonts w:cs="Times New Roman"/>
          <w:b/>
          <w:bCs/>
          <w:color w:val="auto"/>
        </w:rPr>
        <w:t>社会治理得到新提升</w:t>
      </w:r>
      <w:r>
        <w:rPr>
          <w:rFonts w:cs="Times New Roman"/>
          <w:color w:val="auto"/>
          <w:szCs w:val="32"/>
        </w:rPr>
        <w:t>。</w:t>
      </w:r>
      <w:r>
        <w:rPr>
          <w:rFonts w:cs="Times New Roman"/>
          <w:color w:val="auto"/>
          <w:kern w:val="0"/>
          <w:szCs w:val="32"/>
        </w:rPr>
        <w:t>基层治理体系和治理能力现代化水平进一步提升，依法治县方略全面落实，“法治金川”“平安金川”建设不断深化，社会公平正义进一步彰显。防范化解重大风险体制机制不断健全，突发公共事件应急能力显著增强，自然灾害防御水平明显提升，反分维稳能力不断增强，发展安全保障更加有力。</w:t>
      </w:r>
    </w:p>
    <w:tbl>
      <w:tblPr>
        <w:tblStyle w:val="27"/>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615"/>
        <w:gridCol w:w="3696"/>
        <w:gridCol w:w="990"/>
        <w:gridCol w:w="975"/>
        <w:gridCol w:w="855"/>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692" w:type="dxa"/>
            <w:gridSpan w:val="7"/>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b/>
                <w:color w:val="auto"/>
                <w:sz w:val="18"/>
                <w:szCs w:val="18"/>
              </w:rPr>
            </w:pPr>
            <w:bookmarkStart w:id="47" w:name="_Toc59680633"/>
            <w:bookmarkStart w:id="48" w:name="_Toc20013_WPSOffice_Level1"/>
            <w:r>
              <w:rPr>
                <w:rFonts w:hint="default" w:ascii="Times New Roman" w:hAnsi="Times New Roman" w:eastAsia="黑体" w:cs="Times New Roman"/>
                <w:b w:val="0"/>
                <w:bCs/>
                <w:color w:val="auto"/>
                <w:kern w:val="0"/>
                <w:sz w:val="28"/>
                <w:szCs w:val="28"/>
                <w:lang w:val="en-US" w:eastAsia="zh-CN"/>
              </w:rPr>
              <w:t xml:space="preserve">专栏2  </w:t>
            </w:r>
            <w:r>
              <w:rPr>
                <w:rFonts w:hint="default" w:ascii="Times New Roman" w:hAnsi="Times New Roman" w:eastAsia="黑体" w:cs="Times New Roman"/>
                <w:b w:val="0"/>
                <w:bCs/>
                <w:color w:val="auto"/>
                <w:kern w:val="0"/>
                <w:sz w:val="28"/>
                <w:szCs w:val="28"/>
              </w:rPr>
              <w:t>金川县“十四五”时期经济社会发展主要指标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blHeader/>
          <w:jc w:val="center"/>
        </w:trPr>
        <w:tc>
          <w:tcPr>
            <w:tcW w:w="777"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类别</w:t>
            </w:r>
          </w:p>
        </w:tc>
        <w:tc>
          <w:tcPr>
            <w:tcW w:w="4311" w:type="dxa"/>
            <w:gridSpan w:val="2"/>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指标名称</w:t>
            </w:r>
          </w:p>
        </w:tc>
        <w:tc>
          <w:tcPr>
            <w:tcW w:w="990"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2020年</w:t>
            </w:r>
          </w:p>
        </w:tc>
        <w:tc>
          <w:tcPr>
            <w:tcW w:w="975"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2025年</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年均[累计]增长</w:t>
            </w:r>
          </w:p>
        </w:tc>
        <w:tc>
          <w:tcPr>
            <w:tcW w:w="784" w:type="dxa"/>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restart"/>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经济</w:t>
            </w:r>
          </w:p>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发展</w:t>
            </w: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1.地区生产总值（亿元）</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20.7</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36</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9.0</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2.全员劳动生产率增长（%）</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eastAsiaTheme="minorEastAsia"/>
                <w:color w:val="auto"/>
                <w:sz w:val="18"/>
                <w:szCs w:val="18"/>
                <w:lang w:val="en-US" w:eastAsia="zh-CN"/>
              </w:rPr>
              <w:t>7.5</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3.地方财政一般公共预算收入（万元）</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10008</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20000</w:t>
            </w:r>
          </w:p>
        </w:tc>
        <w:tc>
          <w:tcPr>
            <w:tcW w:w="855" w:type="dxa"/>
            <w:vAlign w:val="center"/>
          </w:tcPr>
          <w:p>
            <w:pPr>
              <w:pageBreakBefore w:val="0"/>
              <w:kinsoku/>
              <w:wordWrap/>
              <w:overflowPunct/>
              <w:topLinePunct w:val="0"/>
              <w:bidi w:val="0"/>
              <w:snapToGrid/>
              <w:spacing w:line="240" w:lineRule="auto"/>
              <w:jc w:val="center"/>
              <w:textAlignment w:val="auto"/>
              <w:rPr>
                <w:rFonts w:hint="eastAsia" w:ascii="Times New Roman" w:hAnsi="Times New Roman" w:eastAsia="仿宋_GB2312" w:cs="Times New Roman"/>
                <w:color w:val="auto"/>
                <w:sz w:val="18"/>
                <w:szCs w:val="18"/>
                <w:lang w:eastAsia="zh-CN"/>
              </w:rPr>
            </w:pPr>
            <w:r>
              <w:rPr>
                <w:rFonts w:hint="default" w:ascii="Times New Roman" w:hAnsi="Times New Roman" w:cs="Times New Roman"/>
                <w:color w:val="auto"/>
                <w:sz w:val="18"/>
                <w:szCs w:val="18"/>
              </w:rPr>
              <w:t>14.</w:t>
            </w:r>
            <w:r>
              <w:rPr>
                <w:rFonts w:hint="eastAsia" w:cs="Times New Roman"/>
                <w:color w:val="auto"/>
                <w:sz w:val="18"/>
                <w:szCs w:val="18"/>
                <w:lang w:val="en-US" w:eastAsia="zh-CN"/>
              </w:rPr>
              <w:t>8</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4.全社会固定资产投资累计总额（亿元）</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r>
              <w:rPr>
                <w:rFonts w:hint="default" w:ascii="Times New Roman" w:hAnsi="Times New Roman" w:cs="Times New Roman"/>
                <w:color w:val="auto"/>
                <w:sz w:val="18"/>
                <w:szCs w:val="18"/>
                <w:lang w:val="en-US" w:eastAsia="zh-CN"/>
              </w:rPr>
              <w:t>1</w:t>
            </w: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5.社会消费品零售总额（</w:t>
            </w:r>
            <w:r>
              <w:rPr>
                <w:rFonts w:hint="default" w:ascii="Times New Roman" w:hAnsi="Times New Roman" w:cs="Times New Roman"/>
                <w:color w:val="auto"/>
                <w:sz w:val="18"/>
                <w:szCs w:val="18"/>
                <w:lang w:eastAsia="zh-CN"/>
              </w:rPr>
              <w:t>万</w:t>
            </w:r>
            <w:r>
              <w:rPr>
                <w:rFonts w:hint="default" w:ascii="Times New Roman" w:hAnsi="Times New Roman" w:cs="Times New Roman"/>
                <w:color w:val="auto"/>
                <w:sz w:val="18"/>
                <w:szCs w:val="18"/>
              </w:rPr>
              <w:t>元）</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66424</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97600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eastAsia="zh-CN"/>
              </w:rPr>
            </w:pPr>
            <w:r>
              <w:rPr>
                <w:rFonts w:hint="default" w:ascii="Times New Roman" w:hAnsi="Times New Roman" w:cs="Times New Roman"/>
                <w:color w:val="auto"/>
                <w:sz w:val="18"/>
                <w:szCs w:val="18"/>
                <w:lang w:val="en-US" w:eastAsia="zh-CN"/>
              </w:rPr>
              <w:t>8</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6.规模以上工业增加值增速（%）</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38</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7.旅游总收入（亿元）</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cs="Times New Roman"/>
                <w:color w:val="auto"/>
                <w:sz w:val="18"/>
                <w:szCs w:val="18"/>
              </w:rPr>
              <w:t>11.</w:t>
            </w:r>
            <w:r>
              <w:rPr>
                <w:rFonts w:hint="eastAsia" w:cs="Times New Roman"/>
                <w:color w:val="auto"/>
                <w:sz w:val="18"/>
                <w:szCs w:val="18"/>
                <w:lang w:val="en-US" w:eastAsia="zh-CN"/>
              </w:rPr>
              <w:t>55</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20.4</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12</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8.旅游接待人次（万人次）</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default" w:ascii="Times New Roman" w:hAnsi="Times New Roman" w:cs="Times New Roman"/>
                <w:color w:val="auto"/>
                <w:sz w:val="18"/>
                <w:szCs w:val="18"/>
              </w:rPr>
              <w:t>151.</w:t>
            </w:r>
            <w:r>
              <w:rPr>
                <w:rFonts w:hint="eastAsia" w:cs="Times New Roman"/>
                <w:color w:val="auto"/>
                <w:sz w:val="18"/>
                <w:szCs w:val="18"/>
                <w:lang w:val="en-US" w:eastAsia="zh-CN"/>
              </w:rPr>
              <w:t>86</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268</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12</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9.常住人口城镇化率（%）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40</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eastAsia="zh-CN"/>
              </w:rPr>
            </w:pPr>
            <w:r>
              <w:rPr>
                <w:rFonts w:hint="default" w:ascii="Times New Roman" w:hAnsi="Times New Roman" w:cs="Times New Roman"/>
                <w:color w:val="auto"/>
                <w:sz w:val="18"/>
                <w:szCs w:val="18"/>
              </w:rPr>
              <w:t>4</w:t>
            </w:r>
            <w:r>
              <w:rPr>
                <w:rFonts w:hint="default" w:ascii="Times New Roman" w:hAnsi="Times New Roman" w:cs="Times New Roman"/>
                <w:color w:val="auto"/>
                <w:sz w:val="18"/>
                <w:szCs w:val="18"/>
                <w:lang w:val="en-US" w:eastAsia="zh-CN"/>
              </w:rPr>
              <w:t>5</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restart"/>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创新</w:t>
            </w:r>
          </w:p>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驱动</w:t>
            </w: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10.研发经费投入增长（%）</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val="en-US" w:eastAsia="zh-CN"/>
              </w:rPr>
              <w:t>4</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11.研发经费投入强度（%）</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0.03</w:t>
            </w:r>
          </w:p>
        </w:tc>
        <w:tc>
          <w:tcPr>
            <w:tcW w:w="975" w:type="dxa"/>
            <w:vAlign w:val="center"/>
          </w:tcPr>
          <w:p>
            <w:pPr>
              <w:jc w:val="center"/>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0.15</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12.使用5G网络人口占比（%）</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60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13.每万人口高价值发明专利拥有量（件）</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0.6</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14.数字经济核心产业增加值占GDP比重（%）</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接近全州平均水平</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15.民营经济增加值占GDP比重（%）</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48</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50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restart"/>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民生</w:t>
            </w:r>
          </w:p>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福祉</w:t>
            </w: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16.居民人均可支配收入增长（%）</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8.5</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17.学前三年教育毛入学率（%）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18.劳动年龄人口平均受教育年限（年）</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[1]</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19.人均预期寿命（岁）</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77</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[2]</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615" w:type="dxa"/>
            <w:vMerge w:val="restart"/>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城镇</w:t>
            </w:r>
          </w:p>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就业</w:t>
            </w: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20.城镇新增就业岗位（个）</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4130</w:t>
            </w: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［4200］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615" w:type="dxa"/>
            <w:vMerge w:val="continue"/>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21.城镇调查登记失业率（%）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≤3.8</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22.每千人拥有执业（助理）医师数（名）</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23.每千人口拥有3岁以下婴幼儿的托位数（个）</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rPr>
            </w:pPr>
            <w:r>
              <w:rPr>
                <w:rFonts w:hint="default" w:ascii="Times New Roman" w:hAnsi="Times New Roman" w:cs="Times New Roman"/>
                <w:color w:val="auto"/>
                <w:sz w:val="18"/>
                <w:szCs w:val="18"/>
              </w:rPr>
              <w:t>0.2</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24.基本养老保险参保率（%）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94.49</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96</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restart"/>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绿色</w:t>
            </w:r>
          </w:p>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转型</w:t>
            </w:r>
          </w:p>
        </w:tc>
        <w:tc>
          <w:tcPr>
            <w:tcW w:w="615" w:type="dxa"/>
            <w:vMerge w:val="restart"/>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国土</w:t>
            </w:r>
          </w:p>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w:t>
            </w: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25.森林覆盖率（%）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45.86</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lang w:val="en-US" w:eastAsia="zh-CN"/>
              </w:rPr>
            </w:pPr>
            <w:r>
              <w:rPr>
                <w:rFonts w:hint="eastAsia" w:cs="Times New Roman"/>
                <w:color w:val="auto"/>
                <w:sz w:val="18"/>
                <w:szCs w:val="18"/>
                <w:lang w:val="en-US" w:eastAsia="zh-CN"/>
              </w:rPr>
              <w:t>45.91</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0</w:t>
            </w:r>
            <w:r>
              <w:rPr>
                <w:rFonts w:hint="default" w:ascii="Times New Roman" w:hAnsi="Times New Roman" w:cs="Times New Roman"/>
                <w:color w:val="auto"/>
                <w:sz w:val="18"/>
                <w:szCs w:val="18"/>
              </w:rPr>
              <w:t>5]</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615" w:type="dxa"/>
            <w:vMerge w:val="continue"/>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26.草原综合植被盖度（%）</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85.1</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86.5</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[1.4]</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615" w:type="dxa"/>
            <w:vMerge w:val="continue"/>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27.森林蓄积量（万立方米）</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3150</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3210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b/>
                <w:bCs/>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28.单位GDP能源消耗降低（%）</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29.单位GDP二氧化碳排放降低（%）</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30.地表水质量达到或好于III类水体比率（%）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31.县城空气优良天数比率（%）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达标</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615" w:type="dxa"/>
            <w:vMerge w:val="restart"/>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垃圾</w:t>
            </w:r>
          </w:p>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w:t>
            </w: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32.县城生活垃圾无害化处理率（%）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90</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95</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615" w:type="dxa"/>
            <w:vMerge w:val="continue"/>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p>
        </w:tc>
        <w:tc>
          <w:tcPr>
            <w:tcW w:w="3696" w:type="dxa"/>
            <w:vAlign w:val="center"/>
          </w:tcPr>
          <w:p>
            <w:pPr>
              <w:pageBreakBefore w:val="0"/>
              <w:kinsoku/>
              <w:wordWrap/>
              <w:overflowPunct/>
              <w:topLinePunct w:val="0"/>
              <w:bidi w:val="0"/>
              <w:snapToGrid/>
              <w:spacing w:line="240" w:lineRule="exact"/>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33.乡镇村生活垃圾收转运处置体系覆盖（%）</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95</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615" w:type="dxa"/>
            <w:vMerge w:val="restart"/>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污水</w:t>
            </w:r>
          </w:p>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w:t>
            </w: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34.县城生活污水处理率（%）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85</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90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615" w:type="dxa"/>
            <w:vMerge w:val="continue"/>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p>
        </w:tc>
        <w:tc>
          <w:tcPr>
            <w:tcW w:w="3696" w:type="dxa"/>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35.建制镇生活污水处理率（%）</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20</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highlight w:val="none"/>
              </w:rPr>
            </w:pPr>
            <w:r>
              <w:rPr>
                <w:rFonts w:hint="default" w:ascii="Times New Roman" w:hAnsi="Times New Roman" w:cs="Times New Roman"/>
                <w:color w:val="auto"/>
                <w:sz w:val="18"/>
                <w:szCs w:val="18"/>
                <w:highlight w:val="none"/>
              </w:rPr>
              <w:t>50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30</w:t>
            </w: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dxa"/>
            <w:vMerge w:val="restart"/>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安全</w:t>
            </w:r>
          </w:p>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保障</w:t>
            </w: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36.粮食综合生产能力（万吨）</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2</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eastAsia="仿宋_GB2312"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2</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77" w:type="dxa"/>
            <w:vMerge w:val="continue"/>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p>
        </w:tc>
        <w:tc>
          <w:tcPr>
            <w:tcW w:w="4311" w:type="dxa"/>
            <w:gridSpan w:val="2"/>
            <w:vAlign w:val="center"/>
          </w:tcPr>
          <w:p>
            <w:pPr>
              <w:pageBreakBefore w:val="0"/>
              <w:kinsoku/>
              <w:wordWrap/>
              <w:overflowPunct/>
              <w:topLinePunct w:val="0"/>
              <w:bidi w:val="0"/>
              <w:snapToGrid/>
              <w:spacing w:line="240" w:lineRule="auto"/>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37.能源综合生产能力（</w:t>
            </w:r>
            <w:r>
              <w:rPr>
                <w:rFonts w:hint="default" w:ascii="Times New Roman" w:hAnsi="Times New Roman" w:cs="Times New Roman"/>
                <w:color w:val="auto"/>
                <w:sz w:val="18"/>
                <w:szCs w:val="18"/>
                <w:highlight w:val="none"/>
                <w:lang w:eastAsia="zh-CN"/>
              </w:rPr>
              <w:t>万</w:t>
            </w:r>
            <w:r>
              <w:rPr>
                <w:rFonts w:hint="default" w:ascii="Times New Roman" w:hAnsi="Times New Roman" w:cs="Times New Roman"/>
                <w:color w:val="auto"/>
                <w:sz w:val="18"/>
                <w:szCs w:val="18"/>
                <w:highlight w:val="none"/>
              </w:rPr>
              <w:t>吨标准煤）</w:t>
            </w:r>
          </w:p>
        </w:tc>
        <w:tc>
          <w:tcPr>
            <w:tcW w:w="990"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97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eastAsiaTheme="minorEastAsia"/>
                <w:color w:val="auto"/>
                <w:sz w:val="18"/>
                <w:szCs w:val="18"/>
                <w:highlight w:val="none"/>
                <w:lang w:val="en-US" w:eastAsia="zh-CN"/>
              </w:rPr>
              <w:t>170</w:t>
            </w:r>
          </w:p>
        </w:tc>
        <w:tc>
          <w:tcPr>
            <w:tcW w:w="855"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784" w:type="dxa"/>
            <w:vAlign w:val="center"/>
          </w:tcPr>
          <w:p>
            <w:pPr>
              <w:pageBreakBefore w:val="0"/>
              <w:kinsoku/>
              <w:wordWrap/>
              <w:overflowPunct/>
              <w:topLinePunct w:val="0"/>
              <w:bidi w:val="0"/>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约束性</w:t>
            </w:r>
          </w:p>
        </w:tc>
      </w:tr>
    </w:tbl>
    <w:p>
      <w:pPr>
        <w:ind w:firstLine="210" w:firstLineChars="100"/>
        <w:rPr>
          <w:rFonts w:hint="eastAsia" w:cs="Times New Roman" w:eastAsiaTheme="minorEastAsia"/>
          <w:color w:val="auto"/>
          <w:sz w:val="21"/>
          <w:highlight w:val="yellow"/>
          <w:lang w:val="en-US" w:eastAsia="zh-CN"/>
        </w:rPr>
      </w:pPr>
      <w:r>
        <w:rPr>
          <w:rFonts w:cs="Times New Roman" w:eastAsiaTheme="minorEastAsia"/>
          <w:color w:val="auto"/>
          <w:sz w:val="21"/>
          <w:highlight w:val="none"/>
        </w:rPr>
        <w:t>注：1.GDP、全员劳动生产率增速按可比价计算。2. [ ]为五年累计数。</w:t>
      </w:r>
      <w:r>
        <w:rPr>
          <w:rFonts w:hint="eastAsia" w:cs="Times New Roman" w:eastAsiaTheme="minorEastAsia"/>
          <w:color w:val="auto"/>
          <w:sz w:val="21"/>
          <w:highlight w:val="none"/>
          <w:lang w:val="en-US" w:eastAsia="zh-CN"/>
        </w:rPr>
        <w:t>3.“达标”为完成上级考核任务</w:t>
      </w:r>
    </w:p>
    <w:p>
      <w:pPr>
        <w:pStyle w:val="5"/>
        <w:spacing w:before="156" w:beforeLines="50" w:after="156" w:afterLines="50" w:line="576" w:lineRule="exact"/>
        <w:jc w:val="center"/>
        <w:rPr>
          <w:rFonts w:eastAsia="楷体_GB2312"/>
          <w:color w:val="auto"/>
        </w:rPr>
      </w:pPr>
      <w:bookmarkStart w:id="49" w:name="_Toc21108"/>
      <w:bookmarkStart w:id="50" w:name="_Toc26731"/>
      <w:bookmarkStart w:id="51" w:name="_Toc21926"/>
      <w:r>
        <w:rPr>
          <w:rFonts w:eastAsia="楷体_GB2312"/>
          <w:color w:val="auto"/>
        </w:rPr>
        <w:t>第四节  远景目标</w:t>
      </w:r>
      <w:bookmarkEnd w:id="49"/>
      <w:bookmarkEnd w:id="50"/>
      <w:bookmarkEnd w:id="51"/>
    </w:p>
    <w:p>
      <w:pPr>
        <w:spacing w:line="576" w:lineRule="exact"/>
        <w:ind w:firstLine="641"/>
        <w:rPr>
          <w:rFonts w:cs="Times New Roman"/>
          <w:color w:val="auto"/>
          <w:kern w:val="0"/>
          <w:szCs w:val="32"/>
        </w:rPr>
      </w:pPr>
      <w:r>
        <w:rPr>
          <w:rFonts w:cs="Times New Roman"/>
          <w:color w:val="auto"/>
          <w:kern w:val="0"/>
          <w:szCs w:val="32"/>
        </w:rPr>
        <w:t>展望二〇三五年，金川将与全国同步基本实现社会主义现代化。</w:t>
      </w:r>
      <w:r>
        <w:rPr>
          <w:rFonts w:cs="Times New Roman"/>
          <w:b/>
          <w:bCs/>
          <w:color w:val="auto"/>
        </w:rPr>
        <w:t>生态环境更加优美</w:t>
      </w:r>
      <w:r>
        <w:rPr>
          <w:rFonts w:cs="Times New Roman"/>
          <w:color w:val="auto"/>
        </w:rPr>
        <w:t>，</w:t>
      </w:r>
      <w:r>
        <w:rPr>
          <w:rFonts w:ascii="Times New Roman" w:hAnsi="Times New Roman" w:cs="Times New Roman"/>
          <w:color w:val="auto"/>
          <w:kern w:val="0"/>
          <w:szCs w:val="32"/>
        </w:rPr>
        <w:t>大渡河</w:t>
      </w:r>
      <w:r>
        <w:rPr>
          <w:rFonts w:cs="Times New Roman"/>
          <w:color w:val="auto"/>
          <w:kern w:val="0"/>
          <w:szCs w:val="32"/>
        </w:rPr>
        <w:t>上游生态安全屏障更加稳固，生态环境根本好转，能源资源利用科学高效，生态文明制度体系更加健全，广泛形成</w:t>
      </w:r>
      <w:r>
        <w:rPr>
          <w:rFonts w:ascii="Times New Roman" w:hAnsi="Times New Roman" w:cs="Times New Roman"/>
          <w:color w:val="auto"/>
          <w:kern w:val="0"/>
          <w:szCs w:val="32"/>
        </w:rPr>
        <w:t>绿色</w:t>
      </w:r>
      <w:r>
        <w:rPr>
          <w:rFonts w:cs="Times New Roman"/>
          <w:color w:val="auto"/>
          <w:kern w:val="0"/>
          <w:szCs w:val="32"/>
        </w:rPr>
        <w:t>生产生活方式。</w:t>
      </w:r>
      <w:r>
        <w:rPr>
          <w:rFonts w:cs="Times New Roman"/>
          <w:b/>
          <w:bCs/>
          <w:color w:val="auto"/>
        </w:rPr>
        <w:t>经济实力大幅跃升</w:t>
      </w:r>
      <w:r>
        <w:rPr>
          <w:rFonts w:cs="Times New Roman"/>
          <w:color w:val="auto"/>
        </w:rPr>
        <w:t>，</w:t>
      </w:r>
      <w:r>
        <w:rPr>
          <w:rFonts w:cs="Times New Roman"/>
          <w:color w:val="auto"/>
          <w:kern w:val="0"/>
          <w:szCs w:val="32"/>
        </w:rPr>
        <w:t>新型工业化、信息化、城镇化、农业现代化取得突破性进展，经济总量、财政收入和城乡居民人均可支配收入节节攀升，城乡发展差距进一步缩小。</w:t>
      </w:r>
      <w:r>
        <w:rPr>
          <w:rFonts w:cs="Times New Roman"/>
          <w:b/>
          <w:bCs/>
          <w:color w:val="auto"/>
        </w:rPr>
        <w:t>人民生活更加美好</w:t>
      </w:r>
      <w:r>
        <w:rPr>
          <w:rFonts w:cs="Times New Roman"/>
          <w:color w:val="auto"/>
        </w:rPr>
        <w:t>，</w:t>
      </w:r>
      <w:r>
        <w:rPr>
          <w:rFonts w:cs="Times New Roman"/>
          <w:color w:val="auto"/>
          <w:kern w:val="0"/>
          <w:szCs w:val="32"/>
        </w:rPr>
        <w:t>社会事业发展水平显著提升，基本公共服务实现均等化，人民生活水平和质量显著提升，全面发展、共同富裕取得明显</w:t>
      </w:r>
      <w:r>
        <w:rPr>
          <w:rFonts w:hint="eastAsia" w:cs="Times New Roman"/>
          <w:color w:val="auto"/>
          <w:kern w:val="0"/>
          <w:szCs w:val="32"/>
        </w:rPr>
        <w:t>的</w:t>
      </w:r>
      <w:r>
        <w:rPr>
          <w:rFonts w:cs="Times New Roman"/>
          <w:color w:val="auto"/>
          <w:kern w:val="0"/>
          <w:szCs w:val="32"/>
        </w:rPr>
        <w:t>实质性进展。</w:t>
      </w:r>
      <w:r>
        <w:rPr>
          <w:rFonts w:cs="Times New Roman"/>
          <w:b/>
          <w:bCs/>
          <w:color w:val="auto"/>
        </w:rPr>
        <w:t>社会文明更加进步</w:t>
      </w:r>
      <w:r>
        <w:rPr>
          <w:rFonts w:cs="Times New Roman"/>
          <w:color w:val="auto"/>
        </w:rPr>
        <w:t>，</w:t>
      </w:r>
      <w:r>
        <w:rPr>
          <w:rFonts w:cs="Times New Roman"/>
          <w:color w:val="auto"/>
          <w:kern w:val="0"/>
          <w:szCs w:val="32"/>
        </w:rPr>
        <w:t>中华民族共同体意识更加牢固，社会文明风尚更加浓厚，共同团结进步、共同繁荣发展达到更高水平，实现精神文明和物质文明全面协调。</w:t>
      </w:r>
      <w:r>
        <w:rPr>
          <w:rFonts w:cs="Times New Roman"/>
          <w:b/>
          <w:bCs/>
          <w:color w:val="auto"/>
        </w:rPr>
        <w:t>社会治理更加高效</w:t>
      </w:r>
      <w:r>
        <w:rPr>
          <w:rFonts w:cs="Times New Roman"/>
          <w:color w:val="auto"/>
        </w:rPr>
        <w:t>，</w:t>
      </w:r>
      <w:r>
        <w:rPr>
          <w:rFonts w:cs="Times New Roman"/>
          <w:color w:val="auto"/>
          <w:kern w:val="0"/>
          <w:szCs w:val="32"/>
        </w:rPr>
        <w:t>治理体系和治理能力现代化基本实现，法治金川、法治政府、法治社会基本建成，平安金川建设达到更高水平。</w:t>
      </w:r>
    </w:p>
    <w:p>
      <w:pPr>
        <w:pStyle w:val="3"/>
        <w:spacing w:before="312" w:beforeLines="100" w:after="312" w:afterLines="100" w:line="576" w:lineRule="exact"/>
        <w:rPr>
          <w:color w:val="auto"/>
          <w:sz w:val="36"/>
          <w:szCs w:val="36"/>
        </w:rPr>
      </w:pPr>
      <w:bookmarkStart w:id="52" w:name="_Toc14703"/>
      <w:bookmarkStart w:id="53" w:name="_Toc13971"/>
      <w:bookmarkStart w:id="54" w:name="_Toc10259"/>
      <w:r>
        <w:rPr>
          <w:color w:val="auto"/>
          <w:sz w:val="36"/>
          <w:szCs w:val="36"/>
        </w:rPr>
        <w:t>第二篇  深化生态文明建设，筑牢全域生态安全屏障</w:t>
      </w:r>
      <w:bookmarkEnd w:id="47"/>
      <w:bookmarkEnd w:id="48"/>
      <w:bookmarkEnd w:id="52"/>
      <w:bookmarkEnd w:id="53"/>
      <w:bookmarkEnd w:id="54"/>
    </w:p>
    <w:p>
      <w:pPr>
        <w:spacing w:line="576" w:lineRule="exact"/>
        <w:ind w:firstLine="641"/>
        <w:rPr>
          <w:rFonts w:cs="Times New Roman"/>
          <w:color w:val="auto"/>
          <w:kern w:val="0"/>
          <w:szCs w:val="32"/>
        </w:rPr>
      </w:pPr>
      <w:r>
        <w:rPr>
          <w:rFonts w:hint="eastAsia" w:cs="Times New Roman"/>
          <w:color w:val="auto"/>
          <w:kern w:val="0"/>
          <w:szCs w:val="32"/>
        </w:rPr>
        <w:t>坚持绿水青山就是金山银山理念，</w:t>
      </w:r>
      <w:r>
        <w:rPr>
          <w:rFonts w:cs="Times New Roman"/>
          <w:color w:val="auto"/>
          <w:kern w:val="0"/>
          <w:szCs w:val="32"/>
        </w:rPr>
        <w:t>坚持尊重自然、顺应自然、保护自然，立足川西北生态示范县定位，严格落实保护为主、治理为要、高质量</w:t>
      </w:r>
      <w:r>
        <w:rPr>
          <w:rFonts w:ascii="Times New Roman" w:hAnsi="Times New Roman" w:cs="Times New Roman"/>
          <w:color w:val="auto"/>
          <w:kern w:val="0"/>
          <w:szCs w:val="32"/>
        </w:rPr>
        <w:t>发展</w:t>
      </w:r>
      <w:r>
        <w:rPr>
          <w:rFonts w:cs="Times New Roman"/>
          <w:color w:val="auto"/>
          <w:kern w:val="0"/>
          <w:szCs w:val="32"/>
        </w:rPr>
        <w:t>要求，筑牢大渡河上游生态安全屏障，建成全国生态文明建设示范县。</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55" w:name="_Toc10301_WPSOffice_Level2"/>
      <w:bookmarkStart w:id="56" w:name="_Toc11082"/>
      <w:bookmarkStart w:id="57" w:name="_Toc21696"/>
      <w:bookmarkStart w:id="58" w:name="_Toc27461"/>
      <w:r>
        <w:rPr>
          <w:rFonts w:ascii="Times New Roman" w:hAnsi="Times New Roman" w:eastAsia="黑体"/>
          <w:b w:val="0"/>
          <w:bCs w:val="0"/>
          <w:color w:val="auto"/>
          <w:kern w:val="2"/>
          <w:sz w:val="32"/>
          <w:szCs w:val="32"/>
        </w:rPr>
        <w:t>第三章  强化生态系统保护</w:t>
      </w:r>
      <w:bookmarkEnd w:id="55"/>
      <w:bookmarkEnd w:id="56"/>
      <w:bookmarkEnd w:id="57"/>
      <w:bookmarkEnd w:id="58"/>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深入践行“</w:t>
      </w:r>
      <w:r>
        <w:rPr>
          <w:rFonts w:ascii="Times New Roman" w:hAnsi="Times New Roman" w:cs="Times New Roman"/>
          <w:color w:val="auto"/>
          <w:kern w:val="0"/>
          <w:szCs w:val="32"/>
        </w:rPr>
        <w:t>重在</w:t>
      </w:r>
      <w:r>
        <w:rPr>
          <w:rFonts w:cs="Times New Roman"/>
          <w:color w:val="auto"/>
          <w:kern w:val="0"/>
          <w:szCs w:val="32"/>
        </w:rPr>
        <w:t>保护”理念，统筹推进生态系统区域保护与全面保护，打造生态系统原真保护新样板、高寒生物自然种质资源库</w:t>
      </w:r>
      <w:r>
        <w:rPr>
          <w:rFonts w:hint="eastAsia" w:cs="Times New Roman"/>
          <w:color w:val="auto"/>
          <w:kern w:val="0"/>
          <w:szCs w:val="32"/>
        </w:rPr>
        <w:t>，维护好生态系统的系统性、平衡性、和谐性</w:t>
      </w:r>
      <w:r>
        <w:rPr>
          <w:rFonts w:cs="Times New Roman"/>
          <w:color w:val="auto"/>
          <w:kern w:val="0"/>
          <w:szCs w:val="32"/>
        </w:rPr>
        <w:t>。</w:t>
      </w:r>
    </w:p>
    <w:p>
      <w:pPr>
        <w:pStyle w:val="5"/>
        <w:spacing w:before="156" w:beforeLines="50" w:after="156" w:afterLines="50" w:line="576" w:lineRule="exact"/>
        <w:jc w:val="center"/>
        <w:rPr>
          <w:rFonts w:eastAsia="楷体_GB2312"/>
          <w:color w:val="auto"/>
        </w:rPr>
      </w:pPr>
      <w:bookmarkStart w:id="59" w:name="_Toc20151"/>
      <w:bookmarkStart w:id="60" w:name="_Toc13493"/>
      <w:bookmarkStart w:id="61" w:name="_Toc13855_WPSOffice_Level3"/>
      <w:bookmarkStart w:id="62" w:name="_Toc8587"/>
      <w:r>
        <w:rPr>
          <w:rFonts w:eastAsia="楷体_GB2312"/>
          <w:color w:val="auto"/>
        </w:rPr>
        <w:t>第一节  科学优化生态布局</w:t>
      </w:r>
      <w:bookmarkEnd w:id="59"/>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落实国家“三区四带”生态安全战略，开展资源环境承载能力和国土空间开发适宜性评价，科学设置大渡河上游生态廊道、生态斑块、生态节点与生态缓冲区。构建生态环境分区管控体系，严格落实生态保护</w:t>
      </w:r>
      <w:r>
        <w:rPr>
          <w:rFonts w:ascii="Times New Roman" w:hAnsi="Times New Roman" w:cs="Times New Roman"/>
          <w:color w:val="auto"/>
          <w:kern w:val="0"/>
          <w:szCs w:val="32"/>
        </w:rPr>
        <w:t>红线</w:t>
      </w:r>
      <w:r>
        <w:rPr>
          <w:rFonts w:cs="Times New Roman"/>
          <w:color w:val="auto"/>
          <w:kern w:val="0"/>
          <w:szCs w:val="32"/>
        </w:rPr>
        <w:t>、环境质量底线、自然资源利用上线和生态环境准入清单“三线一单”，建立预留重大基础设施建设廊道及用地制度。系统梳理区域生态隐患和环境风险，动态提出分区管理与分级保护具体空间管治举措，维持生态发展占补平衡和良性循环。健全国土空间用途管制制度，严禁不符合主体功能定位的各类开发活动，筑牢全域生态安全屏障。</w:t>
      </w:r>
    </w:p>
    <w:p>
      <w:pPr>
        <w:pStyle w:val="5"/>
        <w:spacing w:before="156" w:beforeLines="50" w:after="156" w:afterLines="50" w:line="576" w:lineRule="exact"/>
        <w:jc w:val="center"/>
        <w:rPr>
          <w:rFonts w:eastAsia="楷体"/>
          <w:color w:val="auto"/>
        </w:rPr>
      </w:pPr>
      <w:bookmarkStart w:id="63" w:name="_Toc18086"/>
      <w:bookmarkStart w:id="64" w:name="_Toc16835"/>
      <w:bookmarkStart w:id="65" w:name="_Toc2494_WPSOffice_Level3"/>
      <w:bookmarkStart w:id="66" w:name="_Toc16999"/>
      <w:r>
        <w:rPr>
          <w:rFonts w:eastAsia="楷体_GB2312"/>
          <w:color w:val="auto"/>
        </w:rPr>
        <w:t>第二节  全面保护生态系统</w:t>
      </w:r>
      <w:bookmarkEnd w:id="63"/>
      <w:bookmarkEnd w:id="64"/>
      <w:bookmarkEnd w:id="65"/>
      <w:bookmarkEnd w:id="66"/>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加强山水林田湖草生态系统保护，推进溪流河源、高山湖泊、森林草甸、野生动植物、蓝天净土、绿水青山等保护，稳步提升生态环境状况指数。加快编制自然保护地规划，开展自然保护地勘界立标工作，巩固提升四川金川国家级森林公园、措郎沟省级湿地公园保护成果。加大野生动植物主要原生地、栖息地、迁徙地及生物廊道保护，建立珍稀植物保护小区，维护生物多样性。</w:t>
      </w:r>
      <w:r>
        <w:rPr>
          <w:rFonts w:hint="eastAsia" w:ascii="Times New Roman" w:hAnsi="Times New Roman" w:eastAsia="仿宋_GB2312" w:cs="Times New Roman"/>
          <w:color w:val="auto"/>
          <w:kern w:val="0"/>
          <w:sz w:val="32"/>
          <w:szCs w:val="32"/>
          <w:lang w:val="en-US" w:eastAsia="zh-CN" w:bidi="ar-SA"/>
        </w:rPr>
        <w:t>开展县域河流、湖泊水生生态调查，加强特有性、指示性物种以及珍稀濒危水生生物保护。</w:t>
      </w:r>
      <w:r>
        <w:rPr>
          <w:rFonts w:cs="Times New Roman"/>
          <w:color w:val="auto"/>
          <w:kern w:val="0"/>
          <w:szCs w:val="32"/>
        </w:rPr>
        <w:t>科学编制水资源保护规划，合理划分水功能保护区、保留区、开发利用区和缓冲区，划定水资源重点保护地。</w:t>
      </w:r>
      <w:r>
        <w:rPr>
          <w:rFonts w:hint="eastAsia" w:ascii="Times New Roman" w:hAnsi="Times New Roman" w:eastAsia="仿宋_GB2312" w:cs="Times New Roman"/>
          <w:color w:val="auto"/>
          <w:kern w:val="0"/>
          <w:sz w:val="32"/>
          <w:szCs w:val="32"/>
          <w:lang w:val="en-US" w:eastAsia="zh-CN" w:bidi="ar-SA"/>
        </w:rPr>
        <w:t>编制河湖岸线保护与利用规划，划定岸线保护区和岸线保留区。</w:t>
      </w:r>
      <w:r>
        <w:rPr>
          <w:rFonts w:cs="Times New Roman"/>
          <w:color w:val="auto"/>
          <w:kern w:val="0"/>
          <w:szCs w:val="32"/>
        </w:rPr>
        <w:t>全面保护自然生态系统、自然遗迹、自然景观，管护水</w:t>
      </w:r>
      <w:r>
        <w:rPr>
          <w:rFonts w:cs="Times New Roman"/>
          <w:color w:val="auto"/>
          <w:spacing w:val="-6"/>
          <w:kern w:val="0"/>
          <w:szCs w:val="32"/>
        </w:rPr>
        <w:t>生态、土壤环境和大气质量。严格执行大渡河上游十年禁渔期制度。</w:t>
      </w:r>
    </w:p>
    <w:p>
      <w:pPr>
        <w:pStyle w:val="5"/>
        <w:spacing w:before="156" w:beforeLines="50" w:after="156" w:afterLines="50" w:line="576" w:lineRule="exact"/>
        <w:jc w:val="center"/>
        <w:rPr>
          <w:rFonts w:eastAsia="楷体_GB2312"/>
          <w:color w:val="auto"/>
        </w:rPr>
      </w:pPr>
      <w:bookmarkStart w:id="67" w:name="_Toc28817"/>
      <w:bookmarkStart w:id="68" w:name="_Toc12960"/>
      <w:bookmarkStart w:id="69" w:name="_Toc14125"/>
      <w:bookmarkStart w:id="70" w:name="_Toc25244_WPSOffice_Level3"/>
      <w:r>
        <w:rPr>
          <w:rFonts w:eastAsia="楷体_GB2312"/>
          <w:color w:val="auto"/>
        </w:rPr>
        <w:t>第三节  大力保护生态资源</w:t>
      </w:r>
      <w:bookmarkEnd w:id="67"/>
      <w:bookmarkEnd w:id="68"/>
      <w:bookmarkEnd w:id="69"/>
      <w:bookmarkEnd w:id="70"/>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开展国土资源、森林资源、草场资源、水资源、大气资源、物种资源等生态资源存量调查和价值评估，完善自然资源分类规范标准，建立自然资源资产数据库，编制自然资源实物量资产负债清单。管护好森林资源，落实天然林资源保护修复制度，巩固退耕还林建设成果。抓好天然草场资源保护，树立草畜平衡理念，加强草地禁牧休牧轮牧和草畜平衡管理，以草定畜，合理控制载畜量和放牧强度。严格保护水资源，系统管控流域环境，执行生态流量政策，确保饮用水水质安全。高度重视保护土地资源，健全农业用地优先保护制度，强化建设用地用途管控，科学开发矿产资源。高度重视保护大气资源，科学规划开发风能、太阳能等资源。实施古树名木挂牌保护，建设雪梨品种母本园和资源基因库。严厉打击乱砍乱伐、乱捕乱猎、乱排乱放、乱垦乱牧、乱建乱采等行为，依法保障生态链安全。全面禁食野生动物，严厉打击非法野生动物交易。</w:t>
      </w:r>
    </w:p>
    <w:tbl>
      <w:tblPr>
        <w:tblStyle w:val="27"/>
        <w:tblW w:w="870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70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 w:hRule="atLeast"/>
          <w:tblHeader/>
          <w:jc w:val="center"/>
        </w:trPr>
        <w:tc>
          <w:tcPr>
            <w:tcW w:w="8708" w:type="dxa"/>
          </w:tcPr>
          <w:p>
            <w:pPr>
              <w:spacing w:line="576" w:lineRule="exact"/>
              <w:jc w:val="center"/>
              <w:rPr>
                <w:rFonts w:eastAsia="黑体" w:cs="Times New Roman"/>
                <w:bCs/>
                <w:color w:val="auto"/>
                <w:kern w:val="0"/>
                <w:sz w:val="28"/>
                <w:szCs w:val="32"/>
              </w:rPr>
            </w:pPr>
            <w:bookmarkStart w:id="71" w:name="_Toc18500_WPSOffice_Level2"/>
            <w:r>
              <w:rPr>
                <w:rFonts w:eastAsia="黑体" w:cs="Times New Roman"/>
                <w:bCs/>
                <w:color w:val="auto"/>
                <w:kern w:val="0"/>
                <w:sz w:val="28"/>
                <w:szCs w:val="32"/>
              </w:rPr>
              <w:t>专栏3  金川县生态保护重点项目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8" w:type="dxa"/>
          </w:tcPr>
          <w:p>
            <w:pPr>
              <w:keepNext w:val="0"/>
              <w:keepLines w:val="0"/>
              <w:pageBreakBefore w:val="0"/>
              <w:widowControl w:val="0"/>
              <w:kinsoku/>
              <w:wordWrap/>
              <w:overflowPunct/>
              <w:topLinePunct w:val="0"/>
              <w:autoSpaceDE/>
              <w:autoSpaceDN/>
              <w:bidi w:val="0"/>
              <w:adjustRightInd/>
              <w:snapToGrid/>
              <w:spacing w:line="490" w:lineRule="exact"/>
              <w:ind w:firstLine="562" w:firstLineChars="200"/>
              <w:textAlignment w:val="auto"/>
              <w:rPr>
                <w:rFonts w:cs="Times New Roman"/>
                <w:color w:val="auto"/>
                <w:kern w:val="0"/>
                <w:sz w:val="28"/>
                <w:szCs w:val="32"/>
              </w:rPr>
            </w:pPr>
            <w:r>
              <w:rPr>
                <w:rFonts w:cs="Times New Roman"/>
                <w:b/>
                <w:bCs/>
                <w:color w:val="auto"/>
                <w:kern w:val="0"/>
                <w:sz w:val="28"/>
                <w:szCs w:val="32"/>
              </w:rPr>
              <w:t>生物多样性保护</w:t>
            </w:r>
            <w:r>
              <w:rPr>
                <w:rFonts w:cs="Times New Roman"/>
                <w:color w:val="auto"/>
                <w:kern w:val="0"/>
                <w:sz w:val="28"/>
                <w:szCs w:val="32"/>
              </w:rPr>
              <w:t>。野生动物疫源疫病监测体系建设</w:t>
            </w:r>
            <w:r>
              <w:rPr>
                <w:rFonts w:hint="eastAsia" w:cs="Times New Roman"/>
                <w:color w:val="auto"/>
                <w:kern w:val="0"/>
                <w:sz w:val="28"/>
                <w:szCs w:val="32"/>
                <w:lang w:val="en-US" w:eastAsia="zh-CN"/>
              </w:rPr>
              <w:t>项目，</w:t>
            </w:r>
            <w:r>
              <w:rPr>
                <w:rFonts w:cs="Times New Roman"/>
                <w:color w:val="auto"/>
                <w:kern w:val="0"/>
                <w:sz w:val="28"/>
                <w:szCs w:val="32"/>
              </w:rPr>
              <w:t>珍稀树种培育基地建设</w:t>
            </w:r>
            <w:r>
              <w:rPr>
                <w:rFonts w:hint="eastAsia" w:cs="Times New Roman"/>
                <w:color w:val="auto"/>
                <w:kern w:val="0"/>
                <w:sz w:val="28"/>
                <w:szCs w:val="32"/>
                <w:lang w:val="en-US" w:eastAsia="zh-CN"/>
              </w:rPr>
              <w:t>项目，</w:t>
            </w:r>
            <w:r>
              <w:rPr>
                <w:rFonts w:cs="Times New Roman"/>
                <w:color w:val="auto"/>
                <w:kern w:val="0"/>
                <w:sz w:val="28"/>
                <w:szCs w:val="32"/>
              </w:rPr>
              <w:t>措朗沟湿地保护与恢复</w:t>
            </w:r>
            <w:r>
              <w:rPr>
                <w:rFonts w:hint="eastAsia" w:cs="Times New Roman"/>
                <w:color w:val="auto"/>
                <w:kern w:val="0"/>
                <w:sz w:val="28"/>
                <w:szCs w:val="32"/>
                <w:lang w:val="en-US" w:eastAsia="zh-CN"/>
              </w:rPr>
              <w:t>项目，</w:t>
            </w:r>
            <w:r>
              <w:rPr>
                <w:rFonts w:cs="Times New Roman"/>
                <w:color w:val="auto"/>
                <w:kern w:val="0"/>
                <w:sz w:val="28"/>
                <w:szCs w:val="32"/>
              </w:rPr>
              <w:t>国家森林公园基础建设</w:t>
            </w:r>
            <w:r>
              <w:rPr>
                <w:rFonts w:hint="eastAsia" w:cs="Times New Roman"/>
                <w:color w:val="auto"/>
                <w:kern w:val="0"/>
                <w:sz w:val="28"/>
                <w:szCs w:val="32"/>
                <w:lang w:val="en-US" w:eastAsia="zh-CN"/>
              </w:rPr>
              <w:t>项目，</w:t>
            </w:r>
            <w:r>
              <w:rPr>
                <w:rFonts w:cs="Times New Roman"/>
                <w:color w:val="auto"/>
                <w:kern w:val="0"/>
                <w:sz w:val="28"/>
                <w:szCs w:val="32"/>
              </w:rPr>
              <w:t>野生动物保护站建设</w:t>
            </w:r>
            <w:r>
              <w:rPr>
                <w:rFonts w:hint="eastAsia" w:cs="Times New Roman"/>
                <w:color w:val="auto"/>
                <w:kern w:val="0"/>
                <w:sz w:val="28"/>
                <w:szCs w:val="32"/>
                <w:lang w:val="en-US" w:eastAsia="zh-CN"/>
              </w:rPr>
              <w:t>项目，</w:t>
            </w:r>
            <w:r>
              <w:rPr>
                <w:rFonts w:cs="Times New Roman"/>
                <w:color w:val="auto"/>
                <w:kern w:val="0"/>
                <w:sz w:val="28"/>
                <w:szCs w:val="32"/>
              </w:rPr>
              <w:t>野生动物救护中心建</w:t>
            </w:r>
            <w:r>
              <w:rPr>
                <w:rFonts w:cs="Times New Roman"/>
                <w:color w:val="auto"/>
                <w:w w:val="96"/>
                <w:kern w:val="0"/>
                <w:sz w:val="28"/>
                <w:szCs w:val="32"/>
              </w:rPr>
              <w:t>设</w:t>
            </w:r>
            <w:r>
              <w:rPr>
                <w:rFonts w:hint="eastAsia" w:cs="Times New Roman"/>
                <w:color w:val="auto"/>
                <w:w w:val="96"/>
                <w:kern w:val="0"/>
                <w:sz w:val="28"/>
                <w:szCs w:val="32"/>
                <w:lang w:val="en-US" w:eastAsia="zh-CN"/>
              </w:rPr>
              <w:t>项目，</w:t>
            </w:r>
            <w:r>
              <w:rPr>
                <w:rFonts w:cs="Times New Roman"/>
                <w:color w:val="auto"/>
                <w:w w:val="96"/>
                <w:kern w:val="0"/>
                <w:sz w:val="28"/>
                <w:szCs w:val="32"/>
              </w:rPr>
              <w:t>林草有害生物防治基础设施建设</w:t>
            </w:r>
            <w:r>
              <w:rPr>
                <w:rFonts w:hint="eastAsia" w:cs="Times New Roman"/>
                <w:color w:val="auto"/>
                <w:w w:val="96"/>
                <w:kern w:val="0"/>
                <w:sz w:val="28"/>
                <w:szCs w:val="32"/>
                <w:lang w:val="en-US" w:eastAsia="zh-CN"/>
              </w:rPr>
              <w:t>项目，</w:t>
            </w:r>
            <w:r>
              <w:rPr>
                <w:rFonts w:cs="Times New Roman"/>
                <w:color w:val="auto"/>
                <w:w w:val="96"/>
                <w:kern w:val="0"/>
                <w:sz w:val="28"/>
                <w:szCs w:val="32"/>
              </w:rPr>
              <w:t>检疫检查站建设</w:t>
            </w:r>
            <w:r>
              <w:rPr>
                <w:rFonts w:hint="eastAsia" w:cs="Times New Roman"/>
                <w:color w:val="auto"/>
                <w:w w:val="96"/>
                <w:kern w:val="0"/>
                <w:sz w:val="28"/>
                <w:szCs w:val="32"/>
                <w:lang w:val="en-US" w:eastAsia="zh-CN"/>
              </w:rPr>
              <w:t>项目</w:t>
            </w:r>
            <w:r>
              <w:rPr>
                <w:rFonts w:cs="Times New Roman"/>
                <w:color w:val="auto"/>
                <w:w w:val="96"/>
                <w:kern w:val="0"/>
                <w:sz w:val="28"/>
                <w:szCs w:val="32"/>
              </w:rPr>
              <w:t>。</w:t>
            </w:r>
          </w:p>
          <w:p>
            <w:pPr>
              <w:keepNext w:val="0"/>
              <w:keepLines w:val="0"/>
              <w:pageBreakBefore w:val="0"/>
              <w:widowControl w:val="0"/>
              <w:kinsoku/>
              <w:wordWrap/>
              <w:overflowPunct/>
              <w:topLinePunct w:val="0"/>
              <w:autoSpaceDE/>
              <w:autoSpaceDN/>
              <w:bidi w:val="0"/>
              <w:adjustRightInd/>
              <w:snapToGrid/>
              <w:spacing w:line="490" w:lineRule="exact"/>
              <w:ind w:firstLine="562" w:firstLineChars="200"/>
              <w:textAlignment w:val="auto"/>
              <w:rPr>
                <w:rFonts w:hint="eastAsia" w:eastAsia="仿宋_GB2312" w:cs="Times New Roman"/>
                <w:color w:val="auto"/>
                <w:kern w:val="0"/>
                <w:sz w:val="28"/>
                <w:szCs w:val="32"/>
                <w:lang w:eastAsia="zh-CN"/>
              </w:rPr>
            </w:pPr>
            <w:r>
              <w:rPr>
                <w:rFonts w:cs="Times New Roman"/>
                <w:b/>
                <w:bCs/>
                <w:color w:val="auto"/>
                <w:kern w:val="0"/>
                <w:sz w:val="28"/>
                <w:szCs w:val="32"/>
              </w:rPr>
              <w:t>森林资源保护</w:t>
            </w:r>
            <w:r>
              <w:rPr>
                <w:rFonts w:cs="Times New Roman"/>
                <w:color w:val="auto"/>
                <w:kern w:val="0"/>
                <w:sz w:val="28"/>
                <w:szCs w:val="32"/>
              </w:rPr>
              <w:t>。</w:t>
            </w:r>
            <w:r>
              <w:rPr>
                <w:rFonts w:ascii="Times New Roman" w:hAnsi="Times New Roman" w:cs="Times New Roman"/>
                <w:color w:val="auto"/>
                <w:kern w:val="0"/>
                <w:sz w:val="28"/>
                <w:szCs w:val="32"/>
              </w:rPr>
              <w:t>川西北植物资源保护基地</w:t>
            </w:r>
            <w:r>
              <w:rPr>
                <w:rFonts w:hint="default" w:ascii="Times New Roman" w:hAnsi="Times New Roman" w:cs="Times New Roman"/>
                <w:color w:val="auto"/>
                <w:kern w:val="0"/>
                <w:sz w:val="28"/>
                <w:szCs w:val="32"/>
                <w:lang w:val="en-US" w:eastAsia="zh-CN"/>
              </w:rPr>
              <w:t>项目，</w:t>
            </w:r>
            <w:r>
              <w:rPr>
                <w:rFonts w:cs="Times New Roman"/>
                <w:color w:val="auto"/>
                <w:kern w:val="0"/>
                <w:sz w:val="28"/>
                <w:szCs w:val="32"/>
              </w:rPr>
              <w:t>森林有害生物防治工</w:t>
            </w:r>
            <w:r>
              <w:rPr>
                <w:rFonts w:ascii="Times New Roman" w:hAnsi="Times New Roman" w:cs="Times New Roman"/>
                <w:color w:val="auto"/>
                <w:kern w:val="0"/>
                <w:sz w:val="28"/>
                <w:szCs w:val="32"/>
              </w:rPr>
              <w:t>程</w:t>
            </w:r>
            <w:r>
              <w:rPr>
                <w:rFonts w:hint="default" w:ascii="Times New Roman" w:hAnsi="Times New Roman" w:cs="Times New Roman"/>
                <w:color w:val="auto"/>
                <w:kern w:val="0"/>
                <w:sz w:val="28"/>
                <w:szCs w:val="32"/>
                <w:lang w:val="en-US" w:eastAsia="zh-CN"/>
              </w:rPr>
              <w:t>项目，</w:t>
            </w:r>
            <w:r>
              <w:rPr>
                <w:rFonts w:ascii="Times New Roman" w:hAnsi="Times New Roman" w:cs="Times New Roman"/>
                <w:color w:val="auto"/>
                <w:spacing w:val="0"/>
                <w:kern w:val="0"/>
                <w:sz w:val="28"/>
                <w:szCs w:val="32"/>
              </w:rPr>
              <w:t>雪梨核心区梨树栽植及品质提升项目</w:t>
            </w:r>
            <w:r>
              <w:rPr>
                <w:rFonts w:hint="eastAsia" w:ascii="Times New Roman" w:hAnsi="Times New Roman" w:cs="Times New Roman"/>
                <w:color w:val="auto"/>
                <w:spacing w:val="0"/>
                <w:kern w:val="0"/>
                <w:sz w:val="28"/>
                <w:szCs w:val="32"/>
                <w:lang w:eastAsia="zh-CN"/>
              </w:rPr>
              <w:t>。</w:t>
            </w:r>
          </w:p>
          <w:p>
            <w:pPr>
              <w:keepNext w:val="0"/>
              <w:keepLines w:val="0"/>
              <w:pageBreakBefore w:val="0"/>
              <w:widowControl w:val="0"/>
              <w:kinsoku/>
              <w:wordWrap/>
              <w:overflowPunct/>
              <w:topLinePunct w:val="0"/>
              <w:autoSpaceDE/>
              <w:autoSpaceDN/>
              <w:bidi w:val="0"/>
              <w:adjustRightInd/>
              <w:snapToGrid/>
              <w:spacing w:line="490" w:lineRule="exact"/>
              <w:ind w:firstLine="562" w:firstLineChars="200"/>
              <w:textAlignment w:val="auto"/>
              <w:rPr>
                <w:rFonts w:cs="Times New Roman"/>
                <w:color w:val="auto"/>
                <w:kern w:val="0"/>
                <w:sz w:val="28"/>
                <w:szCs w:val="32"/>
              </w:rPr>
            </w:pPr>
            <w:r>
              <w:rPr>
                <w:rFonts w:cs="Times New Roman"/>
                <w:b/>
                <w:bCs/>
                <w:color w:val="auto"/>
                <w:kern w:val="0"/>
                <w:sz w:val="28"/>
                <w:szCs w:val="32"/>
              </w:rPr>
              <w:t>草场资源保护</w:t>
            </w:r>
            <w:r>
              <w:rPr>
                <w:rFonts w:cs="Times New Roman"/>
                <w:color w:val="auto"/>
                <w:kern w:val="0"/>
                <w:sz w:val="28"/>
                <w:szCs w:val="32"/>
              </w:rPr>
              <w:t>。天然草原有害生物防治工程</w:t>
            </w:r>
            <w:r>
              <w:rPr>
                <w:rFonts w:hint="eastAsia" w:cs="Times New Roman"/>
                <w:color w:val="auto"/>
                <w:kern w:val="0"/>
                <w:sz w:val="28"/>
                <w:szCs w:val="32"/>
                <w:lang w:eastAsia="zh-CN"/>
              </w:rPr>
              <w:t>，</w:t>
            </w:r>
            <w:r>
              <w:rPr>
                <w:rFonts w:cs="Times New Roman"/>
                <w:color w:val="auto"/>
                <w:kern w:val="0"/>
                <w:sz w:val="28"/>
                <w:szCs w:val="32"/>
              </w:rPr>
              <w:t>草原沙化治理工程</w:t>
            </w:r>
            <w:r>
              <w:rPr>
                <w:rFonts w:hint="eastAsia" w:cs="Times New Roman"/>
                <w:color w:val="auto"/>
                <w:kern w:val="0"/>
                <w:sz w:val="28"/>
                <w:szCs w:val="32"/>
                <w:lang w:eastAsia="zh-CN"/>
              </w:rPr>
              <w:t>，</w:t>
            </w:r>
            <w:r>
              <w:rPr>
                <w:rFonts w:cs="Times New Roman"/>
                <w:color w:val="auto"/>
                <w:kern w:val="0"/>
                <w:sz w:val="28"/>
                <w:szCs w:val="32"/>
              </w:rPr>
              <w:t>退化草原治理工程</w:t>
            </w:r>
            <w:r>
              <w:rPr>
                <w:rFonts w:hint="eastAsia" w:cs="Times New Roman"/>
                <w:color w:val="auto"/>
                <w:kern w:val="0"/>
                <w:sz w:val="28"/>
                <w:szCs w:val="32"/>
                <w:lang w:eastAsia="zh-CN"/>
              </w:rPr>
              <w:t>，</w:t>
            </w:r>
            <w:r>
              <w:rPr>
                <w:rFonts w:cs="Times New Roman"/>
                <w:color w:val="auto"/>
                <w:kern w:val="0"/>
                <w:sz w:val="28"/>
                <w:szCs w:val="32"/>
              </w:rPr>
              <w:t>草原执法监理体系建设</w:t>
            </w:r>
            <w:r>
              <w:rPr>
                <w:rFonts w:hint="eastAsia" w:cs="Times New Roman"/>
                <w:color w:val="auto"/>
                <w:kern w:val="0"/>
                <w:sz w:val="28"/>
                <w:szCs w:val="32"/>
                <w:lang w:val="en-US" w:eastAsia="zh-CN"/>
              </w:rPr>
              <w:t>项目</w:t>
            </w:r>
            <w:r>
              <w:rPr>
                <w:rFonts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490" w:lineRule="exact"/>
              <w:ind w:firstLine="562" w:firstLineChars="200"/>
              <w:textAlignment w:val="auto"/>
              <w:rPr>
                <w:rFonts w:eastAsia="仿宋" w:cs="Times New Roman"/>
                <w:color w:val="auto"/>
                <w:kern w:val="0"/>
                <w:sz w:val="28"/>
                <w:szCs w:val="32"/>
              </w:rPr>
            </w:pPr>
            <w:r>
              <w:rPr>
                <w:rFonts w:cs="Times New Roman"/>
                <w:b/>
                <w:bCs/>
                <w:color w:val="auto"/>
                <w:kern w:val="0"/>
                <w:sz w:val="28"/>
                <w:szCs w:val="32"/>
              </w:rPr>
              <w:t>水资源保护</w:t>
            </w:r>
            <w:r>
              <w:rPr>
                <w:rFonts w:cs="Times New Roman"/>
                <w:color w:val="auto"/>
                <w:kern w:val="0"/>
                <w:sz w:val="28"/>
                <w:szCs w:val="32"/>
              </w:rPr>
              <w:t>。饮用水源地生态环境保护建设</w:t>
            </w:r>
            <w:r>
              <w:rPr>
                <w:rFonts w:hint="eastAsia" w:cs="Times New Roman"/>
                <w:color w:val="auto"/>
                <w:kern w:val="0"/>
                <w:sz w:val="28"/>
                <w:szCs w:val="32"/>
                <w:lang w:val="en-US" w:eastAsia="zh-CN"/>
              </w:rPr>
              <w:t>项目，</w:t>
            </w:r>
            <w:r>
              <w:rPr>
                <w:rFonts w:cs="Times New Roman"/>
                <w:color w:val="auto"/>
                <w:kern w:val="0"/>
                <w:sz w:val="28"/>
                <w:szCs w:val="32"/>
              </w:rPr>
              <w:t>新建144处供水工程水源地保护</w:t>
            </w:r>
            <w:r>
              <w:rPr>
                <w:rFonts w:hint="eastAsia" w:cs="Times New Roman"/>
                <w:color w:val="auto"/>
                <w:kern w:val="0"/>
                <w:sz w:val="28"/>
                <w:szCs w:val="32"/>
                <w:lang w:val="en-US" w:eastAsia="zh-CN"/>
              </w:rPr>
              <w:t>项目</w:t>
            </w:r>
            <w:r>
              <w:rPr>
                <w:rFonts w:cs="Times New Roman"/>
                <w:color w:val="auto"/>
                <w:kern w:val="0"/>
                <w:sz w:val="28"/>
                <w:szCs w:val="32"/>
              </w:rPr>
              <w:t>。</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72" w:name="_Toc14113"/>
      <w:bookmarkStart w:id="73" w:name="_Toc13317"/>
      <w:bookmarkStart w:id="74" w:name="_Toc4233"/>
      <w:r>
        <w:rPr>
          <w:rFonts w:ascii="Times New Roman" w:hAnsi="Times New Roman" w:eastAsia="黑体"/>
          <w:b w:val="0"/>
          <w:bCs w:val="0"/>
          <w:color w:val="auto"/>
          <w:kern w:val="2"/>
          <w:sz w:val="32"/>
          <w:szCs w:val="32"/>
        </w:rPr>
        <w:t>第四章  提升生态治理水平</w:t>
      </w:r>
      <w:bookmarkEnd w:id="71"/>
      <w:bookmarkEnd w:id="72"/>
      <w:bookmarkEnd w:id="73"/>
      <w:bookmarkEnd w:id="74"/>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深入践行“要在治理”理念，认真落实“一增一减”原则，遵循生态系统内在机理、演替规律，科学规划和组织实施生态系统修复工程，推进生态环境治理体系和治理能力现代化，促进大渡河上游生态系统良性循环和永续利用，加快建设山水林田湖草生命共同体。</w:t>
      </w:r>
    </w:p>
    <w:p>
      <w:pPr>
        <w:pStyle w:val="5"/>
        <w:spacing w:before="156" w:beforeLines="50" w:after="156" w:afterLines="50" w:line="576" w:lineRule="exact"/>
        <w:jc w:val="center"/>
        <w:rPr>
          <w:rFonts w:eastAsia="楷体_GB2312"/>
          <w:color w:val="auto"/>
        </w:rPr>
      </w:pPr>
      <w:bookmarkStart w:id="75" w:name="_Toc31169"/>
      <w:bookmarkStart w:id="76" w:name="_Toc16187"/>
      <w:bookmarkStart w:id="77" w:name="_Toc13535"/>
      <w:bookmarkStart w:id="78" w:name="_Toc12932_WPSOffice_Level3"/>
      <w:r>
        <w:rPr>
          <w:rFonts w:eastAsia="楷体_GB2312"/>
          <w:color w:val="auto"/>
        </w:rPr>
        <w:t>第一节  实施生态治理示范行动</w:t>
      </w:r>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坚持山水林田湖草综合治理，宜林则林、宜灌则灌、宜草则草、宜湿则湿，继续实施天然林保护、退耕还林、退牧还草、两化三害、干旱半干旱河谷综合治理等重点生态工程，增加林草覆盖率、森林蓄积量、水源涵养量，减少水土流失</w:t>
      </w:r>
      <w:r>
        <w:rPr>
          <w:rFonts w:hint="eastAsia" w:cs="Times New Roman"/>
          <w:color w:val="auto"/>
          <w:kern w:val="0"/>
          <w:szCs w:val="32"/>
          <w:lang w:val="en-US" w:eastAsia="zh-CN"/>
        </w:rPr>
        <w:t>面积</w:t>
      </w:r>
      <w:r>
        <w:rPr>
          <w:rFonts w:cs="Times New Roman"/>
          <w:color w:val="auto"/>
          <w:kern w:val="0"/>
          <w:szCs w:val="32"/>
        </w:rPr>
        <w:t>、草场超载率、水体含沙量。深入实施大规模绿化金川行动，扎实推进百里生态画廊、千家绿色农苑、万亩世外梨园“百千万”工程，争取建设国家储备林基地，提高森林植被质量。力争到2025年，森林覆盖率提升至46.36%。全面落实河湖长制和“一河一策”，实施大金川河及其支流流域生态保护、治理与修复工程，加强清河护岸、净水保水和堤防建设，严格规范整治河道采砂，推动“管河、护河、治河、养河”全覆盖。强化水土流失治理，实施以小流域为单元的水土流失综合治理工程，推进坡耕地和侵蚀沟水土流失综合治理，完善水土保持监测网络。加强矿山地质环境恢复治理。</w:t>
      </w:r>
    </w:p>
    <w:p>
      <w:pPr>
        <w:pStyle w:val="5"/>
        <w:spacing w:before="156" w:beforeLines="50" w:after="156" w:afterLines="50" w:line="576" w:lineRule="exact"/>
        <w:jc w:val="center"/>
        <w:rPr>
          <w:rFonts w:eastAsia="楷体_GB2312"/>
          <w:color w:val="auto"/>
        </w:rPr>
      </w:pPr>
      <w:bookmarkStart w:id="79" w:name="_Toc10308"/>
      <w:bookmarkStart w:id="80" w:name="_Toc4435"/>
      <w:bookmarkStart w:id="81" w:name="_Toc18732"/>
      <w:bookmarkStart w:id="82" w:name="_Toc29236_WPSOffice_Level3"/>
      <w:r>
        <w:rPr>
          <w:rFonts w:eastAsia="楷体_GB2312"/>
          <w:color w:val="auto"/>
        </w:rPr>
        <w:t>第二节  推进环境治理示范行动</w:t>
      </w:r>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坚决打好蓝天、碧水、净土“保卫战”和固废“歼灭战”，深入开展全域环境综合治理，建立污染场地监管、环境风险防范体系。加强工业类废气、社会源燃烧、扬尘治理，开展清洁能源替代，确保空气环境质量优良天数保持全国前列。加强工业生产废水、城乡生活污水、农村面源污染防治，健全城乡生活污水处理体系，确保河流出境断面水质达到Ⅲ类及以上。加强土壤环境管控、监测预警、状况详查、质量划类，建立污染地块名录，严格危险废物管控处置，确保土壤环境安全稳定。加强城乡垃圾处理体系建设，有序启动城乡垃圾分类，提升</w:t>
      </w:r>
      <w:r>
        <w:rPr>
          <w:rFonts w:ascii="Times New Roman" w:hAnsi="Times New Roman" w:cs="Times New Roman"/>
          <w:color w:val="auto"/>
          <w:kern w:val="0"/>
          <w:szCs w:val="32"/>
        </w:rPr>
        <w:t>无害化</w:t>
      </w:r>
      <w:r>
        <w:rPr>
          <w:rFonts w:cs="Times New Roman"/>
          <w:color w:val="auto"/>
          <w:kern w:val="0"/>
          <w:szCs w:val="32"/>
        </w:rPr>
        <w:t>、资源化处理程度，确保县城和集镇生活垃圾处置率达95%以上。</w:t>
      </w:r>
    </w:p>
    <w:p>
      <w:pPr>
        <w:pStyle w:val="5"/>
        <w:spacing w:before="156" w:beforeLines="50" w:after="156" w:afterLines="50" w:line="576" w:lineRule="exact"/>
        <w:jc w:val="center"/>
        <w:rPr>
          <w:rFonts w:eastAsia="楷体"/>
          <w:color w:val="auto"/>
        </w:rPr>
      </w:pPr>
      <w:bookmarkStart w:id="83" w:name="_Toc8850"/>
      <w:bookmarkStart w:id="84" w:name="_Toc10271_WPSOffice_Level3"/>
      <w:bookmarkStart w:id="85" w:name="_Toc15842"/>
      <w:bookmarkStart w:id="86" w:name="_Toc6117"/>
      <w:r>
        <w:rPr>
          <w:rFonts w:eastAsia="楷体_GB2312"/>
          <w:color w:val="auto"/>
        </w:rPr>
        <w:t>第三节  提升生态环境监管能力</w:t>
      </w:r>
      <w:bookmarkEnd w:id="83"/>
      <w:bookmarkEnd w:id="84"/>
      <w:bookmarkEnd w:id="85"/>
      <w:bookmarkEnd w:id="86"/>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运用生态科技，推进生态环境管理数字化智能化，对大气、水、土壤、噪声等环境要素进行实时态势感知。全面落实污染源网格化监管和“双随机”抽查制度，完善环境质量监测要素和点位布局，建立重点污染源在线监控系统。提升县、乡镇两级污染防治综合监管平台功能，推进生态环境监测数据联网与信息共享，拓展环境质量监测项目，填补生态环境监测盲点。加强生态环境综合执法队伍建设，增配新型快速精准取证执法装备，建立线上监测监控、线下快速响应的联动执法监督机制。调动市场及社会力量参与环保监督积极性，探索建立社会力量参与环保监督的服务平台。</w:t>
      </w:r>
    </w:p>
    <w:tbl>
      <w:tblPr>
        <w:tblStyle w:val="27"/>
        <w:tblW w:w="866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8662" w:type="dxa"/>
          </w:tcPr>
          <w:p>
            <w:pPr>
              <w:spacing w:line="576" w:lineRule="exact"/>
              <w:jc w:val="center"/>
              <w:rPr>
                <w:rFonts w:eastAsia="黑体" w:cs="Times New Roman"/>
                <w:bCs/>
                <w:color w:val="auto"/>
                <w:kern w:val="0"/>
                <w:sz w:val="28"/>
                <w:szCs w:val="32"/>
              </w:rPr>
            </w:pPr>
            <w:bookmarkStart w:id="87" w:name="_Toc20013_WPSOffice_Level2"/>
            <w:r>
              <w:rPr>
                <w:rFonts w:eastAsia="黑体" w:cs="Times New Roman"/>
                <w:bCs/>
                <w:color w:val="auto"/>
                <w:kern w:val="0"/>
                <w:sz w:val="28"/>
                <w:szCs w:val="32"/>
              </w:rPr>
              <w:t>专栏4  金川县生态治理重点项目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62"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绿化金川行动</w:t>
            </w:r>
            <w:r>
              <w:rPr>
                <w:rFonts w:cs="Times New Roman"/>
                <w:color w:val="auto"/>
                <w:kern w:val="0"/>
                <w:sz w:val="28"/>
                <w:szCs w:val="32"/>
              </w:rPr>
              <w:t>。大金川河流域干旱半干旱河谷治理建设项目</w:t>
            </w:r>
            <w:r>
              <w:rPr>
                <w:rFonts w:hint="eastAsia" w:cs="Times New Roman"/>
                <w:color w:val="auto"/>
                <w:kern w:val="0"/>
                <w:sz w:val="28"/>
                <w:szCs w:val="32"/>
                <w:lang w:eastAsia="zh-CN"/>
              </w:rPr>
              <w:t>，</w:t>
            </w:r>
            <w:r>
              <w:rPr>
                <w:rFonts w:cs="Times New Roman"/>
                <w:color w:val="auto"/>
                <w:kern w:val="0"/>
                <w:sz w:val="28"/>
                <w:szCs w:val="32"/>
              </w:rPr>
              <w:t>金川县城市统筹绿化项目</w:t>
            </w:r>
            <w:r>
              <w:rPr>
                <w:rFonts w:hint="eastAsia" w:cs="Times New Roman"/>
                <w:color w:val="auto"/>
                <w:kern w:val="0"/>
                <w:sz w:val="28"/>
                <w:szCs w:val="32"/>
                <w:lang w:eastAsia="zh-CN"/>
              </w:rPr>
              <w:t>，</w:t>
            </w:r>
            <w:r>
              <w:rPr>
                <w:rFonts w:cs="Times New Roman"/>
                <w:color w:val="auto"/>
                <w:kern w:val="0"/>
                <w:sz w:val="28"/>
                <w:szCs w:val="32"/>
              </w:rPr>
              <w:t>大金川河两岸绿化工程</w:t>
            </w:r>
            <w:r>
              <w:rPr>
                <w:rFonts w:hint="eastAsia" w:cs="Times New Roman"/>
                <w:color w:val="auto"/>
                <w:kern w:val="0"/>
                <w:sz w:val="28"/>
                <w:szCs w:val="32"/>
                <w:lang w:eastAsia="zh-CN"/>
              </w:rPr>
              <w:t>，</w:t>
            </w:r>
            <w:r>
              <w:rPr>
                <w:rFonts w:cs="Times New Roman"/>
                <w:color w:val="auto"/>
                <w:kern w:val="0"/>
                <w:sz w:val="28"/>
                <w:szCs w:val="32"/>
              </w:rPr>
              <w:t>乡村振兴示范村寨绿化工程建设</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大熊猫走廊金川竹基地建设</w:t>
            </w:r>
            <w:r>
              <w:rPr>
                <w:rFonts w:cs="Times New Roman"/>
                <w:color w:val="auto"/>
                <w:spacing w:val="-6"/>
                <w:kern w:val="0"/>
                <w:sz w:val="28"/>
                <w:szCs w:val="32"/>
              </w:rPr>
              <w:t>项目</w:t>
            </w:r>
            <w:r>
              <w:rPr>
                <w:rFonts w:hint="eastAsia" w:cs="Times New Roman"/>
                <w:color w:val="auto"/>
                <w:spacing w:val="-6"/>
                <w:kern w:val="0"/>
                <w:sz w:val="28"/>
                <w:szCs w:val="32"/>
                <w:lang w:eastAsia="zh-CN"/>
              </w:rPr>
              <w:t>，</w:t>
            </w:r>
            <w:r>
              <w:rPr>
                <w:rFonts w:cs="Times New Roman"/>
                <w:color w:val="auto"/>
                <w:spacing w:val="-6"/>
                <w:kern w:val="0"/>
                <w:sz w:val="28"/>
                <w:szCs w:val="32"/>
              </w:rPr>
              <w:t>四川牡丹基地建设项目。</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流域生态治理</w:t>
            </w:r>
            <w:r>
              <w:rPr>
                <w:rFonts w:cs="Times New Roman"/>
                <w:color w:val="auto"/>
                <w:kern w:val="0"/>
                <w:sz w:val="28"/>
                <w:szCs w:val="32"/>
              </w:rPr>
              <w:t>。全境37条河流管理规范划界</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大金川河两岸排污口治理</w:t>
            </w:r>
            <w:r>
              <w:rPr>
                <w:rFonts w:hint="eastAsia" w:cs="Times New Roman"/>
                <w:color w:val="auto"/>
                <w:kern w:val="0"/>
                <w:sz w:val="28"/>
                <w:szCs w:val="32"/>
                <w:lang w:val="en-US" w:eastAsia="zh-CN"/>
              </w:rPr>
              <w:t>项目，</w:t>
            </w:r>
            <w:r>
              <w:rPr>
                <w:rFonts w:cs="Times New Roman"/>
                <w:color w:val="auto"/>
                <w:kern w:val="0"/>
                <w:sz w:val="28"/>
                <w:szCs w:val="32"/>
              </w:rPr>
              <w:t>农村河道治理</w:t>
            </w:r>
            <w:r>
              <w:rPr>
                <w:rFonts w:hint="eastAsia" w:cs="Times New Roman"/>
                <w:color w:val="auto"/>
                <w:kern w:val="0"/>
                <w:sz w:val="28"/>
                <w:szCs w:val="32"/>
                <w:lang w:val="en-US" w:eastAsia="zh-CN"/>
              </w:rPr>
              <w:t>项目</w:t>
            </w:r>
            <w:r>
              <w:rPr>
                <w:rFonts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sz w:val="28"/>
                <w:szCs w:val="28"/>
              </w:rPr>
            </w:pPr>
            <w:r>
              <w:rPr>
                <w:rFonts w:cs="Times New Roman"/>
                <w:b/>
                <w:bCs/>
                <w:color w:val="auto"/>
                <w:kern w:val="0"/>
                <w:sz w:val="28"/>
                <w:szCs w:val="32"/>
              </w:rPr>
              <w:t>水土流失治理</w:t>
            </w:r>
            <w:r>
              <w:rPr>
                <w:rFonts w:cs="Times New Roman"/>
                <w:color w:val="auto"/>
                <w:kern w:val="0"/>
                <w:sz w:val="28"/>
                <w:szCs w:val="32"/>
              </w:rPr>
              <w:t>。22个小流域水土流失综合治理</w:t>
            </w:r>
            <w:r>
              <w:rPr>
                <w:rFonts w:hint="eastAsia" w:cs="Times New Roman"/>
                <w:color w:val="auto"/>
                <w:kern w:val="0"/>
                <w:sz w:val="28"/>
                <w:szCs w:val="32"/>
                <w:lang w:val="en-US" w:eastAsia="zh-CN"/>
              </w:rPr>
              <w:t>项目，</w:t>
            </w:r>
            <w:r>
              <w:rPr>
                <w:rFonts w:cs="Times New Roman"/>
                <w:color w:val="auto"/>
                <w:kern w:val="0"/>
                <w:sz w:val="28"/>
                <w:szCs w:val="32"/>
              </w:rPr>
              <w:t>5个乡镇坡耕地水土流失综合治理</w:t>
            </w:r>
            <w:r>
              <w:rPr>
                <w:rFonts w:hint="eastAsia" w:cs="Times New Roman"/>
                <w:color w:val="auto"/>
                <w:kern w:val="0"/>
                <w:sz w:val="28"/>
                <w:szCs w:val="32"/>
                <w:lang w:val="en-US" w:eastAsia="zh-CN"/>
              </w:rPr>
              <w:t>项目，</w:t>
            </w:r>
            <w:r>
              <w:rPr>
                <w:rFonts w:cs="Times New Roman"/>
                <w:color w:val="auto"/>
                <w:sz w:val="28"/>
                <w:szCs w:val="28"/>
              </w:rPr>
              <w:t>17处泥石流治理</w:t>
            </w:r>
            <w:r>
              <w:rPr>
                <w:rFonts w:hint="eastAsia" w:cs="Times New Roman"/>
                <w:color w:val="auto"/>
                <w:sz w:val="28"/>
                <w:szCs w:val="28"/>
                <w:lang w:val="en-US" w:eastAsia="zh-CN"/>
              </w:rPr>
              <w:t>项目</w:t>
            </w:r>
            <w:r>
              <w:rPr>
                <w:rFonts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cs="Times New Roman"/>
                <w:b/>
                <w:bCs/>
                <w:color w:val="auto"/>
                <w:kern w:val="0"/>
                <w:sz w:val="28"/>
                <w:szCs w:val="32"/>
              </w:rPr>
              <w:t>环境污染治理</w:t>
            </w:r>
            <w:r>
              <w:rPr>
                <w:rFonts w:cs="Times New Roman"/>
                <w:color w:val="auto"/>
                <w:kern w:val="0"/>
                <w:sz w:val="28"/>
                <w:szCs w:val="32"/>
              </w:rPr>
              <w:t>。餐厨垃圾收集处置项目</w:t>
            </w:r>
            <w:r>
              <w:rPr>
                <w:rFonts w:hint="eastAsia" w:cs="Times New Roman"/>
                <w:color w:val="auto"/>
                <w:kern w:val="0"/>
                <w:sz w:val="28"/>
                <w:szCs w:val="32"/>
                <w:lang w:eastAsia="zh-CN"/>
              </w:rPr>
              <w:t>，</w:t>
            </w:r>
            <w:r>
              <w:rPr>
                <w:rFonts w:cs="Times New Roman"/>
                <w:color w:val="auto"/>
                <w:kern w:val="0"/>
                <w:sz w:val="28"/>
                <w:szCs w:val="32"/>
              </w:rPr>
              <w:t>观音桥生活垃圾无害化处理站建设</w:t>
            </w:r>
            <w:r>
              <w:rPr>
                <w:rFonts w:hint="eastAsia" w:cs="Times New Roman"/>
                <w:color w:val="auto"/>
                <w:kern w:val="0"/>
                <w:sz w:val="28"/>
                <w:szCs w:val="32"/>
                <w:lang w:val="en-US" w:eastAsia="zh-CN"/>
              </w:rPr>
              <w:t>项目，</w:t>
            </w:r>
            <w:r>
              <w:rPr>
                <w:rFonts w:cs="Times New Roman"/>
                <w:color w:val="auto"/>
                <w:kern w:val="0"/>
                <w:sz w:val="28"/>
                <w:szCs w:val="32"/>
              </w:rPr>
              <w:t>安宁生活垃圾无害化处理站建设</w:t>
            </w:r>
            <w:r>
              <w:rPr>
                <w:rFonts w:hint="eastAsia" w:cs="Times New Roman"/>
                <w:color w:val="auto"/>
                <w:kern w:val="0"/>
                <w:sz w:val="28"/>
                <w:szCs w:val="32"/>
                <w:lang w:val="en-US" w:eastAsia="zh-CN"/>
              </w:rPr>
              <w:t>项目，</w:t>
            </w:r>
            <w:r>
              <w:rPr>
                <w:rFonts w:cs="Times New Roman"/>
                <w:color w:val="auto"/>
                <w:kern w:val="0"/>
                <w:sz w:val="28"/>
                <w:szCs w:val="32"/>
              </w:rPr>
              <w:t>乡镇生活垃圾分类收转运设施建设</w:t>
            </w:r>
            <w:r>
              <w:rPr>
                <w:rFonts w:hint="eastAsia" w:cs="Times New Roman"/>
                <w:color w:val="auto"/>
                <w:kern w:val="0"/>
                <w:sz w:val="28"/>
                <w:szCs w:val="32"/>
                <w:lang w:val="en-US" w:eastAsia="zh-CN"/>
              </w:rPr>
              <w:t>项目，</w:t>
            </w:r>
            <w:r>
              <w:rPr>
                <w:rFonts w:cs="Times New Roman"/>
                <w:color w:val="auto"/>
                <w:kern w:val="0"/>
                <w:sz w:val="28"/>
                <w:szCs w:val="32"/>
              </w:rPr>
              <w:t>环境质量监测项目</w:t>
            </w:r>
            <w:r>
              <w:rPr>
                <w:rFonts w:hint="eastAsia" w:cs="Times New Roman"/>
                <w:color w:val="auto"/>
                <w:kern w:val="0"/>
                <w:sz w:val="28"/>
                <w:szCs w:val="32"/>
                <w:lang w:eastAsia="zh-CN"/>
              </w:rPr>
              <w:t>，</w:t>
            </w:r>
            <w:r>
              <w:rPr>
                <w:rFonts w:cs="Times New Roman"/>
                <w:color w:val="auto"/>
                <w:kern w:val="0"/>
                <w:sz w:val="28"/>
                <w:szCs w:val="32"/>
              </w:rPr>
              <w:t>医疗废物处置建设</w:t>
            </w:r>
            <w:r>
              <w:rPr>
                <w:rFonts w:hint="eastAsia" w:cs="Times New Roman"/>
                <w:color w:val="auto"/>
                <w:kern w:val="0"/>
                <w:sz w:val="28"/>
                <w:szCs w:val="32"/>
                <w:lang w:val="en-US" w:eastAsia="zh-CN"/>
              </w:rPr>
              <w:t>项目</w:t>
            </w:r>
            <w:r>
              <w:rPr>
                <w:rFonts w:cs="Times New Roman"/>
                <w:color w:val="auto"/>
                <w:kern w:val="0"/>
                <w:sz w:val="28"/>
                <w:szCs w:val="32"/>
              </w:rPr>
              <w:t>。</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88" w:name="_Toc27214"/>
      <w:bookmarkStart w:id="89" w:name="_Toc28724"/>
      <w:bookmarkStart w:id="90" w:name="_Toc31876"/>
      <w:r>
        <w:rPr>
          <w:rFonts w:ascii="Times New Roman" w:hAnsi="Times New Roman" w:eastAsia="黑体"/>
          <w:b w:val="0"/>
          <w:bCs w:val="0"/>
          <w:color w:val="auto"/>
          <w:kern w:val="2"/>
          <w:sz w:val="32"/>
          <w:szCs w:val="32"/>
        </w:rPr>
        <w:t>第五章  创新生态保护机制</w:t>
      </w:r>
      <w:bookmarkEnd w:id="87"/>
      <w:bookmarkEnd w:id="88"/>
      <w:bookmarkEnd w:id="89"/>
      <w:bookmarkEnd w:id="90"/>
    </w:p>
    <w:p>
      <w:pPr>
        <w:spacing w:line="576" w:lineRule="exact"/>
        <w:ind w:firstLine="641"/>
        <w:rPr>
          <w:rFonts w:cs="Times New Roman"/>
          <w:color w:val="auto"/>
          <w:kern w:val="0"/>
          <w:szCs w:val="32"/>
        </w:rPr>
      </w:pPr>
      <w:r>
        <w:rPr>
          <w:rFonts w:cs="Times New Roman"/>
          <w:color w:val="auto"/>
          <w:kern w:val="0"/>
          <w:szCs w:val="32"/>
        </w:rPr>
        <w:t>深入践行“共抓大保护、不搞大开发”理念，坚持用最严格制度最严密法治保护生态环境，逐步健全源头预防、过程控制、目标考核、责任追究的生态环境保护体系。</w:t>
      </w:r>
    </w:p>
    <w:p>
      <w:pPr>
        <w:pStyle w:val="5"/>
        <w:spacing w:before="156" w:beforeLines="50" w:after="156" w:afterLines="50" w:line="576" w:lineRule="exact"/>
        <w:jc w:val="center"/>
        <w:rPr>
          <w:rFonts w:eastAsia="楷体"/>
          <w:color w:val="auto"/>
        </w:rPr>
      </w:pPr>
      <w:bookmarkStart w:id="91" w:name="_Toc31581"/>
      <w:bookmarkStart w:id="92" w:name="_Toc27410"/>
      <w:bookmarkStart w:id="93" w:name="_Toc24029_WPSOffice_Level3"/>
      <w:bookmarkStart w:id="94" w:name="_Toc16723"/>
      <w:r>
        <w:rPr>
          <w:rFonts w:eastAsia="楷体_GB2312"/>
          <w:color w:val="auto"/>
        </w:rPr>
        <w:t>第一节  实行最严格的生态环保制度</w:t>
      </w:r>
      <w:bookmarkEnd w:id="91"/>
      <w:bookmarkEnd w:id="92"/>
      <w:bookmarkEnd w:id="93"/>
      <w:bookmarkEnd w:id="94"/>
    </w:p>
    <w:p>
      <w:pPr>
        <w:spacing w:line="576" w:lineRule="exact"/>
        <w:ind w:firstLine="640" w:firstLineChars="200"/>
        <w:rPr>
          <w:rFonts w:eastAsia="仿宋" w:cs="Times New Roman"/>
          <w:color w:val="auto"/>
        </w:rPr>
      </w:pPr>
      <w:r>
        <w:rPr>
          <w:rFonts w:cs="Times New Roman"/>
          <w:color w:val="auto"/>
          <w:kern w:val="0"/>
          <w:szCs w:val="32"/>
        </w:rPr>
        <w:t>健全自然资源有偿使用制度，加强生态保护和治理技术的引进试点与应用推广，鼓励社会资本和力量参与生态建设。制定环境容量及总量控制标准，落实建设项目主要污染物排放总量指标管理办法。建立重大工程环境监测评估体系和生态管控机制。</w:t>
      </w:r>
      <w:r>
        <w:rPr>
          <w:rFonts w:hint="eastAsia" w:cs="Times New Roman"/>
          <w:color w:val="auto"/>
          <w:kern w:val="0"/>
          <w:szCs w:val="32"/>
        </w:rPr>
        <w:t>依据有关生态环境保护标准、环境影响评价技术导则和技术规范，对编制的土地利用有关规划和区域、流域的建设、开发利用规划，以及工业、农业、畜牧业、林业、能源、水利、交通、城市建设、旅游、自然资源开发的有关专项规划，依法全面开展规划环境影响评价。</w:t>
      </w:r>
      <w:r>
        <w:rPr>
          <w:rFonts w:cs="Times New Roman"/>
          <w:color w:val="auto"/>
          <w:kern w:val="0"/>
          <w:szCs w:val="32"/>
        </w:rPr>
        <w:t>深化生态环境保护综合行政执法改革，建立健全跨部门、跨区域执法联动响应和协作机制，完善环境行政执法与刑事司法衔接机制。创新环境公益诉讼制度，推进环境资源审判法庭建设，鼓励公众举报生态环境违法犯罪行为。保障公众对生态建设和环境保护的知情权、参与权、监督权。</w:t>
      </w:r>
    </w:p>
    <w:p>
      <w:pPr>
        <w:pStyle w:val="5"/>
        <w:spacing w:before="156" w:beforeLines="50" w:after="156" w:afterLines="50" w:line="576" w:lineRule="exact"/>
        <w:jc w:val="center"/>
        <w:rPr>
          <w:rFonts w:eastAsia="楷体"/>
          <w:color w:val="auto"/>
        </w:rPr>
      </w:pPr>
      <w:bookmarkStart w:id="95" w:name="_Toc13139"/>
      <w:bookmarkStart w:id="96" w:name="_Toc21797"/>
      <w:bookmarkStart w:id="97" w:name="_Toc21204_WPSOffice_Level3"/>
      <w:bookmarkStart w:id="98" w:name="_Toc9632"/>
      <w:r>
        <w:rPr>
          <w:rFonts w:eastAsia="楷体_GB2312"/>
          <w:color w:val="auto"/>
        </w:rPr>
        <w:t>第二节  探索多元化的生态补偿机制</w:t>
      </w:r>
      <w:bookmarkEnd w:id="95"/>
      <w:bookmarkEnd w:id="96"/>
      <w:bookmarkEnd w:id="97"/>
      <w:bookmarkEnd w:id="98"/>
    </w:p>
    <w:p>
      <w:pPr>
        <w:spacing w:line="576" w:lineRule="exact"/>
        <w:ind w:firstLine="641"/>
        <w:rPr>
          <w:rFonts w:cs="Times New Roman"/>
          <w:color w:val="auto"/>
          <w:kern w:val="0"/>
          <w:szCs w:val="32"/>
        </w:rPr>
      </w:pPr>
      <w:r>
        <w:rPr>
          <w:rFonts w:cs="Times New Roman"/>
          <w:color w:val="auto"/>
          <w:kern w:val="0"/>
          <w:szCs w:val="32"/>
        </w:rPr>
        <w:t>加快自然资源及其产品价格改革，执行取水许可和水资源费征收制度，逐步将资源税扩展到水流、水库、森林、山岭、湿地、荒地等自然生态空间。继续实行退耕还林、森林生态效益补偿和草原生态保护补助奖励政策，积极承接国家生态综合补偿试点，整合现有生态保护补偿渠道，提高生态补偿资金使用效率。深化跨流域跨区域生态保护合作，探索建立横向生态保护补偿机制。建立“生态环境效益共享，生态保护成本共担，经济实现协调发</w:t>
      </w:r>
      <w:r>
        <w:rPr>
          <w:rFonts w:cs="Times New Roman"/>
          <w:color w:val="auto"/>
          <w:spacing w:val="-6"/>
          <w:kern w:val="0"/>
          <w:szCs w:val="32"/>
        </w:rPr>
        <w:t>展”的可持续发展机制，探索具有政策和法律保障的长效补偿机制。</w:t>
      </w:r>
    </w:p>
    <w:p>
      <w:pPr>
        <w:pStyle w:val="5"/>
        <w:spacing w:before="156" w:beforeLines="50" w:after="156" w:afterLines="50" w:line="576" w:lineRule="exact"/>
        <w:jc w:val="center"/>
        <w:rPr>
          <w:rFonts w:eastAsia="楷体_GB2312"/>
          <w:color w:val="auto"/>
        </w:rPr>
      </w:pPr>
      <w:bookmarkStart w:id="99" w:name="_Toc4020"/>
      <w:bookmarkStart w:id="100" w:name="_Toc4758"/>
      <w:bookmarkStart w:id="101" w:name="_Toc4795"/>
      <w:bookmarkStart w:id="102" w:name="_Toc6984_WPSOffice_Level3"/>
      <w:r>
        <w:rPr>
          <w:rFonts w:eastAsia="楷体_GB2312"/>
          <w:color w:val="auto"/>
        </w:rPr>
        <w:t>第三节  倡导绿色低碳生产生活方式</w:t>
      </w:r>
      <w:bookmarkEnd w:id="99"/>
      <w:bookmarkEnd w:id="100"/>
      <w:bookmarkEnd w:id="101"/>
      <w:bookmarkEnd w:id="102"/>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创新生态与产业融合模式，健全生态资源融资担保体系，鼓励创新绿色金融产品。大力发展绿色循环农牧业，积极采取地膜回收、秸秆粉碎、尾菜收集、畜禽粪污无害化处理等措施，推进农业废弃物循环利用。加强城区餐厨废弃物、建筑垃圾、园林废弃物无害化资源化处置利用。积极开展绿色矿山创建工作，提高锂资源选矿回收率，挖掘锂资源再生利用价值。完善能源消费总量和强度“双控”机制，加强工业、建筑、交通、公共机构等领域节能管理，推广适宜高原环境的光热、光电、风能等新产品新技术。</w:t>
      </w:r>
      <w:r>
        <w:rPr>
          <w:rFonts w:hint="eastAsia" w:ascii="Times New Roman" w:hAnsi="Times New Roman" w:eastAsia="仿宋_GB2312" w:cs="Times New Roman"/>
          <w:color w:val="auto"/>
          <w:kern w:val="0"/>
          <w:sz w:val="32"/>
          <w:szCs w:val="32"/>
          <w:lang w:val="en-US" w:eastAsia="zh-CN" w:bidi="ar-SA"/>
        </w:rPr>
        <w:t>倡导建设节约资源、保护环境、减少污染，为人们提供健康、适用、高效的适用空间，最大限度地实现人与自然和谐共生的高质量绿色建筑。坚持执行优先采购有利于绿色、循环和低碳发展产品的政府绿色采购制服。</w:t>
      </w:r>
      <w:r>
        <w:rPr>
          <w:rFonts w:cs="Times New Roman"/>
          <w:color w:val="auto"/>
          <w:kern w:val="0"/>
          <w:szCs w:val="32"/>
        </w:rPr>
        <w:t>实施绿色低碳行动，鼓励绿色消费、低碳出行，倡导简约适度、绿色低碳生活方式，把生态文明纳入精神文明建设体系，推动形成尊重自然、爱护环境、保护生态的绿色价值观念。加强生态普法宣传教育，弘扬生态法治精神，建设生态环境保护科普基地和综合防灾减灾救灾教育培训基地。</w:t>
      </w:r>
    </w:p>
    <w:p>
      <w:pPr>
        <w:pStyle w:val="5"/>
        <w:spacing w:before="156" w:beforeLines="50" w:after="156" w:afterLines="50" w:line="576" w:lineRule="exact"/>
        <w:jc w:val="center"/>
        <w:rPr>
          <w:rFonts w:eastAsia="楷体_GB2312"/>
          <w:color w:val="auto"/>
        </w:rPr>
      </w:pPr>
      <w:bookmarkStart w:id="103" w:name="_Toc6976"/>
      <w:bookmarkStart w:id="104" w:name="_Toc12351"/>
      <w:bookmarkStart w:id="105" w:name="_Toc15430"/>
      <w:bookmarkStart w:id="106" w:name="_Toc19980_WPSOffice_Level3"/>
      <w:r>
        <w:rPr>
          <w:rFonts w:eastAsia="楷体_GB2312"/>
          <w:color w:val="auto"/>
        </w:rPr>
        <w:t>第四节  健全生态文明考核评价机制</w:t>
      </w:r>
      <w:bookmarkEnd w:id="103"/>
      <w:bookmarkEnd w:id="104"/>
      <w:bookmarkEnd w:id="105"/>
      <w:bookmarkEnd w:id="106"/>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建立科学完整的生态文明建设考核评价体系，逐步将资源消耗、环境损害、</w:t>
      </w:r>
      <w:r>
        <w:rPr>
          <w:rFonts w:hint="eastAsia" w:ascii="Times New Roman" w:hAnsi="Times New Roman" w:eastAsia="仿宋_GB2312" w:cs="Times New Roman"/>
          <w:color w:val="auto"/>
          <w:kern w:val="0"/>
          <w:sz w:val="32"/>
          <w:szCs w:val="32"/>
          <w:lang w:val="en-US" w:eastAsia="zh-CN" w:bidi="ar-SA"/>
        </w:rPr>
        <w:t>生态</w:t>
      </w:r>
      <w:r>
        <w:rPr>
          <w:rFonts w:cs="Times New Roman"/>
          <w:color w:val="auto"/>
          <w:kern w:val="0"/>
          <w:szCs w:val="32"/>
        </w:rPr>
        <w:t>效益等指标权重提高</w:t>
      </w:r>
      <w:r>
        <w:rPr>
          <w:rFonts w:hint="eastAsia" w:cs="Times New Roman"/>
          <w:color w:val="auto"/>
          <w:kern w:val="0"/>
          <w:szCs w:val="32"/>
          <w:lang w:val="en-US" w:eastAsia="zh-CN"/>
        </w:rPr>
        <w:t>至</w:t>
      </w:r>
      <w:r>
        <w:rPr>
          <w:rFonts w:cs="Times New Roman"/>
          <w:color w:val="auto"/>
          <w:kern w:val="0"/>
          <w:szCs w:val="32"/>
        </w:rPr>
        <w:t>20%以上，并将考核结果作为干部奖惩和提拔使用的重要依据。执行领导干部任期生态文明建设责任制、生态保护问责制</w:t>
      </w:r>
      <w:r>
        <w:rPr>
          <w:rFonts w:hint="eastAsia" w:cs="Times New Roman"/>
          <w:color w:val="auto"/>
          <w:kern w:val="0"/>
          <w:szCs w:val="32"/>
        </w:rPr>
        <w:t>，开展自然资源资产离任审计，落实</w:t>
      </w:r>
      <w:r>
        <w:rPr>
          <w:rFonts w:cs="Times New Roman"/>
          <w:color w:val="auto"/>
          <w:kern w:val="0"/>
          <w:szCs w:val="32"/>
        </w:rPr>
        <w:t>生态环境损害责任终身追究制。建立环境损害鉴定评估机制，合理鉴定、测算生态环境损害范围和程度。</w:t>
      </w:r>
    </w:p>
    <w:p>
      <w:pPr>
        <w:pStyle w:val="3"/>
        <w:keepNext/>
        <w:keepLines/>
        <w:pageBreakBefore w:val="0"/>
        <w:widowControl w:val="0"/>
        <w:kinsoku/>
        <w:wordWrap/>
        <w:overflowPunct/>
        <w:topLinePunct w:val="0"/>
        <w:autoSpaceDE/>
        <w:autoSpaceDN/>
        <w:bidi w:val="0"/>
        <w:adjustRightInd/>
        <w:snapToGrid/>
        <w:spacing w:before="251" w:beforeLines="80" w:after="251" w:afterLines="80" w:line="576" w:lineRule="exact"/>
        <w:textAlignment w:val="auto"/>
        <w:rPr>
          <w:color w:val="auto"/>
          <w:sz w:val="36"/>
          <w:szCs w:val="36"/>
        </w:rPr>
      </w:pPr>
      <w:bookmarkStart w:id="107" w:name="_Toc23083"/>
      <w:bookmarkStart w:id="108" w:name="_Toc20002"/>
      <w:bookmarkStart w:id="109" w:name="_Toc20650"/>
      <w:bookmarkStart w:id="110" w:name="_Toc18723_WPSOffice_Level1"/>
      <w:r>
        <w:rPr>
          <w:color w:val="auto"/>
          <w:sz w:val="36"/>
          <w:szCs w:val="36"/>
        </w:rPr>
        <w:t>第三篇  加快产业结构升级，打造特色生态产业体系</w:t>
      </w:r>
      <w:bookmarkEnd w:id="107"/>
      <w:bookmarkEnd w:id="108"/>
      <w:bookmarkEnd w:id="109"/>
      <w:bookmarkEnd w:id="110"/>
    </w:p>
    <w:p>
      <w:pPr>
        <w:keepNext w:val="0"/>
        <w:keepLines w:val="0"/>
        <w:pageBreakBefore w:val="0"/>
        <w:widowControl w:val="0"/>
        <w:kinsoku/>
        <w:wordWrap/>
        <w:overflowPunct/>
        <w:topLinePunct w:val="0"/>
        <w:autoSpaceDE/>
        <w:autoSpaceDN/>
        <w:bidi w:val="0"/>
        <w:adjustRightInd/>
        <w:snapToGrid/>
        <w:spacing w:line="570" w:lineRule="exact"/>
        <w:ind w:firstLine="641"/>
        <w:textAlignment w:val="auto"/>
        <w:rPr>
          <w:rFonts w:cs="Times New Roman"/>
          <w:color w:val="auto"/>
          <w:kern w:val="0"/>
          <w:szCs w:val="32"/>
        </w:rPr>
      </w:pPr>
      <w:r>
        <w:rPr>
          <w:rFonts w:cs="Times New Roman"/>
          <w:color w:val="auto"/>
          <w:kern w:val="0"/>
          <w:szCs w:val="32"/>
        </w:rPr>
        <w:t>坚持生态产业化、产业生态化，以</w:t>
      </w:r>
      <w:r>
        <w:rPr>
          <w:rFonts w:hint="eastAsia" w:cs="Times New Roman"/>
          <w:color w:val="auto"/>
          <w:kern w:val="0"/>
          <w:szCs w:val="32"/>
        </w:rPr>
        <w:t>生态</w:t>
      </w:r>
      <w:r>
        <w:rPr>
          <w:rFonts w:cs="Times New Roman"/>
          <w:color w:val="auto"/>
          <w:kern w:val="0"/>
          <w:szCs w:val="32"/>
        </w:rPr>
        <w:t>农牧业、</w:t>
      </w:r>
      <w:r>
        <w:rPr>
          <w:rFonts w:hint="eastAsia" w:cs="Times New Roman"/>
          <w:color w:val="auto"/>
          <w:kern w:val="0"/>
          <w:szCs w:val="32"/>
        </w:rPr>
        <w:t>清洁</w:t>
      </w:r>
      <w:r>
        <w:rPr>
          <w:rFonts w:cs="Times New Roman"/>
          <w:color w:val="auto"/>
          <w:kern w:val="0"/>
          <w:szCs w:val="32"/>
        </w:rPr>
        <w:t>工业、文旅产业等为重点，切实做优增量、调整存量、提升质量、激活</w:t>
      </w:r>
      <w:r>
        <w:rPr>
          <w:rFonts w:cs="Times New Roman"/>
          <w:color w:val="auto"/>
          <w:w w:val="97"/>
          <w:kern w:val="0"/>
          <w:szCs w:val="32"/>
        </w:rPr>
        <w:t>变量，促进三产融合增效，构建以生态经济为支撑的现代产业体系。</w:t>
      </w:r>
    </w:p>
    <w:tbl>
      <w:tblPr>
        <w:tblStyle w:val="27"/>
        <w:tblW w:w="8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2" w:type="dxa"/>
            <w:vAlign w:val="top"/>
          </w:tcPr>
          <w:p>
            <w:pPr>
              <w:jc w:val="center"/>
              <w:rPr>
                <w:rFonts w:cs="Times New Roman"/>
                <w:b/>
                <w:bCs/>
                <w:color w:val="auto"/>
                <w:kern w:val="0"/>
                <w:szCs w:val="32"/>
                <w:vertAlign w:val="baseline"/>
              </w:rPr>
            </w:pPr>
            <w:r>
              <w:rPr>
                <w:color w:val="auto"/>
              </w:rPr>
              <w:object>
                <v:shape id="_x0000_i1025" o:spt="75" type="#_x0000_t75" style="height:264.85pt;width:415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722"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图4  金川县特色生态产业体系图</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111" w:name="_Toc10636"/>
      <w:bookmarkStart w:id="112" w:name="_Toc16368"/>
      <w:bookmarkStart w:id="113" w:name="_Toc18723_WPSOffice_Level2"/>
      <w:bookmarkStart w:id="114" w:name="_Toc24405"/>
      <w:r>
        <w:rPr>
          <w:rFonts w:ascii="Times New Roman" w:hAnsi="Times New Roman" w:eastAsia="黑体"/>
          <w:b w:val="0"/>
          <w:bCs w:val="0"/>
          <w:color w:val="auto"/>
          <w:kern w:val="2"/>
          <w:sz w:val="32"/>
          <w:szCs w:val="32"/>
        </w:rPr>
        <w:t>第六章  聚力发展生态农牧业</w:t>
      </w:r>
      <w:bookmarkEnd w:id="111"/>
      <w:bookmarkEnd w:id="112"/>
      <w:bookmarkEnd w:id="113"/>
      <w:bookmarkEnd w:id="114"/>
    </w:p>
    <w:p>
      <w:pPr>
        <w:spacing w:line="576" w:lineRule="exact"/>
        <w:ind w:firstLine="641"/>
        <w:rPr>
          <w:rFonts w:cs="Times New Roman"/>
          <w:color w:val="auto"/>
          <w:kern w:val="0"/>
          <w:szCs w:val="32"/>
        </w:rPr>
      </w:pPr>
      <w:r>
        <w:rPr>
          <w:rFonts w:cs="Times New Roman"/>
          <w:color w:val="auto"/>
          <w:kern w:val="0"/>
          <w:szCs w:val="32"/>
        </w:rPr>
        <w:t>坚持以农业供给侧结构性改革为主线，主动融入全州“6+N”高原特色农牧产业体系，以“一果一畜”为基底，持续壮大七大特色产业，提升农业规模化、特色化、品牌化、链条化水平，做大做强“安全菜、放心肉、健康果”标志性产地，建设农牧业产业区域布局合理、竞争优势明显、综合效益优良的高原特色农牧业产业发展强县。</w:t>
      </w:r>
    </w:p>
    <w:p>
      <w:pPr>
        <w:pStyle w:val="5"/>
        <w:spacing w:before="156" w:beforeLines="50" w:after="156" w:afterLines="50" w:line="576" w:lineRule="exact"/>
        <w:jc w:val="center"/>
        <w:rPr>
          <w:rFonts w:eastAsia="楷体_GB2312"/>
          <w:color w:val="auto"/>
        </w:rPr>
      </w:pPr>
      <w:bookmarkStart w:id="115" w:name="_Toc3640"/>
      <w:bookmarkStart w:id="116" w:name="_Toc28388"/>
      <w:bookmarkStart w:id="117" w:name="_Toc4716"/>
      <w:bookmarkStart w:id="118" w:name="_Toc19154_WPSOffice_Level3"/>
      <w:r>
        <w:rPr>
          <w:rFonts w:eastAsia="楷体_GB2312"/>
          <w:color w:val="auto"/>
        </w:rPr>
        <w:t>第一节  提质七大特色优势农牧业</w:t>
      </w:r>
      <w:bookmarkEnd w:id="115"/>
      <w:bookmarkEnd w:id="116"/>
      <w:bookmarkEnd w:id="117"/>
      <w:bookmarkEnd w:id="118"/>
    </w:p>
    <w:p>
      <w:pPr>
        <w:spacing w:line="576" w:lineRule="exact"/>
        <w:ind w:firstLine="641"/>
        <w:rPr>
          <w:rFonts w:cs="Times New Roman"/>
          <w:color w:val="auto"/>
          <w:kern w:val="0"/>
          <w:szCs w:val="32"/>
        </w:rPr>
      </w:pPr>
      <w:r>
        <w:rPr>
          <w:rFonts w:cs="Times New Roman"/>
          <w:color w:val="auto"/>
          <w:kern w:val="0"/>
          <w:szCs w:val="32"/>
        </w:rPr>
        <w:t>按照“建基地、育主体、拓规模、创品牌、活市场、提质量、促增收”的思路，以增加农畜产品有效供给、促进农牧民增收为主要目标，提质增效雪梨、多肋牦牛、生猪、精品粮油、特色果业、高原蔬菜、道地药材七大特色产业，建设成渝地区优质绿色农畜产品供应地。预计到2025年，农业总产值年均增长</w:t>
      </w:r>
      <w:r>
        <w:rPr>
          <w:rFonts w:hint="eastAsia" w:cs="Times New Roman"/>
          <w:color w:val="auto"/>
          <w:kern w:val="0"/>
          <w:szCs w:val="32"/>
          <w:lang w:val="en-US" w:eastAsia="zh-CN"/>
        </w:rPr>
        <w:t>3.6</w:t>
      </w:r>
      <w:r>
        <w:rPr>
          <w:rFonts w:cs="Times New Roman"/>
          <w:color w:val="auto"/>
          <w:kern w:val="0"/>
          <w:szCs w:val="32"/>
        </w:rPr>
        <w:t>%以上，其中七大特色产业总产值占农牧业总产值的80%以上。</w:t>
      </w:r>
    </w:p>
    <w:tbl>
      <w:tblPr>
        <w:tblStyle w:val="27"/>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680" w:type="dxa"/>
            <w:tcBorders>
              <w:top w:val="single" w:color="auto" w:sz="4" w:space="0"/>
              <w:left w:val="single" w:color="auto" w:sz="4" w:space="0"/>
              <w:bottom w:val="single" w:color="auto" w:sz="4" w:space="0"/>
              <w:right w:val="single" w:color="auto" w:sz="4" w:space="0"/>
            </w:tcBorders>
            <w:vAlign w:val="top"/>
          </w:tcPr>
          <w:p>
            <w:pPr>
              <w:spacing w:line="576" w:lineRule="exact"/>
              <w:jc w:val="center"/>
              <w:rPr>
                <w:rFonts w:eastAsia="黑体" w:cs="Times New Roman"/>
                <w:color w:val="auto"/>
                <w:kern w:val="0"/>
                <w:sz w:val="28"/>
                <w:szCs w:val="32"/>
              </w:rPr>
            </w:pPr>
            <w:bookmarkStart w:id="119" w:name="_Toc10494_WPSOffice_Level3"/>
            <w:r>
              <w:rPr>
                <w:rFonts w:eastAsia="黑体" w:cs="Times New Roman"/>
                <w:color w:val="auto"/>
                <w:sz w:val="28"/>
                <w:szCs w:val="28"/>
              </w:rPr>
              <w:t xml:space="preserve">专栏5  </w:t>
            </w:r>
            <w:r>
              <w:rPr>
                <w:rFonts w:eastAsia="黑体" w:cs="Times New Roman"/>
                <w:bCs/>
                <w:color w:val="auto"/>
                <w:kern w:val="0"/>
                <w:sz w:val="28"/>
                <w:szCs w:val="32"/>
              </w:rPr>
              <w:t>金川县</w:t>
            </w:r>
            <w:r>
              <w:rPr>
                <w:rFonts w:eastAsia="黑体" w:cs="Times New Roman"/>
                <w:color w:val="auto"/>
                <w:sz w:val="28"/>
                <w:szCs w:val="28"/>
              </w:rPr>
              <w:t>七大特色产业发展规模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金川雪梨</w:t>
            </w:r>
            <w:r>
              <w:rPr>
                <w:rFonts w:cs="Times New Roman"/>
                <w:color w:val="auto"/>
                <w:kern w:val="0"/>
                <w:sz w:val="28"/>
                <w:szCs w:val="32"/>
              </w:rPr>
              <w:t>。标准化示范基地2万亩、良繁基地200亩、巩固改造提升雪梨基地4万亩，总产量达到3万吨。</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多肋牦牛</w:t>
            </w:r>
            <w:r>
              <w:rPr>
                <w:rFonts w:cs="Times New Roman"/>
                <w:color w:val="auto"/>
                <w:kern w:val="0"/>
                <w:sz w:val="28"/>
                <w:szCs w:val="32"/>
              </w:rPr>
              <w:t>。优质金川牦牛良种面达到95%以上，规模养殖比重达到65%，主导产业牦牛年出栏达4万头。</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生猪</w:t>
            </w:r>
            <w:r>
              <w:rPr>
                <w:rFonts w:cs="Times New Roman"/>
                <w:color w:val="auto"/>
                <w:kern w:val="0"/>
                <w:sz w:val="28"/>
                <w:szCs w:val="32"/>
              </w:rPr>
              <w:t>。优质生猪年出栏达6.5万头左右。</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精品粮油</w:t>
            </w:r>
            <w:r>
              <w:rPr>
                <w:rFonts w:cs="Times New Roman"/>
                <w:color w:val="auto"/>
                <w:kern w:val="0"/>
                <w:sz w:val="28"/>
                <w:szCs w:val="32"/>
              </w:rPr>
              <w:t>。粮油总播面调整到8.5万亩，总产稳定在2万吨。</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特色果业</w:t>
            </w:r>
            <w:r>
              <w:rPr>
                <w:rFonts w:cs="Times New Roman"/>
                <w:color w:val="auto"/>
                <w:kern w:val="0"/>
                <w:sz w:val="28"/>
                <w:szCs w:val="32"/>
              </w:rPr>
              <w:t>。甜樱桃、脆红李等特色小水果总面积达到2万亩。</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高原蔬菜</w:t>
            </w:r>
            <w:r>
              <w:rPr>
                <w:rFonts w:cs="Times New Roman"/>
                <w:color w:val="auto"/>
                <w:kern w:val="0"/>
                <w:sz w:val="28"/>
                <w:szCs w:val="32"/>
              </w:rPr>
              <w:t>。优质茄果类蔬菜8000亩、早春大白菜3000亩、反</w:t>
            </w:r>
            <w:r>
              <w:rPr>
                <w:rFonts w:cs="Times New Roman"/>
                <w:color w:val="auto"/>
                <w:spacing w:val="-6"/>
                <w:kern w:val="0"/>
                <w:sz w:val="28"/>
                <w:szCs w:val="32"/>
              </w:rPr>
              <w:t>季节大白菜5000亩、</w:t>
            </w:r>
            <w:r>
              <w:rPr>
                <w:rFonts w:hint="eastAsia" w:cs="Times New Roman"/>
                <w:color w:val="auto"/>
                <w:spacing w:val="-6"/>
                <w:kern w:val="0"/>
                <w:sz w:val="28"/>
                <w:szCs w:val="32"/>
              </w:rPr>
              <w:t>错</w:t>
            </w:r>
            <w:r>
              <w:rPr>
                <w:rFonts w:cs="Times New Roman"/>
                <w:color w:val="auto"/>
                <w:spacing w:val="-6"/>
                <w:kern w:val="0"/>
                <w:sz w:val="28"/>
                <w:szCs w:val="32"/>
              </w:rPr>
              <w:t>季莴笋2000亩、设施栽培精细蔬菜1000亩。</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cs="Times New Roman"/>
                <w:b/>
                <w:bCs/>
                <w:color w:val="auto"/>
                <w:kern w:val="0"/>
                <w:sz w:val="28"/>
                <w:szCs w:val="32"/>
              </w:rPr>
              <w:t>道地药材</w:t>
            </w:r>
            <w:r>
              <w:rPr>
                <w:rFonts w:cs="Times New Roman"/>
                <w:color w:val="auto"/>
                <w:kern w:val="0"/>
                <w:sz w:val="28"/>
                <w:szCs w:val="32"/>
              </w:rPr>
              <w:t>。中药材种植规模3万余亩。</w:t>
            </w:r>
          </w:p>
        </w:tc>
      </w:tr>
    </w:tbl>
    <w:p>
      <w:pPr>
        <w:pStyle w:val="5"/>
        <w:spacing w:before="156" w:beforeLines="50" w:after="156" w:afterLines="50" w:line="576" w:lineRule="exact"/>
        <w:jc w:val="center"/>
        <w:rPr>
          <w:rFonts w:eastAsia="楷体_GB2312"/>
          <w:color w:val="auto"/>
        </w:rPr>
      </w:pPr>
      <w:bookmarkStart w:id="120" w:name="_Toc29876"/>
      <w:bookmarkStart w:id="121" w:name="_Toc26118"/>
      <w:bookmarkStart w:id="122" w:name="_Toc7218"/>
      <w:r>
        <w:rPr>
          <w:rFonts w:eastAsia="楷体_GB2312"/>
          <w:color w:val="auto"/>
        </w:rPr>
        <w:t>第二节  优化生态农牧业空间布局</w:t>
      </w:r>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立足河谷、半山及高半山的资源特色，按照“高山药和畜、半山果、河坝菜”发展布局，推动</w:t>
      </w:r>
      <w:r>
        <w:rPr>
          <w:rFonts w:hint="eastAsia" w:cs="Times New Roman"/>
          <w:color w:val="auto"/>
          <w:kern w:val="0"/>
          <w:szCs w:val="32"/>
        </w:rPr>
        <w:t>生态</w:t>
      </w:r>
      <w:r>
        <w:rPr>
          <w:rFonts w:cs="Times New Roman"/>
          <w:color w:val="auto"/>
          <w:kern w:val="0"/>
          <w:szCs w:val="32"/>
        </w:rPr>
        <w:t>农牧业规模化发展，加快构建以金眉现代农业园区、杨家湾农产品加工园区为核心引领，以创意农业区、生态观光区、休闲度假区为示范带动，以雪梨、葡萄、干果、中药材、果蔬、畜禽、旅游、物流加工为多点支撑的“两园三区八带”生态农牧业空间布局。</w:t>
      </w:r>
      <w:r>
        <w:rPr>
          <w:rFonts w:hint="eastAsia" w:cs="Times New Roman"/>
          <w:color w:val="auto"/>
          <w:kern w:val="0"/>
          <w:szCs w:val="32"/>
          <w:lang w:val="en-US" w:eastAsia="zh-CN"/>
        </w:rPr>
        <w:t>聚焦七大特色农牧业，建设一批</w:t>
      </w:r>
      <w:r>
        <w:rPr>
          <w:rFonts w:cs="Times New Roman"/>
          <w:color w:val="auto"/>
          <w:kern w:val="0"/>
          <w:szCs w:val="32"/>
        </w:rPr>
        <w:t>现代农业示范</w:t>
      </w:r>
      <w:r>
        <w:rPr>
          <w:rFonts w:hint="eastAsia" w:cs="Times New Roman"/>
          <w:color w:val="auto"/>
          <w:kern w:val="0"/>
          <w:szCs w:val="32"/>
          <w:lang w:val="en-US" w:eastAsia="zh-CN"/>
        </w:rPr>
        <w:t>园区（基地），</w:t>
      </w:r>
      <w:r>
        <w:rPr>
          <w:rFonts w:hint="eastAsia"/>
          <w:color w:val="auto"/>
        </w:rPr>
        <w:t>带动农业产加销、农工贸、农文旅一体化发展，推进农村一二三产业深度融合发展。</w:t>
      </w:r>
      <w:r>
        <w:rPr>
          <w:rFonts w:cs="Times New Roman"/>
          <w:color w:val="auto"/>
          <w:kern w:val="0"/>
          <w:szCs w:val="32"/>
        </w:rPr>
        <w:t>积极推进金眉现代农业园区创建省级示范园区。到2025年，建成1个、省级农业园区1个、州级产业融合示范园区2个、县级产业融合示范园区5个。</w:t>
      </w:r>
    </w:p>
    <w:p>
      <w:pPr>
        <w:pStyle w:val="5"/>
        <w:spacing w:before="156" w:beforeLines="50" w:after="156" w:afterLines="50" w:line="576" w:lineRule="exact"/>
        <w:jc w:val="center"/>
        <w:rPr>
          <w:rFonts w:eastAsia="楷体_GB2312"/>
          <w:color w:val="auto"/>
        </w:rPr>
      </w:pPr>
      <w:bookmarkStart w:id="123" w:name="_Toc4571"/>
      <w:bookmarkStart w:id="124" w:name="_Toc5472"/>
      <w:bookmarkStart w:id="125" w:name="_Toc3071"/>
      <w:bookmarkStart w:id="126" w:name="_Toc5621_WPSOffice_Level3"/>
      <w:r>
        <w:rPr>
          <w:rFonts w:eastAsia="楷体_GB2312"/>
          <w:color w:val="auto"/>
        </w:rPr>
        <w:t>第三节  实施生态农牧业品牌战略</w:t>
      </w:r>
      <w:bookmarkEnd w:id="123"/>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加快农畜产品生产标准体系、质量监管体系和追溯体系建设，制定完善优势农畜产品生产技术标准、产品质量标准、卫生安全标准，争创省级农产品质量安全监管示范县。举好生态特色旗、打好绿色有机牌，大力发展绿色食品和有机食品，支持农产品地理标志认证。支持雪梨系列产品研发，不断延伸产业链条，提高产品附加值，重振“金川雪梨”品牌，创建金川雪梨膏区域公用品牌。拓展金川农牧业品牌体系，打造金川牦牛、生态猪、特种野猪、藏香猪、生态土鸡等品牌产品。积极指导、支持龙头企业争创著名商标和驰名商标，组织原产地域产品申报地理标志产品保护。到2025年，农牧业产品品牌、企业品牌、区域品牌及“二品一标”认证农产品覆盖率达70%以上，绿色、有机认证比例达50%左右，产品抽检合格率达到96%以上。</w:t>
      </w:r>
    </w:p>
    <w:p>
      <w:pPr>
        <w:pStyle w:val="5"/>
        <w:spacing w:before="156" w:beforeLines="50" w:after="156" w:afterLines="50" w:line="576" w:lineRule="exact"/>
        <w:jc w:val="center"/>
        <w:rPr>
          <w:rFonts w:eastAsia="楷体_GB2312"/>
          <w:color w:val="auto"/>
        </w:rPr>
      </w:pPr>
      <w:bookmarkStart w:id="127" w:name="_Toc27087_WPSOffice_Level3"/>
      <w:bookmarkStart w:id="128" w:name="_Toc14680"/>
      <w:bookmarkStart w:id="129" w:name="_Toc31558"/>
      <w:bookmarkStart w:id="130" w:name="_Toc17163"/>
      <w:r>
        <w:rPr>
          <w:rFonts w:eastAsia="楷体_GB2312"/>
          <w:color w:val="auto"/>
        </w:rPr>
        <w:t>第四节  提高农牧业综合生产能力</w:t>
      </w:r>
      <w:bookmarkEnd w:id="127"/>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hint="eastAsia" w:ascii="Times New Roman" w:hAnsi="Times New Roman" w:cs="Times New Roman"/>
          <w:color w:val="auto"/>
          <w:kern w:val="0"/>
          <w:szCs w:val="32"/>
        </w:rPr>
        <w:t>把保障粮食安全放在突出位置</w:t>
      </w:r>
      <w:r>
        <w:rPr>
          <w:rFonts w:hint="eastAsia" w:cs="Times New Roman"/>
          <w:color w:val="auto"/>
          <w:kern w:val="0"/>
          <w:szCs w:val="32"/>
          <w:lang w:eastAsia="zh-CN"/>
        </w:rPr>
        <w:t>，</w:t>
      </w:r>
      <w:r>
        <w:rPr>
          <w:rFonts w:hint="eastAsia" w:ascii="Times New Roman" w:hAnsi="Times New Roman" w:cs="Times New Roman"/>
          <w:color w:val="auto"/>
          <w:kern w:val="0"/>
          <w:szCs w:val="32"/>
        </w:rPr>
        <w:t>坚持最严格的耕地保护制度，加大对耕地地力保护力度，确保耕地保有量、基本农田保护面积不减少</w:t>
      </w:r>
      <w:r>
        <w:rPr>
          <w:rFonts w:hint="eastAsia" w:cs="Times New Roman"/>
          <w:color w:val="auto"/>
          <w:kern w:val="0"/>
          <w:szCs w:val="32"/>
          <w:lang w:eastAsia="zh-CN"/>
        </w:rPr>
        <w:t>，</w:t>
      </w:r>
      <w:r>
        <w:rPr>
          <w:rFonts w:hint="eastAsia" w:ascii="Times New Roman" w:hAnsi="Times New Roman" w:cs="Times New Roman"/>
          <w:color w:val="auto"/>
          <w:kern w:val="0"/>
          <w:szCs w:val="32"/>
        </w:rPr>
        <w:t>确保优质粮食复种播种面积和粮食产量不减少</w:t>
      </w:r>
      <w:r>
        <w:rPr>
          <w:rFonts w:hint="eastAsia" w:cs="Times New Roman"/>
          <w:color w:val="auto"/>
          <w:kern w:val="0"/>
          <w:szCs w:val="32"/>
          <w:lang w:eastAsia="zh-CN"/>
        </w:rPr>
        <w:t>。</w:t>
      </w:r>
      <w:r>
        <w:rPr>
          <w:rFonts w:ascii="Times New Roman" w:hAnsi="Times New Roman" w:cs="Times New Roman"/>
          <w:color w:val="auto"/>
          <w:kern w:val="0"/>
          <w:szCs w:val="32"/>
        </w:rPr>
        <w:t>深入实施雪梨振兴工程，加大雪梨林资源综合利用和开发保护</w:t>
      </w:r>
      <w:r>
        <w:rPr>
          <w:rFonts w:hint="eastAsia" w:ascii="Times New Roman" w:hAnsi="Times New Roman" w:cs="Times New Roman"/>
          <w:color w:val="auto"/>
          <w:kern w:val="0"/>
          <w:szCs w:val="32"/>
          <w:lang w:val="en-US" w:eastAsia="zh-CN"/>
        </w:rPr>
        <w:t>力度</w:t>
      </w:r>
      <w:r>
        <w:rPr>
          <w:rFonts w:ascii="Times New Roman" w:hAnsi="Times New Roman" w:cs="Times New Roman"/>
          <w:color w:val="auto"/>
          <w:kern w:val="0"/>
          <w:szCs w:val="32"/>
        </w:rPr>
        <w:t>。</w:t>
      </w:r>
      <w:r>
        <w:rPr>
          <w:rFonts w:hint="eastAsia" w:ascii="Times New Roman" w:hAnsi="Times New Roman" w:cs="Times New Roman"/>
          <w:color w:val="auto"/>
          <w:kern w:val="0"/>
          <w:szCs w:val="32"/>
          <w:lang w:val="en-US" w:eastAsia="zh-CN"/>
        </w:rPr>
        <w:t>在</w:t>
      </w:r>
      <w:r>
        <w:rPr>
          <w:rFonts w:hint="eastAsia" w:cs="Times New Roman"/>
          <w:color w:val="auto"/>
          <w:kern w:val="0"/>
          <w:szCs w:val="32"/>
          <w:lang w:val="en-US" w:eastAsia="zh-CN"/>
        </w:rPr>
        <w:t>勒乌、</w:t>
      </w:r>
      <w:r>
        <w:rPr>
          <w:rFonts w:hint="eastAsia" w:ascii="Times New Roman" w:hAnsi="Times New Roman" w:cs="Times New Roman"/>
          <w:color w:val="auto"/>
          <w:kern w:val="0"/>
          <w:szCs w:val="32"/>
          <w:lang w:val="en-US" w:eastAsia="zh-CN"/>
        </w:rPr>
        <w:t>沙尔、咯尔、庆宁核心区培育雪梨示范园区5000亩以上。</w:t>
      </w:r>
      <w:r>
        <w:rPr>
          <w:rFonts w:ascii="Times New Roman" w:hAnsi="Times New Roman" w:cs="Times New Roman"/>
          <w:color w:val="auto"/>
          <w:kern w:val="0"/>
          <w:szCs w:val="32"/>
        </w:rPr>
        <w:t>加快</w:t>
      </w:r>
      <w:r>
        <w:rPr>
          <w:rFonts w:cs="Times New Roman"/>
          <w:color w:val="auto"/>
          <w:kern w:val="0"/>
          <w:szCs w:val="32"/>
        </w:rPr>
        <w:t>选育高产稳产、优质高效新品种，深化新品种、新技术、新模式、新机制示范，抓好良种、良法、良制、良壤、良灌、良机集成推广。加强高标准农田建设，完善田网、渠网、路网“三网”配套建设，实现农田排灌能力、土壤培肥能力、农机作业能力“三力”提升。</w:t>
      </w:r>
      <w:r>
        <w:rPr>
          <w:rFonts w:hint="eastAsia" w:cs="Times New Roman"/>
          <w:color w:val="auto"/>
          <w:kern w:val="0"/>
          <w:szCs w:val="32"/>
          <w:lang w:eastAsia="zh-CN"/>
        </w:rPr>
        <w:t>加强基本农田、草原网围栏建设，防止野生动物破坏农田和草场。</w:t>
      </w:r>
      <w:r>
        <w:rPr>
          <w:rFonts w:cs="Times New Roman"/>
          <w:color w:val="auto"/>
          <w:kern w:val="0"/>
          <w:szCs w:val="32"/>
        </w:rPr>
        <w:t>“十四五”期间，新建高标准农田2.5万亩，全县高标准农田规模达到6万亩左右。大力提升农牧业装备水平，推广适应半山区、坡耕地、草场地作业的小型农牧业机具，积极开展成片种植区机械化试点示范，提高农牧业生产效率。</w:t>
      </w:r>
    </w:p>
    <w:p>
      <w:pPr>
        <w:pStyle w:val="5"/>
        <w:spacing w:before="156" w:beforeLines="50" w:after="156" w:afterLines="50" w:line="576" w:lineRule="exact"/>
        <w:jc w:val="center"/>
        <w:rPr>
          <w:rFonts w:eastAsia="楷体_GB2312"/>
          <w:color w:val="auto"/>
        </w:rPr>
      </w:pPr>
      <w:bookmarkStart w:id="131" w:name="_Toc20304"/>
      <w:bookmarkStart w:id="132" w:name="_Toc19057_WPSOffice_Level3"/>
      <w:bookmarkStart w:id="133" w:name="_Toc26147"/>
      <w:bookmarkStart w:id="134" w:name="_Toc22136"/>
      <w:r>
        <w:rPr>
          <w:rFonts w:eastAsia="楷体_GB2312"/>
          <w:color w:val="auto"/>
        </w:rPr>
        <w:t>第五节  健全农牧业经营服务体系</w:t>
      </w:r>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大力培育新型农业经营主体，重点发展粮食、畜牧、水果、干果、中药材等农畜产品龙头企业和专业合作社。完善农牧业产业化利益联结机制，灵活运用合同契约制、股份合作制、风险补偿机制等多种形式，创新农牧业产业联合体，带动小农户对接大市场，构建种养加、产供销一体的农业产业化经营体系。坚持公益性与经营性服务相结合，加快构建集信息、技术、生产、流通、金融、保险等服务于一体的现代农业服务体系。加快完善县、乡镇、村农技推广服务体系，提升农技服务站（点）功能，培育农技推广服务中介组织。加强农业综合信息服务平台建设，做好农业信息监测预警与发布工作。到2025年，全县农民专业合作社覆盖农户达75%，土地流转比例达40%以上，品牌商标销售率达65%以上，农牧业科技成果贡献率达到70%以上，农牧业电子信息服务覆盖率达到80%以上。</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135" w:name="_Toc23203"/>
      <w:bookmarkStart w:id="136" w:name="_Toc13855_WPSOffice_Level2"/>
      <w:bookmarkStart w:id="137" w:name="_Toc3153"/>
      <w:bookmarkStart w:id="138" w:name="_Toc6866"/>
      <w:r>
        <w:rPr>
          <w:rFonts w:ascii="Times New Roman" w:hAnsi="Times New Roman" w:eastAsia="黑体"/>
          <w:b w:val="0"/>
          <w:bCs w:val="0"/>
          <w:color w:val="auto"/>
          <w:kern w:val="2"/>
          <w:sz w:val="32"/>
          <w:szCs w:val="32"/>
        </w:rPr>
        <w:t>第七章  加速发展清洁工业</w:t>
      </w:r>
      <w:bookmarkEnd w:id="135"/>
      <w:bookmarkEnd w:id="136"/>
      <w:bookmarkEnd w:id="137"/>
      <w:bookmarkEnd w:id="138"/>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主动融入全州“5+N”生态工业体系，立足“一水一矿”资源优势，着力推动工业绿色转型升级，构建水矿引领、多点支撑的清洁工业发展新格局，建成成渝地区锂资源和清洁能源绿色开发示</w:t>
      </w:r>
      <w:r>
        <w:rPr>
          <w:rFonts w:cs="Times New Roman"/>
          <w:color w:val="auto"/>
          <w:w w:val="97"/>
          <w:kern w:val="0"/>
          <w:szCs w:val="32"/>
        </w:rPr>
        <w:t>范基地。“十四五”期间，力争规模以上工业增加值年均增长达</w:t>
      </w:r>
      <w:r>
        <w:rPr>
          <w:rFonts w:hint="eastAsia" w:cs="Times New Roman"/>
          <w:color w:val="auto"/>
          <w:w w:val="97"/>
          <w:kern w:val="0"/>
          <w:szCs w:val="32"/>
          <w:lang w:val="en-US" w:eastAsia="zh-CN"/>
        </w:rPr>
        <w:t>38</w:t>
      </w:r>
      <w:r>
        <w:rPr>
          <w:rFonts w:cs="Times New Roman"/>
          <w:color w:val="auto"/>
          <w:w w:val="97"/>
          <w:kern w:val="0"/>
          <w:szCs w:val="32"/>
        </w:rPr>
        <w:t>%。</w:t>
      </w:r>
    </w:p>
    <w:p>
      <w:pPr>
        <w:pStyle w:val="5"/>
        <w:spacing w:before="156" w:beforeLines="50" w:after="156" w:afterLines="50" w:line="576" w:lineRule="exact"/>
        <w:jc w:val="center"/>
        <w:rPr>
          <w:rFonts w:eastAsia="楷体_GB2312"/>
          <w:color w:val="auto"/>
        </w:rPr>
      </w:pPr>
      <w:bookmarkStart w:id="139" w:name="_Toc7436"/>
      <w:bookmarkStart w:id="140" w:name="_Toc6027"/>
      <w:bookmarkStart w:id="141" w:name="_Toc20141_WPSOffice_Level3"/>
      <w:bookmarkStart w:id="142" w:name="_Toc3515"/>
      <w:r>
        <w:rPr>
          <w:rFonts w:eastAsia="楷体_GB2312"/>
          <w:color w:val="auto"/>
        </w:rPr>
        <w:t>第一节  做强清洁能源产业</w:t>
      </w:r>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cs="Times New Roman"/>
          <w:color w:val="auto"/>
          <w:kern w:val="0"/>
          <w:szCs w:val="32"/>
        </w:rPr>
      </w:pPr>
      <w:r>
        <w:rPr>
          <w:rFonts w:cs="Times New Roman"/>
          <w:color w:val="auto"/>
          <w:kern w:val="0"/>
          <w:szCs w:val="32"/>
        </w:rPr>
        <w:t>统筹推进大渡河流域“两库八级”开发，加快双江口、金川、绰斯甲等大中型电站建设，推动红卫桥、俄日水电站早日试机投产，做好巴底、安宁水电站前期工作。清理规范小水电站建设。加快太阳能和风能开发，重点推进嘎斯都、达绍召、勒乌光伏项目，规划新建勒乌、新沙和万林风电场。到2025年，水电装机容量达120万千瓦，光伏装机容量达50万千瓦。</w:t>
      </w:r>
    </w:p>
    <w:tbl>
      <w:tblPr>
        <w:tblStyle w:val="27"/>
        <w:tblW w:w="8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7" w:type="dxa"/>
            <w:vAlign w:val="top"/>
          </w:tcPr>
          <w:p>
            <w:pPr>
              <w:jc w:val="center"/>
              <w:rPr>
                <w:rFonts w:hint="eastAsia" w:eastAsia="仿宋_GB2312" w:cs="Times New Roman"/>
                <w:b/>
                <w:bCs/>
                <w:color w:val="auto"/>
                <w:kern w:val="0"/>
                <w:szCs w:val="32"/>
                <w:vertAlign w:val="baseline"/>
                <w:lang w:eastAsia="zh-CN"/>
              </w:rPr>
            </w:pPr>
            <w:r>
              <w:rPr>
                <w:rFonts w:hint="eastAsia" w:eastAsia="仿宋_GB2312" w:cs="Times New Roman"/>
                <w:b/>
                <w:bCs/>
                <w:color w:val="auto"/>
                <w:kern w:val="0"/>
                <w:szCs w:val="32"/>
                <w:vertAlign w:val="baseline"/>
                <w:lang w:eastAsia="zh-CN"/>
              </w:rPr>
              <w:drawing>
                <wp:inline distT="0" distB="0" distL="114300" distR="114300">
                  <wp:extent cx="5058410" cy="4657090"/>
                  <wp:effectExtent l="0" t="0" r="8890" b="3810"/>
                  <wp:docPr id="10" name="图片 10" descr="ff9259b4bfd094c30329d1e75519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f9259b4bfd094c30329d1e755191ab"/>
                          <pic:cNvPicPr>
                            <a:picLocks noChangeAspect="1"/>
                          </pic:cNvPicPr>
                        </pic:nvPicPr>
                        <pic:blipFill>
                          <a:blip r:embed="rId12"/>
                          <a:stretch>
                            <a:fillRect/>
                          </a:stretch>
                        </pic:blipFill>
                        <pic:spPr>
                          <a:xfrm>
                            <a:off x="0" y="0"/>
                            <a:ext cx="5058410" cy="46570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687"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图5  金川县清洁能源开发布局图</w:t>
            </w:r>
          </w:p>
        </w:tc>
      </w:tr>
    </w:tbl>
    <w:p>
      <w:pPr>
        <w:pStyle w:val="5"/>
        <w:spacing w:before="156" w:beforeLines="50" w:after="156" w:afterLines="50" w:line="576" w:lineRule="exact"/>
        <w:jc w:val="center"/>
        <w:rPr>
          <w:rFonts w:eastAsia="楷体_GB2312"/>
          <w:color w:val="auto"/>
        </w:rPr>
      </w:pPr>
      <w:bookmarkStart w:id="143" w:name="_Toc166"/>
      <w:bookmarkStart w:id="144" w:name="_Toc24447_WPSOffice_Level3"/>
      <w:bookmarkStart w:id="145" w:name="_Toc1791"/>
      <w:bookmarkStart w:id="146" w:name="_Toc9357"/>
      <w:r>
        <w:rPr>
          <w:rFonts w:eastAsia="楷体_GB2312"/>
          <w:color w:val="auto"/>
        </w:rPr>
        <w:t>第二节  做优锂电材料产业</w:t>
      </w:r>
      <w:bookmarkEnd w:id="143"/>
      <w:bookmarkEnd w:id="144"/>
      <w:bookmarkEnd w:id="145"/>
      <w:bookmarkEnd w:id="146"/>
    </w:p>
    <w:p>
      <w:pPr>
        <w:spacing w:line="576" w:lineRule="exact"/>
        <w:ind w:firstLine="641"/>
        <w:rPr>
          <w:rFonts w:cs="Times New Roman"/>
          <w:color w:val="auto"/>
          <w:kern w:val="0"/>
          <w:szCs w:val="32"/>
        </w:rPr>
      </w:pPr>
      <w:r>
        <w:rPr>
          <w:rFonts w:cs="Times New Roman"/>
          <w:color w:val="auto"/>
          <w:kern w:val="0"/>
          <w:szCs w:val="32"/>
        </w:rPr>
        <w:t>树立“生态开发、绿色矿山”理念，深化与四川能投、盛屯集团合作，加快推进锂辉</w:t>
      </w:r>
      <w:r>
        <w:rPr>
          <w:rFonts w:hint="eastAsia" w:cs="Times New Roman"/>
          <w:color w:val="auto"/>
          <w:kern w:val="0"/>
          <w:szCs w:val="32"/>
        </w:rPr>
        <w:t>石矿</w:t>
      </w:r>
      <w:r>
        <w:rPr>
          <w:rFonts w:cs="Times New Roman"/>
          <w:color w:val="auto"/>
          <w:kern w:val="0"/>
          <w:szCs w:val="32"/>
        </w:rPr>
        <w:t>采选项目建设，力争早日投产运营、达产达效。借势德阿锂电产业示范园区建设，延伸锂电产业链，努力培育形成“资源开发—基础锂加工—锂盐深加工—锂电池生产—锂产品生产”的产业发展模式，实现环境有效保护、资源高效利用、产业集约发展。到2025年，年采选锂辉石矿达145万吨，生产工业硅9300吨。</w:t>
      </w:r>
    </w:p>
    <w:p>
      <w:pPr>
        <w:pStyle w:val="5"/>
        <w:spacing w:before="156" w:beforeLines="50" w:after="156" w:afterLines="50" w:line="576" w:lineRule="exact"/>
        <w:jc w:val="center"/>
        <w:rPr>
          <w:rFonts w:eastAsia="楷体_GB2312"/>
          <w:color w:val="auto"/>
        </w:rPr>
      </w:pPr>
      <w:bookmarkStart w:id="147" w:name="_Toc8479"/>
      <w:bookmarkStart w:id="148" w:name="_Toc25767_WPSOffice_Level3"/>
      <w:bookmarkStart w:id="149" w:name="_Toc17144"/>
      <w:bookmarkStart w:id="150" w:name="_Toc4745"/>
      <w:r>
        <w:rPr>
          <w:rFonts w:eastAsia="楷体_GB2312"/>
          <w:color w:val="auto"/>
        </w:rPr>
        <w:t>第三节  做大食品加工产业</w:t>
      </w:r>
      <w:bookmarkEnd w:id="147"/>
      <w:bookmarkEnd w:id="148"/>
      <w:bookmarkEnd w:id="149"/>
      <w:bookmarkEnd w:id="150"/>
    </w:p>
    <w:p>
      <w:pPr>
        <w:spacing w:line="576" w:lineRule="exact"/>
        <w:ind w:firstLine="641"/>
        <w:rPr>
          <w:rFonts w:ascii="Times New Roman" w:hAnsi="Times New Roman" w:cs="Times New Roman"/>
          <w:color w:val="auto"/>
          <w:kern w:val="0"/>
          <w:szCs w:val="32"/>
        </w:rPr>
      </w:pPr>
      <w:r>
        <w:rPr>
          <w:rFonts w:cs="Times New Roman"/>
          <w:color w:val="auto"/>
          <w:kern w:val="0"/>
          <w:szCs w:val="32"/>
        </w:rPr>
        <w:t>立足农牧业资源优势，以市场需求为导向，着力培育壮大雪梨、泡菜、优质牦牛、生猪等特色农畜产品加工业，开发具有市场竞争力的金川雪梨膏、金川月饼、雪梨果酒、特色肉制品、核桃、甜樱桃等绿色休闲食品，提高农畜产品精深加工水平，促进农产品多层次、多环节转化</w:t>
      </w:r>
      <w:r>
        <w:rPr>
          <w:rFonts w:ascii="Times New Roman" w:hAnsi="Times New Roman" w:cs="Times New Roman"/>
          <w:color w:val="auto"/>
          <w:kern w:val="0"/>
          <w:szCs w:val="32"/>
        </w:rPr>
        <w:t>增值，建设高原绿色食品加工基地。</w:t>
      </w:r>
    </w:p>
    <w:tbl>
      <w:tblPr>
        <w:tblStyle w:val="27"/>
        <w:tblW w:w="869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8" w:type="dxa"/>
            <w:vAlign w:val="top"/>
          </w:tcPr>
          <w:p>
            <w:pPr>
              <w:pStyle w:val="34"/>
              <w:spacing w:line="576" w:lineRule="exact"/>
              <w:jc w:val="center"/>
              <w:rPr>
                <w:rFonts w:hint="default" w:ascii="Times New Roman" w:hAnsi="Times New Roman"/>
                <w:color w:val="auto"/>
                <w:sz w:val="28"/>
                <w:szCs w:val="28"/>
              </w:rPr>
            </w:pPr>
            <w:bookmarkStart w:id="151" w:name="_Toc2494_WPSOffice_Level2"/>
            <w:r>
              <w:rPr>
                <w:rFonts w:hint="default" w:ascii="Times New Roman" w:hAnsi="Times New Roman"/>
                <w:color w:val="auto"/>
                <w:sz w:val="28"/>
                <w:szCs w:val="28"/>
              </w:rPr>
              <w:t xml:space="preserve">专栏6  </w:t>
            </w:r>
            <w:r>
              <w:rPr>
                <w:rFonts w:hint="default" w:ascii="Times New Roman" w:hAnsi="Times New Roman"/>
                <w:bCs/>
                <w:color w:val="auto"/>
                <w:sz w:val="28"/>
                <w:szCs w:val="32"/>
              </w:rPr>
              <w:t>金川县</w:t>
            </w:r>
            <w:r>
              <w:rPr>
                <w:rFonts w:hint="default" w:ascii="Times New Roman" w:hAnsi="Times New Roman"/>
                <w:color w:val="auto"/>
                <w:sz w:val="28"/>
                <w:szCs w:val="28"/>
              </w:rPr>
              <w:t>清洁工业重点项目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8" w:type="dxa"/>
            <w:vAlign w:val="top"/>
          </w:tcPr>
          <w:p>
            <w:pPr>
              <w:pStyle w:val="34"/>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b/>
                <w:color w:val="auto"/>
                <w:sz w:val="28"/>
                <w:szCs w:val="28"/>
              </w:rPr>
              <w:t>清洁能源</w:t>
            </w:r>
            <w:r>
              <w:rPr>
                <w:rFonts w:hint="default" w:ascii="Times New Roman" w:hAnsi="Times New Roman" w:eastAsia="仿宋_GB2312"/>
                <w:color w:val="auto"/>
                <w:sz w:val="28"/>
                <w:szCs w:val="28"/>
              </w:rPr>
              <w:t>。双江口电站</w:t>
            </w:r>
            <w:r>
              <w:rPr>
                <w:rFonts w:hint="eastAsia" w:ascii="Times New Roman" w:hAnsi="Times New Roman" w:eastAsia="仿宋_GB2312"/>
                <w:color w:val="auto"/>
                <w:sz w:val="28"/>
                <w:szCs w:val="28"/>
                <w:lang w:val="en-US" w:eastAsia="zh-CN"/>
              </w:rPr>
              <w:t>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金川水电站</w:t>
            </w:r>
            <w:r>
              <w:rPr>
                <w:rFonts w:hint="eastAsia" w:ascii="Times New Roman" w:hAnsi="Times New Roman" w:eastAsia="仿宋_GB2312"/>
                <w:color w:val="auto"/>
                <w:sz w:val="28"/>
                <w:szCs w:val="28"/>
                <w:lang w:val="en-US" w:eastAsia="zh-CN"/>
              </w:rPr>
              <w:t>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绰斯甲电站</w:t>
            </w:r>
            <w:r>
              <w:rPr>
                <w:rFonts w:hint="eastAsia" w:ascii="Times New Roman" w:hAnsi="Times New Roman" w:eastAsia="仿宋_GB2312"/>
                <w:color w:val="auto"/>
                <w:sz w:val="28"/>
                <w:szCs w:val="28"/>
                <w:lang w:val="en-US" w:eastAsia="zh-CN"/>
              </w:rPr>
              <w:t>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安宁电站</w:t>
            </w:r>
            <w:r>
              <w:rPr>
                <w:rFonts w:hint="eastAsia" w:ascii="Times New Roman" w:hAnsi="Times New Roman" w:eastAsia="仿宋_GB2312"/>
                <w:color w:val="auto"/>
                <w:sz w:val="28"/>
                <w:szCs w:val="28"/>
                <w:lang w:val="en-US" w:eastAsia="zh-CN"/>
              </w:rPr>
              <w:t>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巴底电站</w:t>
            </w:r>
            <w:r>
              <w:rPr>
                <w:rFonts w:hint="eastAsia" w:ascii="Times New Roman" w:hAnsi="Times New Roman" w:eastAsia="仿宋_GB2312"/>
                <w:color w:val="auto"/>
                <w:sz w:val="28"/>
                <w:szCs w:val="28"/>
                <w:lang w:val="en-US" w:eastAsia="zh-CN"/>
              </w:rPr>
              <w:t>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俄热河流域水电梯级开发项目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s="Times New Roman"/>
                <w:color w:val="auto"/>
                <w:sz w:val="28"/>
                <w:szCs w:val="28"/>
              </w:rPr>
              <w:t>嘎斯都16</w:t>
            </w:r>
            <w:r>
              <w:rPr>
                <w:rFonts w:hint="eastAsia" w:ascii="Times New Roman" w:hAnsi="Times New Roman" w:eastAsia="仿宋_GB2312" w:cs="Times New Roman"/>
                <w:color w:val="auto"/>
                <w:sz w:val="28"/>
                <w:szCs w:val="28"/>
                <w:lang w:val="en-US" w:eastAsia="zh-CN"/>
              </w:rPr>
              <w:t>万千瓦光伏</w:t>
            </w:r>
            <w:r>
              <w:rPr>
                <w:rFonts w:hint="default" w:ascii="Times New Roman" w:hAnsi="Times New Roman" w:eastAsia="仿宋_GB2312" w:cs="Times New Roman"/>
                <w:color w:val="auto"/>
                <w:sz w:val="28"/>
                <w:szCs w:val="28"/>
              </w:rPr>
              <w:t>项目。</w:t>
            </w:r>
          </w:p>
          <w:p>
            <w:pPr>
              <w:pStyle w:val="34"/>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rPr>
                <w:rFonts w:hint="default" w:ascii="Times New Roman" w:hAnsi="Times New Roman" w:eastAsia="仿宋_GB2312"/>
                <w:color w:val="auto"/>
              </w:rPr>
            </w:pPr>
            <w:r>
              <w:rPr>
                <w:rFonts w:hint="default" w:ascii="Times New Roman" w:hAnsi="Times New Roman" w:eastAsia="仿宋_GB2312"/>
                <w:b/>
                <w:color w:val="auto"/>
                <w:sz w:val="28"/>
                <w:szCs w:val="28"/>
              </w:rPr>
              <w:t>锂电产业</w:t>
            </w:r>
            <w:r>
              <w:rPr>
                <w:rFonts w:hint="default" w:ascii="Times New Roman" w:hAnsi="Times New Roman" w:eastAsia="仿宋_GB2312"/>
                <w:color w:val="auto"/>
                <w:sz w:val="28"/>
                <w:szCs w:val="28"/>
              </w:rPr>
              <w:t>。李家沟锂辉石矿105万吨/年采选项目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热达门锂辉石矿开采项目。</w:t>
            </w:r>
          </w:p>
          <w:p>
            <w:pPr>
              <w:pStyle w:val="34"/>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rPr>
                <w:rFonts w:hint="default" w:ascii="Times New Roman" w:hAnsi="Times New Roman" w:eastAsia="仿宋_GB2312"/>
                <w:color w:val="auto"/>
                <w:sz w:val="28"/>
                <w:szCs w:val="28"/>
              </w:rPr>
            </w:pPr>
            <w:r>
              <w:rPr>
                <w:rFonts w:hint="default" w:ascii="Times New Roman" w:hAnsi="Times New Roman" w:eastAsia="仿宋_GB2312"/>
                <w:b/>
                <w:color w:val="auto"/>
                <w:sz w:val="28"/>
                <w:szCs w:val="28"/>
              </w:rPr>
              <w:t>食品加工</w:t>
            </w:r>
            <w:r>
              <w:rPr>
                <w:rFonts w:hint="default" w:ascii="Times New Roman" w:hAnsi="Times New Roman" w:eastAsia="仿宋_GB2312"/>
                <w:color w:val="auto"/>
                <w:sz w:val="28"/>
                <w:szCs w:val="28"/>
              </w:rPr>
              <w:t>。杨家湾农产品加工园区建设</w:t>
            </w:r>
            <w:r>
              <w:rPr>
                <w:rFonts w:hint="eastAsia" w:ascii="Times New Roman" w:hAnsi="Times New Roman" w:eastAsia="仿宋_GB2312"/>
                <w:color w:val="auto"/>
                <w:sz w:val="28"/>
                <w:szCs w:val="28"/>
                <w:lang w:val="en-US" w:eastAsia="zh-CN"/>
              </w:rPr>
              <w:t>项目</w:t>
            </w:r>
            <w:r>
              <w:rPr>
                <w:rFonts w:hint="eastAsia" w:ascii="Times New Roman" w:hAnsi="Times New Roman" w:eastAsia="仿宋_GB2312"/>
                <w:color w:val="auto"/>
                <w:sz w:val="28"/>
                <w:szCs w:val="28"/>
                <w:lang w:eastAsia="zh-CN"/>
              </w:rPr>
              <w:t>，</w:t>
            </w:r>
            <w:r>
              <w:rPr>
                <w:rFonts w:hint="default" w:ascii="Times New Roman" w:hAnsi="Times New Roman" w:eastAsia="仿宋_GB2312"/>
                <w:color w:val="auto"/>
                <w:sz w:val="28"/>
                <w:szCs w:val="28"/>
              </w:rPr>
              <w:t>核桃花椒加工厂建设</w:t>
            </w:r>
            <w:r>
              <w:rPr>
                <w:rFonts w:hint="eastAsia" w:ascii="Times New Roman" w:hAnsi="Times New Roman" w:eastAsia="仿宋_GB2312"/>
                <w:color w:val="auto"/>
                <w:sz w:val="28"/>
                <w:szCs w:val="28"/>
                <w:lang w:val="en-US" w:eastAsia="zh-CN"/>
              </w:rPr>
              <w:t>项目</w:t>
            </w:r>
            <w:r>
              <w:rPr>
                <w:rFonts w:hint="default" w:ascii="Times New Roman" w:hAnsi="Times New Roman" w:eastAsia="仿宋_GB2312"/>
                <w:color w:val="auto"/>
                <w:sz w:val="28"/>
                <w:szCs w:val="28"/>
              </w:rPr>
              <w:t>。</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152" w:name="_Toc32388"/>
      <w:bookmarkStart w:id="153" w:name="_Toc30713"/>
      <w:bookmarkStart w:id="154" w:name="_Toc10497"/>
      <w:r>
        <w:rPr>
          <w:rFonts w:ascii="Times New Roman" w:hAnsi="Times New Roman" w:eastAsia="黑体"/>
          <w:b w:val="0"/>
          <w:bCs w:val="0"/>
          <w:color w:val="auto"/>
          <w:kern w:val="2"/>
          <w:sz w:val="32"/>
          <w:szCs w:val="32"/>
        </w:rPr>
        <w:t>第八章  加快发展文旅产业</w:t>
      </w:r>
      <w:bookmarkEnd w:id="151"/>
      <w:bookmarkEnd w:id="152"/>
      <w:bookmarkEnd w:id="153"/>
      <w:bookmarkEnd w:id="154"/>
    </w:p>
    <w:p>
      <w:pPr>
        <w:spacing w:line="576" w:lineRule="exact"/>
        <w:ind w:firstLine="641"/>
        <w:rPr>
          <w:rFonts w:cs="Times New Roman"/>
          <w:color w:val="auto"/>
          <w:kern w:val="0"/>
          <w:szCs w:val="32"/>
        </w:rPr>
      </w:pPr>
      <w:r>
        <w:rPr>
          <w:rFonts w:cs="Times New Roman"/>
          <w:color w:val="auto"/>
          <w:kern w:val="0"/>
          <w:szCs w:val="32"/>
        </w:rPr>
        <w:t>以“嘉绒文化生态保护区”建设为统领，立足“一花一叶”优势品牌，大力实施全域旅游行动，推动重点景区提档升级，丰</w:t>
      </w:r>
      <w:r>
        <w:rPr>
          <w:rFonts w:ascii="Times New Roman" w:hAnsi="Times New Roman" w:cs="Times New Roman"/>
          <w:color w:val="auto"/>
          <w:kern w:val="0"/>
          <w:szCs w:val="32"/>
        </w:rPr>
        <w:t>富“+旅游”新</w:t>
      </w:r>
      <w:r>
        <w:rPr>
          <w:rFonts w:cs="Times New Roman"/>
          <w:color w:val="auto"/>
          <w:kern w:val="0"/>
          <w:szCs w:val="32"/>
        </w:rPr>
        <w:t>模式新业态，积极争创全域旅游示范县，建设成渝地区阳光康养度假旅游目的地。到2025年，接待游客达到</w:t>
      </w:r>
      <w:r>
        <w:rPr>
          <w:rFonts w:hint="eastAsia" w:cs="Times New Roman"/>
          <w:color w:val="auto"/>
          <w:kern w:val="0"/>
          <w:szCs w:val="32"/>
          <w:lang w:val="en-US" w:eastAsia="zh-CN"/>
        </w:rPr>
        <w:t>268</w:t>
      </w:r>
      <w:r>
        <w:rPr>
          <w:rFonts w:cs="Times New Roman"/>
          <w:color w:val="auto"/>
          <w:kern w:val="0"/>
          <w:szCs w:val="32"/>
        </w:rPr>
        <w:t>万人次，旅游总收入达到</w:t>
      </w:r>
      <w:r>
        <w:rPr>
          <w:rFonts w:hint="eastAsia" w:cs="Times New Roman"/>
          <w:color w:val="auto"/>
          <w:kern w:val="0"/>
          <w:szCs w:val="32"/>
          <w:lang w:val="en-US" w:eastAsia="zh-CN"/>
        </w:rPr>
        <w:t>20.4</w:t>
      </w:r>
      <w:r>
        <w:rPr>
          <w:rFonts w:cs="Times New Roman"/>
          <w:color w:val="auto"/>
          <w:kern w:val="0"/>
          <w:szCs w:val="32"/>
        </w:rPr>
        <w:t>亿元。</w:t>
      </w:r>
    </w:p>
    <w:p>
      <w:pPr>
        <w:pStyle w:val="5"/>
        <w:spacing w:before="156" w:beforeLines="50" w:after="156" w:afterLines="50" w:line="576" w:lineRule="exact"/>
        <w:jc w:val="center"/>
        <w:rPr>
          <w:rFonts w:hint="eastAsia" w:eastAsia="楷体_GB2312"/>
          <w:color w:val="auto"/>
          <w:lang w:eastAsia="zh-CN"/>
        </w:rPr>
      </w:pPr>
      <w:bookmarkStart w:id="155" w:name="_Toc7879"/>
      <w:bookmarkStart w:id="156" w:name="_Toc15815_WPSOffice_Level3"/>
      <w:bookmarkStart w:id="157" w:name="_Toc9895"/>
      <w:bookmarkStart w:id="158" w:name="_Toc9729"/>
      <w:r>
        <w:rPr>
          <w:rFonts w:eastAsia="楷体_GB2312"/>
          <w:color w:val="auto"/>
        </w:rPr>
        <w:t>第一节  构建全域旅游格局</w:t>
      </w:r>
      <w:bookmarkEnd w:id="155"/>
      <w:bookmarkEnd w:id="156"/>
      <w:bookmarkEnd w:id="157"/>
      <w:bookmarkEnd w:id="158"/>
    </w:p>
    <w:p>
      <w:pPr>
        <w:spacing w:line="576" w:lineRule="exact"/>
        <w:ind w:firstLine="641"/>
        <w:rPr>
          <w:rFonts w:cs="Times New Roman"/>
          <w:color w:val="auto"/>
          <w:kern w:val="0"/>
          <w:szCs w:val="32"/>
        </w:rPr>
      </w:pPr>
      <w:r>
        <w:rPr>
          <w:rFonts w:cs="Times New Roman"/>
          <w:color w:val="auto"/>
          <w:kern w:val="0"/>
          <w:szCs w:val="32"/>
        </w:rPr>
        <w:t>按照大旅游、大产业、大发展的要求，加速推动文旅产业快速、高质量发展，广泛吸引社会各界力量参与文旅开发建设，努力形成“各行各业+旅游”的全域旅游新格局。加强旅游文化资源和旅游线路整合，加快“大东女国阳光度假旅游区”建设，以建设G317线藏羌文化走廊和G248线大东女梨花景观大道为轴，全力打造勒乌镇、观音桥镇、安宁镇</w:t>
      </w:r>
      <w:r>
        <w:rPr>
          <w:rFonts w:hint="eastAsia" w:cs="Times New Roman"/>
          <w:color w:val="auto"/>
          <w:kern w:val="0"/>
          <w:szCs w:val="32"/>
          <w:lang w:val="en-US" w:eastAsia="zh-CN"/>
        </w:rPr>
        <w:t>和</w:t>
      </w:r>
      <w:r>
        <w:rPr>
          <w:rFonts w:cs="Times New Roman"/>
          <w:color w:val="auto"/>
          <w:kern w:val="0"/>
          <w:szCs w:val="32"/>
        </w:rPr>
        <w:t>马奈镇特色文旅集镇，建好观音桥、世外梨园、嘎达山、索乌山四大景区，构建“两廊三核四区”全域旅游发展布局，推动从单一景点景区建设向综合目的地服务转变。</w:t>
      </w:r>
    </w:p>
    <w:tbl>
      <w:tblPr>
        <w:tblStyle w:val="27"/>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00" w:type="dxa"/>
            <w:vAlign w:val="top"/>
          </w:tcPr>
          <w:p>
            <w:pPr>
              <w:jc w:val="center"/>
              <w:rPr>
                <w:rFonts w:hint="eastAsia" w:eastAsia="仿宋_GB2312" w:cs="Times New Roman"/>
                <w:b/>
                <w:bCs/>
                <w:color w:val="auto"/>
                <w:kern w:val="0"/>
                <w:szCs w:val="32"/>
                <w:vertAlign w:val="baseline"/>
                <w:lang w:eastAsia="zh-CN"/>
              </w:rPr>
            </w:pPr>
            <w:bookmarkStart w:id="159" w:name="_Toc27583"/>
            <w:bookmarkStart w:id="160" w:name="_Toc2228"/>
            <w:bookmarkStart w:id="161" w:name="_Toc2636_WPSOffice_Level3"/>
            <w:r>
              <w:rPr>
                <w:rFonts w:hint="eastAsia" w:eastAsia="仿宋_GB2312" w:cs="Times New Roman"/>
                <w:b/>
                <w:bCs/>
                <w:color w:val="auto"/>
                <w:kern w:val="0"/>
                <w:szCs w:val="32"/>
                <w:vertAlign w:val="baseline"/>
                <w:lang w:eastAsia="zh-CN"/>
              </w:rPr>
              <w:drawing>
                <wp:inline distT="0" distB="0" distL="114300" distR="114300">
                  <wp:extent cx="5053965" cy="4833620"/>
                  <wp:effectExtent l="0" t="0" r="635" b="5080"/>
                  <wp:docPr id="3" name="图片 3" descr="428a33d57b0771f8021bfafa288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8a33d57b0771f8021bfafa2884389"/>
                          <pic:cNvPicPr>
                            <a:picLocks noChangeAspect="1"/>
                          </pic:cNvPicPr>
                        </pic:nvPicPr>
                        <pic:blipFill>
                          <a:blip r:embed="rId13"/>
                          <a:stretch>
                            <a:fillRect/>
                          </a:stretch>
                        </pic:blipFill>
                        <pic:spPr>
                          <a:xfrm>
                            <a:off x="0" y="0"/>
                            <a:ext cx="5053965" cy="4833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700"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图6  金川县“两廊三核四区”旅游发展布局图</w:t>
            </w:r>
          </w:p>
        </w:tc>
      </w:tr>
    </w:tbl>
    <w:p>
      <w:pPr>
        <w:pStyle w:val="5"/>
        <w:spacing w:before="156" w:beforeLines="50" w:after="156" w:afterLines="50" w:line="576" w:lineRule="exact"/>
        <w:jc w:val="center"/>
        <w:rPr>
          <w:rFonts w:eastAsia="楷体_GB2312"/>
          <w:color w:val="auto"/>
        </w:rPr>
      </w:pPr>
      <w:bookmarkStart w:id="162" w:name="_Toc25180"/>
      <w:r>
        <w:rPr>
          <w:rFonts w:eastAsia="楷体_GB2312"/>
          <w:color w:val="auto"/>
        </w:rPr>
        <w:t>第二节  加强重点景区打造</w:t>
      </w:r>
      <w:bookmarkEnd w:id="159"/>
      <w:bookmarkEnd w:id="160"/>
      <w:bookmarkEnd w:id="161"/>
      <w:bookmarkEnd w:id="162"/>
    </w:p>
    <w:p>
      <w:pPr>
        <w:spacing w:line="576" w:lineRule="exact"/>
        <w:ind w:firstLine="641"/>
        <w:rPr>
          <w:rFonts w:cs="Times New Roman"/>
          <w:color w:val="auto"/>
          <w:kern w:val="0"/>
          <w:szCs w:val="32"/>
        </w:rPr>
      </w:pPr>
      <w:r>
        <w:rPr>
          <w:rFonts w:cs="Times New Roman"/>
          <w:color w:val="auto"/>
          <w:kern w:val="0"/>
          <w:szCs w:val="32"/>
        </w:rPr>
        <w:t>加快打造一批独具特色的文化旅游精品项目，以观音圣地、高原田园风光为依托，推动两个国家4A级旅游景区提档升级，将观音桥建成川西藏区朝圣旅游目的地、世外梨园建成全国乡村旅游观光高地。积极推进“东女秘境”建设，助推太阳河国家级森林公园建设，打通老街红军城环线，创建嘎达山国家4A级旅游景区，推动大东女国阳光旅游度假区创建为省级旅游度假区。实施精品特色旅游名镇、名村建设工程，加快建设安宁镇、观音桥镇等旅游风情小镇，加大特色旅游村寨建设力度。</w:t>
      </w:r>
    </w:p>
    <w:p>
      <w:pPr>
        <w:pStyle w:val="5"/>
        <w:spacing w:before="156" w:beforeLines="50" w:after="156" w:afterLines="50" w:line="576" w:lineRule="exact"/>
        <w:jc w:val="center"/>
        <w:rPr>
          <w:rFonts w:eastAsia="楷体_GB2312"/>
          <w:color w:val="auto"/>
        </w:rPr>
      </w:pPr>
      <w:bookmarkStart w:id="163" w:name="_Toc13920"/>
      <w:bookmarkStart w:id="164" w:name="_Toc17078"/>
      <w:bookmarkStart w:id="165" w:name="_Toc10236_WPSOffice_Level3"/>
      <w:bookmarkStart w:id="166" w:name="_Toc1430"/>
      <w:r>
        <w:rPr>
          <w:rFonts w:eastAsia="楷体_GB2312"/>
          <w:color w:val="auto"/>
        </w:rPr>
        <w:t>第三节  丰富文化旅游业态</w:t>
      </w:r>
      <w:bookmarkEnd w:id="163"/>
      <w:bookmarkEnd w:id="164"/>
      <w:bookmarkEnd w:id="165"/>
      <w:bookmarkEnd w:id="166"/>
    </w:p>
    <w:p>
      <w:pPr>
        <w:spacing w:line="576" w:lineRule="exact"/>
        <w:ind w:firstLine="641"/>
        <w:rPr>
          <w:rFonts w:cs="Times New Roman"/>
          <w:color w:val="auto"/>
          <w:kern w:val="0"/>
          <w:szCs w:val="32"/>
        </w:rPr>
      </w:pPr>
      <w:r>
        <w:rPr>
          <w:rFonts w:cs="Times New Roman"/>
          <w:color w:val="auto"/>
          <w:kern w:val="0"/>
          <w:szCs w:val="32"/>
        </w:rPr>
        <w:t>实施农商文体旅游融合发展工程，深入挖掘和保护象雄、东女、宗教、民俗、红色、征战“六大文化”资源，植入吃住行游购娱、商养学闲情奇等环节，不断丰富文旅业态。依托金川品牌文旅资源，开发季节互补旅游产品，拓展“春赏花、夏避暑、秋观叶、冬沐阳”四季旅游市场，培育形成生态观光、民俗文化、宗教文化、休闲度假、红色文化“五条精品主题旅游线路”。突出景区当招牌、文化作品牌，培育发展金川月饼、本地白酒、手工艺品、民族饰品等更多差异化、个性化的文旅产品，不断增强价值内涵和文化卖点。</w:t>
      </w:r>
    </w:p>
    <w:p>
      <w:pPr>
        <w:pStyle w:val="5"/>
        <w:spacing w:before="156" w:beforeLines="50" w:after="156" w:afterLines="50" w:line="576" w:lineRule="exact"/>
        <w:jc w:val="center"/>
        <w:rPr>
          <w:rFonts w:eastAsia="楷体_GB2312"/>
          <w:color w:val="auto"/>
        </w:rPr>
      </w:pPr>
      <w:bookmarkStart w:id="167" w:name="_Toc8396"/>
      <w:bookmarkStart w:id="168" w:name="_Toc25698_WPSOffice_Level3"/>
      <w:bookmarkStart w:id="169" w:name="_Toc24786"/>
      <w:bookmarkStart w:id="170" w:name="_Toc203"/>
      <w:r>
        <w:rPr>
          <w:rFonts w:eastAsia="楷体_GB2312"/>
          <w:color w:val="auto"/>
        </w:rPr>
        <w:t>第四节  提升旅游服务品质</w:t>
      </w:r>
      <w:bookmarkEnd w:id="167"/>
      <w:bookmarkEnd w:id="168"/>
      <w:bookmarkEnd w:id="169"/>
      <w:bookmarkEnd w:id="170"/>
    </w:p>
    <w:p>
      <w:pPr>
        <w:spacing w:line="576" w:lineRule="exact"/>
        <w:ind w:firstLine="641"/>
        <w:rPr>
          <w:rFonts w:cs="Times New Roman"/>
          <w:color w:val="auto"/>
          <w:kern w:val="0"/>
          <w:szCs w:val="32"/>
        </w:rPr>
      </w:pPr>
      <w:r>
        <w:rPr>
          <w:rFonts w:cs="Times New Roman"/>
          <w:color w:val="auto"/>
          <w:kern w:val="0"/>
          <w:szCs w:val="32"/>
        </w:rPr>
        <w:t>完善多层次旅游消费接待体系</w:t>
      </w:r>
      <w:r>
        <w:rPr>
          <w:rFonts w:hint="eastAsia" w:cs="Times New Roman"/>
          <w:color w:val="auto"/>
          <w:kern w:val="0"/>
          <w:szCs w:val="32"/>
        </w:rPr>
        <w:t>，</w:t>
      </w:r>
      <w:r>
        <w:rPr>
          <w:rFonts w:cs="Times New Roman"/>
          <w:color w:val="auto"/>
          <w:kern w:val="0"/>
          <w:szCs w:val="32"/>
        </w:rPr>
        <w:t>加大特色餐饮服务、旅游商品开发力度，精心培育一批精品民宿、农牧家乐、乡村酒店，积极培育旅游服务新兴业态。加大旅游发展专项资金投入，推进景区旅游通道、旅游步道、观景平台等设施提档升级，完善旅游厕所、标识标牌、户外营地等配套设施建设，提高旅游接待能力。完善旅游公共服务功能，优化旅游接待服务中心布局，推进县城公共服务向景区景点延伸。推进智慧旅游建设，加快旅游云数据系统及机房建设、景区监控设施建设、游客手机端APP软件开发，打造游客服务系统、景区管理系统、商家服务系统和政府监管系统。加强旅游标准化建设，完善旅游市场监管体系，提高旅游服务质量。</w:t>
      </w:r>
    </w:p>
    <w:p>
      <w:pPr>
        <w:pStyle w:val="5"/>
        <w:spacing w:before="156" w:beforeLines="50" w:after="156" w:afterLines="50" w:line="576" w:lineRule="exact"/>
        <w:jc w:val="center"/>
        <w:rPr>
          <w:rFonts w:eastAsia="楷体_GB2312"/>
          <w:color w:val="auto"/>
        </w:rPr>
      </w:pPr>
      <w:bookmarkStart w:id="171" w:name="_Toc2757"/>
      <w:bookmarkStart w:id="172" w:name="_Toc26799"/>
      <w:bookmarkStart w:id="173" w:name="_Toc9677"/>
      <w:bookmarkStart w:id="174" w:name="_Toc20797_WPSOffice_Level3"/>
      <w:r>
        <w:rPr>
          <w:rFonts w:eastAsia="楷体_GB2312"/>
          <w:color w:val="auto"/>
        </w:rPr>
        <w:t>第五节  做靓文化旅游品牌</w:t>
      </w:r>
      <w:bookmarkEnd w:id="171"/>
      <w:bookmarkEnd w:id="172"/>
      <w:bookmarkEnd w:id="173"/>
      <w:bookmarkEnd w:id="174"/>
    </w:p>
    <w:p>
      <w:pPr>
        <w:spacing w:line="576" w:lineRule="exact"/>
        <w:ind w:firstLine="641"/>
        <w:rPr>
          <w:rFonts w:cs="Times New Roman"/>
          <w:color w:val="auto"/>
          <w:kern w:val="0"/>
          <w:szCs w:val="32"/>
        </w:rPr>
      </w:pPr>
      <w:r>
        <w:rPr>
          <w:rFonts w:cs="Times New Roman"/>
          <w:color w:val="auto"/>
          <w:kern w:val="0"/>
          <w:szCs w:val="32"/>
        </w:rPr>
        <w:t>整合周边县市旅游营销资源，制定整体营销策略，以“一花一叶”节庆活动为媒介，打响大东女国阳光旅游度假区品牌，突显“观音圣地·东女秘境”文旅核心驱动影响力。创新宣传营销方式，抓好成渝、长三角、珠三角等主要客源地营销活动，突出微信、微博、微视频及APP移动端推广应用，大力发展在线旅游，强化全民宣传营销，不断提升“云上田园·大美金川”“东女故地·观音圣地”知名度。</w:t>
      </w:r>
    </w:p>
    <w:tbl>
      <w:tblPr>
        <w:tblStyle w:val="27"/>
        <w:tblW w:w="868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blHeader/>
          <w:jc w:val="center"/>
        </w:trPr>
        <w:tc>
          <w:tcPr>
            <w:tcW w:w="8680" w:type="dxa"/>
            <w:vAlign w:val="top"/>
          </w:tcPr>
          <w:p>
            <w:pPr>
              <w:pStyle w:val="34"/>
              <w:spacing w:line="576" w:lineRule="exact"/>
              <w:jc w:val="center"/>
              <w:rPr>
                <w:rFonts w:hint="default" w:ascii="Times New Roman" w:hAnsi="Times New Roman"/>
                <w:color w:val="auto"/>
                <w:sz w:val="28"/>
                <w:szCs w:val="28"/>
              </w:rPr>
            </w:pPr>
            <w:bookmarkStart w:id="175" w:name="_Toc25244_WPSOffice_Level2"/>
            <w:r>
              <w:rPr>
                <w:rFonts w:hint="default" w:ascii="Times New Roman" w:hAnsi="Times New Roman"/>
                <w:color w:val="auto"/>
                <w:sz w:val="28"/>
                <w:szCs w:val="28"/>
              </w:rPr>
              <w:t xml:space="preserve">专栏7  </w:t>
            </w:r>
            <w:r>
              <w:rPr>
                <w:rFonts w:hint="default" w:ascii="Times New Roman" w:hAnsi="Times New Roman"/>
                <w:bCs/>
                <w:color w:val="auto"/>
                <w:sz w:val="28"/>
                <w:szCs w:val="32"/>
              </w:rPr>
              <w:t>金川县</w:t>
            </w:r>
            <w:r>
              <w:rPr>
                <w:rFonts w:hint="default" w:ascii="Times New Roman" w:hAnsi="Times New Roman"/>
                <w:color w:val="auto"/>
                <w:sz w:val="28"/>
                <w:szCs w:val="28"/>
              </w:rPr>
              <w:t>全域旅游发展重点项目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80" w:type="dxa"/>
          </w:tcPr>
          <w:p>
            <w:pPr>
              <w:pStyle w:val="34"/>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rPr>
                <w:rFonts w:hint="default" w:ascii="Times New Roman" w:hAnsi="Times New Roman" w:eastAsia="仿宋_GB2312"/>
                <w:color w:val="auto"/>
                <w:sz w:val="28"/>
                <w:szCs w:val="28"/>
              </w:rPr>
            </w:pPr>
            <w:r>
              <w:rPr>
                <w:rFonts w:hint="default" w:ascii="Times New Roman" w:hAnsi="Times New Roman" w:eastAsia="仿宋_GB2312"/>
                <w:b/>
                <w:color w:val="auto"/>
                <w:sz w:val="28"/>
                <w:szCs w:val="28"/>
              </w:rPr>
              <w:t>重点景区建设</w:t>
            </w:r>
            <w:r>
              <w:rPr>
                <w:rFonts w:hint="default" w:ascii="Times New Roman" w:hAnsi="Times New Roman" w:eastAsia="仿宋_GB2312"/>
                <w:bCs/>
                <w:color w:val="auto"/>
                <w:sz w:val="28"/>
                <w:szCs w:val="28"/>
              </w:rPr>
              <w:t>。嘎达山景区建设项目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全域旅游景区应急平台建设项目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观景桥景区提升改造项目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大东女阳光旅游度假区建设项目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老街红军城打造项目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世外梨园景区团结渠游步道建设项目</w:t>
            </w:r>
            <w:r>
              <w:rPr>
                <w:rFonts w:hint="eastAsia" w:ascii="Times New Roman" w:hAnsi="Times New Roman" w:eastAsia="仿宋_GB2312"/>
                <w:bCs/>
                <w:color w:val="auto"/>
                <w:sz w:val="28"/>
                <w:szCs w:val="28"/>
                <w:lang w:eastAsia="zh-CN"/>
              </w:rPr>
              <w:t>，金马坪村至金江村旅游观光道路</w:t>
            </w:r>
            <w:r>
              <w:rPr>
                <w:rFonts w:hint="default" w:ascii="Times New Roman" w:hAnsi="Times New Roman" w:eastAsia="仿宋_GB2312"/>
                <w:bCs/>
                <w:color w:val="auto"/>
                <w:sz w:val="28"/>
                <w:szCs w:val="28"/>
              </w:rPr>
              <w:t>。</w:t>
            </w:r>
          </w:p>
          <w:p>
            <w:pPr>
              <w:pStyle w:val="34"/>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rPr>
                <w:rFonts w:hint="eastAsia" w:ascii="Times New Roman" w:hAnsi="Times New Roman" w:eastAsia="仿宋_GB2312"/>
                <w:bCs/>
                <w:color w:val="auto"/>
                <w:sz w:val="28"/>
                <w:szCs w:val="28"/>
                <w:lang w:val="en-US" w:eastAsia="zh-CN"/>
              </w:rPr>
            </w:pPr>
            <w:r>
              <w:rPr>
                <w:rFonts w:hint="default" w:ascii="Times New Roman" w:hAnsi="Times New Roman" w:eastAsia="仿宋_GB2312"/>
                <w:b/>
                <w:color w:val="auto"/>
                <w:sz w:val="28"/>
                <w:szCs w:val="28"/>
              </w:rPr>
              <w:t>旅游业态拓展</w:t>
            </w:r>
            <w:r>
              <w:rPr>
                <w:rFonts w:hint="default" w:ascii="Times New Roman" w:hAnsi="Times New Roman" w:eastAsia="仿宋_GB2312"/>
                <w:bCs/>
                <w:color w:val="auto"/>
                <w:sz w:val="28"/>
                <w:szCs w:val="28"/>
              </w:rPr>
              <w:t>。太阳河·情人海开发项目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乡村旅游建设及提升项目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四甲壁村传统村落打造项目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乡村旅游建设</w:t>
            </w:r>
            <w:r>
              <w:rPr>
                <w:rFonts w:hint="eastAsia" w:ascii="Times New Roman" w:hAnsi="Times New Roman" w:eastAsia="仿宋_GB2312"/>
                <w:bCs/>
                <w:color w:val="auto"/>
                <w:sz w:val="28"/>
                <w:szCs w:val="28"/>
                <w:lang w:val="en-US" w:eastAsia="zh-CN"/>
              </w:rPr>
              <w:t>项目，克尔玛精品旅游村寨项目。</w:t>
            </w:r>
          </w:p>
          <w:p>
            <w:pPr>
              <w:pStyle w:val="34"/>
              <w:keepNext w:val="0"/>
              <w:keepLines w:val="0"/>
              <w:pageBreakBefore w:val="0"/>
              <w:widowControl w:val="0"/>
              <w:kinsoku/>
              <w:wordWrap/>
              <w:overflowPunct/>
              <w:topLinePunct w:val="0"/>
              <w:autoSpaceDE w:val="0"/>
              <w:autoSpaceDN w:val="0"/>
              <w:bidi w:val="0"/>
              <w:adjustRightInd w:val="0"/>
              <w:snapToGrid/>
              <w:spacing w:line="500" w:lineRule="exact"/>
              <w:ind w:firstLine="562" w:firstLineChars="200"/>
              <w:textAlignment w:val="auto"/>
              <w:rPr>
                <w:rFonts w:hint="default" w:ascii="Times New Roman" w:hAnsi="Times New Roman" w:eastAsia="仿宋"/>
                <w:color w:val="auto"/>
                <w:sz w:val="30"/>
                <w:szCs w:val="30"/>
              </w:rPr>
            </w:pPr>
            <w:r>
              <w:rPr>
                <w:rFonts w:hint="default" w:ascii="Times New Roman" w:hAnsi="Times New Roman" w:eastAsia="仿宋_GB2312"/>
                <w:b/>
                <w:color w:val="auto"/>
                <w:sz w:val="28"/>
                <w:szCs w:val="28"/>
              </w:rPr>
              <w:t>服务品质提升</w:t>
            </w:r>
            <w:r>
              <w:rPr>
                <w:rFonts w:hint="default" w:ascii="Times New Roman" w:hAnsi="Times New Roman" w:eastAsia="仿宋_GB2312"/>
                <w:bCs/>
                <w:color w:val="auto"/>
                <w:sz w:val="28"/>
                <w:szCs w:val="28"/>
              </w:rPr>
              <w:t>。精品民宿建设项目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智慧旅游建设项目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旅游标识标牌提升项目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旅游道路改扩建项目</w:t>
            </w:r>
            <w:r>
              <w:rPr>
                <w:rFonts w:hint="eastAsia" w:ascii="Times New Roman" w:hAnsi="Times New Roman" w:eastAsia="仿宋_GB2312"/>
                <w:bCs/>
                <w:color w:val="auto"/>
                <w:sz w:val="28"/>
                <w:szCs w:val="28"/>
                <w:lang w:eastAsia="zh-CN"/>
              </w:rPr>
              <w:t>，金马坪村至金江村旅游</w:t>
            </w:r>
            <w:r>
              <w:rPr>
                <w:rFonts w:hint="eastAsia" w:ascii="Times New Roman" w:hAnsi="Times New Roman" w:eastAsia="仿宋_GB2312"/>
                <w:bCs/>
                <w:color w:val="auto"/>
                <w:sz w:val="28"/>
                <w:szCs w:val="28"/>
                <w:lang w:val="en-US" w:eastAsia="zh-CN"/>
              </w:rPr>
              <w:t>观光</w:t>
            </w:r>
            <w:r>
              <w:rPr>
                <w:rFonts w:hint="eastAsia" w:ascii="Times New Roman" w:hAnsi="Times New Roman" w:eastAsia="仿宋_GB2312"/>
                <w:bCs/>
                <w:color w:val="auto"/>
                <w:sz w:val="28"/>
                <w:szCs w:val="28"/>
                <w:lang w:eastAsia="zh-CN"/>
              </w:rPr>
              <w:t>道路</w:t>
            </w:r>
            <w:r>
              <w:rPr>
                <w:rFonts w:hint="eastAsia" w:ascii="Times New Roman" w:hAnsi="Times New Roman" w:eastAsia="仿宋_GB2312"/>
                <w:bCs/>
                <w:color w:val="auto"/>
                <w:sz w:val="28"/>
                <w:szCs w:val="28"/>
                <w:lang w:val="en-US" w:eastAsia="zh-CN"/>
              </w:rPr>
              <w:t>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自驾游营地建设项目</w:t>
            </w:r>
            <w:r>
              <w:rPr>
                <w:rFonts w:hint="eastAsia" w:ascii="Times New Roman" w:hAnsi="Times New Roman" w:eastAsia="仿宋_GB2312"/>
                <w:bCs/>
                <w:color w:val="auto"/>
                <w:sz w:val="28"/>
                <w:szCs w:val="28"/>
                <w:lang w:eastAsia="zh-CN"/>
              </w:rPr>
              <w:t>，</w:t>
            </w:r>
            <w:r>
              <w:rPr>
                <w:rFonts w:hint="default" w:ascii="Times New Roman" w:hAnsi="Times New Roman" w:eastAsia="仿宋_GB2312"/>
                <w:bCs/>
                <w:color w:val="auto"/>
                <w:sz w:val="28"/>
                <w:szCs w:val="28"/>
              </w:rPr>
              <w:t>特色旅游纪念品开发项目。</w:t>
            </w:r>
            <w:r>
              <w:rPr>
                <w:rFonts w:hint="default" w:ascii="Times New Roman" w:hAnsi="Times New Roman" w:eastAsia="仿宋"/>
                <w:bCs/>
                <w:color w:val="auto"/>
                <w:sz w:val="28"/>
                <w:szCs w:val="28"/>
              </w:rPr>
              <w:t xml:space="preserve">                                                                                                                                                                                                                                           </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176" w:name="_Toc1539"/>
      <w:bookmarkStart w:id="177" w:name="_Toc8304"/>
      <w:bookmarkStart w:id="178" w:name="_Toc19433"/>
      <w:r>
        <w:rPr>
          <w:rFonts w:ascii="Times New Roman" w:hAnsi="Times New Roman" w:eastAsia="黑体"/>
          <w:b w:val="0"/>
          <w:bCs w:val="0"/>
          <w:color w:val="auto"/>
          <w:kern w:val="2"/>
          <w:sz w:val="32"/>
          <w:szCs w:val="32"/>
        </w:rPr>
        <w:t>第九章  突破发展现代服务业</w:t>
      </w:r>
      <w:bookmarkEnd w:id="175"/>
      <w:bookmarkEnd w:id="176"/>
      <w:bookmarkEnd w:id="177"/>
      <w:bookmarkEnd w:id="178"/>
    </w:p>
    <w:p>
      <w:pPr>
        <w:spacing w:line="576" w:lineRule="exact"/>
        <w:ind w:firstLine="640" w:firstLineChars="200"/>
        <w:rPr>
          <w:rFonts w:cs="Times New Roman"/>
          <w:color w:val="auto"/>
        </w:rPr>
      </w:pPr>
      <w:r>
        <w:rPr>
          <w:rFonts w:cs="Times New Roman"/>
          <w:color w:val="auto"/>
        </w:rPr>
        <w:t>主动融入全州“1+6”现代服务业体系，围绕文化旅游促进服务业振兴发展，以现代物流、电子商务、商贸服务为重点，培育新兴服务业，加快“3+N”现代服务业体系建设，提升服务业现代化水平。</w:t>
      </w:r>
    </w:p>
    <w:p>
      <w:pPr>
        <w:pStyle w:val="5"/>
        <w:spacing w:before="156" w:beforeLines="50" w:after="156" w:afterLines="50" w:line="576" w:lineRule="exact"/>
        <w:jc w:val="center"/>
        <w:rPr>
          <w:rFonts w:eastAsia="楷体_GB2312"/>
          <w:color w:val="auto"/>
        </w:rPr>
      </w:pPr>
      <w:bookmarkStart w:id="179" w:name="_Toc22329"/>
      <w:bookmarkStart w:id="180" w:name="_Toc15665_WPSOffice_Level3"/>
      <w:bookmarkStart w:id="181" w:name="_Toc20545"/>
      <w:bookmarkStart w:id="182" w:name="_Toc6968"/>
      <w:r>
        <w:rPr>
          <w:rFonts w:eastAsia="楷体_GB2312"/>
          <w:color w:val="auto"/>
        </w:rPr>
        <w:t>第一节  加快发展现代物流业</w:t>
      </w:r>
      <w:bookmarkEnd w:id="179"/>
      <w:bookmarkEnd w:id="180"/>
      <w:bookmarkEnd w:id="181"/>
      <w:bookmarkEnd w:id="182"/>
    </w:p>
    <w:p>
      <w:pPr>
        <w:spacing w:line="576" w:lineRule="exact"/>
        <w:ind w:firstLine="640" w:firstLineChars="200"/>
        <w:rPr>
          <w:rFonts w:eastAsia="仿宋" w:cs="Times New Roman"/>
          <w:color w:val="auto"/>
        </w:rPr>
      </w:pPr>
      <w:r>
        <w:rPr>
          <w:rFonts w:cs="Times New Roman"/>
          <w:color w:val="auto"/>
        </w:rPr>
        <w:t>规划建设金川物流中心，加快构建县乡村三级物流配送体系，完善城市公共配送中心、乡镇配送站、智能自提柜等物流配送网络。建设以雪梨、肉禽蛋、蔬菜甜樱桃、食品等为主的冷链物流中心，完善农产品集配中心和冷链配送体系。积极发展第三方物流，培育一批服务水平高、带动作用强的现代物流企业。加快邮政和快递服务业发展。加强应急物流体系建设。</w:t>
      </w:r>
    </w:p>
    <w:p>
      <w:pPr>
        <w:pStyle w:val="5"/>
        <w:spacing w:before="156" w:beforeLines="50" w:after="156" w:afterLines="50" w:line="576" w:lineRule="exact"/>
        <w:jc w:val="center"/>
        <w:rPr>
          <w:rFonts w:eastAsia="楷体"/>
          <w:color w:val="auto"/>
        </w:rPr>
      </w:pPr>
      <w:bookmarkStart w:id="183" w:name="_Toc20537"/>
      <w:bookmarkStart w:id="184" w:name="_Toc9543"/>
      <w:bookmarkStart w:id="185" w:name="_Toc22456_WPSOffice_Level3"/>
      <w:bookmarkStart w:id="186" w:name="_Toc27536"/>
      <w:r>
        <w:rPr>
          <w:rFonts w:eastAsia="楷体_GB2312"/>
          <w:color w:val="auto"/>
        </w:rPr>
        <w:t>第二节  大力发展电子商务业</w:t>
      </w:r>
      <w:bookmarkEnd w:id="183"/>
      <w:bookmarkEnd w:id="184"/>
      <w:bookmarkEnd w:id="185"/>
      <w:bookmarkEnd w:id="186"/>
    </w:p>
    <w:p>
      <w:pPr>
        <w:spacing w:line="576" w:lineRule="exact"/>
        <w:ind w:firstLine="640" w:firstLineChars="200"/>
        <w:rPr>
          <w:rFonts w:cs="Times New Roman"/>
          <w:color w:val="auto"/>
        </w:rPr>
      </w:pPr>
      <w:r>
        <w:rPr>
          <w:rFonts w:cs="Times New Roman"/>
          <w:color w:val="auto"/>
        </w:rPr>
        <w:t>深入推进国家级电子商务进农村综合示范项目建设，完善金川电商产业园公共服务中心、乡镇电商服务站、村级电商服务点服务体系。推动电子商务与快递物流协调发展，引导涉农电商企业、物流企业深度合作，建成电子商务仓储物流体系，打通农产品产供销一体化链条和农村商品流通“最后一公里”。鼓励支持小微企业、市场经营户、创业青年在电子商务平台开设网店，进一步拓宽农产品上行渠道。</w:t>
      </w:r>
    </w:p>
    <w:p>
      <w:pPr>
        <w:pStyle w:val="5"/>
        <w:spacing w:before="156" w:beforeLines="50" w:after="156" w:afterLines="50" w:line="576" w:lineRule="exact"/>
        <w:jc w:val="center"/>
        <w:rPr>
          <w:rFonts w:eastAsia="楷体_GB2312"/>
          <w:color w:val="auto"/>
        </w:rPr>
      </w:pPr>
      <w:bookmarkStart w:id="187" w:name="_Toc16124"/>
      <w:bookmarkStart w:id="188" w:name="_Toc15243"/>
      <w:bookmarkStart w:id="189" w:name="_Toc13909"/>
      <w:bookmarkStart w:id="190" w:name="_Toc19246_WPSOffice_Level3"/>
      <w:r>
        <w:rPr>
          <w:rFonts w:eastAsia="楷体_GB2312"/>
          <w:color w:val="auto"/>
        </w:rPr>
        <w:t xml:space="preserve">第三节  </w:t>
      </w:r>
      <w:r>
        <w:rPr>
          <w:rFonts w:hint="eastAsia" w:ascii="Times New Roman" w:hAnsi="Times New Roman" w:eastAsia="楷体_GB2312" w:cs="Times New Roman"/>
          <w:color w:val="auto"/>
          <w:lang w:val="en-US" w:eastAsia="zh-CN"/>
        </w:rPr>
        <w:t>积极</w:t>
      </w:r>
      <w:r>
        <w:rPr>
          <w:rFonts w:eastAsia="楷体_GB2312"/>
          <w:color w:val="auto"/>
        </w:rPr>
        <w:t>发展特色商贸业</w:t>
      </w:r>
      <w:bookmarkEnd w:id="187"/>
      <w:bookmarkEnd w:id="188"/>
      <w:bookmarkEnd w:id="189"/>
      <w:bookmarkEnd w:id="190"/>
    </w:p>
    <w:p>
      <w:pPr>
        <w:spacing w:line="576" w:lineRule="exact"/>
        <w:ind w:firstLine="640" w:firstLineChars="200"/>
        <w:rPr>
          <w:rFonts w:cs="Times New Roman"/>
          <w:color w:val="auto"/>
        </w:rPr>
      </w:pPr>
      <w:r>
        <w:rPr>
          <w:rFonts w:cs="Times New Roman"/>
          <w:color w:val="auto"/>
        </w:rPr>
        <w:t>积极推进新城区商业综合体开发，建设特色商业街，提升县城批发零售、住宿餐饮业集聚水平和辐射功能。加强观音桥镇、安宁镇、马奈镇商贸副中心建设，提升一般乡镇、旅游景区等重要节点商贸服务水平。推进城乡农贸市场改造升级，完善城乡商贸网点布局。适度培育发展“夜间经济”，形成“休闲+游玩+美食+文化”融合发展新业态。</w:t>
      </w:r>
    </w:p>
    <w:p>
      <w:pPr>
        <w:pStyle w:val="5"/>
        <w:spacing w:before="156" w:beforeLines="50" w:after="156" w:afterLines="50" w:line="576" w:lineRule="exact"/>
        <w:jc w:val="center"/>
        <w:rPr>
          <w:rFonts w:eastAsia="楷体_GB2312"/>
          <w:color w:val="auto"/>
        </w:rPr>
      </w:pPr>
      <w:bookmarkStart w:id="191" w:name="_Toc19739_WPSOffice_Level3"/>
      <w:bookmarkStart w:id="192" w:name="_Toc28649"/>
      <w:bookmarkStart w:id="193" w:name="_Toc16210"/>
      <w:bookmarkStart w:id="194" w:name="_Toc18010"/>
      <w:r>
        <w:rPr>
          <w:rFonts w:eastAsia="楷体_GB2312"/>
          <w:color w:val="auto"/>
        </w:rPr>
        <w:t>第四节  培育发展新兴服务业</w:t>
      </w:r>
      <w:bookmarkEnd w:id="191"/>
      <w:bookmarkEnd w:id="192"/>
      <w:bookmarkEnd w:id="193"/>
      <w:bookmarkEnd w:id="19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cs="Times New Roman"/>
          <w:color w:val="auto"/>
        </w:rPr>
      </w:pPr>
      <w:r>
        <w:rPr>
          <w:rFonts w:cs="Times New Roman"/>
          <w:color w:val="auto"/>
        </w:rPr>
        <w:t>积极发展数字经济，推动数字经济和实体经济深度融合。提升金融保险服务能力，大力引进银行、保险、信托担保等金融机构，发展会计、资产评估、资信评级等中介服务。发展科技服务，强化知识产权、技术咨询、成果推介等中介服务，建设专业化科技服务中心。积极培育健康养老、文化创意、职业培训、社区服务、家政服务、即时配送等新业态，形成新的消费热点。</w:t>
      </w:r>
    </w:p>
    <w:p>
      <w:pPr>
        <w:pStyle w:val="3"/>
        <w:spacing w:before="312" w:beforeLines="100" w:after="312" w:afterLines="100" w:line="576" w:lineRule="exact"/>
        <w:rPr>
          <w:color w:val="auto"/>
          <w:sz w:val="36"/>
          <w:szCs w:val="36"/>
        </w:rPr>
      </w:pPr>
      <w:bookmarkStart w:id="195" w:name="_Toc13855_WPSOffice_Level1"/>
      <w:bookmarkStart w:id="196" w:name="_Toc3202"/>
      <w:bookmarkStart w:id="197" w:name="_Toc19878"/>
      <w:bookmarkStart w:id="198" w:name="_Toc21121"/>
      <w:r>
        <w:rPr>
          <w:color w:val="auto"/>
          <w:sz w:val="36"/>
          <w:szCs w:val="36"/>
        </w:rPr>
        <w:t>第四篇  强化基础设施建设，增强发展支撑保障能力</w:t>
      </w:r>
      <w:bookmarkEnd w:id="195"/>
      <w:bookmarkEnd w:id="196"/>
      <w:bookmarkEnd w:id="197"/>
      <w:bookmarkEnd w:id="198"/>
    </w:p>
    <w:p>
      <w:pPr>
        <w:spacing w:line="576" w:lineRule="exact"/>
        <w:ind w:firstLine="640" w:firstLineChars="200"/>
        <w:rPr>
          <w:rFonts w:cs="Times New Roman"/>
          <w:color w:val="auto"/>
        </w:rPr>
      </w:pPr>
      <w:r>
        <w:rPr>
          <w:rFonts w:cs="Times New Roman"/>
          <w:color w:val="auto"/>
        </w:rPr>
        <w:t>深入实施“涉藏地区基础设施补短板行动”，统筹推进传统基础设施和新型基础设施建设，协同推进交通、水利、电力、信息“四网”建设，着力构建系统完备、高效实用、智能绿色、安全可靠的现代化基础设施体系。</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199" w:name="_Toc12221"/>
      <w:bookmarkStart w:id="200" w:name="_Toc12932_WPSOffice_Level2"/>
      <w:bookmarkStart w:id="201" w:name="_Toc16470"/>
      <w:bookmarkStart w:id="202" w:name="_Toc25327"/>
      <w:r>
        <w:rPr>
          <w:rFonts w:ascii="Times New Roman" w:hAnsi="Times New Roman" w:eastAsia="黑体"/>
          <w:b w:val="0"/>
          <w:bCs w:val="0"/>
          <w:color w:val="auto"/>
          <w:kern w:val="2"/>
          <w:sz w:val="32"/>
          <w:szCs w:val="32"/>
        </w:rPr>
        <w:t>第十章  畅通路网</w:t>
      </w:r>
      <w:bookmarkEnd w:id="199"/>
      <w:bookmarkEnd w:id="200"/>
      <w:bookmarkEnd w:id="201"/>
      <w:bookmarkEnd w:id="202"/>
    </w:p>
    <w:p>
      <w:pPr>
        <w:spacing w:line="576" w:lineRule="exact"/>
        <w:ind w:firstLine="640" w:firstLineChars="200"/>
        <w:rPr>
          <w:rFonts w:cs="Times New Roman"/>
          <w:color w:val="auto"/>
        </w:rPr>
      </w:pPr>
      <w:r>
        <w:rPr>
          <w:rFonts w:cs="Times New Roman"/>
          <w:color w:val="auto"/>
        </w:rPr>
        <w:t>大力实施交通优先战略，加快构建“内活外畅”</w:t>
      </w:r>
      <w:r>
        <w:rPr>
          <w:rFonts w:hint="eastAsia" w:cs="Times New Roman"/>
          <w:color w:val="auto"/>
          <w:lang w:eastAsia="zh-CN"/>
        </w:rPr>
        <w:t>、</w:t>
      </w:r>
      <w:r>
        <w:rPr>
          <w:rFonts w:cs="Times New Roman"/>
          <w:color w:val="auto"/>
        </w:rPr>
        <w:t>以国省干线为骨架和县乡村道路纵横交织的“一横</w:t>
      </w:r>
      <w:r>
        <w:rPr>
          <w:rFonts w:hint="eastAsia" w:cs="Times New Roman"/>
          <w:color w:val="auto"/>
          <w:lang w:val="en-US" w:eastAsia="zh-CN"/>
        </w:rPr>
        <w:t>一</w:t>
      </w:r>
      <w:r>
        <w:rPr>
          <w:rFonts w:cs="Times New Roman"/>
          <w:color w:val="auto"/>
        </w:rPr>
        <w:t>纵、</w:t>
      </w:r>
      <w:r>
        <w:rPr>
          <w:rFonts w:hint="eastAsia" w:cs="Times New Roman"/>
          <w:color w:val="auto"/>
          <w:lang w:val="en-US" w:eastAsia="zh-CN"/>
        </w:rPr>
        <w:t>两</w:t>
      </w:r>
      <w:r>
        <w:rPr>
          <w:rFonts w:cs="Times New Roman"/>
          <w:color w:val="auto"/>
        </w:rPr>
        <w:t>环相扣”交通网络体系，建成成渝地区北连甘青、西通康藏的中转地。力争到2025年，全县公路总里程达到1800公里，三级及以上公路达到500公里，二级及以上公路达到280公里。</w:t>
      </w:r>
    </w:p>
    <w:p>
      <w:pPr>
        <w:pStyle w:val="5"/>
        <w:spacing w:before="156" w:beforeLines="50" w:after="156" w:afterLines="50" w:line="576" w:lineRule="exact"/>
        <w:jc w:val="center"/>
        <w:rPr>
          <w:rFonts w:hint="eastAsia" w:eastAsia="楷体_GB2312"/>
          <w:color w:val="auto"/>
          <w:lang w:eastAsia="zh-CN"/>
        </w:rPr>
      </w:pPr>
      <w:bookmarkStart w:id="203" w:name="_Toc28102"/>
      <w:bookmarkStart w:id="204" w:name="_Toc533_WPSOffice_Level3"/>
      <w:bookmarkStart w:id="205" w:name="_Toc9186"/>
      <w:bookmarkStart w:id="206" w:name="_Toc6561"/>
      <w:r>
        <w:rPr>
          <w:rFonts w:eastAsia="楷体_GB2312"/>
          <w:color w:val="auto"/>
        </w:rPr>
        <w:t>第一节  加强骨干通道建设</w:t>
      </w:r>
      <w:bookmarkEnd w:id="203"/>
      <w:bookmarkEnd w:id="204"/>
      <w:bookmarkEnd w:id="205"/>
      <w:bookmarkEnd w:id="206"/>
    </w:p>
    <w:p>
      <w:pPr>
        <w:spacing w:line="576" w:lineRule="exact"/>
        <w:ind w:firstLine="640" w:firstLineChars="200"/>
        <w:rPr>
          <w:rFonts w:cs="Times New Roman"/>
          <w:color w:val="auto"/>
        </w:rPr>
      </w:pPr>
      <w:r>
        <w:rPr>
          <w:rFonts w:cs="Times New Roman"/>
          <w:color w:val="auto"/>
        </w:rPr>
        <w:t>规划建设金川通用机场，拓展应急救灾、医疗救护、旅游观光等通用航空业务。协调推进“两康”高速路项目前期工作，力争尽快落地。加快实施G248</w:t>
      </w:r>
      <w:r>
        <w:rPr>
          <w:rFonts w:hint="eastAsia" w:cs="Times New Roman"/>
          <w:color w:val="auto"/>
        </w:rPr>
        <w:t>还</w:t>
      </w:r>
      <w:r>
        <w:rPr>
          <w:rFonts w:cs="Times New Roman"/>
          <w:color w:val="auto"/>
        </w:rPr>
        <w:t>建路、S451金抚路建设，加力推进G248白湾至马奈改建工程，持续提高骨干路网通行能力。串联区域大环线，积极争取金小路万里城隧道项目</w:t>
      </w:r>
      <w:r>
        <w:rPr>
          <w:rFonts w:hint="eastAsia" w:cs="Times New Roman"/>
          <w:color w:val="auto"/>
          <w:lang w:eastAsia="zh-CN"/>
        </w:rPr>
        <w:t>，</w:t>
      </w:r>
      <w:r>
        <w:rPr>
          <w:rFonts w:hint="eastAsia" w:cs="Times New Roman"/>
          <w:color w:val="auto"/>
          <w:lang w:val="en-US" w:eastAsia="zh-CN"/>
        </w:rPr>
        <w:t>规划建设金川卡撒至小金崇德旅游环线路，</w:t>
      </w:r>
      <w:r>
        <w:rPr>
          <w:rFonts w:cs="Times New Roman"/>
          <w:color w:val="auto"/>
        </w:rPr>
        <w:t>全力推进万林－小金－丹巴－马奈－安宁－勒乌环线建设，畅通与周边区域旅游连接通道。到2025年，普通国道三级及以上公路比例达到100%，其中30%的路段达到二级公路标准，普通省道三级及以上公路比重达到100%。</w:t>
      </w:r>
    </w:p>
    <w:tbl>
      <w:tblPr>
        <w:tblStyle w:val="27"/>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1" w:type="dxa"/>
            <w:vAlign w:val="top"/>
          </w:tcPr>
          <w:p>
            <w:pPr>
              <w:pStyle w:val="20"/>
              <w:ind w:left="0" w:leftChars="0" w:firstLine="0" w:firstLineChars="0"/>
              <w:jc w:val="center"/>
              <w:rPr>
                <w:rFonts w:hint="eastAsia" w:eastAsia="仿宋_GB2312" w:cs="Times New Roman"/>
                <w:b/>
                <w:bCs/>
                <w:color w:val="auto"/>
                <w:kern w:val="0"/>
                <w:szCs w:val="32"/>
                <w:vertAlign w:val="baseline"/>
                <w:lang w:eastAsia="zh-CN"/>
              </w:rPr>
            </w:pPr>
            <w:r>
              <w:rPr>
                <w:rFonts w:hint="eastAsia" w:eastAsia="仿宋_GB2312"/>
                <w:color w:val="auto"/>
                <w:lang w:eastAsia="zh-CN"/>
              </w:rPr>
              <w:drawing>
                <wp:inline distT="0" distB="0" distL="114300" distR="114300">
                  <wp:extent cx="5264150" cy="3696970"/>
                  <wp:effectExtent l="0" t="0" r="6350" b="11430"/>
                  <wp:docPr id="14" name="图片 14" descr="04494a3d3c7f1adb0faace7d426b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494a3d3c7f1adb0faace7d426bba0"/>
                          <pic:cNvPicPr>
                            <a:picLocks noChangeAspect="1"/>
                          </pic:cNvPicPr>
                        </pic:nvPicPr>
                        <pic:blipFill>
                          <a:blip r:embed="rId14"/>
                          <a:stretch>
                            <a:fillRect/>
                          </a:stretch>
                        </pic:blipFill>
                        <pic:spPr>
                          <a:xfrm>
                            <a:off x="0" y="0"/>
                            <a:ext cx="5264150" cy="3696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711"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图7  金川县“一横一纵、两环相扣”交通网络图</w:t>
            </w:r>
          </w:p>
        </w:tc>
      </w:tr>
    </w:tbl>
    <w:p>
      <w:pPr>
        <w:pStyle w:val="5"/>
        <w:spacing w:before="156" w:beforeLines="50" w:after="156" w:afterLines="50" w:line="576" w:lineRule="exact"/>
        <w:jc w:val="center"/>
        <w:rPr>
          <w:rFonts w:eastAsia="楷体_GB2312"/>
          <w:color w:val="auto"/>
        </w:rPr>
      </w:pPr>
      <w:bookmarkStart w:id="207" w:name="_Toc983_WPSOffice_Level3"/>
      <w:bookmarkStart w:id="208" w:name="_Toc791"/>
      <w:bookmarkStart w:id="209" w:name="_Toc18581"/>
      <w:bookmarkStart w:id="210" w:name="_Toc10910"/>
      <w:r>
        <w:rPr>
          <w:rFonts w:eastAsia="楷体_GB2312"/>
          <w:color w:val="auto"/>
        </w:rPr>
        <w:t>第二节  完善内部交通网络</w:t>
      </w:r>
      <w:bookmarkEnd w:id="207"/>
      <w:bookmarkEnd w:id="208"/>
      <w:bookmarkEnd w:id="209"/>
      <w:bookmarkEnd w:id="210"/>
    </w:p>
    <w:p>
      <w:pPr>
        <w:spacing w:line="576" w:lineRule="exact"/>
        <w:ind w:firstLine="640" w:firstLineChars="200"/>
        <w:rPr>
          <w:rFonts w:cs="Times New Roman"/>
          <w:color w:val="auto"/>
        </w:rPr>
      </w:pPr>
      <w:r>
        <w:rPr>
          <w:rFonts w:cs="Times New Roman"/>
          <w:color w:val="auto"/>
        </w:rPr>
        <w:t>以联网公路、断头路、瓶颈路建设为重点，完善内部交通网络。畅通县内小环线，积极推进</w:t>
      </w:r>
      <w:r>
        <w:rPr>
          <w:rFonts w:hint="eastAsia" w:cs="Times New Roman"/>
          <w:color w:val="auto"/>
          <w:lang w:eastAsia="zh-CN"/>
        </w:rPr>
        <w:t>庆宁－</w:t>
      </w:r>
      <w:r>
        <w:rPr>
          <w:rFonts w:cs="Times New Roman"/>
          <w:color w:val="auto"/>
        </w:rPr>
        <w:t>撒瓦脚</w:t>
      </w:r>
      <w:r>
        <w:rPr>
          <w:rFonts w:hint="eastAsia" w:cs="Times New Roman"/>
          <w:color w:val="auto"/>
          <w:lang w:eastAsia="zh-CN"/>
        </w:rPr>
        <w:t>－</w:t>
      </w:r>
      <w:r>
        <w:rPr>
          <w:rFonts w:cs="Times New Roman"/>
          <w:color w:val="auto"/>
        </w:rPr>
        <w:t>阿科里－毛日－太阳河－集沐为县内小环线建设。打通“断头路”，建设勒乌至河东、卡拉足至毛日、卡拉足至撒瓦脚、毛日至丹巴丹东等断头路工程，积极推进热登桥建设、曾达大桥重建、卡撒大桥和观音新大桥新建项目。提升完善乡村道路，强化通村通组道路维修巩固和硬化升级，在条件成熟地区，逐步实行乡村道路“黑色化”。扎实推进寺庙道路建设，实现所有寺庙通硬化路。加快实施旅游路、产业路建设，完成撒瓦脚至毛日环线旅游公路改造和索乌山景区道路建设。</w:t>
      </w:r>
    </w:p>
    <w:p>
      <w:pPr>
        <w:pStyle w:val="5"/>
        <w:spacing w:before="156" w:beforeLines="50" w:after="156" w:afterLines="50" w:line="576" w:lineRule="exact"/>
        <w:jc w:val="center"/>
        <w:rPr>
          <w:rFonts w:eastAsia="楷体_GB2312"/>
          <w:color w:val="auto"/>
        </w:rPr>
      </w:pPr>
      <w:bookmarkStart w:id="211" w:name="_Toc25517"/>
      <w:bookmarkStart w:id="212" w:name="_Toc18217"/>
      <w:bookmarkStart w:id="213" w:name="_Toc3458"/>
      <w:bookmarkStart w:id="214" w:name="_Toc27053_WPSOffice_Level3"/>
      <w:r>
        <w:rPr>
          <w:rFonts w:eastAsia="楷体_GB2312"/>
          <w:color w:val="auto"/>
        </w:rPr>
        <w:t>第三节  提升交通服务功能</w:t>
      </w:r>
      <w:bookmarkEnd w:id="211"/>
      <w:bookmarkEnd w:id="212"/>
      <w:bookmarkEnd w:id="213"/>
      <w:bookmarkEnd w:id="214"/>
    </w:p>
    <w:p>
      <w:pPr>
        <w:spacing w:line="576" w:lineRule="exact"/>
        <w:ind w:firstLine="640" w:firstLineChars="200"/>
        <w:rPr>
          <w:rFonts w:cs="Times New Roman"/>
          <w:color w:val="auto"/>
        </w:rPr>
      </w:pPr>
      <w:r>
        <w:rPr>
          <w:rFonts w:cs="Times New Roman"/>
          <w:color w:val="auto"/>
        </w:rPr>
        <w:t>加快推进城乡客运网络一体化发展，推动县客运站提档升级，强化乡镇客运体系建设，合理布局村招呼站，推动客运站（招呼站）向旅游景点延伸，构建以县城为中心、乡镇为节点、覆盖建制村的城乡客运服务网络。到2025年，县建有至少1个三级及以上客运站，乡镇等级客运站建成比例达到50%，其中农村客运线路起讫点的乡镇全部建有农村客运站，所有建制村建有招呼站。大力发展实惠便捷货物运输，推进县域公路货运站场和物流站点建设，不断提高货运服务网络的覆盖范围和运输效率。到2025年，公路营运货车里程利用率达到75%。</w:t>
      </w:r>
    </w:p>
    <w:p>
      <w:pPr>
        <w:pStyle w:val="5"/>
        <w:spacing w:before="156" w:beforeLines="50" w:after="156" w:afterLines="50" w:line="576" w:lineRule="exact"/>
        <w:jc w:val="center"/>
        <w:rPr>
          <w:rFonts w:eastAsia="楷体_GB2312"/>
          <w:color w:val="auto"/>
        </w:rPr>
      </w:pPr>
      <w:bookmarkStart w:id="215" w:name="_Toc4784"/>
      <w:bookmarkStart w:id="216" w:name="_Toc9548"/>
      <w:bookmarkStart w:id="217" w:name="_Toc20298_WPSOffice_Level3"/>
      <w:bookmarkStart w:id="218" w:name="_Toc13658"/>
      <w:r>
        <w:rPr>
          <w:rFonts w:eastAsia="楷体_GB2312"/>
          <w:color w:val="auto"/>
        </w:rPr>
        <w:t>第四节  强化公路管理养护</w:t>
      </w:r>
      <w:bookmarkEnd w:id="215"/>
      <w:bookmarkEnd w:id="216"/>
      <w:bookmarkEnd w:id="217"/>
      <w:bookmarkEnd w:id="218"/>
    </w:p>
    <w:p>
      <w:pPr>
        <w:spacing w:line="576" w:lineRule="exact"/>
        <w:ind w:firstLine="640" w:firstLineChars="200"/>
        <w:rPr>
          <w:rFonts w:cs="Times New Roman"/>
          <w:color w:val="auto"/>
        </w:rPr>
      </w:pPr>
      <w:r>
        <w:rPr>
          <w:rFonts w:cs="Times New Roman"/>
          <w:color w:val="auto"/>
        </w:rPr>
        <w:t>注重“交通+”“建管养运”协调发展，完善公路养护管理体系，创建</w:t>
      </w:r>
      <w:r>
        <w:rPr>
          <w:rFonts w:hint="eastAsia" w:cs="Times New Roman"/>
          <w:color w:val="auto"/>
        </w:rPr>
        <w:t>省级</w:t>
      </w:r>
      <w:r>
        <w:rPr>
          <w:rFonts w:cs="Times New Roman"/>
          <w:color w:val="auto"/>
        </w:rPr>
        <w:t>“四好农村路”示范县。积极推进沙耳机械化养护中心及其相关配套设施建设，提升干线公路养护管理水平。强化重点路段和桥梁养护，加快公路护坡、防护栏和沿线绿化建设。加强干线公路等重点区域的安全隐患和地质灾害排查，积极推进灾后交通恢复重建。加强智慧交通建设，稳步提升运输服务信息化水平。到2025年，依托沙耳建成1个机械化养护中心，新发现四、五类桥处置率达到100%，农村公路实现有路必养。</w:t>
      </w:r>
    </w:p>
    <w:p>
      <w:pPr>
        <w:pStyle w:val="14"/>
        <w:rPr>
          <w:color w:val="auto"/>
        </w:rPr>
      </w:pPr>
    </w:p>
    <w:tbl>
      <w:tblPr>
        <w:tblStyle w:val="27"/>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696" w:type="dxa"/>
          </w:tcPr>
          <w:p>
            <w:pPr>
              <w:spacing w:line="240" w:lineRule="auto"/>
              <w:jc w:val="center"/>
              <w:rPr>
                <w:rFonts w:eastAsia="黑体" w:cs="Times New Roman"/>
                <w:color w:val="auto"/>
                <w:sz w:val="28"/>
                <w:szCs w:val="28"/>
              </w:rPr>
            </w:pPr>
            <w:bookmarkStart w:id="219" w:name="_Toc29236_WPSOffice_Level2"/>
            <w:r>
              <w:rPr>
                <w:rFonts w:eastAsia="黑体" w:cs="Times New Roman"/>
                <w:color w:val="auto"/>
                <w:sz w:val="28"/>
                <w:szCs w:val="28"/>
              </w:rPr>
              <w:t xml:space="preserve">专栏8  </w:t>
            </w:r>
            <w:r>
              <w:rPr>
                <w:rFonts w:eastAsia="黑体" w:cs="Times New Roman"/>
                <w:bCs/>
                <w:color w:val="auto"/>
                <w:kern w:val="0"/>
                <w:sz w:val="28"/>
                <w:szCs w:val="32"/>
              </w:rPr>
              <w:t>金川县</w:t>
            </w:r>
            <w:r>
              <w:rPr>
                <w:rFonts w:eastAsia="黑体" w:cs="Times New Roman"/>
                <w:color w:val="auto"/>
                <w:sz w:val="28"/>
                <w:szCs w:val="28"/>
              </w:rPr>
              <w:t>综合交通建设重点项目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6" w:type="dxa"/>
          </w:tcPr>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4"/>
              </w:rPr>
            </w:pPr>
            <w:r>
              <w:rPr>
                <w:rFonts w:cs="Times New Roman"/>
                <w:b/>
                <w:bCs/>
                <w:color w:val="auto"/>
                <w:sz w:val="28"/>
                <w:szCs w:val="24"/>
              </w:rPr>
              <w:t>航空</w:t>
            </w:r>
            <w:r>
              <w:rPr>
                <w:rFonts w:cs="Times New Roman"/>
                <w:color w:val="auto"/>
                <w:sz w:val="28"/>
                <w:szCs w:val="24"/>
              </w:rPr>
              <w:t>。金川通用机场建设项目。</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4"/>
              </w:rPr>
            </w:pPr>
            <w:r>
              <w:rPr>
                <w:rFonts w:cs="Times New Roman"/>
                <w:b/>
                <w:bCs/>
                <w:color w:val="auto"/>
                <w:sz w:val="28"/>
                <w:szCs w:val="24"/>
              </w:rPr>
              <w:t>高速公路</w:t>
            </w:r>
            <w:r>
              <w:rPr>
                <w:rFonts w:cs="Times New Roman"/>
                <w:color w:val="auto"/>
                <w:sz w:val="28"/>
                <w:szCs w:val="28"/>
              </w:rPr>
              <w:t>。</w:t>
            </w:r>
            <w:r>
              <w:rPr>
                <w:rFonts w:cs="Times New Roman"/>
                <w:color w:val="auto"/>
                <w:sz w:val="28"/>
                <w:szCs w:val="24"/>
              </w:rPr>
              <w:t>马尔康至康定（阿坝段）</w:t>
            </w:r>
            <w:r>
              <w:rPr>
                <w:rFonts w:cs="Times New Roman"/>
                <w:color w:val="auto"/>
                <w:sz w:val="28"/>
                <w:szCs w:val="28"/>
              </w:rPr>
              <w:t>新建</w:t>
            </w:r>
            <w:r>
              <w:rPr>
                <w:rFonts w:cs="Times New Roman"/>
                <w:color w:val="auto"/>
                <w:sz w:val="28"/>
                <w:szCs w:val="24"/>
              </w:rPr>
              <w:t>工程。</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4"/>
              </w:rPr>
            </w:pPr>
            <w:r>
              <w:rPr>
                <w:rFonts w:cs="Times New Roman"/>
                <w:b/>
                <w:bCs/>
                <w:color w:val="auto"/>
                <w:sz w:val="28"/>
                <w:szCs w:val="24"/>
              </w:rPr>
              <w:t>国道</w:t>
            </w:r>
            <w:r>
              <w:rPr>
                <w:rFonts w:cs="Times New Roman"/>
                <w:color w:val="auto"/>
                <w:sz w:val="28"/>
                <w:szCs w:val="24"/>
              </w:rPr>
              <w:t>。G248白湾至马奈段公路改建工程。</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8"/>
              </w:rPr>
            </w:pPr>
            <w:r>
              <w:rPr>
                <w:rFonts w:cs="Times New Roman"/>
                <w:b/>
                <w:bCs/>
                <w:color w:val="auto"/>
                <w:sz w:val="28"/>
                <w:szCs w:val="24"/>
              </w:rPr>
              <w:t>省道</w:t>
            </w:r>
            <w:r>
              <w:rPr>
                <w:rFonts w:cs="Times New Roman"/>
                <w:color w:val="auto"/>
                <w:sz w:val="28"/>
                <w:szCs w:val="28"/>
              </w:rPr>
              <w:t>。S451金川至抚边（小金）公路提升改造工程</w:t>
            </w:r>
            <w:r>
              <w:rPr>
                <w:rFonts w:hint="eastAsia" w:cs="Times New Roman"/>
                <w:color w:val="auto"/>
                <w:sz w:val="28"/>
                <w:szCs w:val="28"/>
                <w:lang w:eastAsia="zh-CN"/>
              </w:rPr>
              <w:t>，</w:t>
            </w:r>
            <w:r>
              <w:rPr>
                <w:rFonts w:cs="Times New Roman"/>
                <w:color w:val="auto"/>
                <w:sz w:val="28"/>
                <w:szCs w:val="28"/>
              </w:rPr>
              <w:t>金小路万里城隧道工程</w:t>
            </w:r>
            <w:r>
              <w:rPr>
                <w:rFonts w:hint="eastAsia" w:cs="Times New Roman"/>
                <w:color w:val="auto"/>
                <w:sz w:val="28"/>
                <w:szCs w:val="28"/>
                <w:lang w:eastAsia="zh-CN"/>
              </w:rPr>
              <w:t>，</w:t>
            </w:r>
            <w:r>
              <w:rPr>
                <w:rFonts w:cs="Times New Roman"/>
                <w:color w:val="auto"/>
                <w:sz w:val="28"/>
                <w:szCs w:val="28"/>
              </w:rPr>
              <w:t>金川卡撒至小金崇德道路建设工程。</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8"/>
              </w:rPr>
            </w:pPr>
            <w:r>
              <w:rPr>
                <w:rFonts w:cs="Times New Roman"/>
                <w:b/>
                <w:bCs/>
                <w:color w:val="auto"/>
                <w:sz w:val="28"/>
                <w:szCs w:val="24"/>
              </w:rPr>
              <w:t>县道。</w:t>
            </w:r>
            <w:r>
              <w:rPr>
                <w:rFonts w:cs="Times New Roman"/>
                <w:color w:val="auto"/>
                <w:sz w:val="28"/>
                <w:szCs w:val="28"/>
              </w:rPr>
              <w:t>新（改）建新太路、咯尔德胜至沙耳大桥、沙耳至庆宁等县道364公里。</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8"/>
              </w:rPr>
            </w:pPr>
            <w:r>
              <w:rPr>
                <w:rFonts w:cs="Times New Roman"/>
                <w:b/>
                <w:bCs/>
                <w:color w:val="auto"/>
                <w:sz w:val="28"/>
                <w:szCs w:val="24"/>
              </w:rPr>
              <w:t>农村公路</w:t>
            </w:r>
            <w:r>
              <w:rPr>
                <w:rFonts w:cs="Times New Roman"/>
                <w:color w:val="auto"/>
                <w:sz w:val="28"/>
                <w:szCs w:val="28"/>
              </w:rPr>
              <w:t>。新（改）建李晒路、周牛路、倪家坪路等312条乡村公路1380公里。</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cs="Times New Roman"/>
                <w:color w:val="auto"/>
                <w:sz w:val="28"/>
                <w:szCs w:val="28"/>
              </w:rPr>
            </w:pPr>
            <w:r>
              <w:rPr>
                <w:rFonts w:cs="Times New Roman"/>
                <w:b/>
                <w:bCs/>
                <w:color w:val="auto"/>
                <w:sz w:val="28"/>
                <w:szCs w:val="24"/>
              </w:rPr>
              <w:t>寺庙路</w:t>
            </w:r>
            <w:r>
              <w:rPr>
                <w:rFonts w:cs="Times New Roman"/>
                <w:color w:val="auto"/>
                <w:sz w:val="28"/>
                <w:szCs w:val="28"/>
              </w:rPr>
              <w:t>。新（改）建巴温寺路、闪珠寺路、娃姑寺路等11条寺庙路25.6公里。</w:t>
            </w:r>
          </w:p>
          <w:p>
            <w:pPr>
              <w:keepNext w:val="0"/>
              <w:keepLines w:val="0"/>
              <w:pageBreakBefore w:val="0"/>
              <w:widowControl w:val="0"/>
              <w:kinsoku/>
              <w:wordWrap/>
              <w:overflowPunct/>
              <w:topLinePunct w:val="0"/>
              <w:autoSpaceDE/>
              <w:autoSpaceDN/>
              <w:bidi w:val="0"/>
              <w:adjustRightInd/>
              <w:snapToGrid/>
              <w:spacing w:line="500" w:lineRule="exact"/>
              <w:ind w:firstLine="482"/>
              <w:textAlignment w:val="auto"/>
              <w:rPr>
                <w:rFonts w:eastAsia="仿宋" w:cs="Times New Roman"/>
                <w:bCs/>
                <w:color w:val="auto"/>
                <w:sz w:val="24"/>
              </w:rPr>
            </w:pPr>
            <w:r>
              <w:rPr>
                <w:rFonts w:cs="Times New Roman"/>
                <w:b/>
                <w:bCs/>
                <w:color w:val="auto"/>
                <w:sz w:val="28"/>
                <w:szCs w:val="24"/>
              </w:rPr>
              <w:t>桥梁</w:t>
            </w:r>
            <w:r>
              <w:rPr>
                <w:rFonts w:cs="Times New Roman"/>
                <w:color w:val="auto"/>
                <w:sz w:val="28"/>
                <w:szCs w:val="28"/>
              </w:rPr>
              <w:t>。</w:t>
            </w:r>
            <w:r>
              <w:rPr>
                <w:rFonts w:hint="eastAsia" w:cs="Times New Roman"/>
                <w:color w:val="auto"/>
                <w:sz w:val="28"/>
                <w:szCs w:val="28"/>
              </w:rPr>
              <w:t>新（改）建</w:t>
            </w:r>
            <w:r>
              <w:rPr>
                <w:rFonts w:cs="Times New Roman"/>
                <w:color w:val="auto"/>
                <w:sz w:val="28"/>
                <w:szCs w:val="28"/>
              </w:rPr>
              <w:t>热登桥、曾达大桥等21座桥梁工程。</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220" w:name="_Toc22138"/>
      <w:bookmarkStart w:id="221" w:name="_Toc23850"/>
      <w:bookmarkStart w:id="222" w:name="_Toc15432"/>
      <w:r>
        <w:rPr>
          <w:rFonts w:ascii="Times New Roman" w:hAnsi="Times New Roman" w:eastAsia="黑体"/>
          <w:b w:val="0"/>
          <w:bCs w:val="0"/>
          <w:color w:val="auto"/>
          <w:kern w:val="2"/>
          <w:sz w:val="32"/>
          <w:szCs w:val="32"/>
        </w:rPr>
        <w:t>第十一章  贯通水网</w:t>
      </w:r>
      <w:bookmarkEnd w:id="219"/>
      <w:bookmarkEnd w:id="220"/>
      <w:bookmarkEnd w:id="221"/>
      <w:bookmarkEnd w:id="222"/>
    </w:p>
    <w:p>
      <w:pPr>
        <w:spacing w:line="576" w:lineRule="exact"/>
        <w:ind w:firstLine="640" w:firstLineChars="200"/>
        <w:rPr>
          <w:rFonts w:cs="Times New Roman"/>
          <w:color w:val="auto"/>
        </w:rPr>
      </w:pPr>
      <w:r>
        <w:rPr>
          <w:rFonts w:cs="Times New Roman"/>
          <w:color w:val="auto"/>
        </w:rPr>
        <w:t>按照“水利工程补短板、水利行业强监管”总基调，紧扣生态治理、产业发展和生活需要，加快补齐防洪排涝抗旱短板，全方位保障城乡居民安全用水，提升水资源优化配置和洪涝灾害防御能力。</w:t>
      </w:r>
    </w:p>
    <w:p>
      <w:pPr>
        <w:pStyle w:val="5"/>
        <w:spacing w:before="156" w:beforeLines="50" w:after="156" w:afterLines="50" w:line="576" w:lineRule="exact"/>
        <w:jc w:val="center"/>
        <w:rPr>
          <w:rFonts w:eastAsia="楷体_GB2312"/>
          <w:color w:val="auto"/>
        </w:rPr>
      </w:pPr>
      <w:bookmarkStart w:id="223" w:name="_Toc57009333"/>
      <w:bookmarkStart w:id="224" w:name="_Toc4040_WPSOffice_Level3"/>
      <w:bookmarkStart w:id="225" w:name="_Toc16442"/>
      <w:bookmarkStart w:id="226" w:name="_Toc3084"/>
      <w:bookmarkStart w:id="227" w:name="_Toc15867"/>
      <w:r>
        <w:rPr>
          <w:rFonts w:eastAsia="楷体_GB2312"/>
          <w:color w:val="auto"/>
        </w:rPr>
        <w:t xml:space="preserve">第一节  </w:t>
      </w:r>
      <w:bookmarkEnd w:id="223"/>
      <w:r>
        <w:rPr>
          <w:rFonts w:eastAsia="楷体_GB2312"/>
          <w:color w:val="auto"/>
        </w:rPr>
        <w:t>推进引水灌溉工程建设</w:t>
      </w:r>
      <w:bookmarkEnd w:id="224"/>
      <w:bookmarkEnd w:id="225"/>
      <w:bookmarkEnd w:id="226"/>
      <w:bookmarkEnd w:id="227"/>
    </w:p>
    <w:p>
      <w:pPr>
        <w:spacing w:line="576" w:lineRule="exact"/>
        <w:ind w:firstLine="640" w:firstLineChars="200"/>
        <w:rPr>
          <w:rFonts w:cs="Times New Roman"/>
          <w:color w:val="auto"/>
        </w:rPr>
      </w:pPr>
      <w:r>
        <w:rPr>
          <w:rFonts w:hint="eastAsia" w:cs="Times New Roman"/>
          <w:color w:val="auto"/>
          <w:lang w:val="en-US" w:eastAsia="zh-CN"/>
        </w:rPr>
        <w:t>实施</w:t>
      </w:r>
      <w:r>
        <w:rPr>
          <w:rFonts w:cs="Times New Roman"/>
          <w:color w:val="auto"/>
        </w:rPr>
        <w:t>一批大型水利工程及渠系配套项目建设，加快推进独卡水利工程</w:t>
      </w:r>
      <w:r>
        <w:rPr>
          <w:rFonts w:hint="eastAsia" w:cs="Times New Roman"/>
          <w:color w:val="auto"/>
          <w:lang w:val="en-US" w:eastAsia="zh-CN"/>
        </w:rPr>
        <w:t>前期工作</w:t>
      </w:r>
      <w:r>
        <w:rPr>
          <w:rFonts w:cs="Times New Roman"/>
          <w:color w:val="auto"/>
        </w:rPr>
        <w:t>，积极推进独卡水利主干渠工程，启动卡撒水库建设工程</w:t>
      </w:r>
      <w:r>
        <w:rPr>
          <w:rFonts w:hint="eastAsia" w:cs="Times New Roman"/>
          <w:color w:val="auto"/>
          <w:lang w:val="en-US" w:eastAsia="zh-CN"/>
        </w:rPr>
        <w:t>前期工作</w:t>
      </w:r>
      <w:r>
        <w:rPr>
          <w:rFonts w:cs="Times New Roman"/>
          <w:color w:val="auto"/>
        </w:rPr>
        <w:t>。重点推进干旱半干旱河谷治理和高半山产业发展引水布水，积极实施高半山节水灌溉工程。加快实施小型农田水利项目，织密支渠、斗渠、毛渠，形成“两干贯通、管渠畅达”水网体系。到2025年，粮食主产区的水利基础设施条件得到明显改善，非常规水源利用比例进一步提高。</w:t>
      </w:r>
    </w:p>
    <w:p>
      <w:pPr>
        <w:pStyle w:val="5"/>
        <w:spacing w:before="156" w:beforeLines="50" w:after="156" w:afterLines="50" w:line="576" w:lineRule="exact"/>
        <w:jc w:val="center"/>
        <w:rPr>
          <w:rFonts w:eastAsia="楷体_GB2312"/>
          <w:color w:val="auto"/>
        </w:rPr>
      </w:pPr>
      <w:bookmarkStart w:id="228" w:name="_Toc57009334"/>
      <w:bookmarkStart w:id="229" w:name="_Toc5692_WPSOffice_Level3"/>
      <w:bookmarkStart w:id="230" w:name="_Toc17526"/>
      <w:bookmarkStart w:id="231" w:name="_Toc9676"/>
      <w:bookmarkStart w:id="232" w:name="_Toc5712"/>
      <w:r>
        <w:rPr>
          <w:rFonts w:eastAsia="楷体_GB2312"/>
          <w:color w:val="auto"/>
        </w:rPr>
        <w:t xml:space="preserve">第二节  </w:t>
      </w:r>
      <w:bookmarkEnd w:id="228"/>
      <w:r>
        <w:rPr>
          <w:rFonts w:eastAsia="楷体_GB2312"/>
          <w:color w:val="auto"/>
        </w:rPr>
        <w:t>补齐防洪排涝抗旱短板</w:t>
      </w:r>
      <w:bookmarkEnd w:id="229"/>
      <w:bookmarkEnd w:id="230"/>
      <w:bookmarkEnd w:id="231"/>
      <w:bookmarkEnd w:id="232"/>
    </w:p>
    <w:p>
      <w:pPr>
        <w:spacing w:line="576" w:lineRule="exact"/>
        <w:ind w:firstLine="640" w:firstLineChars="200"/>
        <w:rPr>
          <w:rFonts w:cs="Times New Roman"/>
          <w:color w:val="auto"/>
        </w:rPr>
      </w:pPr>
      <w:r>
        <w:rPr>
          <w:rFonts w:cs="Times New Roman"/>
          <w:color w:val="auto"/>
        </w:rPr>
        <w:t>实施科学“治水”，加强防洪工程建设和河道综合治理，保障江河堤防和水库大坝及高走向输水渠道安全度汛，提高防洪工程安全保障能力。</w:t>
      </w:r>
      <w:r>
        <w:rPr>
          <w:rFonts w:hint="eastAsia" w:eastAsia="仿宋" w:cs="Times New Roman"/>
          <w:color w:val="auto"/>
        </w:rPr>
        <w:t>加强县城区与重点</w:t>
      </w:r>
      <w:r>
        <w:rPr>
          <w:rFonts w:hint="eastAsia" w:eastAsia="仿宋" w:cs="Times New Roman"/>
          <w:color w:val="auto"/>
          <w:lang w:val="en-US" w:eastAsia="zh-CN"/>
        </w:rPr>
        <w:t>乡</w:t>
      </w:r>
      <w:r>
        <w:rPr>
          <w:rFonts w:hint="eastAsia" w:eastAsia="仿宋" w:cs="Times New Roman"/>
          <w:color w:val="auto"/>
        </w:rPr>
        <w:t>镇、人口集聚区周边山洪沟治理，</w:t>
      </w:r>
      <w:r>
        <w:rPr>
          <w:rFonts w:hint="eastAsia" w:eastAsia="仿宋" w:cs="Times New Roman"/>
          <w:color w:val="auto"/>
          <w:lang w:val="en-US" w:eastAsia="zh-CN"/>
        </w:rPr>
        <w:t>重点推进</w:t>
      </w:r>
      <w:r>
        <w:rPr>
          <w:rFonts w:hint="eastAsia" w:eastAsia="仿宋" w:cs="Times New Roman"/>
          <w:color w:val="auto"/>
        </w:rPr>
        <w:t>曾达沟</w:t>
      </w:r>
      <w:r>
        <w:rPr>
          <w:rFonts w:hint="eastAsia" w:eastAsia="仿宋" w:cs="Times New Roman"/>
          <w:color w:val="auto"/>
          <w:lang w:eastAsia="zh-CN"/>
        </w:rPr>
        <w:t>、</w:t>
      </w:r>
      <w:r>
        <w:rPr>
          <w:rFonts w:hint="eastAsia" w:eastAsia="仿宋" w:cs="Times New Roman"/>
          <w:color w:val="auto"/>
        </w:rPr>
        <w:t>八角碉沟</w:t>
      </w:r>
      <w:r>
        <w:rPr>
          <w:rFonts w:hint="eastAsia" w:eastAsia="仿宋" w:cs="Times New Roman"/>
          <w:color w:val="auto"/>
          <w:lang w:eastAsia="zh-CN"/>
        </w:rPr>
        <w:t>、</w:t>
      </w:r>
      <w:r>
        <w:rPr>
          <w:rFonts w:hint="eastAsia" w:eastAsia="仿宋" w:cs="Times New Roman"/>
          <w:color w:val="auto"/>
        </w:rPr>
        <w:t>八步里沟</w:t>
      </w:r>
      <w:r>
        <w:rPr>
          <w:rFonts w:hint="eastAsia" w:eastAsia="仿宋" w:cs="Times New Roman"/>
          <w:color w:val="auto"/>
          <w:lang w:eastAsia="zh-CN"/>
        </w:rPr>
        <w:t>、</w:t>
      </w:r>
      <w:r>
        <w:rPr>
          <w:rFonts w:hint="eastAsia" w:eastAsia="仿宋" w:cs="Times New Roman"/>
          <w:color w:val="auto"/>
        </w:rPr>
        <w:t>斯玛都沟</w:t>
      </w:r>
      <w:r>
        <w:rPr>
          <w:rFonts w:hint="eastAsia" w:eastAsia="仿宋" w:cs="Times New Roman"/>
          <w:color w:val="auto"/>
          <w:lang w:val="en-US" w:eastAsia="zh-CN"/>
        </w:rPr>
        <w:t>等</w:t>
      </w:r>
      <w:r>
        <w:rPr>
          <w:rFonts w:hint="eastAsia" w:eastAsia="仿宋" w:cs="Times New Roman"/>
          <w:color w:val="auto"/>
        </w:rPr>
        <w:t>山洪沟排洪渠建设</w:t>
      </w:r>
      <w:r>
        <w:rPr>
          <w:rFonts w:hint="eastAsia" w:eastAsia="仿宋" w:cs="Times New Roman"/>
          <w:color w:val="auto"/>
          <w:lang w:eastAsia="zh-CN"/>
        </w:rPr>
        <w:t>。</w:t>
      </w:r>
      <w:r>
        <w:rPr>
          <w:rFonts w:cs="Times New Roman"/>
          <w:color w:val="auto"/>
        </w:rPr>
        <w:t>加快城镇防洪排涝设施建设，健全洪涝预报预警、指挥调度、应急抢险等措施，保障城镇防洪安全。加强抗旱应急备用水源建设。到2025年，</w:t>
      </w:r>
      <w:r>
        <w:rPr>
          <w:rFonts w:hint="eastAsia" w:cs="Times New Roman"/>
          <w:color w:val="auto"/>
        </w:rPr>
        <w:t>大</w:t>
      </w:r>
      <w:r>
        <w:rPr>
          <w:rFonts w:cs="Times New Roman"/>
          <w:color w:val="auto"/>
        </w:rPr>
        <w:t>金川河及重要支流达到国家规定的防洪标准，建成沿河城镇防洪工程安全体系。</w:t>
      </w:r>
    </w:p>
    <w:p>
      <w:pPr>
        <w:pStyle w:val="5"/>
        <w:spacing w:before="156" w:beforeLines="50" w:after="156" w:afterLines="50" w:line="576" w:lineRule="exact"/>
        <w:jc w:val="center"/>
        <w:rPr>
          <w:rFonts w:eastAsia="楷体_GB2312"/>
          <w:color w:val="auto"/>
        </w:rPr>
      </w:pPr>
      <w:bookmarkStart w:id="233" w:name="_Toc57009335"/>
      <w:bookmarkStart w:id="234" w:name="_Toc5959_WPSOffice_Level3"/>
      <w:bookmarkStart w:id="235" w:name="_Toc12630"/>
      <w:bookmarkStart w:id="236" w:name="_Toc30848"/>
      <w:bookmarkStart w:id="237" w:name="_Toc24876"/>
      <w:r>
        <w:rPr>
          <w:rFonts w:eastAsia="楷体_GB2312"/>
          <w:color w:val="auto"/>
        </w:rPr>
        <w:t xml:space="preserve">第三节  </w:t>
      </w:r>
      <w:bookmarkEnd w:id="233"/>
      <w:r>
        <w:rPr>
          <w:rFonts w:hint="eastAsia" w:eastAsia="楷体_GB2312"/>
          <w:color w:val="auto"/>
        </w:rPr>
        <w:t>提升</w:t>
      </w:r>
      <w:r>
        <w:rPr>
          <w:rFonts w:eastAsia="楷体_GB2312"/>
          <w:color w:val="auto"/>
        </w:rPr>
        <w:t>城乡居民用水保障</w:t>
      </w:r>
      <w:bookmarkEnd w:id="234"/>
      <w:bookmarkEnd w:id="235"/>
      <w:bookmarkEnd w:id="236"/>
      <w:bookmarkEnd w:id="237"/>
    </w:p>
    <w:p>
      <w:pPr>
        <w:spacing w:line="576" w:lineRule="exact"/>
        <w:ind w:firstLine="640" w:firstLineChars="200"/>
        <w:rPr>
          <w:rFonts w:cs="Times New Roman"/>
          <w:color w:val="auto"/>
        </w:rPr>
      </w:pPr>
      <w:r>
        <w:rPr>
          <w:rFonts w:cs="Times New Roman"/>
          <w:color w:val="auto"/>
        </w:rPr>
        <w:t>构建完善城乡一体化供水网络，抓好城乡安全饮水管网连通疏通、水源保护、消毒净化、水表安装等全覆盖，不断提高城乡居民自来水普及率和供水安全保障率。完善城镇生活供水设施，推进水源地保护、引调水设施建设。实施农村饮水安全巩固提升工程，增强农村规模聚集区高标准供水能力。到2025年，全县年总供水能力达到3000万立方米，城镇供水保证率达100%，农村自来水普及率达到95%以上。</w:t>
      </w:r>
    </w:p>
    <w:p>
      <w:pPr>
        <w:pStyle w:val="5"/>
        <w:spacing w:before="156" w:beforeLines="50" w:after="156" w:afterLines="50" w:line="576" w:lineRule="exact"/>
        <w:jc w:val="center"/>
        <w:rPr>
          <w:rFonts w:eastAsia="楷体_GB2312"/>
          <w:color w:val="auto"/>
        </w:rPr>
      </w:pPr>
      <w:bookmarkStart w:id="238" w:name="_Toc26757"/>
      <w:bookmarkStart w:id="239" w:name="_Toc21086_WPSOffice_Level3"/>
      <w:bookmarkStart w:id="240" w:name="_Toc2379"/>
      <w:bookmarkStart w:id="241" w:name="_Toc14793"/>
      <w:r>
        <w:rPr>
          <w:rFonts w:eastAsia="楷体_GB2312"/>
          <w:color w:val="auto"/>
        </w:rPr>
        <w:t>第四节  提升水利行业监管能力</w:t>
      </w:r>
      <w:bookmarkEnd w:id="238"/>
      <w:bookmarkEnd w:id="239"/>
      <w:bookmarkEnd w:id="240"/>
      <w:bookmarkEnd w:id="241"/>
    </w:p>
    <w:p>
      <w:pPr>
        <w:spacing w:line="576" w:lineRule="exact"/>
        <w:ind w:firstLine="640" w:firstLineChars="200"/>
        <w:rPr>
          <w:rFonts w:cs="Times New Roman"/>
          <w:color w:val="auto"/>
        </w:rPr>
      </w:pPr>
      <w:r>
        <w:rPr>
          <w:rFonts w:cs="Times New Roman"/>
          <w:color w:val="auto"/>
        </w:rPr>
        <w:t>全面完成水利工程管理体制改革，进一步落实水利工程管理主体责任。深化涉水事务管理体制改革，形成一整套务实高效管用的监管体系，提高依法治水管</w:t>
      </w:r>
      <w:r>
        <w:rPr>
          <w:rFonts w:hint="eastAsia" w:cs="Times New Roman"/>
          <w:color w:val="auto"/>
        </w:rPr>
        <w:t>理</w:t>
      </w:r>
      <w:r>
        <w:rPr>
          <w:rFonts w:cs="Times New Roman"/>
          <w:color w:val="auto"/>
        </w:rPr>
        <w:t>水平。加强水政执法队伍建设，提高日常管理和执法能力，建立上下协调一致、高效统一的执法体制。加强基层水利服务机构能力建设，大力扶持和发展农民用水合作组织。加强智慧水利建设，建设水利数据库中心和水利信息共享服务平台，实施水利综合监管平台提升工程。完善最严格水资源管理制度，深化水价改革，实施节水行动，推进节水型社会建设。</w:t>
      </w:r>
    </w:p>
    <w:tbl>
      <w:tblPr>
        <w:tblStyle w:val="27"/>
        <w:tblW w:w="8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8766" w:type="dxa"/>
          </w:tcPr>
          <w:p>
            <w:pPr>
              <w:spacing w:line="576" w:lineRule="exact"/>
              <w:jc w:val="center"/>
              <w:rPr>
                <w:rFonts w:eastAsia="黑体" w:cs="Times New Roman"/>
                <w:color w:val="auto"/>
                <w:sz w:val="28"/>
                <w:szCs w:val="28"/>
              </w:rPr>
            </w:pPr>
            <w:bookmarkStart w:id="242" w:name="_Toc10271_WPSOffice_Level2"/>
            <w:r>
              <w:rPr>
                <w:rFonts w:eastAsia="黑体" w:cs="Times New Roman"/>
                <w:color w:val="auto"/>
                <w:sz w:val="28"/>
                <w:szCs w:val="28"/>
              </w:rPr>
              <w:t xml:space="preserve">专栏9  </w:t>
            </w:r>
            <w:r>
              <w:rPr>
                <w:rFonts w:eastAsia="黑体" w:cs="Times New Roman"/>
                <w:bCs/>
                <w:color w:val="auto"/>
                <w:kern w:val="0"/>
                <w:sz w:val="28"/>
                <w:szCs w:val="32"/>
              </w:rPr>
              <w:t>金川县</w:t>
            </w:r>
            <w:r>
              <w:rPr>
                <w:rFonts w:eastAsia="黑体" w:cs="Times New Roman"/>
                <w:color w:val="auto"/>
                <w:sz w:val="28"/>
                <w:szCs w:val="28"/>
              </w:rPr>
              <w:t>水利设施建设重点项目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6"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bCs/>
                <w:color w:val="auto"/>
                <w:sz w:val="28"/>
                <w:szCs w:val="24"/>
              </w:rPr>
            </w:pPr>
            <w:r>
              <w:rPr>
                <w:rFonts w:cs="Times New Roman"/>
                <w:b/>
                <w:color w:val="auto"/>
                <w:sz w:val="28"/>
                <w:szCs w:val="24"/>
              </w:rPr>
              <w:t>引水灌溉工程</w:t>
            </w:r>
            <w:r>
              <w:rPr>
                <w:rFonts w:cs="Times New Roman"/>
                <w:bCs/>
                <w:color w:val="auto"/>
                <w:sz w:val="28"/>
                <w:szCs w:val="24"/>
              </w:rPr>
              <w:t>。独卡水利工程</w:t>
            </w:r>
            <w:r>
              <w:rPr>
                <w:rFonts w:hint="eastAsia" w:cs="Times New Roman"/>
                <w:bCs/>
                <w:color w:val="auto"/>
                <w:sz w:val="28"/>
                <w:szCs w:val="24"/>
                <w:lang w:eastAsia="zh-CN"/>
              </w:rPr>
              <w:t>，</w:t>
            </w:r>
            <w:r>
              <w:rPr>
                <w:rFonts w:cs="Times New Roman"/>
                <w:bCs/>
                <w:color w:val="auto"/>
                <w:sz w:val="28"/>
                <w:szCs w:val="24"/>
              </w:rPr>
              <w:t>卡撒水库建设</w:t>
            </w:r>
            <w:r>
              <w:rPr>
                <w:rFonts w:hint="eastAsia" w:cs="Times New Roman"/>
                <w:bCs/>
                <w:color w:val="auto"/>
                <w:sz w:val="28"/>
                <w:szCs w:val="24"/>
                <w:lang w:val="en-US" w:eastAsia="zh-CN"/>
              </w:rPr>
              <w:t>项目</w:t>
            </w:r>
            <w:r>
              <w:rPr>
                <w:rFonts w:hint="eastAsia" w:cs="Times New Roman"/>
                <w:bCs/>
                <w:color w:val="auto"/>
                <w:sz w:val="28"/>
                <w:szCs w:val="24"/>
                <w:lang w:eastAsia="zh-CN"/>
              </w:rPr>
              <w:t>，</w:t>
            </w:r>
            <w:r>
              <w:rPr>
                <w:rFonts w:cs="Times New Roman"/>
                <w:color w:val="auto"/>
                <w:sz w:val="28"/>
                <w:szCs w:val="28"/>
              </w:rPr>
              <w:t>农田水利建设项目</w:t>
            </w:r>
            <w:r>
              <w:rPr>
                <w:rFonts w:hint="eastAsia" w:cs="Times New Roman"/>
                <w:color w:val="auto"/>
                <w:sz w:val="28"/>
                <w:szCs w:val="28"/>
                <w:lang w:eastAsia="zh-CN"/>
              </w:rPr>
              <w:t>，</w:t>
            </w:r>
            <w:r>
              <w:rPr>
                <w:rFonts w:cs="Times New Roman"/>
                <w:color w:val="auto"/>
                <w:sz w:val="28"/>
                <w:szCs w:val="28"/>
              </w:rPr>
              <w:t>田间高效节水灌溉项目</w:t>
            </w:r>
            <w:r>
              <w:rPr>
                <w:rFonts w:hint="eastAsia" w:cs="Times New Roman"/>
                <w:color w:val="auto"/>
                <w:sz w:val="28"/>
                <w:szCs w:val="28"/>
                <w:lang w:eastAsia="zh-CN"/>
              </w:rPr>
              <w:t>，</w:t>
            </w:r>
            <w:r>
              <w:rPr>
                <w:rFonts w:cs="Times New Roman"/>
                <w:color w:val="auto"/>
                <w:sz w:val="28"/>
                <w:szCs w:val="28"/>
              </w:rPr>
              <w:t>长江上游干旱河谷水利工程。</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eastAsia="仿宋_GB2312" w:cs="Times New Roman"/>
                <w:color w:val="auto"/>
                <w:sz w:val="28"/>
                <w:szCs w:val="24"/>
                <w:lang w:val="en-US" w:eastAsia="zh-CN"/>
              </w:rPr>
            </w:pPr>
            <w:r>
              <w:rPr>
                <w:rFonts w:cs="Times New Roman"/>
                <w:b/>
                <w:color w:val="auto"/>
                <w:sz w:val="28"/>
                <w:szCs w:val="24"/>
              </w:rPr>
              <w:t>防洪排涝工程</w:t>
            </w:r>
            <w:r>
              <w:rPr>
                <w:rFonts w:cs="Times New Roman"/>
                <w:color w:val="auto"/>
                <w:sz w:val="28"/>
                <w:szCs w:val="24"/>
              </w:rPr>
              <w:t>。</w:t>
            </w:r>
            <w:r>
              <w:rPr>
                <w:rFonts w:hint="eastAsia" w:cs="Times New Roman"/>
                <w:color w:val="auto"/>
                <w:sz w:val="28"/>
                <w:szCs w:val="24"/>
                <w:lang w:val="en-US" w:eastAsia="zh-CN"/>
              </w:rPr>
              <w:t>安宁、沙耳等8个防洪堤防工程，卡撒沟、</w:t>
            </w:r>
            <w:r>
              <w:rPr>
                <w:rFonts w:cs="Times New Roman"/>
                <w:color w:val="auto"/>
                <w:sz w:val="28"/>
                <w:szCs w:val="24"/>
              </w:rPr>
              <w:t>西里寨沟</w:t>
            </w:r>
            <w:r>
              <w:rPr>
                <w:rFonts w:hint="eastAsia" w:cs="Times New Roman"/>
                <w:color w:val="auto"/>
                <w:sz w:val="28"/>
                <w:szCs w:val="24"/>
                <w:lang w:val="en-US" w:eastAsia="zh-CN"/>
              </w:rPr>
              <w:t>等6条中小河流防洪治理工程，</w:t>
            </w:r>
            <w:r>
              <w:rPr>
                <w:rFonts w:cs="Times New Roman"/>
                <w:color w:val="auto"/>
                <w:sz w:val="28"/>
                <w:szCs w:val="24"/>
              </w:rPr>
              <w:t>曾达沟</w:t>
            </w:r>
            <w:r>
              <w:rPr>
                <w:rFonts w:hint="eastAsia" w:cs="Times New Roman"/>
                <w:color w:val="auto"/>
                <w:sz w:val="28"/>
                <w:szCs w:val="24"/>
                <w:lang w:val="en-US" w:eastAsia="zh-CN"/>
              </w:rPr>
              <w:t>等5条重点山洪沟治理工程。</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bCs/>
                <w:color w:val="auto"/>
                <w:sz w:val="28"/>
                <w:szCs w:val="24"/>
              </w:rPr>
            </w:pPr>
            <w:r>
              <w:rPr>
                <w:rFonts w:cs="Times New Roman"/>
                <w:b/>
                <w:color w:val="auto"/>
                <w:sz w:val="28"/>
                <w:szCs w:val="24"/>
              </w:rPr>
              <w:t>城乡供水工程</w:t>
            </w:r>
            <w:r>
              <w:rPr>
                <w:rFonts w:cs="Times New Roman"/>
                <w:bCs/>
                <w:color w:val="auto"/>
                <w:sz w:val="28"/>
                <w:szCs w:val="24"/>
              </w:rPr>
              <w:t>。</w:t>
            </w:r>
            <w:r>
              <w:rPr>
                <w:rFonts w:cs="Times New Roman"/>
                <w:bCs/>
                <w:color w:val="auto"/>
                <w:w w:val="96"/>
                <w:sz w:val="28"/>
                <w:szCs w:val="24"/>
              </w:rPr>
              <w:t>农村供水保障工程</w:t>
            </w:r>
            <w:r>
              <w:rPr>
                <w:rFonts w:hint="eastAsia" w:cs="Times New Roman"/>
                <w:bCs/>
                <w:color w:val="auto"/>
                <w:w w:val="96"/>
                <w:sz w:val="28"/>
                <w:szCs w:val="24"/>
                <w:lang w:eastAsia="zh-CN"/>
              </w:rPr>
              <w:t>，</w:t>
            </w:r>
            <w:r>
              <w:rPr>
                <w:rFonts w:cs="Times New Roman"/>
                <w:bCs/>
                <w:color w:val="auto"/>
                <w:w w:val="96"/>
                <w:sz w:val="28"/>
                <w:szCs w:val="24"/>
              </w:rPr>
              <w:t>引调水工程</w:t>
            </w:r>
            <w:r>
              <w:rPr>
                <w:rFonts w:hint="eastAsia" w:cs="Times New Roman"/>
                <w:bCs/>
                <w:color w:val="auto"/>
                <w:w w:val="96"/>
                <w:sz w:val="28"/>
                <w:szCs w:val="24"/>
                <w:lang w:eastAsia="zh-CN"/>
              </w:rPr>
              <w:t>，</w:t>
            </w:r>
            <w:r>
              <w:rPr>
                <w:rFonts w:cs="Times New Roman"/>
                <w:bCs/>
                <w:color w:val="auto"/>
                <w:w w:val="96"/>
                <w:sz w:val="28"/>
                <w:szCs w:val="24"/>
              </w:rPr>
              <w:t>村镇生活排水工程。</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24"/>
              </w:rPr>
            </w:pPr>
            <w:r>
              <w:rPr>
                <w:rFonts w:cs="Times New Roman"/>
                <w:b/>
                <w:color w:val="auto"/>
                <w:sz w:val="28"/>
                <w:szCs w:val="24"/>
              </w:rPr>
              <w:t>水利行业监管</w:t>
            </w:r>
            <w:r>
              <w:rPr>
                <w:rFonts w:cs="Times New Roman"/>
                <w:color w:val="auto"/>
                <w:sz w:val="24"/>
              </w:rPr>
              <w:t>。</w:t>
            </w:r>
            <w:r>
              <w:rPr>
                <w:rFonts w:hint="eastAsia" w:cs="Times New Roman"/>
                <w:color w:val="auto"/>
                <w:sz w:val="28"/>
                <w:szCs w:val="24"/>
                <w:lang w:val="en-US" w:eastAsia="zh-CN"/>
              </w:rPr>
              <w:t>智慧水利项目建设，水利发展规划能力建设项目。</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243" w:name="_Toc9767"/>
      <w:bookmarkStart w:id="244" w:name="_Toc17095"/>
      <w:bookmarkStart w:id="245" w:name="_Toc18687"/>
      <w:r>
        <w:rPr>
          <w:rFonts w:ascii="Times New Roman" w:hAnsi="Times New Roman" w:eastAsia="黑体"/>
          <w:b w:val="0"/>
          <w:bCs w:val="0"/>
          <w:color w:val="auto"/>
          <w:kern w:val="2"/>
          <w:sz w:val="32"/>
          <w:szCs w:val="32"/>
        </w:rPr>
        <w:t>第十二章  扩通电网</w:t>
      </w:r>
      <w:bookmarkEnd w:id="242"/>
      <w:bookmarkEnd w:id="243"/>
      <w:bookmarkEnd w:id="244"/>
      <w:bookmarkEnd w:id="245"/>
    </w:p>
    <w:p>
      <w:pPr>
        <w:spacing w:line="576" w:lineRule="exact"/>
        <w:ind w:firstLine="640" w:firstLineChars="200"/>
        <w:rPr>
          <w:rFonts w:cs="Times New Roman"/>
          <w:color w:val="auto"/>
        </w:rPr>
      </w:pPr>
      <w:r>
        <w:rPr>
          <w:rFonts w:cs="Times New Roman"/>
          <w:color w:val="auto"/>
        </w:rPr>
        <w:t>科学统筹规划输电线路，加快构建以1000千伏输出通道为主干、220千伏为支撑、110千伏为骨架、35千伏为配网的电网体系，提升电力外送能力，提高生产生活用电质量。</w:t>
      </w:r>
    </w:p>
    <w:p>
      <w:pPr>
        <w:pStyle w:val="5"/>
        <w:spacing w:before="156" w:beforeLines="50" w:after="156" w:afterLines="50" w:line="576" w:lineRule="exact"/>
        <w:jc w:val="center"/>
        <w:rPr>
          <w:rFonts w:eastAsia="楷体_GB2312"/>
          <w:color w:val="auto"/>
        </w:rPr>
      </w:pPr>
      <w:bookmarkStart w:id="246" w:name="_Toc6960"/>
      <w:bookmarkStart w:id="247" w:name="_Toc14105"/>
      <w:bookmarkStart w:id="248" w:name="_Toc13346_WPSOffice_Level3"/>
      <w:bookmarkStart w:id="249" w:name="_Toc23788"/>
      <w:r>
        <w:rPr>
          <w:rFonts w:eastAsia="楷体_GB2312"/>
          <w:color w:val="auto"/>
        </w:rPr>
        <w:t>第一节  加强电力外送通道建设</w:t>
      </w:r>
      <w:bookmarkEnd w:id="246"/>
      <w:bookmarkEnd w:id="247"/>
      <w:bookmarkEnd w:id="248"/>
      <w:bookmarkEnd w:id="249"/>
    </w:p>
    <w:p>
      <w:pPr>
        <w:spacing w:line="576" w:lineRule="exact"/>
        <w:ind w:firstLine="640" w:firstLineChars="200"/>
        <w:rPr>
          <w:rFonts w:eastAsia="仿宋" w:cs="Times New Roman"/>
          <w:color w:val="auto"/>
        </w:rPr>
      </w:pPr>
      <w:r>
        <w:rPr>
          <w:rFonts w:cs="Times New Roman"/>
          <w:color w:val="auto"/>
        </w:rPr>
        <w:t>优化布局电力输送骨干网络，积极争取建设1000千伏特高压工程，规划建设金川水电站500千伏送出工程，开工建设金川220千伏输变电工程，畅通水电和新能源</w:t>
      </w:r>
      <w:r>
        <w:rPr>
          <w:rFonts w:hint="eastAsia" w:cs="Times New Roman"/>
          <w:color w:val="auto"/>
        </w:rPr>
        <w:t>外送</w:t>
      </w:r>
      <w:r>
        <w:rPr>
          <w:rFonts w:cs="Times New Roman"/>
          <w:color w:val="auto"/>
        </w:rPr>
        <w:t>通道。积极推进智能电网改造，构建智能化电力运行监测、管理技术平台，降低电网故障率。</w:t>
      </w:r>
    </w:p>
    <w:p>
      <w:pPr>
        <w:pStyle w:val="5"/>
        <w:spacing w:before="156" w:beforeLines="50" w:after="156" w:afterLines="50" w:line="576" w:lineRule="exact"/>
        <w:jc w:val="center"/>
        <w:rPr>
          <w:rFonts w:eastAsia="楷体_GB2312"/>
          <w:color w:val="auto"/>
        </w:rPr>
      </w:pPr>
      <w:bookmarkStart w:id="250" w:name="_Toc11434_WPSOffice_Level3"/>
      <w:bookmarkStart w:id="251" w:name="_Toc23585"/>
      <w:bookmarkStart w:id="252" w:name="_Toc30896"/>
      <w:bookmarkStart w:id="253" w:name="_Toc6157"/>
      <w:r>
        <w:rPr>
          <w:rFonts w:eastAsia="楷体_GB2312"/>
          <w:color w:val="auto"/>
        </w:rPr>
        <w:t>第二节  提升城乡电力保障能力</w:t>
      </w:r>
      <w:bookmarkEnd w:id="250"/>
      <w:bookmarkEnd w:id="251"/>
      <w:bookmarkEnd w:id="252"/>
      <w:bookmarkEnd w:id="253"/>
    </w:p>
    <w:p>
      <w:pPr>
        <w:spacing w:line="576" w:lineRule="exact"/>
        <w:ind w:firstLine="640" w:firstLineChars="200"/>
        <w:rPr>
          <w:rFonts w:cs="Times New Roman"/>
          <w:color w:val="auto"/>
        </w:rPr>
      </w:pPr>
      <w:r>
        <w:rPr>
          <w:rFonts w:cs="Times New Roman"/>
          <w:color w:val="auto"/>
        </w:rPr>
        <w:t>力争在安宁片区建设一座110千伏输变电工程，与小金或丹巴电网连接，与安宁水电站共用，形成环网，进一步解决金川孤网运行问题。进一步优化城乡电力输送网络，推动曾达110千伏输变电工程建设，改造提升勒乌110千伏输变电站，合理布局35千伏输变电工程。实施县城老旧小区电网改造工程，推进城网线路入地改造，稳定提升供电能力。加快推进农网升级，改造农村低电压及老旧网络线路，全面推广普及智能电表应用。推进县域电网同网同价、供电服务均等化，持续改善群众生产生活用电质量。</w:t>
      </w:r>
    </w:p>
    <w:tbl>
      <w:tblPr>
        <w:tblStyle w:val="27"/>
        <w:tblW w:w="871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71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0" w:hRule="atLeast"/>
          <w:jc w:val="center"/>
        </w:trPr>
        <w:tc>
          <w:tcPr>
            <w:tcW w:w="8711" w:type="dxa"/>
          </w:tcPr>
          <w:p>
            <w:pPr>
              <w:spacing w:line="576" w:lineRule="exact"/>
              <w:jc w:val="center"/>
              <w:rPr>
                <w:rFonts w:eastAsia="黑体" w:cs="Times New Roman"/>
                <w:color w:val="auto"/>
                <w:kern w:val="0"/>
                <w:sz w:val="28"/>
                <w:szCs w:val="32"/>
              </w:rPr>
            </w:pPr>
            <w:bookmarkStart w:id="254" w:name="_Toc24029_WPSOffice_Level2"/>
            <w:r>
              <w:rPr>
                <w:rFonts w:eastAsia="黑体" w:cs="Times New Roman"/>
                <w:color w:val="auto"/>
                <w:sz w:val="28"/>
                <w:szCs w:val="28"/>
              </w:rPr>
              <w:t xml:space="preserve">专栏10  </w:t>
            </w:r>
            <w:r>
              <w:rPr>
                <w:rFonts w:eastAsia="黑体" w:cs="Times New Roman"/>
                <w:bCs/>
                <w:color w:val="auto"/>
                <w:kern w:val="0"/>
                <w:sz w:val="28"/>
                <w:szCs w:val="32"/>
              </w:rPr>
              <w:t>金川县</w:t>
            </w:r>
            <w:r>
              <w:rPr>
                <w:rFonts w:eastAsia="黑体" w:cs="Times New Roman"/>
                <w:color w:val="auto"/>
                <w:sz w:val="28"/>
                <w:szCs w:val="28"/>
              </w:rPr>
              <w:t>电力设施建设重点项目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11"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电力外送通道</w:t>
            </w:r>
            <w:r>
              <w:rPr>
                <w:rFonts w:cs="Times New Roman"/>
                <w:color w:val="auto"/>
                <w:kern w:val="0"/>
                <w:sz w:val="28"/>
                <w:szCs w:val="32"/>
              </w:rPr>
              <w:t>。</w:t>
            </w:r>
            <w:r>
              <w:rPr>
                <w:rFonts w:cs="Times New Roman"/>
                <w:color w:val="auto"/>
                <w:w w:val="96"/>
              </w:rPr>
              <w:t>1000千伏特高压工程</w:t>
            </w:r>
            <w:r>
              <w:rPr>
                <w:rFonts w:hint="eastAsia" w:cs="Times New Roman"/>
                <w:color w:val="auto"/>
                <w:w w:val="96"/>
                <w:kern w:val="0"/>
                <w:sz w:val="28"/>
                <w:szCs w:val="32"/>
                <w:lang w:eastAsia="zh-CN"/>
              </w:rPr>
              <w:t>，</w:t>
            </w:r>
            <w:r>
              <w:rPr>
                <w:rFonts w:cs="Times New Roman"/>
                <w:color w:val="auto"/>
                <w:w w:val="96"/>
                <w:kern w:val="0"/>
                <w:sz w:val="28"/>
                <w:szCs w:val="32"/>
              </w:rPr>
              <w:t>金川220千伏输变电工程。</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cs="Times New Roman"/>
                <w:b/>
                <w:bCs/>
                <w:color w:val="auto"/>
                <w:kern w:val="0"/>
                <w:sz w:val="28"/>
                <w:szCs w:val="32"/>
              </w:rPr>
              <w:t>城乡电力保障</w:t>
            </w:r>
            <w:r>
              <w:rPr>
                <w:rFonts w:cs="Times New Roman"/>
                <w:color w:val="auto"/>
                <w:kern w:val="0"/>
                <w:sz w:val="28"/>
                <w:szCs w:val="32"/>
              </w:rPr>
              <w:t>。安宁110千伏输变电工程</w:t>
            </w:r>
            <w:r>
              <w:rPr>
                <w:rFonts w:hint="eastAsia" w:cs="Times New Roman"/>
                <w:color w:val="auto"/>
                <w:kern w:val="0"/>
                <w:sz w:val="28"/>
                <w:szCs w:val="32"/>
                <w:lang w:eastAsia="zh-CN"/>
              </w:rPr>
              <w:t>，</w:t>
            </w:r>
            <w:r>
              <w:rPr>
                <w:rFonts w:cs="Times New Roman"/>
                <w:color w:val="auto"/>
                <w:kern w:val="0"/>
                <w:sz w:val="28"/>
                <w:szCs w:val="32"/>
              </w:rPr>
              <w:t>曾达110千伏输变电工程</w:t>
            </w:r>
            <w:r>
              <w:rPr>
                <w:rFonts w:hint="eastAsia" w:cs="Times New Roman"/>
                <w:color w:val="auto"/>
                <w:kern w:val="0"/>
                <w:sz w:val="28"/>
                <w:szCs w:val="32"/>
                <w:lang w:eastAsia="zh-CN"/>
              </w:rPr>
              <w:t>，</w:t>
            </w:r>
            <w:r>
              <w:rPr>
                <w:rFonts w:cs="Times New Roman"/>
                <w:color w:val="auto"/>
                <w:kern w:val="0"/>
                <w:sz w:val="28"/>
                <w:szCs w:val="32"/>
              </w:rPr>
              <w:t>农网升级改造</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农村太阳能路灯安装</w:t>
            </w:r>
            <w:r>
              <w:rPr>
                <w:rFonts w:hint="eastAsia" w:cs="Times New Roman"/>
                <w:color w:val="auto"/>
                <w:kern w:val="0"/>
                <w:sz w:val="28"/>
                <w:szCs w:val="32"/>
                <w:lang w:val="en-US" w:eastAsia="zh-CN"/>
              </w:rPr>
              <w:t>项目</w:t>
            </w:r>
            <w:r>
              <w:rPr>
                <w:rFonts w:cs="Times New Roman"/>
                <w:color w:val="auto"/>
                <w:kern w:val="0"/>
                <w:sz w:val="28"/>
                <w:szCs w:val="32"/>
              </w:rPr>
              <w:t>。</w:t>
            </w:r>
          </w:p>
        </w:tc>
      </w:tr>
    </w:tbl>
    <w:p>
      <w:pPr>
        <w:pStyle w:val="4"/>
        <w:spacing w:before="156" w:beforeLines="50" w:after="156" w:afterLines="50" w:line="576" w:lineRule="exact"/>
        <w:jc w:val="center"/>
        <w:rPr>
          <w:rFonts w:ascii="Times New Roman" w:hAnsi="Times New Roman"/>
          <w:color w:val="auto"/>
          <w:kern w:val="2"/>
          <w:sz w:val="32"/>
          <w:szCs w:val="32"/>
        </w:rPr>
      </w:pPr>
      <w:bookmarkStart w:id="255" w:name="_Toc20809"/>
      <w:bookmarkStart w:id="256" w:name="_Toc14340"/>
      <w:bookmarkStart w:id="257" w:name="_Toc5926"/>
      <w:r>
        <w:rPr>
          <w:rFonts w:ascii="Times New Roman" w:hAnsi="Times New Roman" w:eastAsia="黑体"/>
          <w:b w:val="0"/>
          <w:bCs w:val="0"/>
          <w:color w:val="auto"/>
          <w:kern w:val="2"/>
          <w:sz w:val="32"/>
          <w:szCs w:val="32"/>
        </w:rPr>
        <w:t>第十三章  联通信息网</w:t>
      </w:r>
      <w:bookmarkEnd w:id="254"/>
      <w:bookmarkEnd w:id="255"/>
      <w:bookmarkEnd w:id="256"/>
      <w:bookmarkEnd w:id="257"/>
    </w:p>
    <w:p>
      <w:pPr>
        <w:spacing w:line="576" w:lineRule="exact"/>
        <w:ind w:firstLine="640" w:firstLineChars="200"/>
        <w:rPr>
          <w:rFonts w:cs="Times New Roman"/>
          <w:color w:val="auto"/>
        </w:rPr>
      </w:pPr>
      <w:r>
        <w:rPr>
          <w:rFonts w:cs="Times New Roman"/>
          <w:color w:val="auto"/>
        </w:rPr>
        <w:t>坚持新基建与传统基建并重，推动高速光网建设和5G网络覆盖及行业示范应用，加快建设“数字金川”“智慧金川”。</w:t>
      </w:r>
    </w:p>
    <w:p>
      <w:pPr>
        <w:pStyle w:val="5"/>
        <w:spacing w:before="156" w:beforeLines="50" w:after="156" w:afterLines="50" w:line="576" w:lineRule="exact"/>
        <w:jc w:val="center"/>
        <w:rPr>
          <w:rFonts w:eastAsia="楷体_GB2312"/>
          <w:color w:val="auto"/>
        </w:rPr>
      </w:pPr>
      <w:bookmarkStart w:id="258" w:name="_Toc9412_WPSOffice_Level3"/>
      <w:bookmarkStart w:id="259" w:name="_Toc15695"/>
      <w:bookmarkStart w:id="260" w:name="_Toc21784"/>
      <w:bookmarkStart w:id="261" w:name="_Toc18028"/>
      <w:r>
        <w:rPr>
          <w:rFonts w:eastAsia="楷体_GB2312"/>
          <w:color w:val="auto"/>
        </w:rPr>
        <w:t>第一节  加快新型信息基础设施建设</w:t>
      </w:r>
      <w:bookmarkEnd w:id="258"/>
      <w:bookmarkEnd w:id="259"/>
      <w:bookmarkEnd w:id="260"/>
      <w:bookmarkEnd w:id="261"/>
    </w:p>
    <w:p>
      <w:pPr>
        <w:spacing w:line="576" w:lineRule="exact"/>
        <w:ind w:firstLine="640" w:firstLineChars="200"/>
        <w:rPr>
          <w:rFonts w:eastAsia="仿宋" w:cs="Times New Roman"/>
          <w:color w:val="auto"/>
        </w:rPr>
      </w:pPr>
      <w:r>
        <w:rPr>
          <w:rFonts w:cs="Times New Roman"/>
          <w:color w:val="auto"/>
        </w:rPr>
        <w:t>积极推进4G网络提速升级，优化城乡通讯网络。推动高速光网建设，重点推进行政村宽带网络建设、升级、延伸补点，实现乡村光网宽带和互联网电视全覆盖。加速推进5G基站建设，实现县城、旅游景区和重点乡镇5G网络全覆盖。积极在全域旅游、教育医疗、科技服务、安全应急、社会治理等领域开展“5G＋”融合应用示范，提高信息服务能力。大力发展物联网，深入推进窄带物联网（NB-IoT）</w:t>
      </w:r>
      <w:r>
        <w:rPr>
          <w:rFonts w:hint="eastAsia" w:cs="Times New Roman"/>
          <w:color w:val="auto"/>
          <w:lang w:eastAsia="zh-CN"/>
        </w:rPr>
        <w:t>部署</w:t>
      </w:r>
      <w:r>
        <w:rPr>
          <w:rFonts w:cs="Times New Roman"/>
          <w:color w:val="auto"/>
        </w:rPr>
        <w:t>，加强智能停车场、智能仓储、多功能路灯杆、综合管廊等新型物联网集成载体建设。深入实施“万家企业上云”行动，支持企业探索构建跨行业物联网运营和支撑公共平台。</w:t>
      </w:r>
    </w:p>
    <w:p>
      <w:pPr>
        <w:pStyle w:val="5"/>
        <w:spacing w:before="156" w:beforeLines="50" w:after="156" w:afterLines="50" w:line="576" w:lineRule="exact"/>
        <w:jc w:val="center"/>
        <w:rPr>
          <w:rFonts w:eastAsia="楷体_GB2312"/>
          <w:color w:val="auto"/>
        </w:rPr>
      </w:pPr>
      <w:bookmarkStart w:id="262" w:name="_Toc30371"/>
      <w:bookmarkStart w:id="263" w:name="_Toc9684_WPSOffice_Level3"/>
      <w:bookmarkStart w:id="264" w:name="_Toc4835"/>
      <w:bookmarkStart w:id="265" w:name="_Toc8797"/>
      <w:r>
        <w:rPr>
          <w:rFonts w:eastAsia="楷体_GB2312"/>
          <w:color w:val="auto"/>
        </w:rPr>
        <w:t>第二节  推动传统基础设施演进升级</w:t>
      </w:r>
      <w:bookmarkEnd w:id="262"/>
      <w:bookmarkEnd w:id="263"/>
      <w:bookmarkEnd w:id="264"/>
      <w:bookmarkEnd w:id="265"/>
    </w:p>
    <w:p>
      <w:pPr>
        <w:spacing w:line="576" w:lineRule="exact"/>
        <w:ind w:firstLine="640" w:firstLineChars="200"/>
        <w:rPr>
          <w:rFonts w:cs="Times New Roman"/>
          <w:color w:val="auto"/>
          <w:szCs w:val="32"/>
        </w:rPr>
      </w:pPr>
      <w:r>
        <w:rPr>
          <w:rFonts w:cs="Times New Roman"/>
          <w:color w:val="auto"/>
        </w:rPr>
        <w:t>加快构建新能源汽车充电基础设施网络体系，积极在城区、国省沿线、旅游景区布局快速充电基础设施，鼓励新改建住宅小区、办公楼、社区党群服务中心、商业综合体等场所车位同步建设充电设施，建设全县统一充电运营监控平台。铸造传统基建升级新引擎，有序推进交通、能源、水利、市政等传统基础设施数字化改造，积极推进电力塔杆、通信基站、楼面抱杆、交通指示牌、监控杆、路灯杆等各类资源数字化改造，推动地下综合管廊智能化建设。建设数字化城市管理中心，构建基于城市管理、社会治理、便民利民等方面的云服务平台。全面实施智慧旅游、智慧物流、智慧交通、智慧水利、智慧民生工程。</w:t>
      </w:r>
    </w:p>
    <w:tbl>
      <w:tblPr>
        <w:tblStyle w:val="27"/>
        <w:tblW w:w="8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7" w:type="dxa"/>
            <w:tcBorders>
              <w:top w:val="single" w:color="auto" w:sz="4" w:space="0"/>
              <w:left w:val="single" w:color="auto" w:sz="4" w:space="0"/>
              <w:bottom w:val="single" w:color="auto" w:sz="4" w:space="0"/>
              <w:right w:val="single" w:color="auto" w:sz="4" w:space="0"/>
            </w:tcBorders>
          </w:tcPr>
          <w:p>
            <w:pPr>
              <w:spacing w:line="576" w:lineRule="exact"/>
              <w:jc w:val="center"/>
              <w:rPr>
                <w:rFonts w:eastAsia="黑体" w:cs="Times New Roman"/>
                <w:color w:val="auto"/>
                <w:kern w:val="0"/>
                <w:sz w:val="28"/>
                <w:szCs w:val="32"/>
              </w:rPr>
            </w:pPr>
            <w:bookmarkStart w:id="266" w:name="_Toc2494_WPSOffice_Level1"/>
            <w:r>
              <w:rPr>
                <w:rFonts w:eastAsia="黑体" w:cs="Times New Roman"/>
                <w:color w:val="auto"/>
                <w:sz w:val="28"/>
                <w:szCs w:val="28"/>
              </w:rPr>
              <w:t xml:space="preserve">专栏11  </w:t>
            </w:r>
            <w:r>
              <w:rPr>
                <w:rFonts w:eastAsia="黑体" w:cs="Times New Roman"/>
                <w:bCs/>
                <w:color w:val="auto"/>
                <w:kern w:val="0"/>
                <w:sz w:val="28"/>
                <w:szCs w:val="32"/>
              </w:rPr>
              <w:t>金川县</w:t>
            </w:r>
            <w:r>
              <w:rPr>
                <w:rFonts w:eastAsia="黑体" w:cs="Times New Roman"/>
                <w:color w:val="auto"/>
                <w:sz w:val="28"/>
                <w:szCs w:val="28"/>
              </w:rPr>
              <w:t>信息基础设施重点项目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信息网络</w:t>
            </w:r>
            <w:r>
              <w:rPr>
                <w:rFonts w:cs="Times New Roman"/>
                <w:color w:val="auto"/>
                <w:kern w:val="0"/>
                <w:sz w:val="28"/>
                <w:szCs w:val="32"/>
              </w:rPr>
              <w:t>。120个5G基站及传输光缆建设</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有线电视网络升级改造</w:t>
            </w:r>
            <w:r>
              <w:rPr>
                <w:rFonts w:hint="eastAsia" w:cs="Times New Roman"/>
                <w:color w:val="auto"/>
                <w:kern w:val="0"/>
                <w:sz w:val="28"/>
                <w:szCs w:val="32"/>
                <w:lang w:val="en-US" w:eastAsia="zh-CN"/>
              </w:rPr>
              <w:t>项目</w:t>
            </w:r>
            <w:r>
              <w:rPr>
                <w:rFonts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cs="Times New Roman"/>
                <w:b/>
                <w:bCs/>
                <w:color w:val="auto"/>
                <w:kern w:val="0"/>
                <w:sz w:val="28"/>
                <w:szCs w:val="32"/>
              </w:rPr>
              <w:t>智慧金川</w:t>
            </w:r>
            <w:r>
              <w:rPr>
                <w:rFonts w:cs="Times New Roman"/>
                <w:color w:val="auto"/>
                <w:kern w:val="0"/>
                <w:sz w:val="28"/>
                <w:szCs w:val="32"/>
              </w:rPr>
              <w:t>。县城智慧化建设项目。</w:t>
            </w:r>
          </w:p>
        </w:tc>
      </w:tr>
    </w:tbl>
    <w:p>
      <w:pPr>
        <w:pStyle w:val="3"/>
        <w:spacing w:before="312" w:beforeLines="100" w:after="312" w:afterLines="100" w:line="576" w:lineRule="exact"/>
        <w:rPr>
          <w:color w:val="auto"/>
          <w:sz w:val="36"/>
          <w:szCs w:val="36"/>
        </w:rPr>
      </w:pPr>
      <w:bookmarkStart w:id="267" w:name="_Toc6300"/>
      <w:bookmarkStart w:id="268" w:name="_Toc5103"/>
      <w:bookmarkStart w:id="269" w:name="_Toc28906"/>
      <w:r>
        <w:rPr>
          <w:color w:val="auto"/>
          <w:sz w:val="36"/>
          <w:szCs w:val="36"/>
        </w:rPr>
        <w:t>第五篇  坚持扩大内需战略，融入双循环新发展格局</w:t>
      </w:r>
      <w:bookmarkEnd w:id="266"/>
      <w:bookmarkEnd w:id="267"/>
      <w:bookmarkEnd w:id="268"/>
      <w:bookmarkEnd w:id="269"/>
    </w:p>
    <w:p>
      <w:pPr>
        <w:spacing w:line="576" w:lineRule="exact"/>
        <w:ind w:firstLine="640" w:firstLineChars="200"/>
        <w:rPr>
          <w:rFonts w:cs="Times New Roman"/>
          <w:color w:val="auto"/>
        </w:rPr>
      </w:pPr>
      <w:r>
        <w:rPr>
          <w:rFonts w:cs="Times New Roman"/>
          <w:color w:val="auto"/>
        </w:rPr>
        <w:t>立足扩大内需这个战略基点，以深化区域开放合作、强化精准选商引资、释放内需强大潜力为突破口，努力在深度融入双循环新发展格局中实现高质量发展。</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270" w:name="_Toc21204_WPSOffice_Level2"/>
      <w:bookmarkStart w:id="271" w:name="_Toc24785"/>
      <w:bookmarkStart w:id="272" w:name="_Toc3093"/>
      <w:bookmarkStart w:id="273" w:name="_Toc15780"/>
      <w:r>
        <w:rPr>
          <w:rFonts w:ascii="Times New Roman" w:hAnsi="Times New Roman" w:eastAsia="黑体"/>
          <w:b w:val="0"/>
          <w:bCs w:val="0"/>
          <w:color w:val="auto"/>
          <w:kern w:val="2"/>
          <w:sz w:val="32"/>
          <w:szCs w:val="32"/>
        </w:rPr>
        <w:t>第十四章  深化区域开放合作</w:t>
      </w:r>
      <w:bookmarkEnd w:id="270"/>
      <w:bookmarkEnd w:id="271"/>
      <w:bookmarkEnd w:id="272"/>
      <w:bookmarkEnd w:id="273"/>
    </w:p>
    <w:p>
      <w:pPr>
        <w:spacing w:line="576" w:lineRule="exact"/>
        <w:ind w:firstLine="640" w:firstLineChars="200"/>
        <w:rPr>
          <w:rFonts w:eastAsia="仿宋" w:cs="Times New Roman"/>
          <w:color w:val="auto"/>
        </w:rPr>
      </w:pPr>
      <w:r>
        <w:rPr>
          <w:rFonts w:cs="Times New Roman"/>
          <w:color w:val="auto"/>
        </w:rPr>
        <w:t>坚持主动开放、合作共赢理念，主动融入国家省州区域发展战略，打通开放通道，搭建开放平台，全方位深化多层次开放合作，奋力营造“四向通畅、全域开发”崭新态势。</w:t>
      </w:r>
    </w:p>
    <w:p>
      <w:pPr>
        <w:pStyle w:val="5"/>
        <w:spacing w:before="156" w:beforeLines="50" w:after="156" w:afterLines="50" w:line="576" w:lineRule="exact"/>
        <w:jc w:val="center"/>
        <w:rPr>
          <w:rFonts w:eastAsia="楷体"/>
          <w:color w:val="auto"/>
        </w:rPr>
      </w:pPr>
      <w:bookmarkStart w:id="274" w:name="_Toc7665"/>
      <w:bookmarkStart w:id="275" w:name="_Toc25443"/>
      <w:bookmarkStart w:id="276" w:name="_Toc13924"/>
      <w:bookmarkStart w:id="277" w:name="_Toc31549_WPSOffice_Level3"/>
      <w:r>
        <w:rPr>
          <w:rFonts w:eastAsia="楷体_GB2312"/>
          <w:color w:val="auto"/>
        </w:rPr>
        <w:t>第一节  主动融入“双城圈”</w:t>
      </w:r>
      <w:bookmarkEnd w:id="274"/>
      <w:bookmarkEnd w:id="275"/>
      <w:bookmarkEnd w:id="276"/>
      <w:bookmarkEnd w:id="277"/>
    </w:p>
    <w:p>
      <w:pPr>
        <w:spacing w:line="576" w:lineRule="exact"/>
        <w:ind w:firstLine="640" w:firstLineChars="200"/>
        <w:rPr>
          <w:rFonts w:cs="Times New Roman"/>
          <w:color w:val="auto"/>
        </w:rPr>
      </w:pPr>
      <w:r>
        <w:rPr>
          <w:rFonts w:cs="Times New Roman"/>
          <w:color w:val="auto"/>
        </w:rPr>
        <w:t>主动融入成渝地区产业生态圈，积极承接成渝农产品加工、清洁能源、民族工艺加工等转移性产业和相关产业配套项目。深化“四地同推、五项引领”发展战略，打造面向以成渝地区为主的优质产品供给基地，加快建设成渝地区优质绿色农畜产品供应地、锂资源和清洁能源绿色开发示范基地、阳光康养度假旅游目的地。树牢“上游意识”、强化“上游责任”，筑牢大渡河上游生态安全屏障，为双城经济圈建设守好上游生态底线、贡献上游生态力量。</w:t>
      </w:r>
    </w:p>
    <w:p>
      <w:pPr>
        <w:pStyle w:val="5"/>
        <w:spacing w:before="156" w:beforeLines="50" w:after="156" w:afterLines="50" w:line="576" w:lineRule="exact"/>
        <w:jc w:val="center"/>
        <w:rPr>
          <w:rFonts w:eastAsia="楷体"/>
          <w:color w:val="auto"/>
        </w:rPr>
      </w:pPr>
      <w:bookmarkStart w:id="278" w:name="_Toc29481_WPSOffice_Level3"/>
      <w:bookmarkStart w:id="279" w:name="_Toc19776"/>
      <w:bookmarkStart w:id="280" w:name="_Toc31291"/>
      <w:bookmarkStart w:id="281" w:name="_Toc24067"/>
      <w:r>
        <w:rPr>
          <w:rFonts w:eastAsia="楷体_GB2312"/>
          <w:color w:val="auto"/>
        </w:rPr>
        <w:t>第二节  加强与周边地区合作</w:t>
      </w:r>
      <w:bookmarkEnd w:id="278"/>
      <w:bookmarkEnd w:id="279"/>
      <w:bookmarkEnd w:id="280"/>
      <w:bookmarkEnd w:id="28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 w:cs="Times New Roman"/>
          <w:color w:val="auto"/>
        </w:rPr>
      </w:pPr>
      <w:r>
        <w:rPr>
          <w:rFonts w:cs="Times New Roman"/>
          <w:color w:val="auto"/>
        </w:rPr>
        <w:t>加强与周边县市在交通运输通道、旅游大环线、生态屏障建设等领域的合作，推进与马尔康、小金合力建设现代高原特色农牧业基地、阿坝州清洁能源产业示范带和嘉绒文化生态保护区，共同推进川西北生态示范区建设。深化“两州五县”旅游合作，着力在品牌共创、文化共享、基础共建、宣传共推上下功夫，</w:t>
      </w:r>
      <w:r>
        <w:rPr>
          <w:rFonts w:hint="eastAsia" w:cs="Times New Roman"/>
          <w:color w:val="auto"/>
        </w:rPr>
        <w:t>携手</w:t>
      </w:r>
      <w:r>
        <w:rPr>
          <w:rFonts w:cs="Times New Roman"/>
          <w:color w:val="auto"/>
        </w:rPr>
        <w:t>打造大东女国阳光度假旅游区，加快建设小金—金川—丹巴旅游环线和观音桥—色达五明佛学院—壤塘川西北藏传佛教精品线路，打造观音桥文化旅游风情驿站。</w:t>
      </w:r>
    </w:p>
    <w:p>
      <w:pPr>
        <w:pStyle w:val="5"/>
        <w:spacing w:before="156" w:beforeLines="50" w:after="156" w:afterLines="50" w:line="576" w:lineRule="exact"/>
        <w:jc w:val="center"/>
        <w:rPr>
          <w:rFonts w:eastAsia="楷体"/>
          <w:color w:val="auto"/>
        </w:rPr>
      </w:pPr>
      <w:bookmarkStart w:id="282" w:name="_Toc23834_WPSOffice_Level3"/>
      <w:bookmarkStart w:id="283" w:name="_Toc26000"/>
      <w:bookmarkStart w:id="284" w:name="_Toc27570"/>
      <w:bookmarkStart w:id="285" w:name="_Toc29520"/>
      <w:r>
        <w:rPr>
          <w:rFonts w:eastAsia="楷体_GB2312"/>
          <w:color w:val="auto"/>
        </w:rPr>
        <w:t>第三节  深化对口支援与合作</w:t>
      </w:r>
      <w:bookmarkEnd w:id="282"/>
      <w:bookmarkEnd w:id="283"/>
      <w:bookmarkEnd w:id="284"/>
      <w:bookmarkEnd w:id="285"/>
    </w:p>
    <w:p>
      <w:pPr>
        <w:spacing w:line="576" w:lineRule="exact"/>
        <w:ind w:firstLine="640" w:firstLineChars="200"/>
        <w:rPr>
          <w:rFonts w:cs="Times New Roman"/>
          <w:color w:val="auto"/>
        </w:rPr>
      </w:pPr>
      <w:r>
        <w:rPr>
          <w:rFonts w:cs="Times New Roman"/>
          <w:color w:val="auto"/>
        </w:rPr>
        <w:t>深度对接东西部扶贫协作和省内对口帮扶、眉山对口援藏等帮扶工作，深化与浙江绍兴柯桥区、诸暨市多层次的交流合作，加强产业发展、民生改善、生态建设、乡村振兴等重点领域受援对接，争取在项目、资金、人才、市场拓展、科技支撑等方面获得更多支持。</w:t>
      </w:r>
    </w:p>
    <w:p>
      <w:pPr>
        <w:pStyle w:val="5"/>
        <w:spacing w:before="156" w:beforeLines="50" w:after="156" w:afterLines="50" w:line="576" w:lineRule="exact"/>
        <w:jc w:val="center"/>
        <w:rPr>
          <w:rFonts w:eastAsia="楷体_GB2312"/>
          <w:color w:val="auto"/>
        </w:rPr>
      </w:pPr>
      <w:bookmarkStart w:id="286" w:name="_Toc4221"/>
      <w:bookmarkStart w:id="287" w:name="_Toc14171"/>
      <w:bookmarkStart w:id="288" w:name="_Toc15255_WPSOffice_Level3"/>
      <w:bookmarkStart w:id="289" w:name="_Toc11610"/>
      <w:r>
        <w:rPr>
          <w:rFonts w:eastAsia="楷体_GB2312"/>
          <w:color w:val="auto"/>
        </w:rPr>
        <w:t>第四节  大力发展飞地经济</w:t>
      </w:r>
      <w:bookmarkEnd w:id="286"/>
      <w:bookmarkEnd w:id="287"/>
      <w:bookmarkEnd w:id="288"/>
      <w:bookmarkEnd w:id="289"/>
    </w:p>
    <w:p>
      <w:pPr>
        <w:spacing w:line="576" w:lineRule="exact"/>
        <w:ind w:firstLine="640" w:firstLineChars="200"/>
        <w:rPr>
          <w:rFonts w:cs="Times New Roman"/>
          <w:color w:val="auto"/>
        </w:rPr>
      </w:pPr>
      <w:r>
        <w:rPr>
          <w:rFonts w:cs="Times New Roman"/>
          <w:color w:val="auto"/>
        </w:rPr>
        <w:t>借助眉金、成阿、德阿等飞地经济园区，打造跨区域的承接、融入载体，推动锂、硅企业落户飞地园区，延伸产业链条，形成集聚效应和规模效应，构建注册地在金川、生产地在“飞地”的开放共赢发展格局。统筹资源与政策，对接水电消纳示范区、留存电量等特殊政策，落实项目亩均税收与留州电量等资源匹配挂钩机制。</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290" w:name="_Toc20987"/>
      <w:bookmarkStart w:id="291" w:name="_Toc25844"/>
      <w:bookmarkStart w:id="292" w:name="_Toc28059"/>
      <w:bookmarkStart w:id="293" w:name="_Toc6984_WPSOffice_Level2"/>
      <w:r>
        <w:rPr>
          <w:rFonts w:ascii="Times New Roman" w:hAnsi="Times New Roman" w:eastAsia="黑体"/>
          <w:b w:val="0"/>
          <w:bCs w:val="0"/>
          <w:color w:val="auto"/>
          <w:kern w:val="2"/>
          <w:sz w:val="32"/>
          <w:szCs w:val="32"/>
        </w:rPr>
        <w:t>第十五章  强化精准选商引资</w:t>
      </w:r>
      <w:bookmarkEnd w:id="290"/>
      <w:bookmarkEnd w:id="291"/>
      <w:bookmarkEnd w:id="292"/>
      <w:bookmarkEnd w:id="293"/>
    </w:p>
    <w:p>
      <w:pPr>
        <w:spacing w:line="576" w:lineRule="exact"/>
        <w:ind w:firstLine="640" w:firstLineChars="200"/>
        <w:rPr>
          <w:rFonts w:eastAsia="仿宋" w:cs="Times New Roman"/>
          <w:color w:val="auto"/>
        </w:rPr>
      </w:pPr>
      <w:r>
        <w:rPr>
          <w:rFonts w:cs="Times New Roman"/>
          <w:color w:val="auto"/>
        </w:rPr>
        <w:t>突出靶向式招大选优引强、招高引新引才并举，创新招商理念和工作机制，提高招商引资实效，确保招商引资到位资金年均增长不低于10%。</w:t>
      </w:r>
    </w:p>
    <w:p>
      <w:pPr>
        <w:pStyle w:val="5"/>
        <w:spacing w:before="156" w:beforeLines="50" w:after="156" w:afterLines="50" w:line="576" w:lineRule="exact"/>
        <w:jc w:val="center"/>
        <w:rPr>
          <w:rFonts w:eastAsia="楷体_GB2312"/>
          <w:color w:val="auto"/>
        </w:rPr>
      </w:pPr>
      <w:bookmarkStart w:id="294" w:name="_Toc3369"/>
      <w:bookmarkStart w:id="295" w:name="_Toc22241_WPSOffice_Level3"/>
      <w:bookmarkStart w:id="296" w:name="_Toc27538"/>
      <w:bookmarkStart w:id="297" w:name="_Toc22954"/>
      <w:r>
        <w:rPr>
          <w:rFonts w:eastAsia="楷体_GB2312"/>
          <w:color w:val="auto"/>
        </w:rPr>
        <w:t>第一节  突出产业招商重点</w:t>
      </w:r>
      <w:bookmarkEnd w:id="294"/>
      <w:bookmarkEnd w:id="295"/>
      <w:bookmarkEnd w:id="296"/>
      <w:bookmarkEnd w:id="297"/>
    </w:p>
    <w:p>
      <w:pPr>
        <w:spacing w:line="576" w:lineRule="exact"/>
        <w:ind w:firstLine="640" w:firstLineChars="200"/>
        <w:rPr>
          <w:rFonts w:cs="Times New Roman"/>
          <w:color w:val="auto"/>
        </w:rPr>
      </w:pPr>
      <w:r>
        <w:rPr>
          <w:rFonts w:cs="Times New Roman"/>
          <w:color w:val="auto"/>
        </w:rPr>
        <w:t>紧盯中央和省州政策指向和资金投向，把招商引资与县域经济结构调整结合起来，策划包装引进一批新能源、旅游开发、农产品加工、药化工业、商贸流通、现代服务业等产业重点项目。抢抓承接成渝地区双城经济圈产业转移等重大机遇，瞄准“三类500强”和行业100强等重点企业，用好用活各类招商引资优惠政策，着力引进一批经济效益高、带动能力强、环境污染少的大项目好项目。适应不同投资商需</w:t>
      </w:r>
      <w:r>
        <w:rPr>
          <w:rFonts w:cs="Times New Roman"/>
          <w:color w:val="auto"/>
          <w:spacing w:val="-6"/>
        </w:rPr>
        <w:t>求，推出一批中小投资规模的招商项目，增强对投资商吸引力。</w:t>
      </w:r>
    </w:p>
    <w:p>
      <w:pPr>
        <w:pStyle w:val="5"/>
        <w:spacing w:before="156" w:beforeLines="50" w:after="156" w:afterLines="50" w:line="576" w:lineRule="exact"/>
        <w:jc w:val="center"/>
        <w:rPr>
          <w:rFonts w:eastAsia="楷体_GB2312"/>
          <w:color w:val="auto"/>
        </w:rPr>
      </w:pPr>
      <w:bookmarkStart w:id="298" w:name="_Toc31626"/>
      <w:bookmarkStart w:id="299" w:name="_Toc22528"/>
      <w:bookmarkStart w:id="300" w:name="_Toc32172_WPSOffice_Level3"/>
      <w:bookmarkStart w:id="301" w:name="_Toc763"/>
      <w:r>
        <w:rPr>
          <w:rFonts w:eastAsia="楷体_GB2312"/>
          <w:color w:val="auto"/>
        </w:rPr>
        <w:t>第二节  创新招商引资方式</w:t>
      </w:r>
      <w:bookmarkEnd w:id="298"/>
      <w:bookmarkEnd w:id="299"/>
      <w:bookmarkEnd w:id="300"/>
      <w:bookmarkEnd w:id="301"/>
    </w:p>
    <w:p>
      <w:pPr>
        <w:spacing w:line="576" w:lineRule="exact"/>
        <w:ind w:firstLine="640" w:firstLineChars="200"/>
        <w:rPr>
          <w:rFonts w:eastAsia="仿宋" w:cs="Times New Roman"/>
          <w:color w:val="auto"/>
          <w:szCs w:val="32"/>
        </w:rPr>
      </w:pPr>
      <w:r>
        <w:rPr>
          <w:rFonts w:cs="Times New Roman"/>
          <w:color w:val="auto"/>
        </w:rPr>
        <w:t>突出多元招商，充分利用各类资源和招商引资平台，综合运用平台招商、专题招商、网络招商、委托招商、专业招商、以商招商等招商模式，不断拓宽招商引资渠道。大力开展产业链招商，在延链、补链、扩链、强链上下功夫，推动招商引资从“单一项目、单一企业”向构建完整产业链、促进产业集聚发展转变，力争形成“引进一个、带动一批”的裂变效应。积极组团参加中外知名企业四川行、西博会、农博会、旅博会等重大投资促进活动，及时发布招商项目和信息，宣传推介金川经济社会发展优势，争取更多项目落户金川。</w:t>
      </w:r>
    </w:p>
    <w:p>
      <w:pPr>
        <w:pStyle w:val="5"/>
        <w:spacing w:before="156" w:beforeLines="50" w:after="156" w:afterLines="50" w:line="576" w:lineRule="exact"/>
        <w:jc w:val="center"/>
        <w:rPr>
          <w:rFonts w:eastAsia="楷体_GB2312"/>
          <w:color w:val="auto"/>
        </w:rPr>
      </w:pPr>
      <w:bookmarkStart w:id="302" w:name="_Toc2179_WPSOffice_Level3"/>
      <w:bookmarkStart w:id="303" w:name="_Toc23465"/>
      <w:bookmarkStart w:id="304" w:name="_Toc12513"/>
      <w:bookmarkStart w:id="305" w:name="_Toc4251"/>
      <w:r>
        <w:rPr>
          <w:rFonts w:eastAsia="楷体_GB2312"/>
          <w:color w:val="auto"/>
        </w:rPr>
        <w:t>第三节  健全跟踪服务机制</w:t>
      </w:r>
      <w:bookmarkEnd w:id="302"/>
      <w:bookmarkEnd w:id="303"/>
      <w:bookmarkEnd w:id="304"/>
      <w:bookmarkEnd w:id="305"/>
    </w:p>
    <w:p>
      <w:pPr>
        <w:spacing w:line="576" w:lineRule="exact"/>
        <w:ind w:firstLine="640" w:firstLineChars="200"/>
        <w:rPr>
          <w:rFonts w:cs="Times New Roman"/>
          <w:color w:val="auto"/>
        </w:rPr>
      </w:pPr>
      <w:r>
        <w:rPr>
          <w:rFonts w:cs="Times New Roman"/>
          <w:color w:val="auto"/>
        </w:rPr>
        <w:t>做实做细项目前期，建立健全重点项目“谋划包装一批、储备推介一批、开工实施一批、竣工投产一批”良性循环机制。加强已签约项目跟踪服务，建立项目全程服务体系，强化项目推进要素保障，做好征地拆迁、矛盾纠纷排查化解等工作。加强招商引资队伍建设和能力培训，提高招商队伍整体素质、业务能力和服务水平。健全重大项目领导联系和部门负责工作机制，完善项目监管和运营机制，推动签约项目早开工建设、早投产达效。</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306" w:name="_Toc10515"/>
      <w:bookmarkStart w:id="307" w:name="_Toc12524"/>
      <w:bookmarkStart w:id="308" w:name="_Toc19980_WPSOffice_Level2"/>
      <w:bookmarkStart w:id="309" w:name="_Toc16915"/>
      <w:r>
        <w:rPr>
          <w:rFonts w:ascii="Times New Roman" w:hAnsi="Times New Roman" w:eastAsia="黑体"/>
          <w:b w:val="0"/>
          <w:bCs w:val="0"/>
          <w:color w:val="auto"/>
          <w:kern w:val="2"/>
          <w:sz w:val="32"/>
          <w:szCs w:val="32"/>
        </w:rPr>
        <w:t>第十六章  释放内需强大潜力</w:t>
      </w:r>
      <w:bookmarkEnd w:id="306"/>
      <w:bookmarkEnd w:id="307"/>
      <w:bookmarkEnd w:id="308"/>
      <w:bookmarkEnd w:id="309"/>
    </w:p>
    <w:p>
      <w:pPr>
        <w:spacing w:line="576" w:lineRule="exact"/>
        <w:ind w:firstLine="640" w:firstLineChars="200"/>
        <w:rPr>
          <w:rFonts w:cs="Times New Roman"/>
          <w:color w:val="auto"/>
        </w:rPr>
      </w:pPr>
      <w:r>
        <w:rPr>
          <w:rFonts w:cs="Times New Roman"/>
          <w:color w:val="auto"/>
        </w:rPr>
        <w:t>把实施扩大内需战略同深化供给侧结构性改革有机结合起来，建立健全供给与消费相互促进、投资与消费良性互动长效机制，释放内需强大潜力。</w:t>
      </w:r>
    </w:p>
    <w:p>
      <w:pPr>
        <w:pStyle w:val="5"/>
        <w:spacing w:before="156" w:beforeLines="50" w:after="156" w:afterLines="50" w:line="576" w:lineRule="exact"/>
        <w:jc w:val="center"/>
        <w:rPr>
          <w:rFonts w:eastAsia="楷体_GB2312"/>
          <w:color w:val="auto"/>
        </w:rPr>
      </w:pPr>
      <w:bookmarkStart w:id="310" w:name="_Toc26137"/>
      <w:bookmarkStart w:id="311" w:name="_Toc8409"/>
      <w:bookmarkStart w:id="312" w:name="_Toc31869"/>
      <w:bookmarkStart w:id="313" w:name="_Toc28361_WPSOffice_Level3"/>
      <w:r>
        <w:rPr>
          <w:rFonts w:eastAsia="楷体_GB2312"/>
          <w:color w:val="auto"/>
        </w:rPr>
        <w:t>第一节  合理扩大有效投资</w:t>
      </w:r>
      <w:bookmarkEnd w:id="310"/>
      <w:bookmarkEnd w:id="311"/>
      <w:bookmarkEnd w:id="312"/>
      <w:bookmarkEnd w:id="313"/>
    </w:p>
    <w:p>
      <w:pPr>
        <w:spacing w:line="576" w:lineRule="exact"/>
        <w:ind w:firstLine="641"/>
        <w:rPr>
          <w:rFonts w:cs="Times New Roman"/>
          <w:color w:val="auto"/>
          <w:szCs w:val="32"/>
        </w:rPr>
      </w:pPr>
      <w:r>
        <w:rPr>
          <w:rFonts w:cs="Times New Roman"/>
          <w:color w:val="auto"/>
        </w:rPr>
        <w:t>积极发挥新型工业化、信息化、城镇化和农业现代化的后发优势，拓展投资空间，优化投资结构，探索形成市场主导、政府引导的投资内生增长机制。牢固树立抓项目就是抓发展的理念，加快实施一批补短板、打基础、利长远、增后劲的重大项目，统筹推进新型城镇化和乡村振兴战略补短板强弱项，加大交通、能源、水利、环保、市政、民生、公卫、旧城改造、新城开发等领域投资力度，加快培育形成新的投资增长点。充分发挥政府投资的杠杆撬动作用，带动资金投向全局性、基础性、战略性领域。完善政府和社会资本合作等多元投资模式，进一步放宽基础产业、基础设施、公共服务等领域市场准入限制，</w:t>
      </w:r>
      <w:r>
        <w:rPr>
          <w:rFonts w:hint="eastAsia" w:cs="Times New Roman"/>
          <w:color w:val="auto"/>
        </w:rPr>
        <w:t>带动</w:t>
      </w:r>
      <w:r>
        <w:rPr>
          <w:rFonts w:cs="Times New Roman"/>
          <w:color w:val="auto"/>
        </w:rPr>
        <w:t>更多社会资本参与投资建设。</w:t>
      </w:r>
    </w:p>
    <w:p>
      <w:pPr>
        <w:pStyle w:val="5"/>
        <w:spacing w:before="156" w:beforeLines="50" w:after="156" w:afterLines="50" w:line="576" w:lineRule="exact"/>
        <w:jc w:val="center"/>
        <w:rPr>
          <w:rFonts w:eastAsia="楷体_GB2312"/>
          <w:color w:val="auto"/>
        </w:rPr>
      </w:pPr>
      <w:bookmarkStart w:id="314" w:name="_Toc23104_WPSOffice_Level3"/>
      <w:bookmarkStart w:id="315" w:name="_Toc23528"/>
      <w:bookmarkStart w:id="316" w:name="_Toc9765"/>
      <w:bookmarkStart w:id="317" w:name="_Toc18730"/>
      <w:r>
        <w:rPr>
          <w:rFonts w:eastAsia="楷体_GB2312"/>
          <w:color w:val="auto"/>
        </w:rPr>
        <w:t>第二节  优化城乡消费</w:t>
      </w:r>
      <w:bookmarkEnd w:id="314"/>
      <w:bookmarkEnd w:id="315"/>
      <w:bookmarkEnd w:id="316"/>
      <w:r>
        <w:rPr>
          <w:rFonts w:hint="eastAsia" w:eastAsia="楷体_GB2312"/>
          <w:color w:val="auto"/>
        </w:rPr>
        <w:t>结构</w:t>
      </w:r>
      <w:bookmarkEnd w:id="317"/>
    </w:p>
    <w:p>
      <w:pPr>
        <w:spacing w:line="576" w:lineRule="exact"/>
        <w:ind w:firstLine="641"/>
        <w:rPr>
          <w:rFonts w:cs="Times New Roman"/>
          <w:color w:val="auto"/>
        </w:rPr>
      </w:pPr>
      <w:r>
        <w:rPr>
          <w:rFonts w:cs="Times New Roman"/>
          <w:color w:val="auto"/>
        </w:rPr>
        <w:t>提升供给体系质量，健全完善全县农产品质量标准体系，大力发展智能终端、高端信息产品和服务，发展适度体验消费需求的流通业态。顺应居民个性化多样化时尚消费需求，引导消费向智能、绿色、健康、安全方向转变，创新无接触式消费模式，探索发展智慧超市、智慧商店、智慧餐厅等新零售业态，规划特色美食街、特色商圈等，建设集多种业态的消费聚集区、综合体。完善消费网络布局，健全以城区为重点、乡镇为节点、中心村为支点的城乡融合消费网络，开展城乡高效配送专项行动，释放城乡消费潜力。坚持以高质量就业带动收入稳定增长，缩小收入分配差距，增强居民消费能力。加强消费者权益保护。</w:t>
      </w:r>
    </w:p>
    <w:p>
      <w:pPr>
        <w:pStyle w:val="3"/>
        <w:spacing w:before="312" w:beforeLines="100" w:after="312" w:afterLines="100" w:line="576" w:lineRule="exact"/>
        <w:rPr>
          <w:color w:val="auto"/>
          <w:sz w:val="36"/>
          <w:szCs w:val="36"/>
        </w:rPr>
      </w:pPr>
      <w:bookmarkStart w:id="318" w:name="_Toc8574"/>
      <w:bookmarkStart w:id="319" w:name="_Toc25244_WPSOffice_Level1"/>
      <w:bookmarkStart w:id="320" w:name="_Toc15428"/>
      <w:bookmarkStart w:id="321" w:name="_Toc23957"/>
      <w:r>
        <w:rPr>
          <w:color w:val="auto"/>
          <w:sz w:val="36"/>
          <w:szCs w:val="36"/>
        </w:rPr>
        <w:t>第六篇  坚定全域发展布局，促进城乡区域协调发展</w:t>
      </w:r>
      <w:bookmarkEnd w:id="318"/>
      <w:bookmarkEnd w:id="319"/>
      <w:bookmarkEnd w:id="320"/>
      <w:bookmarkEnd w:id="321"/>
    </w:p>
    <w:p>
      <w:pPr>
        <w:spacing w:line="576" w:lineRule="exact"/>
        <w:ind w:firstLine="641"/>
        <w:rPr>
          <w:rFonts w:cs="Times New Roman"/>
          <w:color w:val="auto"/>
        </w:rPr>
      </w:pPr>
      <w:r>
        <w:rPr>
          <w:rFonts w:cs="Times New Roman"/>
          <w:color w:val="auto"/>
        </w:rPr>
        <w:t>坚定贯彻习近平总书记推进区域协调发展和新型城镇化的重要论述，大力实施乡村振兴战略，有效提升新型城镇化质量，统筹推动区域协调发展，提高发展的协调性平衡性。</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322" w:name="_Toc19154_WPSOffice_Level2"/>
      <w:bookmarkStart w:id="323" w:name="_Toc11882"/>
      <w:bookmarkStart w:id="324" w:name="_Toc878"/>
      <w:bookmarkStart w:id="325" w:name="_Toc24454"/>
      <w:r>
        <w:rPr>
          <w:rFonts w:ascii="Times New Roman" w:hAnsi="Times New Roman" w:eastAsia="黑体"/>
          <w:b w:val="0"/>
          <w:bCs w:val="0"/>
          <w:color w:val="auto"/>
          <w:kern w:val="2"/>
          <w:sz w:val="32"/>
          <w:szCs w:val="32"/>
        </w:rPr>
        <w:t>第十七章  推动乡村全面振兴</w:t>
      </w:r>
      <w:bookmarkEnd w:id="322"/>
      <w:bookmarkEnd w:id="323"/>
      <w:bookmarkEnd w:id="324"/>
      <w:bookmarkEnd w:id="325"/>
    </w:p>
    <w:p>
      <w:pPr>
        <w:spacing w:line="576" w:lineRule="exact"/>
        <w:ind w:firstLine="640" w:firstLineChars="200"/>
        <w:rPr>
          <w:rFonts w:eastAsia="仿宋" w:cs="Times New Roman"/>
          <w:color w:val="auto"/>
        </w:rPr>
      </w:pPr>
      <w:r>
        <w:rPr>
          <w:rFonts w:cs="Times New Roman"/>
          <w:color w:val="auto"/>
        </w:rPr>
        <w:t>按照产业兴旺、生态宜居、乡风文明、治理有效、生活富裕的总要求，全面推进乡村产业、人才、文化、生态、组织五大振兴，让农业成为有奔头的产业，让</w:t>
      </w:r>
      <w:r>
        <w:rPr>
          <w:rFonts w:hint="eastAsia" w:cs="Times New Roman"/>
          <w:color w:val="auto"/>
        </w:rPr>
        <w:t>农民</w:t>
      </w:r>
      <w:r>
        <w:rPr>
          <w:rFonts w:cs="Times New Roman"/>
          <w:color w:val="auto"/>
        </w:rPr>
        <w:t>成为有吸引力的职业，让农村成为安居乐业的美丽家园，建设全国民族地区乡村振兴金川样板。</w:t>
      </w:r>
    </w:p>
    <w:p>
      <w:pPr>
        <w:pStyle w:val="5"/>
        <w:spacing w:before="156" w:beforeLines="50" w:after="156" w:afterLines="50" w:line="576" w:lineRule="exact"/>
        <w:jc w:val="center"/>
        <w:rPr>
          <w:rFonts w:eastAsia="楷体_GB2312"/>
          <w:color w:val="auto"/>
        </w:rPr>
      </w:pPr>
      <w:bookmarkStart w:id="326" w:name="_Toc13937"/>
      <w:bookmarkStart w:id="327" w:name="_Toc12613"/>
      <w:bookmarkStart w:id="328" w:name="_Toc32244"/>
      <w:bookmarkStart w:id="329" w:name="_Toc25840_WPSOffice_Level3"/>
      <w:r>
        <w:rPr>
          <w:rFonts w:eastAsia="楷体_GB2312"/>
          <w:color w:val="auto"/>
        </w:rPr>
        <w:t>第一节  推进重点集镇建设</w:t>
      </w:r>
      <w:bookmarkEnd w:id="326"/>
      <w:bookmarkEnd w:id="327"/>
      <w:bookmarkEnd w:id="328"/>
      <w:bookmarkEnd w:id="329"/>
    </w:p>
    <w:p>
      <w:pPr>
        <w:spacing w:line="576" w:lineRule="exact"/>
        <w:ind w:firstLine="640" w:firstLineChars="200"/>
        <w:rPr>
          <w:rFonts w:cs="Times New Roman"/>
          <w:color w:val="auto"/>
        </w:rPr>
      </w:pPr>
      <w:r>
        <w:rPr>
          <w:rFonts w:cs="Times New Roman"/>
          <w:color w:val="auto"/>
        </w:rPr>
        <w:t>加快构建以勒乌镇为中心，观音桥镇、安宁镇、马奈镇为副中心，绰斯甲河、大渡河沿线乡村为主线的“一主三副多点”城镇</w:t>
      </w:r>
      <w:r>
        <w:rPr>
          <w:rFonts w:hint="eastAsia" w:cs="Times New Roman"/>
          <w:color w:val="auto"/>
          <w:lang w:val="en-US" w:eastAsia="zh-CN"/>
        </w:rPr>
        <w:t>体系</w:t>
      </w:r>
      <w:r>
        <w:rPr>
          <w:rFonts w:hint="eastAsia" w:cs="Times New Roman"/>
          <w:color w:val="auto"/>
          <w:lang w:eastAsia="zh-CN"/>
        </w:rPr>
        <w:t>，</w:t>
      </w:r>
      <w:r>
        <w:rPr>
          <w:rFonts w:hint="eastAsia" w:cs="Times New Roman"/>
          <w:color w:val="auto"/>
          <w:lang w:val="en-US" w:eastAsia="zh-CN"/>
        </w:rPr>
        <w:t>着力</w:t>
      </w:r>
      <w:r>
        <w:rPr>
          <w:rFonts w:hint="eastAsia" w:cs="Times New Roman"/>
          <w:color w:val="auto"/>
          <w:lang w:eastAsia="zh-CN"/>
        </w:rPr>
        <w:t>把乡镇建成服务农民的区域中心，</w:t>
      </w:r>
      <w:r>
        <w:rPr>
          <w:rFonts w:hint="eastAsia" w:cs="Times New Roman"/>
          <w:color w:val="auto"/>
          <w:lang w:val="en-US" w:eastAsia="zh-CN"/>
        </w:rPr>
        <w:t>实现以镇带村、以村促镇、镇村联动发展。重点</w:t>
      </w:r>
      <w:r>
        <w:rPr>
          <w:rFonts w:cs="Times New Roman"/>
          <w:color w:val="auto"/>
        </w:rPr>
        <w:t>建设勒乌“商贸旅游小镇”</w:t>
      </w:r>
      <w:r>
        <w:rPr>
          <w:rFonts w:hint="eastAsia" w:cs="Times New Roman"/>
          <w:color w:val="auto"/>
        </w:rPr>
        <w:t>、</w:t>
      </w:r>
      <w:r>
        <w:rPr>
          <w:rFonts w:cs="Times New Roman"/>
          <w:color w:val="auto"/>
        </w:rPr>
        <w:t>观音桥“百镇建设行动”试点镇、安宁“现代农业小镇”、马奈“东女特色小镇”，打造县域片区经济文化中心。因地制宜发展一批具有特色优势的休闲旅游、商贸物流、民俗文化、科技教育等特色</w:t>
      </w:r>
      <w:r>
        <w:rPr>
          <w:rFonts w:hint="eastAsia" w:cs="Times New Roman"/>
          <w:color w:val="auto"/>
          <w:lang w:val="en-US" w:eastAsia="zh-CN"/>
        </w:rPr>
        <w:t>集镇</w:t>
      </w:r>
      <w:r>
        <w:rPr>
          <w:rFonts w:cs="Times New Roman"/>
          <w:color w:val="auto"/>
        </w:rPr>
        <w:t>，带动农业现代化和农民就近城镇化。推进“9+N”公共设施项目，加强乡镇交通、供气、电力、通讯、环卫等基础设施建设，统筹布局教育、医疗、卫生、商贸等公共服务设施建设，增强人口吸引力和集聚力。深入推进放权赋能，逐步扩大乡镇在城镇管理、市场监管、农业发展、</w:t>
      </w:r>
      <w:r>
        <w:rPr>
          <w:rFonts w:hint="eastAsia" w:cs="Times New Roman"/>
          <w:color w:val="auto"/>
        </w:rPr>
        <w:t>交通运输、应急</w:t>
      </w:r>
      <w:r>
        <w:rPr>
          <w:rFonts w:cs="Times New Roman"/>
          <w:color w:val="auto"/>
        </w:rPr>
        <w:t>管理等方面的行政权力。</w:t>
      </w:r>
    </w:p>
    <w:p>
      <w:pPr>
        <w:pStyle w:val="5"/>
        <w:spacing w:before="156" w:beforeLines="50" w:after="156" w:afterLines="50" w:line="576" w:lineRule="exact"/>
        <w:jc w:val="center"/>
        <w:rPr>
          <w:rFonts w:eastAsia="楷体_GB2312"/>
          <w:color w:val="auto"/>
        </w:rPr>
      </w:pPr>
      <w:bookmarkStart w:id="330" w:name="_Toc19066"/>
      <w:bookmarkStart w:id="331" w:name="_Toc9683_WPSOffice_Level3"/>
      <w:bookmarkStart w:id="332" w:name="_Toc20204"/>
      <w:bookmarkStart w:id="333" w:name="_Toc12173"/>
      <w:r>
        <w:rPr>
          <w:rFonts w:eastAsia="楷体_GB2312"/>
          <w:color w:val="auto"/>
        </w:rPr>
        <w:t xml:space="preserve">第二节  </w:t>
      </w:r>
      <w:bookmarkEnd w:id="330"/>
      <w:bookmarkEnd w:id="331"/>
      <w:bookmarkEnd w:id="332"/>
      <w:r>
        <w:rPr>
          <w:rFonts w:eastAsia="楷体_GB2312"/>
          <w:color w:val="auto"/>
        </w:rPr>
        <w:t>加快美丽村寨建设</w:t>
      </w:r>
      <w:bookmarkEnd w:id="333"/>
    </w:p>
    <w:p>
      <w:pPr>
        <w:spacing w:line="576" w:lineRule="exact"/>
        <w:ind w:firstLine="640" w:firstLineChars="200"/>
        <w:rPr>
          <w:rFonts w:cs="Times New Roman"/>
          <w:color w:val="auto"/>
          <w:szCs w:val="32"/>
        </w:rPr>
      </w:pPr>
      <w:r>
        <w:rPr>
          <w:rFonts w:cs="Times New Roman"/>
          <w:color w:val="auto"/>
        </w:rPr>
        <w:t>高质量做好村庄规划，优化村庄功能布局，提高村庄建设管理水平。推动农村基础设施提档升级，统筹推进农村水、电、路、气、通信、广电、物流等基础设施建设，健全运营管护长效机制。充分挖掘乡村特色资源禀赋，突出藏羌民族文化特色，推广“三态融合、三微联动”建设模式，实施“一镇</w:t>
      </w:r>
      <w:r>
        <w:rPr>
          <w:rFonts w:hint="eastAsia" w:cs="Times New Roman"/>
          <w:color w:val="auto"/>
          <w:lang w:eastAsia="zh-CN"/>
        </w:rPr>
        <w:t>一</w:t>
      </w:r>
      <w:r>
        <w:rPr>
          <w:rFonts w:cs="Times New Roman"/>
          <w:color w:val="auto"/>
        </w:rPr>
        <w:t>乡</w:t>
      </w:r>
      <w:r>
        <w:rPr>
          <w:rFonts w:hint="eastAsia" w:cs="Times New Roman"/>
          <w:color w:val="auto"/>
          <w:lang w:eastAsia="zh-CN"/>
        </w:rPr>
        <w:t>二十一</w:t>
      </w:r>
      <w:r>
        <w:rPr>
          <w:rFonts w:cs="Times New Roman"/>
          <w:color w:val="auto"/>
        </w:rPr>
        <w:t>村”示范</w:t>
      </w:r>
      <w:r>
        <w:rPr>
          <w:rFonts w:hint="eastAsia" w:cs="Times New Roman"/>
          <w:color w:val="auto"/>
        </w:rPr>
        <w:t>工程</w:t>
      </w:r>
      <w:r>
        <w:rPr>
          <w:rFonts w:cs="Times New Roman"/>
          <w:color w:val="auto"/>
        </w:rPr>
        <w:t>，着力建设一批“业兴、家富、人和、村美”的幸福美丽新村。统筹新村建设和古村落、传统村落保护。实施旧村改造行动计划，推进农村“五改三建”和“五通六化”工程，实现旧村落提档升级。</w:t>
      </w:r>
    </w:p>
    <w:p>
      <w:pPr>
        <w:pStyle w:val="5"/>
        <w:spacing w:before="156" w:beforeLines="50" w:after="156" w:afterLines="50" w:line="576" w:lineRule="exact"/>
        <w:jc w:val="center"/>
        <w:rPr>
          <w:rFonts w:eastAsia="楷体_GB2312"/>
          <w:color w:val="auto"/>
        </w:rPr>
      </w:pPr>
      <w:bookmarkStart w:id="334" w:name="_Toc31992"/>
      <w:bookmarkStart w:id="335" w:name="_Toc10177_WPSOffice_Level3"/>
      <w:bookmarkStart w:id="336" w:name="_Toc27688"/>
      <w:bookmarkStart w:id="337" w:name="_Toc11131"/>
      <w:r>
        <w:rPr>
          <w:rFonts w:eastAsia="楷体_GB2312"/>
          <w:color w:val="auto"/>
        </w:rPr>
        <w:t>第三节  提升农村人居环境</w:t>
      </w:r>
      <w:bookmarkEnd w:id="334"/>
      <w:bookmarkEnd w:id="335"/>
      <w:bookmarkEnd w:id="336"/>
      <w:bookmarkEnd w:id="337"/>
    </w:p>
    <w:p>
      <w:pPr>
        <w:spacing w:line="576" w:lineRule="exact"/>
        <w:ind w:firstLine="640" w:firstLineChars="200"/>
        <w:rPr>
          <w:rFonts w:cs="Times New Roman"/>
          <w:color w:val="auto"/>
        </w:rPr>
      </w:pPr>
      <w:r>
        <w:rPr>
          <w:rFonts w:cs="Times New Roman"/>
          <w:color w:val="auto"/>
        </w:rPr>
        <w:t>实施农村人居环境整治行动计划，以垃圾、污水、厕所“三大革命”为主攻方向，全面提升人居环境质量。推进农村垃圾分类处理，建设兼具垃圾分类与再生资源回收功能的交投点和中转站，健全乡村垃圾收集、转运、处理网络，提高垃圾处理能力。梯次</w:t>
      </w:r>
      <w:r>
        <w:rPr>
          <w:rFonts w:hint="eastAsia" w:cs="Times New Roman"/>
          <w:color w:val="auto"/>
        </w:rPr>
        <w:t>开展</w:t>
      </w:r>
      <w:r>
        <w:rPr>
          <w:rFonts w:cs="Times New Roman"/>
          <w:color w:val="auto"/>
        </w:rPr>
        <w:t>农村生活污水治理，推进城镇污水处理管网向周边村庄延伸，因地制宜建设农村生活污水处理设施。深入实施“厕所革命”，加快推进农村无害化卫生厕所建设和户用卫生厕所改造，同步推进厕所粪污治理。到2025年，农村生活垃圾无害化处理率达95%，污水集中处理率达85%以上，卫生厕所普及率超过95%。</w:t>
      </w:r>
    </w:p>
    <w:p>
      <w:pPr>
        <w:pStyle w:val="5"/>
        <w:spacing w:before="156" w:beforeLines="50" w:after="156" w:afterLines="50" w:line="576" w:lineRule="exact"/>
        <w:jc w:val="center"/>
        <w:rPr>
          <w:rFonts w:eastAsia="楷体_GB2312"/>
          <w:color w:val="auto"/>
        </w:rPr>
      </w:pPr>
      <w:bookmarkStart w:id="338" w:name="_Toc13645"/>
      <w:bookmarkStart w:id="339" w:name="_Toc26831"/>
      <w:bookmarkStart w:id="340" w:name="_Toc12491"/>
      <w:bookmarkStart w:id="341" w:name="_Toc24036_WPSOffice_Level3"/>
      <w:r>
        <w:rPr>
          <w:rFonts w:eastAsia="楷体_GB2312"/>
          <w:color w:val="auto"/>
        </w:rPr>
        <w:t>第四节  壮大村级集体经济</w:t>
      </w:r>
      <w:bookmarkEnd w:id="338"/>
      <w:bookmarkEnd w:id="339"/>
      <w:bookmarkEnd w:id="340"/>
      <w:bookmarkEnd w:id="341"/>
    </w:p>
    <w:p>
      <w:pPr>
        <w:spacing w:line="576" w:lineRule="exact"/>
        <w:ind w:firstLine="640" w:firstLineChars="200"/>
        <w:rPr>
          <w:rFonts w:eastAsia="仿宋" w:cs="Times New Roman"/>
          <w:color w:val="auto"/>
        </w:rPr>
      </w:pPr>
      <w:r>
        <w:rPr>
          <w:rFonts w:cs="Times New Roman"/>
          <w:color w:val="auto"/>
        </w:rPr>
        <w:t>依托集体资源和产业优势，创新多种经营方式，大力培育发展资源开发型、资产经营型、生产服务型、休闲观光型、飞地园区型等集体经济。加强村与村之间、镇与镇之间的经济合作，策划包装雪梨、牦牛、中药材等特色产业化重点项目，因地制宜发展特色集体经济。积极推广“资源变资产、资金变股金、农牧民变股东”的改革发展模式，用好用活贫困村产业扶持基金，探索集体资源开发新模式。加强农村集体资产管理，加快建设农村集体资产监督管理平台，推动农村集体资产财务管理制度化、规范化、信息化。支持农村集体经济组织承担或参与财政支农项目建设，鼓励将财政投入形成资产量化一定比例作为村集体资产。</w:t>
      </w:r>
    </w:p>
    <w:p>
      <w:pPr>
        <w:pStyle w:val="5"/>
        <w:spacing w:before="156" w:beforeLines="50" w:after="156" w:afterLines="50" w:line="576" w:lineRule="exact"/>
        <w:jc w:val="center"/>
        <w:rPr>
          <w:rFonts w:eastAsia="楷体_GB2312"/>
          <w:color w:val="auto"/>
        </w:rPr>
      </w:pPr>
      <w:bookmarkStart w:id="342" w:name="_Toc11810"/>
      <w:bookmarkStart w:id="343" w:name="_Toc10919_WPSOffice_Level3"/>
      <w:bookmarkStart w:id="344" w:name="_Toc7470"/>
      <w:bookmarkStart w:id="345" w:name="_Toc17282"/>
      <w:r>
        <w:rPr>
          <w:rFonts w:eastAsia="楷体_GB2312"/>
          <w:color w:val="auto"/>
        </w:rPr>
        <w:t>第五节  巩固拓展脱贫攻坚成果</w:t>
      </w:r>
      <w:bookmarkEnd w:id="342"/>
      <w:bookmarkEnd w:id="343"/>
      <w:bookmarkEnd w:id="344"/>
      <w:bookmarkEnd w:id="345"/>
    </w:p>
    <w:p>
      <w:pPr>
        <w:spacing w:line="576" w:lineRule="exact"/>
        <w:ind w:firstLine="640" w:firstLineChars="200"/>
        <w:rPr>
          <w:rFonts w:cs="Times New Roman"/>
          <w:color w:val="auto"/>
        </w:rPr>
      </w:pPr>
      <w:r>
        <w:rPr>
          <w:rFonts w:hint="eastAsia" w:cs="Times New Roman"/>
          <w:color w:val="auto"/>
          <w:highlight w:val="none"/>
        </w:rPr>
        <w:t>严格落实摘帽不摘责任、摘帽不摘政策、摘帽不摘帮扶、摘帽不摘监管要求，保持现有工作力度不减、资金投入不减、政策支持不减、帮扶</w:t>
      </w:r>
      <w:r>
        <w:rPr>
          <w:rFonts w:hint="eastAsia" w:cs="Times New Roman"/>
          <w:color w:val="auto"/>
          <w:highlight w:val="none"/>
          <w:lang w:val="en-US" w:eastAsia="zh-CN"/>
        </w:rPr>
        <w:t>力量</w:t>
      </w:r>
      <w:r>
        <w:rPr>
          <w:rFonts w:hint="eastAsia" w:cs="Times New Roman"/>
          <w:color w:val="auto"/>
          <w:highlight w:val="none"/>
        </w:rPr>
        <w:t>不减。</w:t>
      </w:r>
      <w:r>
        <w:rPr>
          <w:rFonts w:hint="eastAsia" w:ascii="Times New Roman" w:hAnsi="Times New Roman" w:cs="Times New Roman"/>
          <w:color w:val="auto"/>
          <w:highlight w:val="none"/>
          <w:lang w:val="en-US" w:eastAsia="zh-CN"/>
        </w:rPr>
        <w:t>深入实施</w:t>
      </w:r>
      <w:r>
        <w:rPr>
          <w:rFonts w:cs="Times New Roman"/>
          <w:color w:val="auto"/>
        </w:rPr>
        <w:t>“一类一策”“一户一策”“一事一策”巩固帮扶机制，常态化开展“回头看”“回头帮”。坚持和完善东西部协作和对口支援、社会力量参与帮扶机制。紧盯边缘人群、兜底人群及因疫因灾就业难人群，建立防止返贫监测和帮扶长效机制</w:t>
      </w:r>
      <w:r>
        <w:rPr>
          <w:rFonts w:hint="eastAsia" w:cs="Times New Roman"/>
          <w:color w:val="auto"/>
        </w:rPr>
        <w:t>。</w:t>
      </w:r>
      <w:r>
        <w:rPr>
          <w:rFonts w:cs="Times New Roman"/>
          <w:color w:val="auto"/>
        </w:rPr>
        <w:t>深入实施</w:t>
      </w:r>
      <w:r>
        <w:rPr>
          <w:rFonts w:hint="eastAsia" w:cs="Times New Roman"/>
          <w:color w:val="auto"/>
        </w:rPr>
        <w:t>脱贫</w:t>
      </w:r>
      <w:r>
        <w:rPr>
          <w:rFonts w:cs="Times New Roman"/>
          <w:color w:val="auto"/>
        </w:rPr>
        <w:t>巩固提升工程</w:t>
      </w:r>
      <w:r>
        <w:rPr>
          <w:rFonts w:hint="eastAsia" w:cs="Times New Roman"/>
          <w:color w:val="auto"/>
        </w:rPr>
        <w:t>，</w:t>
      </w:r>
      <w:r>
        <w:rPr>
          <w:rFonts w:cs="Times New Roman"/>
          <w:color w:val="auto"/>
        </w:rPr>
        <w:t>加大易地搬迁后续扶持力度，完善易地扶贫搬迁安置社区社会治理和公共服务体系。持续深化“返还式”“股权量化”“飞地”“扶贫车间+托管园”及VR全景平台等</w:t>
      </w:r>
      <w:r>
        <w:rPr>
          <w:rFonts w:hint="eastAsia" w:cs="Times New Roman"/>
          <w:color w:val="auto"/>
        </w:rPr>
        <w:t>帮扶</w:t>
      </w:r>
      <w:r>
        <w:rPr>
          <w:rFonts w:cs="Times New Roman"/>
          <w:color w:val="auto"/>
        </w:rPr>
        <w:t>模式和载体，充分发挥村集体经济带贫减贫效应。增强脱贫群众增收能力，深入开展“扶智+扶志”行动，发挥农村党员、乡土人才、返乡创业人才的“领头羊”作用，培养一批致富带头人。推动</w:t>
      </w:r>
      <w:r>
        <w:rPr>
          <w:rFonts w:hint="eastAsia" w:cs="Times New Roman"/>
          <w:color w:val="auto"/>
          <w:lang w:val="en-US" w:eastAsia="zh-CN"/>
        </w:rPr>
        <w:t>巩固拓展</w:t>
      </w:r>
      <w:r>
        <w:rPr>
          <w:rFonts w:cs="Times New Roman"/>
          <w:color w:val="auto"/>
        </w:rPr>
        <w:t>脱贫攻坚</w:t>
      </w:r>
      <w:r>
        <w:rPr>
          <w:rFonts w:hint="eastAsia" w:cs="Times New Roman"/>
          <w:color w:val="auto"/>
          <w:lang w:val="en-US" w:eastAsia="zh-CN"/>
        </w:rPr>
        <w:t>成果同</w:t>
      </w:r>
      <w:r>
        <w:rPr>
          <w:rFonts w:cs="Times New Roman"/>
          <w:color w:val="auto"/>
        </w:rPr>
        <w:t>乡村振兴有效衔接</w:t>
      </w:r>
      <w:r>
        <w:rPr>
          <w:rFonts w:hint="eastAsia" w:cs="Times New Roman"/>
          <w:color w:val="auto"/>
          <w:lang w:eastAsia="zh-CN"/>
        </w:rPr>
        <w:t>，</w:t>
      </w:r>
      <w:r>
        <w:rPr>
          <w:rFonts w:hint="eastAsia" w:eastAsia="仿宋" w:cs="Times New Roman"/>
          <w:color w:val="auto"/>
        </w:rPr>
        <w:t>在乡村振兴政策、项目、资金上优先支持退出村和脱贫人口。</w:t>
      </w:r>
      <w:r>
        <w:rPr>
          <w:rFonts w:cs="Times New Roman"/>
          <w:color w:val="auto"/>
        </w:rPr>
        <w:t>聚焦缓解相对贫困问题，建立城乡统筹的减贫助弱机制。</w:t>
      </w:r>
    </w:p>
    <w:tbl>
      <w:tblPr>
        <w:tblStyle w:val="27"/>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9" w:type="dxa"/>
          </w:tcPr>
          <w:p>
            <w:pPr>
              <w:spacing w:line="576" w:lineRule="exact"/>
              <w:jc w:val="center"/>
              <w:rPr>
                <w:rFonts w:cs="Times New Roman"/>
                <w:color w:val="auto"/>
                <w:szCs w:val="32"/>
              </w:rPr>
            </w:pPr>
            <w:bookmarkStart w:id="346" w:name="_Toc10494_WPSOffice_Level2"/>
            <w:r>
              <w:rPr>
                <w:rFonts w:eastAsia="黑体" w:cs="Times New Roman"/>
                <w:color w:val="auto"/>
                <w:sz w:val="28"/>
                <w:szCs w:val="28"/>
              </w:rPr>
              <w:t>专栏12  金川县美丽乡村建设重点项目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9"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sz w:val="28"/>
                <w:szCs w:val="28"/>
              </w:rPr>
              <w:t>美丽宜居乡村建设工程</w:t>
            </w:r>
            <w:r>
              <w:rPr>
                <w:rFonts w:cs="Times New Roman"/>
                <w:color w:val="auto"/>
                <w:sz w:val="28"/>
                <w:szCs w:val="28"/>
              </w:rPr>
              <w:t>。</w:t>
            </w:r>
            <w:r>
              <w:rPr>
                <w:rFonts w:cs="Times New Roman"/>
                <w:color w:val="auto"/>
                <w:kern w:val="0"/>
                <w:sz w:val="28"/>
                <w:szCs w:val="32"/>
              </w:rPr>
              <w:t>城乡绿化建设项目</w:t>
            </w:r>
            <w:r>
              <w:rPr>
                <w:rFonts w:hint="eastAsia" w:cs="Times New Roman"/>
                <w:color w:val="auto"/>
                <w:kern w:val="0"/>
                <w:sz w:val="28"/>
                <w:szCs w:val="32"/>
                <w:lang w:eastAsia="zh-CN"/>
              </w:rPr>
              <w:t>，</w:t>
            </w:r>
            <w:r>
              <w:rPr>
                <w:rFonts w:cs="Times New Roman"/>
                <w:color w:val="auto"/>
                <w:kern w:val="0"/>
                <w:sz w:val="28"/>
                <w:szCs w:val="32"/>
              </w:rPr>
              <w:t>百里画廊及乡村公路沿线绿化建设项目</w:t>
            </w:r>
            <w:r>
              <w:rPr>
                <w:rFonts w:hint="eastAsia" w:cs="Times New Roman"/>
                <w:color w:val="auto"/>
                <w:kern w:val="0"/>
                <w:sz w:val="28"/>
                <w:szCs w:val="32"/>
                <w:lang w:eastAsia="zh-CN"/>
              </w:rPr>
              <w:t>，</w:t>
            </w:r>
            <w:r>
              <w:rPr>
                <w:rFonts w:cs="Times New Roman"/>
                <w:color w:val="auto"/>
                <w:kern w:val="0"/>
                <w:sz w:val="28"/>
                <w:szCs w:val="32"/>
              </w:rPr>
              <w:t>大中型水电站移民安置点建设项目。</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sz w:val="28"/>
                <w:szCs w:val="28"/>
              </w:rPr>
            </w:pPr>
            <w:r>
              <w:rPr>
                <w:rFonts w:cs="Times New Roman"/>
                <w:b/>
                <w:bCs/>
                <w:color w:val="auto"/>
                <w:sz w:val="28"/>
                <w:szCs w:val="28"/>
              </w:rPr>
              <w:t>农村人居环境整治工程</w:t>
            </w:r>
            <w:r>
              <w:rPr>
                <w:rFonts w:cs="Times New Roman"/>
                <w:color w:val="auto"/>
                <w:sz w:val="28"/>
                <w:szCs w:val="28"/>
              </w:rPr>
              <w:t>。</w:t>
            </w:r>
            <w:r>
              <w:rPr>
                <w:rFonts w:cs="Times New Roman"/>
                <w:color w:val="auto"/>
                <w:kern w:val="0"/>
                <w:sz w:val="28"/>
                <w:szCs w:val="32"/>
              </w:rPr>
              <w:t>4万平方米人居环境整治</w:t>
            </w:r>
            <w:r>
              <w:rPr>
                <w:rFonts w:hint="eastAsia" w:cs="Times New Roman"/>
                <w:color w:val="auto"/>
                <w:kern w:val="0"/>
                <w:sz w:val="28"/>
                <w:szCs w:val="32"/>
                <w:lang w:val="en-US" w:eastAsia="zh-CN"/>
              </w:rPr>
              <w:t>项目，</w:t>
            </w:r>
            <w:r>
              <w:rPr>
                <w:rFonts w:cs="Times New Roman"/>
                <w:color w:val="auto"/>
                <w:sz w:val="28"/>
                <w:szCs w:val="28"/>
              </w:rPr>
              <w:t>农户厕所改造</w:t>
            </w:r>
            <w:r>
              <w:rPr>
                <w:rFonts w:hint="eastAsia" w:cs="Times New Roman"/>
                <w:color w:val="auto"/>
                <w:sz w:val="28"/>
                <w:szCs w:val="28"/>
                <w:lang w:val="en-US" w:eastAsia="zh-CN"/>
              </w:rPr>
              <w:t>项目</w:t>
            </w:r>
            <w:r>
              <w:rPr>
                <w:rFonts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rPr>
            </w:pPr>
            <w:r>
              <w:rPr>
                <w:rFonts w:cs="Times New Roman"/>
                <w:b/>
                <w:bCs/>
                <w:color w:val="auto"/>
                <w:sz w:val="28"/>
                <w:szCs w:val="28"/>
              </w:rPr>
              <w:t>农村公共服务提升工程</w:t>
            </w:r>
            <w:r>
              <w:rPr>
                <w:rFonts w:cs="Times New Roman"/>
                <w:color w:val="auto"/>
                <w:sz w:val="28"/>
                <w:szCs w:val="28"/>
              </w:rPr>
              <w:t>。农村综合服务中心建设项目</w:t>
            </w:r>
            <w:r>
              <w:rPr>
                <w:rFonts w:hint="eastAsia" w:cs="Times New Roman"/>
                <w:color w:val="auto"/>
                <w:sz w:val="28"/>
                <w:szCs w:val="28"/>
                <w:lang w:eastAsia="zh-CN"/>
              </w:rPr>
              <w:t>，</w:t>
            </w:r>
            <w:r>
              <w:rPr>
                <w:rFonts w:cs="Times New Roman"/>
                <w:color w:val="auto"/>
                <w:sz w:val="28"/>
                <w:szCs w:val="28"/>
              </w:rPr>
              <w:t>农村就业服务指导站</w:t>
            </w:r>
            <w:r>
              <w:rPr>
                <w:rFonts w:hint="eastAsia" w:cs="Times New Roman"/>
                <w:color w:val="auto"/>
                <w:sz w:val="28"/>
                <w:szCs w:val="28"/>
                <w:lang w:val="en-US" w:eastAsia="zh-CN"/>
              </w:rPr>
              <w:t>建设项目</w:t>
            </w:r>
            <w:r>
              <w:rPr>
                <w:rFonts w:hint="eastAsia" w:cs="Times New Roman"/>
                <w:color w:val="auto"/>
                <w:sz w:val="28"/>
                <w:szCs w:val="28"/>
                <w:lang w:eastAsia="zh-CN"/>
              </w:rPr>
              <w:t>，</w:t>
            </w:r>
            <w:r>
              <w:rPr>
                <w:rFonts w:cs="Times New Roman"/>
                <w:color w:val="auto"/>
                <w:sz w:val="28"/>
                <w:szCs w:val="28"/>
              </w:rPr>
              <w:t>农牧业技术推广站</w:t>
            </w:r>
            <w:r>
              <w:rPr>
                <w:rFonts w:hint="eastAsia" w:cs="Times New Roman"/>
                <w:color w:val="auto"/>
                <w:sz w:val="28"/>
                <w:szCs w:val="28"/>
                <w:lang w:val="en-US" w:eastAsia="zh-CN"/>
              </w:rPr>
              <w:t>建设项目</w:t>
            </w:r>
            <w:r>
              <w:rPr>
                <w:rFonts w:hint="eastAsia" w:cs="Times New Roman"/>
                <w:color w:val="auto"/>
                <w:sz w:val="28"/>
                <w:szCs w:val="28"/>
                <w:lang w:eastAsia="zh-CN"/>
              </w:rPr>
              <w:t>，</w:t>
            </w:r>
            <w:r>
              <w:rPr>
                <w:rFonts w:cs="Times New Roman"/>
                <w:color w:val="auto"/>
                <w:sz w:val="28"/>
                <w:szCs w:val="28"/>
              </w:rPr>
              <w:t>动植物疫病防控网点建设</w:t>
            </w:r>
            <w:r>
              <w:rPr>
                <w:rFonts w:hint="eastAsia" w:cs="Times New Roman"/>
                <w:color w:val="auto"/>
                <w:sz w:val="28"/>
                <w:szCs w:val="28"/>
                <w:lang w:val="en-US" w:eastAsia="zh-CN"/>
              </w:rPr>
              <w:t>项目</w:t>
            </w:r>
            <w:r>
              <w:rPr>
                <w:rFonts w:cs="Times New Roman"/>
                <w:color w:val="auto"/>
                <w:sz w:val="28"/>
                <w:szCs w:val="28"/>
              </w:rPr>
              <w:t>。</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347" w:name="_Toc13208"/>
      <w:bookmarkStart w:id="348" w:name="_Toc16237"/>
      <w:bookmarkStart w:id="349" w:name="_Toc31726"/>
      <w:r>
        <w:rPr>
          <w:rFonts w:ascii="Times New Roman" w:hAnsi="Times New Roman" w:eastAsia="黑体"/>
          <w:b w:val="0"/>
          <w:bCs w:val="0"/>
          <w:color w:val="auto"/>
          <w:kern w:val="2"/>
          <w:sz w:val="32"/>
          <w:szCs w:val="32"/>
        </w:rPr>
        <w:t>第十八章  提升县城发展能级</w:t>
      </w:r>
      <w:bookmarkEnd w:id="346"/>
      <w:bookmarkEnd w:id="347"/>
      <w:bookmarkEnd w:id="348"/>
      <w:bookmarkEnd w:id="349"/>
    </w:p>
    <w:p>
      <w:pPr>
        <w:spacing w:line="576" w:lineRule="exact"/>
        <w:ind w:firstLine="640" w:firstLineChars="200"/>
        <w:rPr>
          <w:rFonts w:cs="Times New Roman"/>
          <w:color w:val="auto"/>
        </w:rPr>
      </w:pPr>
      <w:r>
        <w:rPr>
          <w:rFonts w:cs="Times New Roman"/>
          <w:color w:val="auto"/>
        </w:rPr>
        <w:t>加快推进东女新城开发，着力优化城区布局、提升功能品质、塑优城区形象，打造青山为屏、河水为带、山水相衔、景在城中、城在景中的高原特色魅力县城。</w:t>
      </w:r>
    </w:p>
    <w:p>
      <w:pPr>
        <w:pStyle w:val="5"/>
        <w:spacing w:before="156" w:beforeLines="50" w:after="156" w:afterLines="50" w:line="576" w:lineRule="exact"/>
        <w:jc w:val="center"/>
        <w:rPr>
          <w:rFonts w:eastAsia="楷体_GB2312"/>
          <w:color w:val="auto"/>
        </w:rPr>
      </w:pPr>
      <w:bookmarkStart w:id="350" w:name="_Toc28094"/>
      <w:bookmarkStart w:id="351" w:name="_Toc19977_WPSOffice_Level3"/>
      <w:bookmarkStart w:id="352" w:name="_Toc26951"/>
      <w:bookmarkStart w:id="353" w:name="_Toc4851"/>
      <w:r>
        <w:rPr>
          <w:rFonts w:eastAsia="楷体_GB2312"/>
          <w:color w:val="auto"/>
        </w:rPr>
        <w:t xml:space="preserve">第一节  </w:t>
      </w:r>
      <w:r>
        <w:rPr>
          <w:rFonts w:hint="eastAsia" w:eastAsia="楷体_GB2312"/>
          <w:color w:val="auto"/>
          <w:lang w:val="en-US" w:eastAsia="zh-CN"/>
        </w:rPr>
        <w:t>拓展</w:t>
      </w:r>
      <w:r>
        <w:rPr>
          <w:rFonts w:eastAsia="楷体_GB2312"/>
          <w:color w:val="auto"/>
        </w:rPr>
        <w:t>城区</w:t>
      </w:r>
      <w:r>
        <w:rPr>
          <w:rFonts w:hint="eastAsia" w:eastAsia="楷体_GB2312"/>
          <w:color w:val="auto"/>
          <w:lang w:val="en-US" w:eastAsia="zh-CN"/>
        </w:rPr>
        <w:t>发展</w:t>
      </w:r>
      <w:r>
        <w:rPr>
          <w:rFonts w:eastAsia="楷体_GB2312"/>
          <w:color w:val="auto"/>
        </w:rPr>
        <w:t>空间</w:t>
      </w:r>
      <w:bookmarkEnd w:id="350"/>
      <w:bookmarkEnd w:id="351"/>
      <w:bookmarkEnd w:id="352"/>
      <w:bookmarkEnd w:id="353"/>
    </w:p>
    <w:p>
      <w:pPr>
        <w:spacing w:line="576" w:lineRule="exact"/>
        <w:ind w:firstLine="640" w:firstLineChars="200"/>
        <w:rPr>
          <w:rFonts w:cs="Times New Roman"/>
          <w:color w:val="auto"/>
        </w:rPr>
      </w:pPr>
      <w:r>
        <w:rPr>
          <w:rFonts w:cs="Times New Roman"/>
          <w:color w:val="auto"/>
        </w:rPr>
        <w:t>加快构建以大渡河为轴，由老城片区、沐林、双柏树、勒乌、沙耳、咯尔金江构成的“一轴六片区”串珠状县城新格局，拉大城市骨架。加快推进东女新城开发，全面推进海绵城市建设，</w:t>
      </w:r>
      <w:r>
        <w:rPr>
          <w:rFonts w:hint="eastAsia" w:cs="Times New Roman"/>
          <w:color w:val="auto"/>
        </w:rPr>
        <w:t>统筹</w:t>
      </w:r>
      <w:r>
        <w:rPr>
          <w:rFonts w:cs="Times New Roman"/>
          <w:color w:val="auto"/>
        </w:rPr>
        <w:t>推进新</w:t>
      </w:r>
      <w:r>
        <w:rPr>
          <w:rFonts w:hint="eastAsia" w:cs="Times New Roman"/>
          <w:color w:val="auto"/>
          <w:lang w:val="en-US" w:eastAsia="zh-CN"/>
        </w:rPr>
        <w:t>城区</w:t>
      </w:r>
      <w:r>
        <w:rPr>
          <w:rFonts w:cs="Times New Roman"/>
          <w:color w:val="auto"/>
        </w:rPr>
        <w:t>特色商业街区、文化园区、房地产开发，完善城区组团间通道建设，提升</w:t>
      </w:r>
      <w:r>
        <w:rPr>
          <w:rFonts w:hint="eastAsia" w:cs="Times New Roman"/>
          <w:color w:val="auto"/>
          <w:lang w:val="en-US" w:eastAsia="zh-CN"/>
        </w:rPr>
        <w:t>新城区</w:t>
      </w:r>
      <w:r>
        <w:rPr>
          <w:rFonts w:cs="Times New Roman"/>
          <w:color w:val="auto"/>
        </w:rPr>
        <w:t>竞争力。</w:t>
      </w:r>
      <w:r>
        <w:rPr>
          <w:rFonts w:hint="eastAsia" w:cs="Times New Roman"/>
          <w:color w:val="auto"/>
        </w:rPr>
        <w:t>积极</w:t>
      </w:r>
      <w:r>
        <w:rPr>
          <w:rFonts w:cs="Times New Roman"/>
          <w:color w:val="auto"/>
        </w:rPr>
        <w:t>推进老城区优化改造，抓好老城区管网改造、老旧小区改造、老街旅游集散中心改造等项目建设，妥善解决城市防洪安全、雨水收集利用、黑臭水体治理等问题，推进旧城行政服务、商业服务向</w:t>
      </w:r>
      <w:r>
        <w:rPr>
          <w:rFonts w:hint="eastAsia" w:cs="Times New Roman"/>
          <w:color w:val="auto"/>
          <w:lang w:val="en-US" w:eastAsia="zh-CN"/>
        </w:rPr>
        <w:t>新城区</w:t>
      </w:r>
      <w:r>
        <w:rPr>
          <w:rFonts w:cs="Times New Roman"/>
          <w:color w:val="auto"/>
        </w:rPr>
        <w:t>转移，降低老城区承载压力。</w:t>
      </w:r>
    </w:p>
    <w:tbl>
      <w:tblPr>
        <w:tblStyle w:val="27"/>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3" w:type="dxa"/>
            <w:vAlign w:val="top"/>
          </w:tcPr>
          <w:p>
            <w:pPr>
              <w:rPr>
                <w:rFonts w:hint="eastAsia" w:eastAsia="仿宋_GB2312" w:cs="Times New Roman"/>
                <w:b/>
                <w:bCs/>
                <w:color w:val="auto"/>
                <w:kern w:val="0"/>
                <w:szCs w:val="32"/>
                <w:vertAlign w:val="baseline"/>
                <w:lang w:eastAsia="zh-CN"/>
              </w:rPr>
            </w:pPr>
            <w:r>
              <w:rPr>
                <w:rFonts w:hint="eastAsia" w:eastAsia="仿宋_GB2312" w:cs="Times New Roman"/>
                <w:b/>
                <w:bCs/>
                <w:color w:val="auto"/>
                <w:kern w:val="0"/>
                <w:szCs w:val="32"/>
                <w:vertAlign w:val="baseline"/>
                <w:lang w:eastAsia="zh-CN"/>
              </w:rPr>
              <w:drawing>
                <wp:inline distT="0" distB="0" distL="114300" distR="114300">
                  <wp:extent cx="5177155" cy="2058670"/>
                  <wp:effectExtent l="0" t="0" r="4445" b="11430"/>
                  <wp:docPr id="9" name="图片 9"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_副本"/>
                          <pic:cNvPicPr>
                            <a:picLocks noChangeAspect="1"/>
                          </pic:cNvPicPr>
                        </pic:nvPicPr>
                        <pic:blipFill>
                          <a:blip r:embed="rId15"/>
                          <a:srcRect b="917"/>
                          <a:stretch>
                            <a:fillRect/>
                          </a:stretch>
                        </pic:blipFill>
                        <pic:spPr>
                          <a:xfrm>
                            <a:off x="0" y="0"/>
                            <a:ext cx="5177155" cy="2058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733"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图8  金川县城区空间发展布局</w:t>
            </w:r>
          </w:p>
        </w:tc>
      </w:tr>
    </w:tbl>
    <w:p>
      <w:pPr>
        <w:pStyle w:val="5"/>
        <w:spacing w:before="156" w:beforeLines="50" w:after="156" w:afterLines="50" w:line="576" w:lineRule="exact"/>
        <w:jc w:val="center"/>
        <w:rPr>
          <w:rFonts w:eastAsia="楷体_GB2312"/>
          <w:color w:val="auto"/>
        </w:rPr>
      </w:pPr>
      <w:bookmarkStart w:id="354" w:name="_Toc19685"/>
      <w:bookmarkStart w:id="355" w:name="_Toc336_WPSOffice_Level3"/>
      <w:bookmarkStart w:id="356" w:name="_Toc31616"/>
      <w:bookmarkStart w:id="357" w:name="_Toc11551"/>
      <w:r>
        <w:rPr>
          <w:rFonts w:eastAsia="楷体_GB2312"/>
          <w:color w:val="auto"/>
        </w:rPr>
        <w:t>第二节  增强城区承载能力</w:t>
      </w:r>
      <w:bookmarkEnd w:id="354"/>
      <w:bookmarkEnd w:id="355"/>
      <w:bookmarkEnd w:id="356"/>
      <w:bookmarkEnd w:id="357"/>
    </w:p>
    <w:p>
      <w:pPr>
        <w:spacing w:line="576" w:lineRule="exact"/>
        <w:ind w:firstLine="640" w:firstLineChars="200"/>
        <w:rPr>
          <w:rFonts w:cs="Times New Roman"/>
          <w:color w:val="auto"/>
        </w:rPr>
      </w:pPr>
      <w:r>
        <w:rPr>
          <w:rFonts w:cs="Times New Roman"/>
          <w:color w:val="auto"/>
        </w:rPr>
        <w:t>优化城区路网结构，建设快速路、主次干路和支路级配合理的路网系统，提升城区道路网络密度。优先发展公共交通，加快停车场、充电站、充电桩等配套设施建设。实施城市地下管网改造工程，合理布局电力、通信、广电、给排水、燃气等地下管网，加快实施既有路面电网、通信网络架空线入地工程。提升城区公共服务水平，加强医疗卫生机构、文化设施、体育健身场所、公园绿地等公共服务设施建设，规划建设社区综合服务信息平台。优化社区生活设施布局，打造包括物流配送、便民超市、银行网点、零售药店、家庭服务中心等在内的便捷生活服务圈。</w:t>
      </w:r>
    </w:p>
    <w:p>
      <w:pPr>
        <w:pStyle w:val="5"/>
        <w:spacing w:before="156" w:beforeLines="50" w:after="156" w:afterLines="50" w:line="576" w:lineRule="exact"/>
        <w:jc w:val="center"/>
        <w:rPr>
          <w:rFonts w:eastAsia="楷体_GB2312"/>
          <w:color w:val="auto"/>
        </w:rPr>
      </w:pPr>
      <w:bookmarkStart w:id="358" w:name="_Toc1468"/>
      <w:bookmarkStart w:id="359" w:name="_Toc19270"/>
      <w:bookmarkStart w:id="360" w:name="_Toc8165_WPSOffice_Level3"/>
      <w:bookmarkStart w:id="361" w:name="_Toc24465"/>
      <w:r>
        <w:rPr>
          <w:rFonts w:eastAsia="楷体_GB2312"/>
          <w:color w:val="auto"/>
        </w:rPr>
        <w:t>第三节  提升城区形象品质</w:t>
      </w:r>
      <w:bookmarkEnd w:id="358"/>
      <w:bookmarkEnd w:id="359"/>
      <w:bookmarkEnd w:id="360"/>
      <w:bookmarkEnd w:id="361"/>
    </w:p>
    <w:p>
      <w:pPr>
        <w:spacing w:line="576" w:lineRule="exact"/>
        <w:ind w:firstLine="640" w:firstLineChars="200"/>
        <w:rPr>
          <w:rFonts w:eastAsia="仿宋" w:cs="Times New Roman"/>
          <w:color w:val="auto"/>
        </w:rPr>
      </w:pPr>
      <w:r>
        <w:rPr>
          <w:rFonts w:cs="Times New Roman"/>
          <w:color w:val="auto"/>
        </w:rPr>
        <w:t>聚焦城区环境和配套功能提升，大力实施美化、硬化、绿化、亮化、净化、文化“六化”工程，塑优城区形象、提升城区品质。持续推进“光彩工程”建设，做特做</w:t>
      </w:r>
      <w:r>
        <w:rPr>
          <w:rFonts w:hint="eastAsia" w:cs="Times New Roman"/>
          <w:color w:val="auto"/>
        </w:rPr>
        <w:t>靓</w:t>
      </w:r>
      <w:r>
        <w:rPr>
          <w:rFonts w:cs="Times New Roman"/>
          <w:color w:val="auto"/>
        </w:rPr>
        <w:t>城区建筑形态、功能、天际线和色彩设计。加强城市广场、公园、公共绿地、休憩空间建设，构建山水城交相辉映的特色公共空间。强化城区历史风貌保护，推进国际自行车公园、老街爱国主义基地建设，提升人文魅力。到2025年，城区绿化覆盖率达30%，人均公园绿地面积上升至17.63平方米。</w:t>
      </w:r>
    </w:p>
    <w:p>
      <w:pPr>
        <w:pStyle w:val="5"/>
        <w:spacing w:before="156" w:beforeLines="50" w:after="156" w:afterLines="50" w:line="576" w:lineRule="exact"/>
        <w:jc w:val="center"/>
        <w:rPr>
          <w:rFonts w:eastAsia="楷体_GB2312"/>
          <w:color w:val="auto"/>
        </w:rPr>
      </w:pPr>
      <w:bookmarkStart w:id="362" w:name="_Toc2127"/>
      <w:bookmarkStart w:id="363" w:name="_Toc15377"/>
      <w:bookmarkStart w:id="364" w:name="_Toc10454_WPSOffice_Level3"/>
      <w:bookmarkStart w:id="365" w:name="_Toc26436"/>
      <w:r>
        <w:rPr>
          <w:rFonts w:eastAsia="楷体_GB2312"/>
          <w:color w:val="auto"/>
        </w:rPr>
        <w:t>第四节  加强城区精细管理</w:t>
      </w:r>
      <w:bookmarkEnd w:id="362"/>
      <w:bookmarkEnd w:id="363"/>
      <w:bookmarkEnd w:id="364"/>
      <w:bookmarkEnd w:id="365"/>
    </w:p>
    <w:p>
      <w:pPr>
        <w:spacing w:line="576" w:lineRule="exact"/>
        <w:ind w:firstLine="640" w:firstLineChars="200"/>
        <w:rPr>
          <w:rFonts w:cs="Times New Roman"/>
          <w:color w:val="auto"/>
        </w:rPr>
      </w:pPr>
      <w:r>
        <w:rPr>
          <w:rFonts w:cs="Times New Roman"/>
          <w:color w:val="auto"/>
        </w:rPr>
        <w:t>加快推进智慧城市建设，打造城市智慧治理中心和综合行政执法智慧服务平台，提升城区规范化、精细化、数字化管理水平。完善城区网格化管理体系，建立行政执法、市场监管、公安消防、城市规划等部门协同配合的城区管理机制。加强城区环境卫生治理，突出抓好“十乱治理”，有效解决占道经营、乱停乱放、私拉乱接、乱搭乱建等突出问题。加强生活垃圾分类管理，建立城区生活垃圾分类投放、分类收集、分类运输、分类处理的垃圾处理体系。</w:t>
      </w:r>
    </w:p>
    <w:p>
      <w:pPr>
        <w:pStyle w:val="5"/>
        <w:spacing w:before="156" w:beforeLines="50" w:after="156" w:afterLines="50" w:line="576" w:lineRule="exact"/>
        <w:jc w:val="center"/>
        <w:rPr>
          <w:rFonts w:eastAsia="楷体_GB2312"/>
          <w:color w:val="auto"/>
        </w:rPr>
      </w:pPr>
      <w:bookmarkStart w:id="366" w:name="_Toc4791"/>
      <w:bookmarkStart w:id="367" w:name="_Toc19980"/>
      <w:bookmarkStart w:id="368" w:name="_Toc30244_WPSOffice_Level3"/>
      <w:bookmarkStart w:id="369" w:name="_Toc17672"/>
      <w:r>
        <w:rPr>
          <w:rFonts w:eastAsia="楷体_GB2312"/>
          <w:color w:val="auto"/>
        </w:rPr>
        <w:t>第五节  推进安居工程建设</w:t>
      </w:r>
      <w:bookmarkEnd w:id="366"/>
      <w:bookmarkEnd w:id="367"/>
      <w:bookmarkEnd w:id="368"/>
      <w:bookmarkEnd w:id="369"/>
    </w:p>
    <w:p>
      <w:pPr>
        <w:spacing w:line="576" w:lineRule="exact"/>
        <w:ind w:firstLine="640" w:firstLineChars="200"/>
        <w:rPr>
          <w:rFonts w:cs="Times New Roman"/>
          <w:color w:val="auto"/>
        </w:rPr>
      </w:pPr>
      <w:r>
        <w:rPr>
          <w:rFonts w:cs="Times New Roman"/>
          <w:color w:val="auto"/>
        </w:rPr>
        <w:t>以满足新市民的住房需求为主要出发点，建立购房与租房并举、市场配置与政府保障相结合的住房制度，健全以市场为主满足多层次需求、以政府为主提供基本保障的住房供应体系。加大公共租赁住房建设力度，适度建设经济适用房，着力解决城镇中低收入居民和人才引进、干部周转等住房需求。扩大住房公积金覆盖面，完善住房补贴制度。扎实推进水电移民集中安置区建设，妥善解决搬迁群众的居住、看病、上学等问题，统筹谋划安置区产业发展与群众就业创业，确保搬迁群众生活有改善、发展有前景。到2025年，居民人均住宅建筑面积35.44平方米以上，住房保障率达到27%。</w:t>
      </w:r>
    </w:p>
    <w:tbl>
      <w:tblPr>
        <w:tblStyle w:val="27"/>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8" w:type="dxa"/>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黑体" w:cs="Times New Roman"/>
                <w:color w:val="auto"/>
                <w:szCs w:val="32"/>
              </w:rPr>
            </w:pPr>
            <w:bookmarkStart w:id="370" w:name="_Toc5621_WPSOffice_Level2"/>
            <w:r>
              <w:rPr>
                <w:rFonts w:eastAsia="黑体" w:cs="Times New Roman"/>
                <w:color w:val="auto"/>
                <w:sz w:val="28"/>
                <w:szCs w:val="28"/>
              </w:rPr>
              <w:t>专栏13  金川县城区功能提升重点项目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8"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市政设施</w:t>
            </w:r>
            <w:r>
              <w:rPr>
                <w:rFonts w:cs="Times New Roman"/>
                <w:color w:val="auto"/>
                <w:kern w:val="0"/>
                <w:sz w:val="28"/>
                <w:szCs w:val="32"/>
              </w:rPr>
              <w:t>。金川东女新城建设</w:t>
            </w:r>
            <w:r>
              <w:rPr>
                <w:rFonts w:hint="eastAsia" w:cs="Times New Roman"/>
                <w:color w:val="auto"/>
                <w:kern w:val="0"/>
                <w:sz w:val="28"/>
                <w:szCs w:val="32"/>
                <w:lang w:val="en-US" w:eastAsia="zh-CN"/>
              </w:rPr>
              <w:t>项目，</w:t>
            </w:r>
            <w:r>
              <w:rPr>
                <w:rFonts w:cs="Times New Roman"/>
                <w:color w:val="auto"/>
                <w:kern w:val="0"/>
                <w:sz w:val="28"/>
                <w:szCs w:val="32"/>
              </w:rPr>
              <w:t>勒乌镇勒乌沟口至拦河坝市政基础设施</w:t>
            </w:r>
            <w:r>
              <w:rPr>
                <w:rFonts w:hint="eastAsia" w:cs="Times New Roman"/>
                <w:color w:val="auto"/>
                <w:kern w:val="0"/>
                <w:sz w:val="28"/>
                <w:szCs w:val="32"/>
                <w:lang w:val="en-US" w:eastAsia="zh-CN"/>
              </w:rPr>
              <w:t>建设项目</w:t>
            </w:r>
            <w:r>
              <w:rPr>
                <w:rFonts w:hint="eastAsia" w:cs="Times New Roman"/>
                <w:color w:val="auto"/>
                <w:kern w:val="0"/>
                <w:sz w:val="28"/>
                <w:szCs w:val="32"/>
                <w:lang w:eastAsia="zh-CN"/>
              </w:rPr>
              <w:t>，</w:t>
            </w:r>
            <w:r>
              <w:rPr>
                <w:rFonts w:cs="Times New Roman"/>
                <w:color w:val="auto"/>
                <w:kern w:val="0"/>
                <w:sz w:val="28"/>
                <w:szCs w:val="32"/>
              </w:rPr>
              <w:t>新城区临江路建设工程</w:t>
            </w:r>
            <w:r>
              <w:rPr>
                <w:rFonts w:hint="eastAsia" w:cs="Times New Roman"/>
                <w:color w:val="auto"/>
                <w:kern w:val="0"/>
                <w:sz w:val="28"/>
                <w:szCs w:val="32"/>
                <w:lang w:eastAsia="zh-CN"/>
              </w:rPr>
              <w:t>，</w:t>
            </w:r>
            <w:r>
              <w:rPr>
                <w:rFonts w:cs="Times New Roman"/>
                <w:color w:val="auto"/>
                <w:kern w:val="0"/>
                <w:sz w:val="28"/>
                <w:szCs w:val="32"/>
              </w:rPr>
              <w:t>县城滨河路延伸一期工程</w:t>
            </w:r>
            <w:r>
              <w:rPr>
                <w:rFonts w:hint="eastAsia" w:cs="Times New Roman"/>
                <w:color w:val="auto"/>
                <w:kern w:val="0"/>
                <w:sz w:val="28"/>
                <w:szCs w:val="32"/>
                <w:lang w:eastAsia="zh-CN"/>
              </w:rPr>
              <w:t>，</w:t>
            </w:r>
            <w:r>
              <w:rPr>
                <w:rFonts w:cs="Times New Roman"/>
                <w:color w:val="auto"/>
                <w:kern w:val="0"/>
                <w:sz w:val="28"/>
                <w:szCs w:val="32"/>
              </w:rPr>
              <w:t>金江新</w:t>
            </w:r>
            <w:r>
              <w:rPr>
                <w:rFonts w:hint="eastAsia" w:cs="Times New Roman"/>
                <w:color w:val="auto"/>
                <w:kern w:val="0"/>
                <w:sz w:val="28"/>
                <w:szCs w:val="32"/>
                <w:lang w:val="en-US" w:eastAsia="zh-CN"/>
              </w:rPr>
              <w:t>城</w:t>
            </w:r>
            <w:r>
              <w:rPr>
                <w:rFonts w:cs="Times New Roman"/>
                <w:color w:val="auto"/>
                <w:kern w:val="0"/>
                <w:sz w:val="28"/>
                <w:szCs w:val="32"/>
              </w:rPr>
              <w:t>区滨江路建设工程</w:t>
            </w:r>
            <w:r>
              <w:rPr>
                <w:rFonts w:hint="eastAsia" w:cs="Times New Roman"/>
                <w:color w:val="auto"/>
                <w:kern w:val="0"/>
                <w:sz w:val="28"/>
                <w:szCs w:val="32"/>
                <w:lang w:eastAsia="zh-CN"/>
              </w:rPr>
              <w:t>，</w:t>
            </w:r>
            <w:r>
              <w:rPr>
                <w:rFonts w:cs="Times New Roman"/>
                <w:color w:val="auto"/>
                <w:kern w:val="0"/>
                <w:sz w:val="28"/>
                <w:szCs w:val="32"/>
              </w:rPr>
              <w:t>县环城路建设工程（一期）</w:t>
            </w:r>
            <w:r>
              <w:rPr>
                <w:rFonts w:hint="eastAsia" w:cs="Times New Roman"/>
                <w:color w:val="auto"/>
                <w:kern w:val="0"/>
                <w:sz w:val="28"/>
                <w:szCs w:val="32"/>
                <w:lang w:eastAsia="zh-CN"/>
              </w:rPr>
              <w:t>，</w:t>
            </w:r>
            <w:r>
              <w:rPr>
                <w:rFonts w:cs="Times New Roman"/>
                <w:color w:val="auto"/>
                <w:kern w:val="0"/>
                <w:sz w:val="28"/>
                <w:szCs w:val="32"/>
              </w:rPr>
              <w:t>双柏树新</w:t>
            </w:r>
            <w:r>
              <w:rPr>
                <w:rFonts w:hint="eastAsia" w:cs="Times New Roman"/>
                <w:color w:val="auto"/>
                <w:kern w:val="0"/>
                <w:sz w:val="28"/>
                <w:szCs w:val="32"/>
                <w:lang w:val="en-US" w:eastAsia="zh-CN"/>
              </w:rPr>
              <w:t>城</w:t>
            </w:r>
            <w:r>
              <w:rPr>
                <w:rFonts w:cs="Times New Roman"/>
                <w:color w:val="auto"/>
                <w:kern w:val="0"/>
                <w:sz w:val="28"/>
                <w:szCs w:val="32"/>
              </w:rPr>
              <w:t>区市政基础设施建设项目二期。</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rPr>
            </w:pPr>
            <w:r>
              <w:rPr>
                <w:rFonts w:cs="Times New Roman"/>
                <w:b/>
                <w:bCs/>
                <w:color w:val="auto"/>
                <w:kern w:val="0"/>
                <w:sz w:val="28"/>
                <w:szCs w:val="32"/>
              </w:rPr>
              <w:t>安居工程</w:t>
            </w:r>
            <w:r>
              <w:rPr>
                <w:rFonts w:cs="Times New Roman"/>
                <w:color w:val="auto"/>
                <w:kern w:val="0"/>
                <w:sz w:val="28"/>
                <w:szCs w:val="32"/>
              </w:rPr>
              <w:t>。公共租赁住房137套以及配套设施工程</w:t>
            </w:r>
            <w:r>
              <w:rPr>
                <w:rFonts w:hint="eastAsia" w:cs="Times New Roman"/>
                <w:color w:val="auto"/>
                <w:kern w:val="0"/>
                <w:sz w:val="28"/>
                <w:szCs w:val="32"/>
                <w:lang w:eastAsia="zh-CN"/>
              </w:rPr>
              <w:t>，</w:t>
            </w:r>
            <w:r>
              <w:rPr>
                <w:rFonts w:cs="Times New Roman"/>
                <w:color w:val="auto"/>
                <w:kern w:val="0"/>
                <w:sz w:val="28"/>
                <w:szCs w:val="32"/>
              </w:rPr>
              <w:t>经济适用房500套以及配套设施工程</w:t>
            </w:r>
            <w:r>
              <w:rPr>
                <w:rFonts w:hint="eastAsia" w:cs="Times New Roman"/>
                <w:color w:val="auto"/>
                <w:kern w:val="0"/>
                <w:sz w:val="28"/>
                <w:szCs w:val="32"/>
                <w:lang w:eastAsia="zh-CN"/>
              </w:rPr>
              <w:t>，</w:t>
            </w:r>
            <w:r>
              <w:rPr>
                <w:rFonts w:cs="Times New Roman"/>
                <w:color w:val="auto"/>
                <w:kern w:val="0"/>
                <w:sz w:val="28"/>
                <w:szCs w:val="32"/>
              </w:rPr>
              <w:t>干部周转房建设500套以及配套设施工程</w:t>
            </w:r>
            <w:r>
              <w:rPr>
                <w:rFonts w:hint="eastAsia" w:cs="Times New Roman"/>
                <w:color w:val="auto"/>
                <w:kern w:val="0"/>
                <w:sz w:val="28"/>
                <w:szCs w:val="32"/>
                <w:lang w:eastAsia="zh-CN"/>
              </w:rPr>
              <w:t>，</w:t>
            </w:r>
            <w:r>
              <w:rPr>
                <w:rFonts w:cs="Times New Roman"/>
                <w:color w:val="auto"/>
                <w:kern w:val="0"/>
                <w:sz w:val="28"/>
                <w:szCs w:val="32"/>
              </w:rPr>
              <w:t>老旧小区改造550套以及配套设施工程。</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371" w:name="_Toc17520"/>
      <w:bookmarkStart w:id="372" w:name="_Toc4959"/>
      <w:bookmarkStart w:id="373" w:name="_Toc3399"/>
      <w:r>
        <w:rPr>
          <w:rFonts w:ascii="Times New Roman" w:hAnsi="Times New Roman" w:eastAsia="黑体"/>
          <w:b w:val="0"/>
          <w:bCs w:val="0"/>
          <w:color w:val="auto"/>
          <w:kern w:val="2"/>
          <w:sz w:val="32"/>
          <w:szCs w:val="32"/>
        </w:rPr>
        <w:t>第十九章  构筑三区共兴格局</w:t>
      </w:r>
      <w:bookmarkEnd w:id="370"/>
      <w:bookmarkEnd w:id="371"/>
      <w:bookmarkEnd w:id="372"/>
      <w:bookmarkEnd w:id="373"/>
    </w:p>
    <w:p>
      <w:pPr>
        <w:spacing w:line="576" w:lineRule="exact"/>
        <w:ind w:firstLine="641"/>
        <w:rPr>
          <w:rFonts w:eastAsia="仿宋" w:cs="Times New Roman"/>
          <w:color w:val="auto"/>
        </w:rPr>
      </w:pPr>
      <w:r>
        <w:rPr>
          <w:rFonts w:cs="Times New Roman"/>
          <w:color w:val="auto"/>
        </w:rPr>
        <w:t>综合考虑生态优先和区位优势，统筹城镇空间、农业空间、生态空间布局，着力推进绿色经济增长区、乡村振兴示范区、高原产业聚合区协同发展。</w:t>
      </w:r>
    </w:p>
    <w:tbl>
      <w:tblPr>
        <w:tblStyle w:val="27"/>
        <w:tblW w:w="87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3" w:type="dxa"/>
            <w:vAlign w:val="top"/>
          </w:tcPr>
          <w:p>
            <w:pPr>
              <w:jc w:val="center"/>
              <w:rPr>
                <w:rFonts w:hint="eastAsia" w:eastAsia="仿宋_GB2312" w:cs="Times New Roman"/>
                <w:b/>
                <w:bCs/>
                <w:color w:val="auto"/>
                <w:kern w:val="0"/>
                <w:szCs w:val="32"/>
                <w:vertAlign w:val="baseline"/>
                <w:lang w:eastAsia="zh-CN"/>
              </w:rPr>
            </w:pPr>
            <w:bookmarkStart w:id="374" w:name="_Toc22060"/>
            <w:bookmarkStart w:id="375" w:name="_Toc21321_WPSOffice_Level3"/>
            <w:bookmarkStart w:id="376" w:name="_Toc6293"/>
            <w:r>
              <w:rPr>
                <w:rFonts w:hint="eastAsia" w:eastAsia="仿宋_GB2312" w:cs="Times New Roman"/>
                <w:b/>
                <w:bCs/>
                <w:color w:val="auto"/>
                <w:kern w:val="0"/>
                <w:szCs w:val="32"/>
                <w:vertAlign w:val="baseline"/>
                <w:lang w:eastAsia="zh-CN"/>
              </w:rPr>
              <w:drawing>
                <wp:inline distT="0" distB="0" distL="114300" distR="114300">
                  <wp:extent cx="5058410" cy="4841875"/>
                  <wp:effectExtent l="0" t="0" r="8890" b="9525"/>
                  <wp:docPr id="7" name="图片 7" descr="c708f07a6941c962d6ac634a3315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708f07a6941c962d6ac634a33151e3"/>
                          <pic:cNvPicPr>
                            <a:picLocks noChangeAspect="1"/>
                          </pic:cNvPicPr>
                        </pic:nvPicPr>
                        <pic:blipFill>
                          <a:blip r:embed="rId16"/>
                          <a:stretch>
                            <a:fillRect/>
                          </a:stretch>
                        </pic:blipFill>
                        <pic:spPr>
                          <a:xfrm>
                            <a:off x="0" y="0"/>
                            <a:ext cx="5058410" cy="4841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733" w:type="dxa"/>
            <w:vAlign w:val="center"/>
          </w:tcPr>
          <w:p>
            <w:pPr>
              <w:spacing w:line="240" w:lineRule="auto"/>
              <w:jc w:val="center"/>
              <w:rPr>
                <w:rFonts w:hint="default" w:ascii="黑体" w:hAnsi="黑体" w:eastAsia="黑体" w:cs="黑体"/>
                <w:b w:val="0"/>
                <w:bCs w:val="0"/>
                <w:color w:val="auto"/>
                <w:kern w:val="0"/>
                <w:sz w:val="24"/>
                <w:szCs w:val="24"/>
                <w:vertAlign w:val="baseline"/>
                <w:lang w:val="en-US" w:eastAsia="zh-CN"/>
              </w:rPr>
            </w:pPr>
            <w:r>
              <w:rPr>
                <w:rFonts w:hint="eastAsia" w:ascii="黑体" w:hAnsi="黑体" w:eastAsia="黑体" w:cs="黑体"/>
                <w:b w:val="0"/>
                <w:bCs w:val="0"/>
                <w:color w:val="auto"/>
                <w:kern w:val="0"/>
                <w:sz w:val="24"/>
                <w:szCs w:val="24"/>
                <w:vertAlign w:val="baseline"/>
                <w:lang w:val="en-US" w:eastAsia="zh-CN"/>
              </w:rPr>
              <w:t>图9  金川县三区共兴发展布局</w:t>
            </w:r>
          </w:p>
        </w:tc>
      </w:tr>
    </w:tbl>
    <w:p>
      <w:pPr>
        <w:pStyle w:val="5"/>
        <w:spacing w:before="156" w:beforeLines="50" w:after="156" w:afterLines="50" w:line="576" w:lineRule="exact"/>
        <w:jc w:val="center"/>
        <w:rPr>
          <w:rFonts w:eastAsia="楷体_GB2312"/>
          <w:color w:val="auto"/>
        </w:rPr>
      </w:pPr>
      <w:bookmarkStart w:id="377" w:name="_Toc8124"/>
      <w:r>
        <w:rPr>
          <w:rFonts w:eastAsia="楷体_GB2312"/>
          <w:color w:val="auto"/>
        </w:rPr>
        <w:t>第一节  加速绿色经济增长区崛起</w:t>
      </w:r>
      <w:bookmarkEnd w:id="374"/>
      <w:bookmarkEnd w:id="375"/>
      <w:bookmarkEnd w:id="376"/>
      <w:bookmarkEnd w:id="377"/>
    </w:p>
    <w:p>
      <w:pPr>
        <w:spacing w:line="576" w:lineRule="exact"/>
        <w:ind w:firstLine="641"/>
        <w:rPr>
          <w:rFonts w:cs="Times New Roman"/>
          <w:color w:val="auto"/>
        </w:rPr>
      </w:pPr>
      <w:r>
        <w:rPr>
          <w:rFonts w:cs="Times New Roman"/>
          <w:color w:val="auto"/>
        </w:rPr>
        <w:t>突出绿色开发、经济引擎、转型示范等功能，以集沐乡为核心，撒瓦脚乡、卡拉足乡为重点，大力发展锂资源和清洁能源产业，培育壮大支柱支撑，推动形成我县未来经济发展增长极，同步有序发展高原畜牧业、特色生态农业和文旅产业，努力建成与生态保护相和谐的高原涉藏地区锂资源和清洁能源开发典范。</w:t>
      </w:r>
    </w:p>
    <w:p>
      <w:pPr>
        <w:pStyle w:val="5"/>
        <w:spacing w:before="156" w:beforeLines="50" w:after="156" w:afterLines="50" w:line="576" w:lineRule="exact"/>
        <w:jc w:val="center"/>
        <w:rPr>
          <w:rFonts w:eastAsia="楷体_GB2312"/>
          <w:color w:val="auto"/>
        </w:rPr>
      </w:pPr>
      <w:bookmarkStart w:id="378" w:name="_Toc722"/>
      <w:bookmarkStart w:id="379" w:name="_Toc10462"/>
      <w:bookmarkStart w:id="380" w:name="_Toc7951"/>
      <w:bookmarkStart w:id="381" w:name="_Toc13407_WPSOffice_Level3"/>
      <w:r>
        <w:rPr>
          <w:rFonts w:eastAsia="楷体_GB2312"/>
          <w:color w:val="auto"/>
        </w:rPr>
        <w:t>第二节  推进乡村振兴示范区建设</w:t>
      </w:r>
      <w:bookmarkEnd w:id="378"/>
      <w:bookmarkEnd w:id="379"/>
      <w:bookmarkEnd w:id="380"/>
      <w:bookmarkEnd w:id="381"/>
    </w:p>
    <w:p>
      <w:pPr>
        <w:spacing w:line="576" w:lineRule="exact"/>
        <w:ind w:firstLine="641"/>
        <w:rPr>
          <w:rFonts w:cs="Times New Roman"/>
          <w:color w:val="auto"/>
        </w:rPr>
      </w:pPr>
      <w:r>
        <w:rPr>
          <w:rFonts w:cs="Times New Roman"/>
          <w:color w:val="auto"/>
        </w:rPr>
        <w:t>突出农业强基、旅游富民、文化引领等功能，以勒乌镇、安宁镇为核心，马奈镇、曾达乡、卡撒乡、河东乡为重点，大力发展特色生态农业和乡村文旅产业，加快实现产业兴旺，聚力生态宜居、乡风文明、治理有效、生活富裕，努力建成高原涉藏地区乡村振兴典范。</w:t>
      </w:r>
    </w:p>
    <w:p>
      <w:pPr>
        <w:pStyle w:val="5"/>
        <w:spacing w:before="156" w:beforeLines="50" w:after="156" w:afterLines="50" w:line="576" w:lineRule="exact"/>
        <w:jc w:val="center"/>
        <w:rPr>
          <w:rFonts w:eastAsia="楷体_GB2312"/>
          <w:color w:val="auto"/>
        </w:rPr>
      </w:pPr>
      <w:bookmarkStart w:id="382" w:name="_Toc10792"/>
      <w:bookmarkStart w:id="383" w:name="_Toc78"/>
      <w:bookmarkStart w:id="384" w:name="_Toc14118"/>
      <w:bookmarkStart w:id="385" w:name="_Toc4220_WPSOffice_Level3"/>
      <w:r>
        <w:rPr>
          <w:rFonts w:eastAsia="楷体_GB2312"/>
          <w:color w:val="auto"/>
        </w:rPr>
        <w:t>第三节  提升高原产业聚合区效益</w:t>
      </w:r>
      <w:bookmarkEnd w:id="382"/>
      <w:bookmarkEnd w:id="383"/>
      <w:bookmarkEnd w:id="384"/>
      <w:bookmarkEnd w:id="385"/>
    </w:p>
    <w:p>
      <w:pPr>
        <w:spacing w:line="576" w:lineRule="exact"/>
        <w:ind w:firstLine="641"/>
        <w:rPr>
          <w:rFonts w:eastAsia="仿宋" w:cs="Times New Roman"/>
          <w:color w:val="auto"/>
        </w:rPr>
      </w:pPr>
      <w:r>
        <w:rPr>
          <w:rFonts w:cs="Times New Roman"/>
          <w:color w:val="auto"/>
        </w:rPr>
        <w:t>突出旅游驿站、畜牧示范、生态保护等功能，以观音桥镇为核心，</w:t>
      </w:r>
      <w:r>
        <w:rPr>
          <w:rFonts w:ascii="Times New Roman" w:hAnsi="Times New Roman" w:cs="Times New Roman"/>
          <w:color w:val="auto"/>
        </w:rPr>
        <w:t>二嘎里乡、</w:t>
      </w:r>
      <w:r>
        <w:rPr>
          <w:rFonts w:cs="Times New Roman"/>
          <w:color w:val="auto"/>
        </w:rPr>
        <w:t>俄热乡、毛日乡、阿科里乡为重点，大力发展现代畜牧业，推动景区提档升级，培育壮大特色文旅产业，在确保生态安全的前提下，适度开发水电资源，努力建成高原涉藏地区产业聚合发展典范。</w:t>
      </w:r>
    </w:p>
    <w:p>
      <w:pPr>
        <w:pStyle w:val="3"/>
        <w:spacing w:before="312" w:beforeLines="100" w:after="312" w:afterLines="100" w:line="576" w:lineRule="exact"/>
        <w:rPr>
          <w:color w:val="auto"/>
          <w:sz w:val="36"/>
          <w:szCs w:val="36"/>
        </w:rPr>
      </w:pPr>
      <w:bookmarkStart w:id="386" w:name="_Toc17992"/>
      <w:bookmarkStart w:id="387" w:name="_Toc18160"/>
      <w:bookmarkStart w:id="388" w:name="_Toc3510"/>
      <w:bookmarkStart w:id="389" w:name="_Toc12932_WPSOffice_Level1"/>
      <w:r>
        <w:rPr>
          <w:color w:val="auto"/>
          <w:sz w:val="36"/>
          <w:szCs w:val="36"/>
        </w:rPr>
        <w:t>第七篇  实施改革创新战略，塑造高质量发展新优势</w:t>
      </w:r>
      <w:bookmarkEnd w:id="386"/>
      <w:bookmarkEnd w:id="387"/>
      <w:bookmarkEnd w:id="388"/>
      <w:bookmarkEnd w:id="389"/>
    </w:p>
    <w:p>
      <w:pPr>
        <w:spacing w:line="576" w:lineRule="exact"/>
        <w:ind w:firstLine="641"/>
        <w:rPr>
          <w:rFonts w:cs="Times New Roman"/>
          <w:color w:val="auto"/>
        </w:rPr>
      </w:pPr>
      <w:r>
        <w:rPr>
          <w:rFonts w:cs="Times New Roman"/>
          <w:color w:val="auto"/>
        </w:rPr>
        <w:t>进一步解放思想、更新观念，坚持以改革释放生产力，以创新激发创造力，充分调动</w:t>
      </w:r>
      <w:r>
        <w:rPr>
          <w:rFonts w:hint="eastAsia" w:cs="Times New Roman"/>
          <w:color w:val="auto"/>
        </w:rPr>
        <w:t>土地、劳动力、资本、技术、数据</w:t>
      </w:r>
      <w:r>
        <w:rPr>
          <w:rFonts w:cs="Times New Roman"/>
          <w:color w:val="auto"/>
        </w:rPr>
        <w:t>等关键要素，汇聚金川高质量发展新优势。</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390" w:name="_Toc27087_WPSOffice_Level2"/>
      <w:bookmarkStart w:id="391" w:name="_Toc19067"/>
      <w:bookmarkStart w:id="392" w:name="_Toc7912"/>
      <w:bookmarkStart w:id="393" w:name="_Toc10601"/>
      <w:r>
        <w:rPr>
          <w:rFonts w:ascii="Times New Roman" w:hAnsi="Times New Roman" w:eastAsia="黑体"/>
          <w:b w:val="0"/>
          <w:bCs w:val="0"/>
          <w:color w:val="auto"/>
          <w:kern w:val="2"/>
          <w:sz w:val="32"/>
          <w:szCs w:val="32"/>
        </w:rPr>
        <w:t>第二十章  深化重点领域改革</w:t>
      </w:r>
      <w:bookmarkEnd w:id="390"/>
      <w:bookmarkEnd w:id="391"/>
      <w:bookmarkEnd w:id="392"/>
      <w:bookmarkEnd w:id="393"/>
    </w:p>
    <w:p>
      <w:pPr>
        <w:spacing w:line="576" w:lineRule="exact"/>
        <w:ind w:firstLine="640" w:firstLineChars="200"/>
        <w:rPr>
          <w:rFonts w:eastAsia="仿宋" w:cs="Times New Roman"/>
          <w:color w:val="auto"/>
        </w:rPr>
      </w:pPr>
      <w:r>
        <w:rPr>
          <w:rFonts w:cs="Times New Roman"/>
          <w:color w:val="auto"/>
        </w:rPr>
        <w:t>推动有效市场和有为政府更好结合，在激发市场主体活力、加强财税金融改革、深化农业农村改革、推动要素市场化配置等重点领域改革中力争取得更多实质性成果，全面释放改革红利。</w:t>
      </w:r>
    </w:p>
    <w:p>
      <w:pPr>
        <w:pStyle w:val="5"/>
        <w:spacing w:before="156" w:beforeLines="50" w:after="156" w:afterLines="50" w:line="576" w:lineRule="exact"/>
        <w:jc w:val="center"/>
        <w:rPr>
          <w:rFonts w:eastAsia="楷体_GB2312"/>
          <w:color w:val="auto"/>
        </w:rPr>
      </w:pPr>
      <w:bookmarkStart w:id="394" w:name="_Toc824_WPSOffice_Level3"/>
      <w:bookmarkStart w:id="395" w:name="_Toc7760"/>
      <w:bookmarkStart w:id="396" w:name="_Toc17406"/>
      <w:bookmarkStart w:id="397" w:name="_Toc17601"/>
      <w:r>
        <w:rPr>
          <w:rFonts w:eastAsia="楷体_GB2312"/>
          <w:color w:val="auto"/>
        </w:rPr>
        <w:t>第一节  激活市场主体活力</w:t>
      </w:r>
      <w:bookmarkEnd w:id="394"/>
      <w:bookmarkEnd w:id="395"/>
      <w:bookmarkEnd w:id="396"/>
      <w:bookmarkEnd w:id="397"/>
    </w:p>
    <w:p>
      <w:pPr>
        <w:spacing w:line="576" w:lineRule="exact"/>
        <w:ind w:firstLine="640" w:firstLineChars="200"/>
        <w:rPr>
          <w:rFonts w:cs="Times New Roman"/>
          <w:color w:val="auto"/>
        </w:rPr>
      </w:pPr>
      <w:r>
        <w:rPr>
          <w:rFonts w:cs="Times New Roman"/>
          <w:color w:val="auto"/>
        </w:rPr>
        <w:t>毫不动摇巩固和发展公有制经济，全面深化国有企业改革，明确党组织在法人治理结构中的法定地位，健全以管资本为主的国有资产管理体制。加快完成融资平台实体化转型，推动融资平台公司转型为市场化运营的国有企业，支持转型后更多运用市场化方式和社会力量增强融资能力。积极将超标配置、低效运转或长期闲置不用的资产通过出售、出租等市场化手段和划转调剂、共享共用等方式，分类有效盘活存量资产。妥善处理国有企业改革遗留问题，加强“僵户死户企业”清理，完善市场主体退出机制，提高国有资产利用和配置效率。毫不动摇鼓励、支持、引导非公有制经济发展，依法平等保护各类所有制企业产权和自主经营权。大力发展混合所有制经济，鼓励非国有资本参与国有资本重组和投资。优化民营经济发展环境，构建亲清政商关系。大力弘扬优秀企业家精神，培育一批优秀企业家和职业经理人。</w:t>
      </w:r>
    </w:p>
    <w:p>
      <w:pPr>
        <w:pStyle w:val="5"/>
        <w:spacing w:before="156" w:beforeLines="50" w:after="156" w:afterLines="50" w:line="576" w:lineRule="exact"/>
        <w:jc w:val="center"/>
        <w:rPr>
          <w:rFonts w:eastAsia="楷体_GB2312"/>
          <w:color w:val="auto"/>
        </w:rPr>
      </w:pPr>
      <w:bookmarkStart w:id="398" w:name="_Toc17984_WPSOffice_Level3"/>
      <w:bookmarkStart w:id="399" w:name="_Toc10608"/>
      <w:bookmarkStart w:id="400" w:name="_Toc11871"/>
      <w:bookmarkStart w:id="401" w:name="_Toc10483"/>
      <w:r>
        <w:rPr>
          <w:rFonts w:eastAsia="楷体_GB2312"/>
          <w:color w:val="auto"/>
        </w:rPr>
        <w:t>第二节  加强财税金融改革</w:t>
      </w:r>
      <w:bookmarkEnd w:id="398"/>
      <w:bookmarkEnd w:id="399"/>
      <w:bookmarkEnd w:id="400"/>
      <w:bookmarkEnd w:id="401"/>
    </w:p>
    <w:p>
      <w:pPr>
        <w:spacing w:line="576" w:lineRule="exact"/>
        <w:ind w:firstLine="640" w:firstLineChars="200"/>
        <w:rPr>
          <w:rFonts w:cs="Times New Roman"/>
          <w:color w:val="auto"/>
        </w:rPr>
      </w:pPr>
      <w:r>
        <w:rPr>
          <w:rFonts w:cs="Times New Roman"/>
          <w:color w:val="auto"/>
        </w:rPr>
        <w:t>深化财税体制改革试点，改进预算管理制度，推进绩效管理和预算管理深度融合，提高财政资源配置使用效率。建立健全稳定投资机制，严格落实预算内项目管理办法，健全政府投资计划三年滚动机制。调整优化财政支出结构，有效保障农业农村、教育、社保、医疗等关系群众切身利益的重点领域支出。加强预算执行管理，严格控制预算调整事项。妥善处理存量政府债务</w:t>
      </w:r>
      <w:r>
        <w:rPr>
          <w:rFonts w:hint="eastAsia" w:cs="Times New Roman"/>
          <w:color w:val="auto"/>
        </w:rPr>
        <w:t>，</w:t>
      </w:r>
      <w:r>
        <w:rPr>
          <w:rFonts w:cs="Times New Roman"/>
          <w:color w:val="auto"/>
        </w:rPr>
        <w:t>积极</w:t>
      </w:r>
      <w:r>
        <w:rPr>
          <w:rFonts w:hint="eastAsia" w:cs="Times New Roman"/>
          <w:color w:val="auto"/>
        </w:rPr>
        <w:t>防范化解债务风险。</w:t>
      </w:r>
      <w:r>
        <w:rPr>
          <w:rFonts w:cs="Times New Roman"/>
          <w:color w:val="auto"/>
        </w:rPr>
        <w:t>积极引进域外金融机构，鼓励金融租赁公司、消费金融公司到金川拓展业务。降低企业融资成本，创新金融服务实体经济机制。</w:t>
      </w:r>
    </w:p>
    <w:p>
      <w:pPr>
        <w:pStyle w:val="5"/>
        <w:spacing w:before="156" w:beforeLines="50" w:after="156" w:afterLines="50" w:line="576" w:lineRule="exact"/>
        <w:jc w:val="center"/>
        <w:rPr>
          <w:rFonts w:eastAsia="楷体_GB2312"/>
          <w:color w:val="auto"/>
        </w:rPr>
      </w:pPr>
      <w:bookmarkStart w:id="402" w:name="_Toc11242"/>
      <w:bookmarkStart w:id="403" w:name="_Toc15476"/>
      <w:bookmarkStart w:id="404" w:name="_Toc27042"/>
      <w:bookmarkStart w:id="405" w:name="_Toc23075_WPSOffice_Level3"/>
      <w:r>
        <w:rPr>
          <w:rFonts w:eastAsia="楷体_GB2312"/>
          <w:color w:val="auto"/>
        </w:rPr>
        <w:t>第三节  深化农业农村改革</w:t>
      </w:r>
      <w:bookmarkEnd w:id="402"/>
      <w:bookmarkEnd w:id="403"/>
      <w:bookmarkEnd w:id="404"/>
      <w:bookmarkEnd w:id="405"/>
    </w:p>
    <w:p>
      <w:pPr>
        <w:spacing w:line="576" w:lineRule="exact"/>
        <w:ind w:firstLine="640" w:firstLineChars="200"/>
        <w:rPr>
          <w:rFonts w:eastAsia="仿宋" w:cs="Times New Roman"/>
          <w:color w:val="auto"/>
        </w:rPr>
      </w:pPr>
      <w:r>
        <w:rPr>
          <w:rFonts w:cs="Times New Roman"/>
          <w:color w:val="auto"/>
        </w:rPr>
        <w:t>健全城乡融合发展机制，推进城乡要素自由流动、平等交换和公共资源合理配置，为乡村振兴注入新动能。落实第二轮土地承包到期后再延长三十年政策，完善农村土地所有权、承包权、经营权“三权分置”改革，鼓励农牧民通过流转、托管、入股等方式发展适度规模经营。保障进城务工农牧民土地承包权、宅基地使用权、集体收益分配权，鼓励依法自愿有偿转让。提升金川县农村产权交易中心服务功能，引导村集体经营性和资源性资产入市交易。深化集体林权制度改革，探索集体荒漠土地市场化路径，设定土地用途并鼓励个人申领使用权。积极推进生态效益补偿、政策性森林保险、林木采伐管理、林地林下流转、林权抵押贷款</w:t>
      </w:r>
      <w:r>
        <w:rPr>
          <w:rFonts w:cs="Times New Roman"/>
          <w:color w:val="auto"/>
          <w:spacing w:val="-6"/>
        </w:rPr>
        <w:t>等集体林权制度配套改革。健全农村金融服务体系，发展农业保险。</w:t>
      </w:r>
    </w:p>
    <w:p>
      <w:pPr>
        <w:pStyle w:val="5"/>
        <w:spacing w:before="156" w:beforeLines="50" w:after="156" w:afterLines="50" w:line="576" w:lineRule="exact"/>
        <w:jc w:val="center"/>
        <w:rPr>
          <w:rFonts w:eastAsia="楷体_GB2312"/>
          <w:color w:val="auto"/>
        </w:rPr>
      </w:pPr>
      <w:bookmarkStart w:id="406" w:name="_Toc2869"/>
      <w:bookmarkStart w:id="407" w:name="_Toc13549"/>
      <w:bookmarkStart w:id="408" w:name="_Toc23986"/>
      <w:bookmarkStart w:id="409" w:name="_Toc15220_WPSOffice_Level3"/>
      <w:r>
        <w:rPr>
          <w:rFonts w:eastAsia="楷体_GB2312"/>
          <w:color w:val="auto"/>
        </w:rPr>
        <w:t>第四节  强化要素市场化配置</w:t>
      </w:r>
      <w:bookmarkEnd w:id="406"/>
      <w:bookmarkEnd w:id="407"/>
      <w:bookmarkEnd w:id="408"/>
      <w:bookmarkEnd w:id="409"/>
    </w:p>
    <w:p>
      <w:pPr>
        <w:spacing w:line="576" w:lineRule="exact"/>
        <w:ind w:firstLine="640" w:firstLineChars="200"/>
        <w:rPr>
          <w:rFonts w:cs="Times New Roman"/>
          <w:color w:val="auto"/>
        </w:rPr>
      </w:pPr>
      <w:r>
        <w:rPr>
          <w:rFonts w:cs="Times New Roman"/>
          <w:color w:val="auto"/>
        </w:rPr>
        <w:t>加快建设城乡统一的建设用地市场，深化土地市场化配置改革，打造集中统一规范的国有产权交易平台、农村产权交易平台、知识产权交易评估平台。推进留存电量交易平台建设，做好水电消纳试点。建立土地分类管理和差异化供给制度，推进城乡建设用地增减挂钩结余指标市场化流转。加快要素价格市场化改革，建立健全电力、水、天然气等要素市场化定价机制。</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410" w:name="_Toc26564"/>
      <w:bookmarkStart w:id="411" w:name="_Toc19057_WPSOffice_Level2"/>
      <w:bookmarkStart w:id="412" w:name="_Toc2789"/>
      <w:bookmarkStart w:id="413" w:name="_Toc14674"/>
      <w:r>
        <w:rPr>
          <w:rFonts w:ascii="Times New Roman" w:hAnsi="Times New Roman" w:eastAsia="黑体"/>
          <w:b w:val="0"/>
          <w:bCs w:val="0"/>
          <w:color w:val="auto"/>
          <w:kern w:val="2"/>
          <w:sz w:val="32"/>
          <w:szCs w:val="32"/>
        </w:rPr>
        <w:t>第二十一章  打造一流营商环境</w:t>
      </w:r>
      <w:bookmarkEnd w:id="410"/>
      <w:bookmarkEnd w:id="411"/>
      <w:bookmarkEnd w:id="412"/>
      <w:bookmarkEnd w:id="413"/>
    </w:p>
    <w:p>
      <w:pPr>
        <w:spacing w:line="576" w:lineRule="exact"/>
        <w:ind w:firstLine="640" w:firstLineChars="200"/>
        <w:rPr>
          <w:rFonts w:cs="Times New Roman"/>
          <w:color w:val="auto"/>
        </w:rPr>
      </w:pPr>
      <w:r>
        <w:rPr>
          <w:rFonts w:cs="Times New Roman"/>
          <w:color w:val="auto"/>
        </w:rPr>
        <w:t>坚持以满足市场主体需求为导向，以深刻转变政府职能为核心，深入开展“环境革命”，坚决打破观念、体制、利益“雷区”，全力营造稳定、公平、透明、可预期的一流营商环境。</w:t>
      </w:r>
    </w:p>
    <w:p>
      <w:pPr>
        <w:pStyle w:val="5"/>
        <w:spacing w:before="156" w:beforeLines="50" w:after="156" w:afterLines="50" w:line="576" w:lineRule="exact"/>
        <w:jc w:val="center"/>
        <w:rPr>
          <w:rFonts w:eastAsia="楷体_GB2312"/>
          <w:color w:val="auto"/>
        </w:rPr>
      </w:pPr>
      <w:bookmarkStart w:id="414" w:name="_Toc25792_WPSOffice_Level3"/>
      <w:bookmarkStart w:id="415" w:name="_Toc3843"/>
      <w:bookmarkStart w:id="416" w:name="_Toc4015"/>
      <w:bookmarkStart w:id="417" w:name="_Toc15619"/>
      <w:r>
        <w:rPr>
          <w:rFonts w:eastAsia="楷体_GB2312"/>
          <w:color w:val="auto"/>
        </w:rPr>
        <w:t>第一节  提升便捷高效政务环境</w:t>
      </w:r>
      <w:bookmarkEnd w:id="414"/>
      <w:bookmarkEnd w:id="415"/>
      <w:bookmarkEnd w:id="416"/>
      <w:bookmarkEnd w:id="417"/>
    </w:p>
    <w:p>
      <w:pPr>
        <w:spacing w:line="576" w:lineRule="exact"/>
        <w:ind w:firstLine="640" w:firstLineChars="200"/>
        <w:rPr>
          <w:rFonts w:cs="Times New Roman"/>
          <w:color w:val="auto"/>
        </w:rPr>
      </w:pPr>
      <w:r>
        <w:rPr>
          <w:rFonts w:cs="Times New Roman"/>
          <w:color w:val="auto"/>
        </w:rPr>
        <w:t>持续深化“放管服”改革，清理完善“三张清单”。加快推进互联网与政务服务深度融合，全面深化“一网通办”“无见面”审批和“最多跑一次改革”，持续巩固“三集中、三到位”，细化“首问责任制”“限时办结制”“责任追究制”三项制度，提供便利高效的政务服务。优化审批环节和流程，扎实推进审批服务“马上办、网上办、就近办、一次办”，逐步实施一枚印章管审批，着力提升政务服务效能。加快建设数字政府，推进政务服务标准化、规范化、便利化。</w:t>
      </w:r>
    </w:p>
    <w:p>
      <w:pPr>
        <w:pStyle w:val="5"/>
        <w:spacing w:before="156" w:beforeLines="50" w:after="156" w:afterLines="50" w:line="576" w:lineRule="exact"/>
        <w:jc w:val="center"/>
        <w:rPr>
          <w:rFonts w:eastAsia="楷体_GB2312"/>
          <w:color w:val="auto"/>
        </w:rPr>
      </w:pPr>
      <w:bookmarkStart w:id="418" w:name="_Toc25608"/>
      <w:bookmarkStart w:id="419" w:name="_Toc21649_WPSOffice_Level3"/>
      <w:bookmarkStart w:id="420" w:name="_Toc11730"/>
      <w:bookmarkStart w:id="421" w:name="_Toc24304"/>
      <w:r>
        <w:rPr>
          <w:rFonts w:eastAsia="楷体_GB2312"/>
          <w:color w:val="auto"/>
        </w:rPr>
        <w:t>第二节  优化宜业宜商政策环境</w:t>
      </w:r>
      <w:bookmarkEnd w:id="418"/>
      <w:bookmarkEnd w:id="419"/>
      <w:bookmarkEnd w:id="420"/>
      <w:bookmarkEnd w:id="421"/>
    </w:p>
    <w:p>
      <w:pPr>
        <w:spacing w:line="576" w:lineRule="exact"/>
        <w:ind w:firstLine="640" w:firstLineChars="200"/>
        <w:rPr>
          <w:rFonts w:eastAsia="仿宋" w:cs="Times New Roman"/>
          <w:color w:val="auto"/>
        </w:rPr>
      </w:pPr>
      <w:r>
        <w:rPr>
          <w:rFonts w:cs="Times New Roman"/>
          <w:color w:val="auto"/>
        </w:rPr>
        <w:t>按照“经营领域放开、准入条件放宽、市场门槛放低、税费政策放活”原则，健全完善重大投资项目审批绿色通道、重大项目代办制、重大招商项目服务直通车等制度。落实促进民营经济和中小微企业发展政策，全面兑现招商引资优惠和激励政策，努力降低企业税费负担和制度性交易成本。实施涉企经营许可事项清单管理，加强事中事后监管，对新产业新业态实行包容审慎监管。抓好市场环境重点领域和重点环节问题整治，依法严厉打击非法阻工、强买强卖、漫天要价等破坏市场秩序的行为。</w:t>
      </w:r>
    </w:p>
    <w:p>
      <w:pPr>
        <w:pStyle w:val="5"/>
        <w:spacing w:before="156" w:beforeLines="50" w:after="156" w:afterLines="50" w:line="576" w:lineRule="exact"/>
        <w:jc w:val="center"/>
        <w:rPr>
          <w:rFonts w:eastAsia="楷体_GB2312"/>
          <w:color w:val="auto"/>
        </w:rPr>
      </w:pPr>
      <w:bookmarkStart w:id="422" w:name="_Toc23760"/>
      <w:bookmarkStart w:id="423" w:name="_Toc26860"/>
      <w:bookmarkStart w:id="424" w:name="_Toc1965_WPSOffice_Level3"/>
      <w:bookmarkStart w:id="425" w:name="_Toc9871"/>
      <w:r>
        <w:rPr>
          <w:rFonts w:eastAsia="楷体_GB2312"/>
          <w:color w:val="auto"/>
        </w:rPr>
        <w:t>第三节  营造诚实守信社会环境</w:t>
      </w:r>
      <w:bookmarkEnd w:id="422"/>
      <w:bookmarkEnd w:id="423"/>
      <w:bookmarkEnd w:id="424"/>
      <w:bookmarkEnd w:id="425"/>
    </w:p>
    <w:p>
      <w:pPr>
        <w:spacing w:line="576" w:lineRule="exact"/>
        <w:ind w:firstLine="640" w:firstLineChars="200"/>
        <w:rPr>
          <w:rFonts w:cs="Times New Roman"/>
          <w:color w:val="auto"/>
        </w:rPr>
      </w:pPr>
      <w:r>
        <w:rPr>
          <w:rFonts w:cs="Times New Roman"/>
          <w:color w:val="auto"/>
        </w:rPr>
        <w:t>加快社会信用体系建设步伐，强化政务诚信、商务诚信、社会诚信等重点领域建设，营造良好的社会信用环境。强化政务信用建设，建立“政府承诺+社会监督+失信问责”机制，坚决杜绝影响政府形象的失信行为。强化商务诚信建设，完善企业守法诚信等级评价机制，落实好奖惩措施。加强社会诚信教育，制定诚信宣传实施方案。推动各部门开展联合惩戒，加大信用信息归集共享力度，做到信用数据“应归尽归”“应报尽报”。</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426" w:name="_Toc12668"/>
      <w:bookmarkStart w:id="427" w:name="_Toc14385"/>
      <w:bookmarkStart w:id="428" w:name="_Toc10532"/>
      <w:bookmarkStart w:id="429" w:name="_Toc20141_WPSOffice_Level2"/>
      <w:r>
        <w:rPr>
          <w:rFonts w:ascii="Times New Roman" w:hAnsi="Times New Roman" w:eastAsia="黑体"/>
          <w:b w:val="0"/>
          <w:bCs w:val="0"/>
          <w:color w:val="auto"/>
          <w:kern w:val="2"/>
          <w:sz w:val="32"/>
          <w:szCs w:val="32"/>
        </w:rPr>
        <w:t>第二十二章  增强科技创新能力</w:t>
      </w:r>
      <w:bookmarkEnd w:id="426"/>
      <w:bookmarkEnd w:id="427"/>
      <w:bookmarkEnd w:id="428"/>
      <w:bookmarkEnd w:id="429"/>
    </w:p>
    <w:p>
      <w:pPr>
        <w:spacing w:line="576" w:lineRule="exact"/>
        <w:ind w:firstLine="640" w:firstLineChars="200"/>
        <w:rPr>
          <w:rFonts w:cs="Times New Roman"/>
          <w:color w:val="auto"/>
          <w:szCs w:val="32"/>
        </w:rPr>
      </w:pPr>
      <w:r>
        <w:rPr>
          <w:rFonts w:cs="Times New Roman"/>
          <w:color w:val="auto"/>
        </w:rPr>
        <w:t>统筹科技创新资源，做好搭平台、聚资源、优服务“三篇文章”，不断提高科技进步贡献率，努力创造更多依靠创新驱动、更多发挥优势的引领型发展。</w:t>
      </w:r>
    </w:p>
    <w:p>
      <w:pPr>
        <w:pStyle w:val="5"/>
        <w:spacing w:before="156" w:beforeLines="50" w:after="156" w:afterLines="50" w:line="576" w:lineRule="exact"/>
        <w:jc w:val="center"/>
        <w:rPr>
          <w:rFonts w:eastAsia="楷体_GB2312"/>
          <w:color w:val="auto"/>
        </w:rPr>
      </w:pPr>
      <w:bookmarkStart w:id="430" w:name="_Toc7998"/>
      <w:bookmarkStart w:id="431" w:name="_Toc21916_WPSOffice_Level3"/>
      <w:bookmarkStart w:id="432" w:name="_Toc17121"/>
      <w:bookmarkStart w:id="433" w:name="_Toc22038"/>
      <w:r>
        <w:rPr>
          <w:rFonts w:eastAsia="楷体_GB2312"/>
          <w:color w:val="auto"/>
        </w:rPr>
        <w:t>第一节  加大科技创新投入</w:t>
      </w:r>
      <w:bookmarkEnd w:id="430"/>
      <w:bookmarkEnd w:id="431"/>
      <w:bookmarkEnd w:id="432"/>
      <w:bookmarkEnd w:id="433"/>
    </w:p>
    <w:p>
      <w:pPr>
        <w:spacing w:line="576" w:lineRule="exact"/>
        <w:ind w:firstLine="640" w:firstLineChars="200"/>
        <w:rPr>
          <w:rFonts w:eastAsia="仿宋" w:cs="Times New Roman"/>
          <w:color w:val="auto"/>
        </w:rPr>
      </w:pPr>
      <w:r>
        <w:rPr>
          <w:rFonts w:cs="Times New Roman"/>
          <w:color w:val="auto"/>
        </w:rPr>
        <w:t>加大财政对科技发展的投入力度，积极争取中央、省、州科技项目资金支持，建立县级“应用技术研究与开发资金”，力争投入达到县级财政一般预算收入的3%以上。强化企业创新主体地位，引导企业逐步提高技术开发资金投入，积极培育科技型中小企业。力争到2025年，全县科技型中小型企业达8家，高新技术企业实现零突破。</w:t>
      </w:r>
    </w:p>
    <w:p>
      <w:pPr>
        <w:pStyle w:val="5"/>
        <w:spacing w:before="156" w:beforeLines="50" w:after="156" w:afterLines="50" w:line="576" w:lineRule="exact"/>
        <w:jc w:val="center"/>
        <w:rPr>
          <w:rFonts w:eastAsia="楷体_GB2312"/>
          <w:color w:val="auto"/>
        </w:rPr>
      </w:pPr>
      <w:bookmarkStart w:id="434" w:name="_Toc22011"/>
      <w:bookmarkStart w:id="435" w:name="_Toc10550_WPSOffice_Level3"/>
      <w:bookmarkStart w:id="436" w:name="_Toc868"/>
      <w:bookmarkStart w:id="437" w:name="_Toc14243"/>
      <w:r>
        <w:rPr>
          <w:rFonts w:eastAsia="楷体_GB2312"/>
          <w:color w:val="auto"/>
        </w:rPr>
        <w:t>第二节  强化科技成果转化</w:t>
      </w:r>
      <w:bookmarkEnd w:id="434"/>
      <w:bookmarkEnd w:id="435"/>
      <w:bookmarkEnd w:id="436"/>
      <w:bookmarkEnd w:id="437"/>
    </w:p>
    <w:p>
      <w:pPr>
        <w:spacing w:line="576" w:lineRule="exact"/>
        <w:ind w:firstLine="640" w:firstLineChars="200"/>
        <w:rPr>
          <w:rFonts w:cs="Times New Roman"/>
          <w:color w:val="auto"/>
        </w:rPr>
      </w:pPr>
      <w:r>
        <w:rPr>
          <w:rFonts w:cs="Times New Roman"/>
          <w:color w:val="auto"/>
        </w:rPr>
        <w:t>完善科技成果开发与转化机制，强化技术引进、消化吸收、推广和再创新，积极开展新品种、新技术引进、试种试验示范推广，加强规范化、标准化种植技术和产品质量研发。加强产学研合作平台建设，鼓励龙头企业与高等院校、科研院所开展科技合作。强化重点科技项目攻关，大力支持水电、锂电等工业技改扩能，组织实施传统特色产业瓶颈技术攻关工程、现代农业科技创新工程，强化科技创新驱动产业提质增效。积极开展高原道地药材人工种植驯化、示范和推广研究，培育大宗优势品种，积极引进适宜我县生长的具有经济价值的中藏药材。“十四五”期间，力争引进新品种10个、新技术5项。</w:t>
      </w:r>
    </w:p>
    <w:p>
      <w:pPr>
        <w:pStyle w:val="5"/>
        <w:spacing w:before="156" w:beforeLines="50" w:after="156" w:afterLines="50" w:line="576" w:lineRule="exact"/>
        <w:jc w:val="center"/>
        <w:rPr>
          <w:rFonts w:eastAsia="楷体_GB2312"/>
          <w:color w:val="auto"/>
        </w:rPr>
      </w:pPr>
      <w:bookmarkStart w:id="438" w:name="_Toc10186"/>
      <w:bookmarkStart w:id="439" w:name="_Toc1665"/>
      <w:bookmarkStart w:id="440" w:name="_Toc23717_WPSOffice_Level3"/>
      <w:bookmarkStart w:id="441" w:name="_Toc502"/>
      <w:r>
        <w:rPr>
          <w:rFonts w:eastAsia="楷体_GB2312"/>
          <w:color w:val="auto"/>
        </w:rPr>
        <w:t>第三节  提升科技创新服务</w:t>
      </w:r>
      <w:bookmarkEnd w:id="438"/>
      <w:bookmarkEnd w:id="439"/>
      <w:bookmarkEnd w:id="440"/>
      <w:bookmarkEnd w:id="441"/>
    </w:p>
    <w:p>
      <w:pPr>
        <w:spacing w:line="576" w:lineRule="exact"/>
        <w:ind w:firstLine="640" w:firstLineChars="200"/>
        <w:rPr>
          <w:rFonts w:cs="Times New Roman"/>
          <w:color w:val="auto"/>
        </w:rPr>
      </w:pPr>
      <w:r>
        <w:rPr>
          <w:rFonts w:cs="Times New Roman"/>
          <w:color w:val="auto"/>
        </w:rPr>
        <w:t>充分发挥“四川科技扶贫在线”“天府科技云”平台作用，建立县级科技服务平台，完善科技成果转化服务体系，提升全民科学素质，助推乡村振兴。实施科技骨干素质提升工程，邀请知名学者、行业专家开展技术指导与技能培训，培养“落地式”科技人才队伍。利用科普宣传周等时间节点，组织专业技术人员深入田间地头，实地开展农牧业科学技术培训指导工作。加强知识产权保护，搞好技术咨询、专利申请、技术交易等社会化技术服务。到2025年，全县科学技术普及率和实用技术培训覆盖率分别达到99%和95%以上。</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442" w:name="_Toc24447_WPSOffice_Level2"/>
      <w:bookmarkStart w:id="443" w:name="_Toc31046"/>
      <w:bookmarkStart w:id="444" w:name="_Toc25396"/>
      <w:bookmarkStart w:id="445" w:name="_Toc11103"/>
      <w:r>
        <w:rPr>
          <w:rFonts w:ascii="Times New Roman" w:hAnsi="Times New Roman" w:eastAsia="黑体"/>
          <w:b w:val="0"/>
          <w:bCs w:val="0"/>
          <w:color w:val="auto"/>
          <w:kern w:val="2"/>
          <w:sz w:val="32"/>
          <w:szCs w:val="32"/>
        </w:rPr>
        <w:t>第二十三章  加强人才队伍建设</w:t>
      </w:r>
      <w:bookmarkEnd w:id="442"/>
      <w:bookmarkEnd w:id="443"/>
      <w:bookmarkEnd w:id="444"/>
      <w:bookmarkEnd w:id="445"/>
    </w:p>
    <w:p>
      <w:pPr>
        <w:spacing w:line="576" w:lineRule="exact"/>
        <w:ind w:firstLine="640" w:firstLineChars="200"/>
        <w:rPr>
          <w:rFonts w:cs="Times New Roman"/>
          <w:color w:val="auto"/>
        </w:rPr>
      </w:pPr>
      <w:r>
        <w:rPr>
          <w:rFonts w:cs="Times New Roman"/>
          <w:color w:val="auto"/>
        </w:rPr>
        <w:t>坚持用宽松的政策和优良的环境聚才、引才、留才、用才，进一步完善人才“育选留用”机制，打造一支数量充足、结构合理、素质优良的人才队伍。</w:t>
      </w:r>
    </w:p>
    <w:p>
      <w:pPr>
        <w:pStyle w:val="5"/>
        <w:spacing w:before="156" w:beforeLines="50" w:after="156" w:afterLines="50" w:line="576" w:lineRule="exact"/>
        <w:jc w:val="center"/>
        <w:rPr>
          <w:rFonts w:eastAsia="楷体_GB2312"/>
          <w:color w:val="auto"/>
        </w:rPr>
      </w:pPr>
      <w:bookmarkStart w:id="446" w:name="_Toc9630"/>
      <w:bookmarkStart w:id="447" w:name="_Toc5386"/>
      <w:bookmarkStart w:id="448" w:name="_Toc20341"/>
      <w:bookmarkStart w:id="449" w:name="_Toc17495_WPSOffice_Level3"/>
      <w:r>
        <w:rPr>
          <w:rFonts w:eastAsia="楷体_GB2312"/>
          <w:color w:val="auto"/>
        </w:rPr>
        <w:t>第一节  加大人才引进力度</w:t>
      </w:r>
      <w:bookmarkEnd w:id="446"/>
      <w:bookmarkEnd w:id="447"/>
      <w:bookmarkEnd w:id="448"/>
      <w:bookmarkEnd w:id="449"/>
    </w:p>
    <w:p>
      <w:pPr>
        <w:spacing w:line="576" w:lineRule="exact"/>
        <w:ind w:firstLine="640" w:firstLineChars="200"/>
        <w:rPr>
          <w:rFonts w:cs="Times New Roman"/>
          <w:color w:val="auto"/>
        </w:rPr>
      </w:pPr>
      <w:r>
        <w:rPr>
          <w:rFonts w:cs="Times New Roman"/>
          <w:color w:val="auto"/>
        </w:rPr>
        <w:t>加大“阿坝英才计划”“硕博进阿坝行动”引才力度，重点围绕教育、医疗、卫生、党政、农技等领域，引进一批高层次专业技术人才和紧缺人才。畅通柔性引进人才途径，通过“客座教授”、专家工作站、业务顾问等方式，开辟紧缺人才及高层次人才引进的“绿色通道”。充分发挥“亲情、乡情、友情”的情感纽带作用，以“亲缘、地缘、业缘”为联络方式，创新人才引进模式，提升引才实效。加大服务基层项目人员招聘力度，做好“三支一扶”大学生、特岗教师、大学生志愿服务西部计划人员招募选拔和服务管理工作。</w:t>
      </w:r>
    </w:p>
    <w:p>
      <w:pPr>
        <w:pStyle w:val="5"/>
        <w:spacing w:before="156" w:beforeLines="50" w:after="156" w:afterLines="50" w:line="576" w:lineRule="exact"/>
        <w:jc w:val="center"/>
        <w:rPr>
          <w:rFonts w:eastAsia="楷体_GB2312"/>
          <w:color w:val="auto"/>
        </w:rPr>
      </w:pPr>
      <w:bookmarkStart w:id="450" w:name="_Toc8503_WPSOffice_Level3"/>
      <w:bookmarkStart w:id="451" w:name="_Toc10969"/>
      <w:bookmarkStart w:id="452" w:name="_Toc4916"/>
      <w:bookmarkStart w:id="453" w:name="_Toc28404"/>
      <w:r>
        <w:rPr>
          <w:rFonts w:eastAsia="楷体_GB2312"/>
          <w:color w:val="auto"/>
        </w:rPr>
        <w:t>第二节  抓好人才队伍培养</w:t>
      </w:r>
      <w:bookmarkEnd w:id="450"/>
      <w:bookmarkEnd w:id="451"/>
      <w:bookmarkEnd w:id="452"/>
      <w:bookmarkEnd w:id="453"/>
    </w:p>
    <w:p>
      <w:pPr>
        <w:spacing w:line="576" w:lineRule="exact"/>
        <w:ind w:firstLine="640" w:firstLineChars="200"/>
        <w:rPr>
          <w:rFonts w:cs="Times New Roman"/>
          <w:color w:val="auto"/>
        </w:rPr>
      </w:pPr>
      <w:r>
        <w:rPr>
          <w:rFonts w:cs="Times New Roman"/>
          <w:color w:val="auto"/>
        </w:rPr>
        <w:t>实施人才振兴工程，扎实推进人才定向培养、在职培训、人才招引、人才援助、人才稳定五大重点行动。实施援助干部人才盘活工程，推进东西部扶贫协作、省内对口帮扶干部人才交流项目。深入实施优秀农民工定向回引培养工程，扎实推进“三培三带”行动，培养造就一支懂农业、爱农村、爱农民的“三农”工作队伍。抓实“千名紧缺人才培养行动”，统筹选派本土骨干人才赴省内跟岗学习3-6个月。深入实施全民科学素质行动计划，</w:t>
      </w:r>
      <w:r>
        <w:rPr>
          <w:rFonts w:ascii="Times New Roman" w:hAnsi="Times New Roman" w:cs="Times New Roman"/>
          <w:color w:val="auto"/>
        </w:rPr>
        <w:t>加大对中小学生、农牧民</w:t>
      </w:r>
      <w:r>
        <w:rPr>
          <w:rFonts w:cs="Times New Roman"/>
          <w:color w:val="auto"/>
        </w:rPr>
        <w:t>等重点群体科普宣传和教育力度，提高全民科学素质。到2025年，全县高级工以上技术工人占技术性从业人员的比重达到20%左右，其中技师和高级技师占到5%。</w:t>
      </w:r>
    </w:p>
    <w:p>
      <w:pPr>
        <w:pStyle w:val="5"/>
        <w:spacing w:before="156" w:beforeLines="50" w:after="156" w:afterLines="50" w:line="576" w:lineRule="exact"/>
        <w:jc w:val="center"/>
        <w:rPr>
          <w:rFonts w:eastAsia="楷体_GB2312"/>
          <w:color w:val="auto"/>
        </w:rPr>
      </w:pPr>
      <w:bookmarkStart w:id="454" w:name="_Toc30321"/>
      <w:bookmarkStart w:id="455" w:name="_Toc32069"/>
      <w:bookmarkStart w:id="456" w:name="_Toc16609_WPSOffice_Level3"/>
      <w:bookmarkStart w:id="457" w:name="_Toc17698"/>
      <w:r>
        <w:rPr>
          <w:rFonts w:eastAsia="楷体_GB2312"/>
          <w:color w:val="auto"/>
        </w:rPr>
        <w:t>第三节  优化人才资源配置</w:t>
      </w:r>
      <w:bookmarkEnd w:id="454"/>
      <w:bookmarkEnd w:id="455"/>
      <w:bookmarkEnd w:id="456"/>
      <w:bookmarkEnd w:id="457"/>
    </w:p>
    <w:p>
      <w:pPr>
        <w:spacing w:line="576" w:lineRule="exact"/>
        <w:ind w:firstLine="640" w:firstLineChars="200"/>
        <w:rPr>
          <w:rFonts w:cs="Times New Roman"/>
          <w:color w:val="auto"/>
        </w:rPr>
      </w:pPr>
      <w:r>
        <w:rPr>
          <w:rFonts w:cs="Times New Roman"/>
          <w:color w:val="auto"/>
        </w:rPr>
        <w:t>打破城乡、行业、身份等障碍和限制，通过聘用、兼职、讲学、技术合作等多种方式，促进人才技术广泛流动，最大限度地实现县乡人才资源共享。逐步解决单位人员“用非所需”现象，实现专业人员能力、专业与岗位最佳配置。逐步放开单位用人自主权，做到单位与人才双向选择、双重适合，防止出现需要人的岗位引不进人才、引进的人才不适合岗位和人才闲置的现象。</w:t>
      </w:r>
    </w:p>
    <w:p>
      <w:pPr>
        <w:pStyle w:val="5"/>
        <w:spacing w:before="156" w:beforeLines="50" w:after="156" w:afterLines="50" w:line="576" w:lineRule="exact"/>
        <w:jc w:val="center"/>
        <w:rPr>
          <w:rFonts w:eastAsia="楷体_GB2312"/>
          <w:color w:val="auto"/>
        </w:rPr>
      </w:pPr>
      <w:bookmarkStart w:id="458" w:name="_Toc20551"/>
      <w:bookmarkStart w:id="459" w:name="_Toc21265"/>
      <w:bookmarkStart w:id="460" w:name="_Toc32709"/>
      <w:bookmarkStart w:id="461" w:name="_Toc10352_WPSOffice_Level3"/>
      <w:r>
        <w:rPr>
          <w:rFonts w:eastAsia="楷体_GB2312"/>
          <w:color w:val="auto"/>
        </w:rPr>
        <w:t>第四节  完善人才激励机制</w:t>
      </w:r>
      <w:bookmarkEnd w:id="458"/>
      <w:bookmarkEnd w:id="459"/>
      <w:bookmarkEnd w:id="460"/>
      <w:bookmarkEnd w:id="461"/>
    </w:p>
    <w:p>
      <w:pPr>
        <w:spacing w:line="576" w:lineRule="exact"/>
        <w:ind w:firstLine="640" w:firstLineChars="200"/>
        <w:rPr>
          <w:rFonts w:cs="Times New Roman"/>
          <w:color w:val="auto"/>
        </w:rPr>
      </w:pPr>
      <w:r>
        <w:rPr>
          <w:rFonts w:cs="Times New Roman"/>
          <w:color w:val="auto"/>
        </w:rPr>
        <w:t>完善和研究制定吸引人才、留住人才、激励人才、保护人才的有关政策规定。加大政策倾斜力度，积极提供住房、医疗、子女就读、落户、职称申报等优惠政策支持。规范和完善优秀人才评选办法，采取物质奖励和精神奖励相结合的办法，每年评选出一批优秀专业技术人才，加大对县域经济社会发展有特殊贡献杰</w:t>
      </w:r>
      <w:r>
        <w:rPr>
          <w:rFonts w:cs="Times New Roman"/>
          <w:color w:val="auto"/>
          <w:spacing w:val="-6"/>
        </w:rPr>
        <w:t>出人才的奖励。落实新进人员最低服务年限制度，降低人才流失率。</w:t>
      </w:r>
    </w:p>
    <w:p>
      <w:pPr>
        <w:pStyle w:val="3"/>
        <w:spacing w:before="312" w:beforeLines="100" w:after="312" w:afterLines="100" w:line="576" w:lineRule="exact"/>
        <w:rPr>
          <w:color w:val="auto"/>
          <w:sz w:val="36"/>
          <w:szCs w:val="36"/>
        </w:rPr>
      </w:pPr>
      <w:bookmarkStart w:id="462" w:name="_Toc26021"/>
      <w:bookmarkStart w:id="463" w:name="_Toc4260"/>
      <w:bookmarkStart w:id="464" w:name="_Toc29236_WPSOffice_Level1"/>
      <w:bookmarkStart w:id="465" w:name="_Toc17086"/>
      <w:r>
        <w:rPr>
          <w:color w:val="auto"/>
          <w:sz w:val="36"/>
          <w:szCs w:val="36"/>
        </w:rPr>
        <w:t>第八篇  提升共建共享水平，创建高品质生活宜居地</w:t>
      </w:r>
      <w:bookmarkEnd w:id="462"/>
      <w:bookmarkEnd w:id="463"/>
      <w:bookmarkEnd w:id="464"/>
      <w:bookmarkEnd w:id="465"/>
    </w:p>
    <w:p>
      <w:pPr>
        <w:spacing w:line="576" w:lineRule="exact"/>
        <w:ind w:firstLine="640" w:firstLineChars="200"/>
        <w:rPr>
          <w:rFonts w:cs="Times New Roman"/>
          <w:color w:val="auto"/>
        </w:rPr>
      </w:pPr>
      <w:r>
        <w:rPr>
          <w:rFonts w:cs="Times New Roman"/>
          <w:color w:val="auto"/>
        </w:rPr>
        <w:t>坚持以人民为中心的发展思想，把实现好、维护好、发展好群众根本利益作为发展的出发点和落脚点，聚焦人民群众对就业、教育、医疗、养老等民生领域的期盼，最大程度满足人民群众美好生活需要。</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466" w:name="_Toc6013"/>
      <w:bookmarkStart w:id="467" w:name="_Toc2965"/>
      <w:bookmarkStart w:id="468" w:name="_Toc25767_WPSOffice_Level2"/>
      <w:bookmarkStart w:id="469" w:name="_Toc7135"/>
      <w:r>
        <w:rPr>
          <w:rFonts w:ascii="Times New Roman" w:hAnsi="Times New Roman" w:eastAsia="黑体"/>
          <w:b w:val="0"/>
          <w:bCs w:val="0"/>
          <w:color w:val="auto"/>
          <w:kern w:val="2"/>
          <w:sz w:val="32"/>
          <w:szCs w:val="32"/>
        </w:rPr>
        <w:t>第二十四章  做好就业增收</w:t>
      </w:r>
      <w:bookmarkEnd w:id="466"/>
      <w:bookmarkEnd w:id="467"/>
      <w:bookmarkEnd w:id="468"/>
      <w:r>
        <w:rPr>
          <w:rFonts w:hint="eastAsia" w:ascii="Times New Roman" w:hAnsi="Times New Roman" w:eastAsia="黑体"/>
          <w:b w:val="0"/>
          <w:bCs w:val="0"/>
          <w:color w:val="auto"/>
          <w:kern w:val="2"/>
          <w:sz w:val="32"/>
          <w:szCs w:val="32"/>
        </w:rPr>
        <w:t>工作</w:t>
      </w:r>
      <w:bookmarkEnd w:id="469"/>
    </w:p>
    <w:p>
      <w:pPr>
        <w:spacing w:line="576" w:lineRule="exact"/>
        <w:ind w:firstLine="640" w:firstLineChars="200"/>
        <w:rPr>
          <w:rFonts w:cs="Times New Roman"/>
          <w:color w:val="auto"/>
        </w:rPr>
      </w:pPr>
      <w:r>
        <w:rPr>
          <w:rFonts w:cs="Times New Roman"/>
          <w:color w:val="auto"/>
        </w:rPr>
        <w:t>深入实施就业优先战略，完善更加积极的就业政策体系，健全就业公共服务体系，推动实现更高质量和更充分就业。“十四五”期间，全县新增城镇就业人数2750人左右，城镇登记失业率控制在3.8%以内。</w:t>
      </w:r>
    </w:p>
    <w:p>
      <w:pPr>
        <w:pStyle w:val="5"/>
        <w:spacing w:before="156" w:beforeLines="50" w:after="156" w:afterLines="50" w:line="576" w:lineRule="exact"/>
        <w:jc w:val="center"/>
        <w:rPr>
          <w:rFonts w:eastAsia="楷体_GB2312"/>
          <w:color w:val="auto"/>
        </w:rPr>
      </w:pPr>
      <w:bookmarkStart w:id="470" w:name="_Toc31881"/>
      <w:bookmarkStart w:id="471" w:name="_Toc31109"/>
      <w:bookmarkStart w:id="472" w:name="_Toc3815"/>
      <w:bookmarkStart w:id="473" w:name="_Toc8652_WPSOffice_Level3"/>
      <w:r>
        <w:rPr>
          <w:rFonts w:eastAsia="楷体_GB2312"/>
          <w:color w:val="auto"/>
        </w:rPr>
        <w:t>第一节  千方百计扩大就业</w:t>
      </w:r>
      <w:bookmarkEnd w:id="470"/>
      <w:bookmarkEnd w:id="471"/>
      <w:bookmarkEnd w:id="472"/>
      <w:bookmarkEnd w:id="473"/>
    </w:p>
    <w:p>
      <w:pPr>
        <w:spacing w:line="576" w:lineRule="exact"/>
        <w:ind w:firstLine="640" w:firstLineChars="200"/>
        <w:rPr>
          <w:rFonts w:cs="Times New Roman"/>
          <w:color w:val="auto"/>
        </w:rPr>
      </w:pPr>
      <w:r>
        <w:rPr>
          <w:rFonts w:cs="Times New Roman"/>
          <w:color w:val="auto"/>
        </w:rPr>
        <w:t>完善就业政策体系，采用以工代赈等方式为农牧民提供就近就地就业机会。统筹做好藏区无业青年、“9+3”学生、未就业高校毕业生、农民工、退役军人、易地搬迁劳动力等重点群体就业工作</w:t>
      </w:r>
      <w:r>
        <w:rPr>
          <w:rFonts w:hint="eastAsia" w:cs="Times New Roman"/>
          <w:color w:val="auto"/>
        </w:rPr>
        <w:t>。</w:t>
      </w:r>
      <w:r>
        <w:rPr>
          <w:rFonts w:cs="Times New Roman"/>
          <w:color w:val="auto"/>
        </w:rPr>
        <w:t>扎实做好去产能职工、残疾人、戒毒康复人员、社区矫正等困难群体就业工作</w:t>
      </w:r>
      <w:r>
        <w:rPr>
          <w:rFonts w:hint="eastAsia" w:cs="Times New Roman"/>
          <w:color w:val="auto"/>
        </w:rPr>
        <w:t>，</w:t>
      </w:r>
      <w:r>
        <w:rPr>
          <w:rFonts w:cs="Times New Roman"/>
          <w:color w:val="auto"/>
        </w:rPr>
        <w:t>统筹开发环卫保洁、道路养护、治安协管、社区管理等公益性岗位，多渠道多层次优先落实困难人员就业，确保零就业家庭动态清零。结合“春风行动”，搞好农民工输出地输入地对接，加强有组织的劳务输出，引导农民工有序流动。“十四五”期间，年均转移输出农村劳动力1.5万人左右。</w:t>
      </w:r>
    </w:p>
    <w:p>
      <w:pPr>
        <w:pStyle w:val="5"/>
        <w:spacing w:before="156" w:beforeLines="50" w:after="156" w:afterLines="50" w:line="576" w:lineRule="exact"/>
        <w:jc w:val="center"/>
        <w:rPr>
          <w:rFonts w:eastAsia="楷体_GB2312"/>
          <w:color w:val="auto"/>
        </w:rPr>
      </w:pPr>
      <w:bookmarkStart w:id="474" w:name="_Toc23184_WPSOffice_Level3"/>
      <w:bookmarkStart w:id="475" w:name="_Toc9336"/>
      <w:bookmarkStart w:id="476" w:name="_Toc25780"/>
      <w:bookmarkStart w:id="477" w:name="_Toc694"/>
      <w:r>
        <w:rPr>
          <w:rFonts w:eastAsia="楷体_GB2312"/>
          <w:color w:val="auto"/>
        </w:rPr>
        <w:t>第二节  激发创业倍增效应</w:t>
      </w:r>
      <w:bookmarkEnd w:id="474"/>
      <w:bookmarkEnd w:id="475"/>
      <w:bookmarkEnd w:id="476"/>
      <w:bookmarkEnd w:id="477"/>
    </w:p>
    <w:p>
      <w:pPr>
        <w:spacing w:line="576" w:lineRule="exact"/>
        <w:ind w:firstLine="640" w:firstLineChars="200"/>
        <w:rPr>
          <w:rFonts w:cs="Times New Roman"/>
          <w:color w:val="auto"/>
        </w:rPr>
      </w:pPr>
      <w:r>
        <w:rPr>
          <w:rFonts w:cs="Times New Roman"/>
          <w:color w:val="auto"/>
        </w:rPr>
        <w:t>深入推进创业带动就业工作，研究制定创业优惠政策和扶持办法，培育创业典型，不断优化创业环境。大力推动创业平台建设，建立大学生和待就业青年创业孵化基地，重点支持发展农村电商、乡村旅游、民族工艺等创业项目。加大“回乡创业产业园”“农民奔康产业园”等创业载体建设力度，吸引外出务工农牧民返乡创办家庭农场、领办专业合作社。“十四五”期间，年均发放创业担保贷款150万元以上。</w:t>
      </w:r>
    </w:p>
    <w:p>
      <w:pPr>
        <w:pStyle w:val="5"/>
        <w:spacing w:before="156" w:beforeLines="50" w:after="156" w:afterLines="50" w:line="576" w:lineRule="exact"/>
        <w:jc w:val="center"/>
        <w:rPr>
          <w:rFonts w:eastAsia="楷体_GB2312"/>
          <w:color w:val="auto"/>
        </w:rPr>
      </w:pPr>
      <w:bookmarkStart w:id="478" w:name="_Toc20320"/>
      <w:bookmarkStart w:id="479" w:name="_Toc29383"/>
      <w:bookmarkStart w:id="480" w:name="_Toc359"/>
      <w:bookmarkStart w:id="481" w:name="_Toc25327_WPSOffice_Level3"/>
      <w:r>
        <w:rPr>
          <w:rFonts w:eastAsia="楷体_GB2312"/>
          <w:color w:val="auto"/>
        </w:rPr>
        <w:t>第三节  强化就业创业服务</w:t>
      </w:r>
      <w:bookmarkEnd w:id="478"/>
      <w:bookmarkEnd w:id="479"/>
      <w:bookmarkEnd w:id="480"/>
      <w:bookmarkEnd w:id="481"/>
    </w:p>
    <w:p>
      <w:pPr>
        <w:spacing w:line="576" w:lineRule="exact"/>
        <w:ind w:firstLine="640" w:firstLineChars="200"/>
        <w:rPr>
          <w:rFonts w:cs="Times New Roman"/>
          <w:color w:val="auto"/>
        </w:rPr>
      </w:pPr>
      <w:r>
        <w:rPr>
          <w:rFonts w:cs="Times New Roman"/>
          <w:color w:val="auto"/>
        </w:rPr>
        <w:t>实施职业技能提升行动，建设职业技能实训基地，统筹开展职业技能、创业、品牌等各类培训，提高劳动者就业能力、工作能力和职业转换能力。探索实施“订单+定岗+定向”等多种培训新模式，继续开展送培训下乡、“一帮一”对口帮扶等活动，提升农牧民就业能力。推行终身职业技能培训制度。建设金川县人力资源市场，积极开展政策咨询、信息服务、职业指导、创业培训、法律援助等服务，搭建就业供需平台。健全就业援助制度，完善落实就业援助政策。到2025年，全县统筹培训3000余人次，其中职业技能培训1460人次、创业培训240人次、品牌培训1300人次。</w:t>
      </w:r>
    </w:p>
    <w:p>
      <w:pPr>
        <w:pStyle w:val="5"/>
        <w:spacing w:before="156" w:beforeLines="50" w:after="156" w:afterLines="50" w:line="576" w:lineRule="exact"/>
        <w:jc w:val="center"/>
        <w:rPr>
          <w:rFonts w:eastAsia="楷体_GB2312"/>
          <w:color w:val="auto"/>
        </w:rPr>
      </w:pPr>
      <w:bookmarkStart w:id="482" w:name="_Toc3646_WPSOffice_Level3"/>
      <w:bookmarkStart w:id="483" w:name="_Toc10903"/>
      <w:bookmarkStart w:id="484" w:name="_Toc12730"/>
      <w:bookmarkStart w:id="485" w:name="_Toc12275"/>
      <w:r>
        <w:rPr>
          <w:rFonts w:eastAsia="楷体_GB2312"/>
          <w:color w:val="auto"/>
        </w:rPr>
        <w:t>第四节  构建和谐劳动关系</w:t>
      </w:r>
      <w:bookmarkEnd w:id="482"/>
      <w:bookmarkEnd w:id="483"/>
      <w:bookmarkEnd w:id="484"/>
      <w:bookmarkEnd w:id="485"/>
    </w:p>
    <w:p>
      <w:pPr>
        <w:spacing w:line="576" w:lineRule="exact"/>
        <w:ind w:firstLine="640" w:firstLineChars="200"/>
        <w:rPr>
          <w:rFonts w:cs="Times New Roman"/>
          <w:color w:val="auto"/>
        </w:rPr>
      </w:pPr>
      <w:r>
        <w:rPr>
          <w:rFonts w:cs="Times New Roman"/>
          <w:color w:val="auto"/>
        </w:rPr>
        <w:t>完善劳动用工备案制度，加强对企业劳动用工的动态管理。健全劳动关系协商协调机制，畅通企业和职工利益诉求沟通渠道，保障劳动者待遇和权益。健全劳动人事争议调解仲裁机制，在驻金企业、工业园区探索建立实体性调解组织，</w:t>
      </w:r>
      <w:r>
        <w:rPr>
          <w:rFonts w:hint="eastAsia" w:cs="Times New Roman"/>
          <w:color w:val="auto"/>
        </w:rPr>
        <w:t>健全</w:t>
      </w:r>
      <w:r>
        <w:rPr>
          <w:rFonts w:cs="Times New Roman"/>
          <w:color w:val="auto"/>
        </w:rPr>
        <w:t>多层次的劳动人事争议调解网络。加强劳动保障监察执法力度，建立用人单位劳动保障守法档案，全面实施分类监管。建立劳动保障守法诚信“黑名单”和联合惩戒制度，严厉查处恶意欠薪、欠保和业主欠薪逃匿等严重违法行为。到2025年，劳动合同签订率达96%以上，企业集体合同覆盖率达90%以上，劳动监察案件结案率达90%以上，劳动争议仲裁案件结案率达100%。</w:t>
      </w:r>
    </w:p>
    <w:p>
      <w:pPr>
        <w:pStyle w:val="5"/>
        <w:spacing w:before="156" w:beforeLines="50" w:after="156" w:afterLines="50" w:line="576" w:lineRule="exact"/>
        <w:jc w:val="center"/>
        <w:rPr>
          <w:rFonts w:eastAsia="楷体_GB2312"/>
          <w:color w:val="auto"/>
        </w:rPr>
      </w:pPr>
      <w:bookmarkStart w:id="486" w:name="_Toc30774"/>
      <w:bookmarkStart w:id="487" w:name="_Toc26859"/>
      <w:bookmarkStart w:id="488" w:name="_Toc27070_WPSOffice_Level3"/>
      <w:bookmarkStart w:id="489" w:name="_Toc17057"/>
      <w:r>
        <w:rPr>
          <w:rFonts w:eastAsia="楷体_GB2312"/>
          <w:color w:val="auto"/>
        </w:rPr>
        <w:t>第五节  提高群众收入水平</w:t>
      </w:r>
      <w:bookmarkEnd w:id="486"/>
      <w:bookmarkEnd w:id="487"/>
      <w:bookmarkEnd w:id="488"/>
      <w:bookmarkEnd w:id="489"/>
    </w:p>
    <w:p>
      <w:pPr>
        <w:spacing w:line="576" w:lineRule="exact"/>
        <w:ind w:firstLine="640" w:firstLineChars="200"/>
        <w:rPr>
          <w:rFonts w:cs="Times New Roman"/>
          <w:color w:val="auto"/>
        </w:rPr>
      </w:pPr>
      <w:r>
        <w:rPr>
          <w:rFonts w:cs="Times New Roman"/>
          <w:color w:val="auto"/>
        </w:rPr>
        <w:t>建立健全与劳动力市场基本适应、与企业经济效益和劳动生产率挂钩的工资决定和正常增长机制，促进工资性收入持续增长。大力发展生态农牧业、旅游服务、个体经营，支持农牧民创业，提高经营性收入水平。多渠道增加城乡居民财产性收入。全面落实各项惠民补贴政策，努力增加群众转移性收入。</w:t>
      </w:r>
      <w:r>
        <w:rPr>
          <w:rFonts w:hint="eastAsia" w:cs="Times New Roman"/>
          <w:color w:val="auto"/>
        </w:rPr>
        <w:t>“十四五”</w:t>
      </w:r>
      <w:r>
        <w:rPr>
          <w:rFonts w:cs="Times New Roman"/>
          <w:color w:val="auto"/>
        </w:rPr>
        <w:t>期间，全县居民人均可支配收入</w:t>
      </w:r>
      <w:r>
        <w:rPr>
          <w:rFonts w:hint="eastAsia" w:cs="Times New Roman"/>
          <w:color w:val="auto"/>
        </w:rPr>
        <w:t>年均</w:t>
      </w:r>
      <w:r>
        <w:rPr>
          <w:rFonts w:cs="Times New Roman"/>
          <w:color w:val="auto"/>
        </w:rPr>
        <w:t>增长不低于</w:t>
      </w:r>
      <w:r>
        <w:rPr>
          <w:rFonts w:hint="eastAsia" w:cs="Times New Roman"/>
          <w:color w:val="auto"/>
        </w:rPr>
        <w:t>8%</w:t>
      </w:r>
      <w:r>
        <w:rPr>
          <w:rFonts w:cs="Times New Roman"/>
          <w:color w:val="auto"/>
        </w:rPr>
        <w:t>。</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490" w:name="_Toc30697"/>
      <w:bookmarkStart w:id="491" w:name="_Toc6386"/>
      <w:bookmarkStart w:id="492" w:name="_Toc15815_WPSOffice_Level2"/>
      <w:bookmarkStart w:id="493" w:name="_Toc29978"/>
      <w:r>
        <w:rPr>
          <w:rFonts w:ascii="Times New Roman" w:hAnsi="Times New Roman" w:eastAsia="黑体"/>
          <w:b w:val="0"/>
          <w:bCs w:val="0"/>
          <w:color w:val="auto"/>
          <w:kern w:val="2"/>
          <w:sz w:val="32"/>
          <w:szCs w:val="32"/>
        </w:rPr>
        <w:t>第二十五章  办好人民满意教育</w:t>
      </w:r>
      <w:bookmarkEnd w:id="490"/>
      <w:bookmarkEnd w:id="491"/>
      <w:bookmarkEnd w:id="492"/>
      <w:bookmarkEnd w:id="493"/>
    </w:p>
    <w:p>
      <w:pPr>
        <w:spacing w:line="576" w:lineRule="exact"/>
        <w:ind w:firstLine="640" w:firstLineChars="200"/>
        <w:rPr>
          <w:rFonts w:cs="Times New Roman"/>
          <w:color w:val="auto"/>
        </w:rPr>
      </w:pPr>
      <w:r>
        <w:rPr>
          <w:rFonts w:cs="Times New Roman"/>
          <w:color w:val="auto"/>
        </w:rPr>
        <w:t>全面落实教育优先发展战略，落实立德树人根本任务，优化教育资源配置，推进各类教育协调发展，夯实教育发展基础，大幅提升教育教学质量，建设现代化教育强县。</w:t>
      </w:r>
    </w:p>
    <w:p>
      <w:pPr>
        <w:pStyle w:val="5"/>
        <w:spacing w:before="156" w:beforeLines="50" w:after="156" w:afterLines="50" w:line="576" w:lineRule="exact"/>
        <w:jc w:val="center"/>
        <w:rPr>
          <w:rFonts w:eastAsia="楷体_GB2312"/>
          <w:color w:val="auto"/>
        </w:rPr>
      </w:pPr>
      <w:bookmarkStart w:id="494" w:name="_Toc726"/>
      <w:bookmarkStart w:id="495" w:name="_Toc13008"/>
      <w:bookmarkStart w:id="496" w:name="_Toc30472"/>
      <w:bookmarkStart w:id="497" w:name="_Toc32481_WPSOffice_Level3"/>
      <w:r>
        <w:rPr>
          <w:rFonts w:eastAsia="楷体_GB2312"/>
          <w:color w:val="auto"/>
        </w:rPr>
        <w:t>第一节  调整优化学校布局</w:t>
      </w:r>
      <w:bookmarkEnd w:id="494"/>
      <w:bookmarkEnd w:id="495"/>
      <w:bookmarkEnd w:id="496"/>
      <w:bookmarkEnd w:id="497"/>
    </w:p>
    <w:p>
      <w:pPr>
        <w:spacing w:line="576" w:lineRule="exact"/>
        <w:ind w:firstLine="640" w:firstLineChars="200"/>
        <w:rPr>
          <w:rFonts w:cs="Times New Roman"/>
          <w:color w:val="auto"/>
        </w:rPr>
      </w:pPr>
      <w:r>
        <w:rPr>
          <w:rFonts w:cs="Times New Roman"/>
          <w:color w:val="auto"/>
        </w:rPr>
        <w:t>按照“科学规划、分步实施、相对集中、提高效益”原则，以义务教育校点布局调整为重点，综合运用撤销、保留、增容、新建等方式，优化整合教育资源，破解“村空乡弱城挤”发展瓶颈。推进幼儿园就近入学，确保农牧区学前教育全覆盖。促进义务教育相对集中办学，撤销50人以下的小学类乡镇中心校，逐步撤销安宁、沙耳、观音桥等初级中学校，新建金川县民族寄宿制小学，推进勒乌镇第二小学、金川县第二初级中学扩容增量。统筹城乡学校软硬件设施建设和师资力量布局，加大向边远艰苦地区学校输送优秀师资力度，缩小城乡教育差距。</w:t>
      </w:r>
    </w:p>
    <w:p>
      <w:pPr>
        <w:pStyle w:val="5"/>
        <w:spacing w:before="156" w:beforeLines="50" w:after="156" w:afterLines="50" w:line="576" w:lineRule="exact"/>
        <w:jc w:val="center"/>
        <w:rPr>
          <w:rFonts w:eastAsia="楷体_GB2312"/>
          <w:color w:val="auto"/>
        </w:rPr>
      </w:pPr>
      <w:bookmarkStart w:id="498" w:name="_Toc18885"/>
      <w:bookmarkStart w:id="499" w:name="_Toc18627_WPSOffice_Level3"/>
      <w:bookmarkStart w:id="500" w:name="_Toc11291"/>
      <w:bookmarkStart w:id="501" w:name="_Toc17591"/>
      <w:r>
        <w:rPr>
          <w:rFonts w:eastAsia="楷体_GB2312"/>
          <w:color w:val="auto"/>
        </w:rPr>
        <w:t>第二节  协调发展各类教育</w:t>
      </w:r>
      <w:bookmarkEnd w:id="498"/>
      <w:bookmarkEnd w:id="499"/>
      <w:bookmarkEnd w:id="500"/>
      <w:bookmarkEnd w:id="501"/>
    </w:p>
    <w:p>
      <w:pPr>
        <w:spacing w:line="576" w:lineRule="exact"/>
        <w:ind w:firstLine="640" w:firstLineChars="200"/>
        <w:rPr>
          <w:rFonts w:cs="Times New Roman"/>
          <w:color w:val="auto"/>
        </w:rPr>
      </w:pPr>
      <w:r>
        <w:rPr>
          <w:rFonts w:cs="Times New Roman"/>
          <w:color w:val="auto"/>
        </w:rPr>
        <w:t>深化实施十五年免费教育，推动多元化、多模式办学，促进各类教育协调发展。夯实学前教育，改造提升乡镇中心幼儿园，支持社会力量举办学前教育，积极开展各级示范性幼儿园创建。做强基础教育，完善义务教育控辍保学长效机制，升级改造中小学硬件，提升寄宿制学校管理水平和质量，推动义务教育优质均衡发展。实施普通高中能力提升工程，积极开展综合高中教学模式改革试点，推动普通高中优质特色发展。提升职业教育，加大“9+3”政策宣传力度，扩大“3+2”中高职衔接办学规模。持续办好特殊教育，满足残疾学生特殊教育需求。积极促进成人教育、远程教育等发展，构建终身教育体系，建设学习型社会。到2025年，县域内城乡学校校点布局更加科学有序，正常适龄儿童人口小学入学率达100%，初中阶段入学率达106%，普通高中阶段入学率达87%。</w:t>
      </w:r>
    </w:p>
    <w:p>
      <w:pPr>
        <w:pStyle w:val="5"/>
        <w:spacing w:before="156" w:beforeLines="50" w:after="156" w:afterLines="50" w:line="576" w:lineRule="exact"/>
        <w:jc w:val="center"/>
        <w:rPr>
          <w:rFonts w:eastAsia="楷体_GB2312"/>
          <w:color w:val="auto"/>
        </w:rPr>
      </w:pPr>
      <w:bookmarkStart w:id="502" w:name="_Toc3760_WPSOffice_Level3"/>
      <w:bookmarkStart w:id="503" w:name="_Toc20227"/>
      <w:bookmarkStart w:id="504" w:name="_Toc19588"/>
      <w:bookmarkStart w:id="505" w:name="_Toc13073"/>
      <w:r>
        <w:rPr>
          <w:rFonts w:eastAsia="楷体_GB2312"/>
          <w:color w:val="auto"/>
        </w:rPr>
        <w:t>第三节  扎实开展素质教育</w:t>
      </w:r>
      <w:bookmarkEnd w:id="502"/>
      <w:bookmarkEnd w:id="503"/>
      <w:bookmarkEnd w:id="504"/>
      <w:bookmarkEnd w:id="505"/>
    </w:p>
    <w:p>
      <w:pPr>
        <w:spacing w:line="576" w:lineRule="exact"/>
        <w:ind w:firstLine="640" w:firstLineChars="200"/>
        <w:rPr>
          <w:rFonts w:cs="Times New Roman"/>
          <w:color w:val="auto"/>
        </w:rPr>
      </w:pPr>
      <w:r>
        <w:rPr>
          <w:rFonts w:cs="Times New Roman"/>
          <w:color w:val="auto"/>
        </w:rPr>
        <w:t>健全立德树人系统化落实机制，坚持用习近平新时代中国特色社会主义思想铸魂育人，把社会主义核心价值观转化为青少年学生的情感认同和行为习惯。深入开展理想信念、时代精神、社会责任、道德法治和中华优秀传统文化教育，开齐开足民族团结国家课程，引导学生牢固树立“三个离不开”思想，增强“五个认同”。促进学生全面发展，在劳动教育、生命教育、健康教育、美育教育、心理健康教育、国防教育方面积极探索，打造全面育人的金川样本。</w:t>
      </w:r>
    </w:p>
    <w:p>
      <w:pPr>
        <w:pStyle w:val="5"/>
        <w:spacing w:before="156" w:beforeLines="50" w:after="156" w:afterLines="50" w:line="576" w:lineRule="exact"/>
        <w:jc w:val="center"/>
        <w:rPr>
          <w:rFonts w:eastAsia="楷体_GB2312"/>
          <w:color w:val="auto"/>
        </w:rPr>
      </w:pPr>
      <w:bookmarkStart w:id="506" w:name="_Toc26447"/>
      <w:bookmarkStart w:id="507" w:name="_Toc15559"/>
      <w:bookmarkStart w:id="508" w:name="_Toc10370"/>
      <w:bookmarkStart w:id="509" w:name="_Toc21468_WPSOffice_Level3"/>
      <w:r>
        <w:rPr>
          <w:rFonts w:eastAsia="楷体_GB2312"/>
          <w:color w:val="auto"/>
        </w:rPr>
        <w:t>第四节  夯实教育发展基础</w:t>
      </w:r>
      <w:bookmarkEnd w:id="506"/>
      <w:bookmarkEnd w:id="507"/>
      <w:bookmarkEnd w:id="508"/>
      <w:bookmarkEnd w:id="509"/>
    </w:p>
    <w:p>
      <w:pPr>
        <w:spacing w:line="576" w:lineRule="exact"/>
        <w:ind w:firstLine="640" w:firstLineChars="200"/>
        <w:rPr>
          <w:rFonts w:cs="Times New Roman"/>
          <w:color w:val="auto"/>
        </w:rPr>
      </w:pPr>
      <w:r>
        <w:rPr>
          <w:rFonts w:cs="Times New Roman"/>
          <w:color w:val="auto"/>
        </w:rPr>
        <w:t>加强寄宿制学校建设，扩大中小学寄宿制资源。到2025年，县城</w:t>
      </w:r>
      <w:r>
        <w:rPr>
          <w:rFonts w:hint="eastAsia" w:cs="Times New Roman"/>
          <w:color w:val="auto"/>
        </w:rPr>
        <w:t>、</w:t>
      </w:r>
      <w:r>
        <w:rPr>
          <w:rFonts w:cs="Times New Roman"/>
          <w:color w:val="auto"/>
        </w:rPr>
        <w:t>乡镇寄宿制学校创建省州示范校达标率为90%。推进教育信息化建设，统筹建设一体化智能化教学、管理与服务平台，打造智慧校园，推进优质教育公共资源共享。配齐配强师资队伍，建成金川县独立研培中心，开展教学研究和教师培训，全面提升教师业务素质。实施师德师风建设工程，强化师德</w:t>
      </w:r>
      <w:r>
        <w:rPr>
          <w:rFonts w:hint="eastAsia" w:cs="Times New Roman"/>
          <w:color w:val="auto"/>
        </w:rPr>
        <w:t>考核</w:t>
      </w:r>
      <w:r>
        <w:rPr>
          <w:rFonts w:cs="Times New Roman"/>
          <w:color w:val="auto"/>
        </w:rPr>
        <w:t>。落实乡村教师支持计划，加快农村中小学教师周转房建设。深化教育领域综合改革，建立教育质量监测评估制度，优化第三方评价机制。创新教师管理制度，推进中小学教师“县管校聘”管理改革。健全教育投入机制，合理划分教育领域财政事权和支出责任，明确支出责任分担</w:t>
      </w:r>
      <w:r>
        <w:rPr>
          <w:rFonts w:hint="eastAsia" w:cs="Times New Roman"/>
          <w:color w:val="auto"/>
        </w:rPr>
        <w:t>机制</w:t>
      </w:r>
      <w:r>
        <w:rPr>
          <w:rFonts w:cs="Times New Roman"/>
          <w:color w:val="auto"/>
        </w:rPr>
        <w:t>。推进双语教育健康发展，创新双语教学模式和课堂教学方式，切实提高各学段双语教育水平。</w:t>
      </w:r>
    </w:p>
    <w:tbl>
      <w:tblPr>
        <w:tblStyle w:val="27"/>
        <w:tblW w:w="868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8681" w:type="dxa"/>
            <w:vAlign w:val="top"/>
          </w:tcPr>
          <w:p>
            <w:pPr>
              <w:spacing w:line="576" w:lineRule="exact"/>
              <w:jc w:val="center"/>
              <w:rPr>
                <w:rFonts w:eastAsia="黑体" w:cs="Times New Roman"/>
                <w:color w:val="auto"/>
                <w:kern w:val="0"/>
                <w:sz w:val="28"/>
                <w:szCs w:val="32"/>
              </w:rPr>
            </w:pPr>
            <w:bookmarkStart w:id="510" w:name="_Toc2636_WPSOffice_Level2"/>
            <w:r>
              <w:rPr>
                <w:rFonts w:eastAsia="黑体" w:cs="Times New Roman"/>
                <w:color w:val="auto"/>
                <w:sz w:val="28"/>
                <w:szCs w:val="28"/>
              </w:rPr>
              <w:t>专栏14  金川县教育事业重点项目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81"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28"/>
                <w:szCs w:val="28"/>
              </w:rPr>
            </w:pPr>
            <w:r>
              <w:rPr>
                <w:rFonts w:eastAsia="楷体" w:cs="Times New Roman"/>
                <w:b/>
                <w:bCs/>
                <w:color w:val="auto"/>
                <w:kern w:val="0"/>
                <w:sz w:val="28"/>
                <w:szCs w:val="32"/>
              </w:rPr>
              <w:t>学前教育</w:t>
            </w:r>
            <w:r>
              <w:rPr>
                <w:rFonts w:eastAsia="仿宋" w:cs="Times New Roman"/>
                <w:color w:val="auto"/>
                <w:sz w:val="28"/>
                <w:szCs w:val="28"/>
              </w:rPr>
              <w:t>。双柏树幼儿园二期</w:t>
            </w:r>
            <w:r>
              <w:rPr>
                <w:rFonts w:hint="eastAsia" w:eastAsia="仿宋" w:cs="Times New Roman"/>
                <w:color w:val="auto"/>
                <w:sz w:val="28"/>
                <w:szCs w:val="28"/>
                <w:lang w:val="en-US" w:eastAsia="zh-CN"/>
              </w:rPr>
              <w:t>项目，</w:t>
            </w:r>
            <w:r>
              <w:rPr>
                <w:rFonts w:eastAsia="仿宋" w:cs="Times New Roman"/>
                <w:color w:val="auto"/>
                <w:sz w:val="28"/>
                <w:szCs w:val="28"/>
              </w:rPr>
              <w:t>3所乡镇中心幼儿园新（改）建</w:t>
            </w:r>
            <w:r>
              <w:rPr>
                <w:rFonts w:hint="eastAsia" w:eastAsia="仿宋" w:cs="Times New Roman"/>
                <w:color w:val="auto"/>
                <w:sz w:val="28"/>
                <w:szCs w:val="28"/>
                <w:lang w:val="en-US" w:eastAsia="zh-CN"/>
              </w:rPr>
              <w:t>项目</w:t>
            </w:r>
            <w:r>
              <w:rPr>
                <w:rFonts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基础教育</w:t>
            </w:r>
            <w:r>
              <w:rPr>
                <w:rFonts w:eastAsia="仿宋" w:cs="Times New Roman"/>
                <w:color w:val="auto"/>
                <w:kern w:val="0"/>
                <w:sz w:val="28"/>
                <w:szCs w:val="32"/>
              </w:rPr>
              <w:t>。民族寄宿制小学新建</w:t>
            </w:r>
            <w:r>
              <w:rPr>
                <w:rFonts w:hint="eastAsia" w:eastAsia="仿宋" w:cs="Times New Roman"/>
                <w:color w:val="auto"/>
                <w:kern w:val="0"/>
                <w:sz w:val="28"/>
                <w:szCs w:val="32"/>
                <w:lang w:val="en-US" w:eastAsia="zh-CN"/>
              </w:rPr>
              <w:t>项目</w:t>
            </w:r>
            <w:r>
              <w:rPr>
                <w:rFonts w:hint="eastAsia" w:eastAsia="仿宋" w:cs="Times New Roman"/>
                <w:color w:val="auto"/>
                <w:kern w:val="0"/>
                <w:sz w:val="28"/>
                <w:szCs w:val="32"/>
                <w:lang w:eastAsia="zh-CN"/>
              </w:rPr>
              <w:t>，</w:t>
            </w:r>
            <w:r>
              <w:rPr>
                <w:rFonts w:eastAsia="仿宋" w:cs="Times New Roman"/>
                <w:color w:val="auto"/>
                <w:kern w:val="0"/>
                <w:sz w:val="28"/>
                <w:szCs w:val="32"/>
              </w:rPr>
              <w:t>勒乌镇第二小学</w:t>
            </w:r>
            <w:r>
              <w:rPr>
                <w:rFonts w:hint="eastAsia" w:eastAsia="仿宋" w:cs="Times New Roman"/>
                <w:color w:val="auto"/>
                <w:kern w:val="0"/>
                <w:sz w:val="28"/>
                <w:szCs w:val="32"/>
                <w:lang w:val="en-US" w:eastAsia="zh-CN"/>
              </w:rPr>
              <w:t>建设项目</w:t>
            </w:r>
            <w:r>
              <w:rPr>
                <w:rFonts w:hint="eastAsia" w:eastAsia="仿宋" w:cs="Times New Roman"/>
                <w:color w:val="auto"/>
                <w:kern w:val="0"/>
                <w:sz w:val="28"/>
                <w:szCs w:val="32"/>
                <w:lang w:eastAsia="zh-CN"/>
              </w:rPr>
              <w:t>，</w:t>
            </w:r>
            <w:r>
              <w:rPr>
                <w:rFonts w:eastAsia="仿宋" w:cs="Times New Roman"/>
                <w:color w:val="auto"/>
                <w:kern w:val="0"/>
                <w:sz w:val="28"/>
                <w:szCs w:val="32"/>
              </w:rPr>
              <w:t>金川中学新校区二期</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寄宿制学校供热供暖工程。</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28"/>
                <w:szCs w:val="28"/>
              </w:rPr>
            </w:pPr>
            <w:r>
              <w:rPr>
                <w:rFonts w:eastAsia="楷体" w:cs="Times New Roman"/>
                <w:b/>
                <w:bCs/>
                <w:color w:val="auto"/>
                <w:kern w:val="0"/>
                <w:sz w:val="28"/>
                <w:szCs w:val="32"/>
              </w:rPr>
              <w:t>智慧校园</w:t>
            </w:r>
            <w:r>
              <w:rPr>
                <w:rFonts w:eastAsia="仿宋" w:cs="Times New Roman"/>
                <w:color w:val="auto"/>
                <w:sz w:val="28"/>
                <w:szCs w:val="28"/>
              </w:rPr>
              <w:t>。</w:t>
            </w:r>
            <w:r>
              <w:rPr>
                <w:rFonts w:eastAsia="仿宋" w:cs="Times New Roman"/>
                <w:color w:val="auto"/>
                <w:kern w:val="0"/>
                <w:sz w:val="28"/>
                <w:szCs w:val="32"/>
              </w:rPr>
              <w:t>二中多功能教室</w:t>
            </w:r>
            <w:r>
              <w:rPr>
                <w:rFonts w:hint="eastAsia" w:eastAsia="仿宋" w:cs="Times New Roman"/>
                <w:color w:val="auto"/>
                <w:kern w:val="0"/>
                <w:sz w:val="28"/>
                <w:szCs w:val="32"/>
                <w:lang w:val="en-US" w:eastAsia="zh-CN"/>
              </w:rPr>
              <w:t>建设项目</w:t>
            </w:r>
            <w:r>
              <w:rPr>
                <w:rFonts w:hint="eastAsia" w:eastAsia="仿宋" w:cs="Times New Roman"/>
                <w:color w:val="auto"/>
                <w:kern w:val="0"/>
                <w:sz w:val="28"/>
                <w:szCs w:val="32"/>
                <w:lang w:eastAsia="zh-CN"/>
              </w:rPr>
              <w:t>，</w:t>
            </w:r>
            <w:r>
              <w:rPr>
                <w:rFonts w:eastAsia="仿宋" w:cs="Times New Roman"/>
                <w:color w:val="auto"/>
                <w:sz w:val="28"/>
                <w:szCs w:val="28"/>
              </w:rPr>
              <w:t>金川中学科技综合楼</w:t>
            </w:r>
            <w:r>
              <w:rPr>
                <w:rFonts w:hint="eastAsia" w:eastAsia="仿宋" w:cs="Times New Roman"/>
                <w:color w:val="auto"/>
                <w:sz w:val="28"/>
                <w:szCs w:val="28"/>
                <w:lang w:val="en-US" w:eastAsia="zh-CN"/>
              </w:rPr>
              <w:t>建设项目</w:t>
            </w:r>
            <w:r>
              <w:rPr>
                <w:rFonts w:hint="eastAsia" w:eastAsia="仿宋" w:cs="Times New Roman"/>
                <w:color w:val="auto"/>
                <w:sz w:val="28"/>
                <w:szCs w:val="28"/>
                <w:lang w:eastAsia="zh-CN"/>
              </w:rPr>
              <w:t>，</w:t>
            </w:r>
            <w:r>
              <w:rPr>
                <w:rFonts w:eastAsia="仿宋" w:cs="Times New Roman"/>
                <w:color w:val="auto"/>
                <w:sz w:val="28"/>
                <w:szCs w:val="28"/>
              </w:rPr>
              <w:t>学校信息化建设</w:t>
            </w:r>
            <w:r>
              <w:rPr>
                <w:rFonts w:hint="eastAsia" w:eastAsia="仿宋" w:cs="Times New Roman"/>
                <w:color w:val="auto"/>
                <w:sz w:val="28"/>
                <w:szCs w:val="28"/>
                <w:lang w:val="en-US" w:eastAsia="zh-CN"/>
              </w:rPr>
              <w:t>项目</w:t>
            </w:r>
            <w:r>
              <w:rPr>
                <w:rFonts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教师队伍</w:t>
            </w:r>
            <w:r>
              <w:rPr>
                <w:rFonts w:eastAsia="仿宋" w:cs="Times New Roman"/>
                <w:color w:val="auto"/>
                <w:sz w:val="28"/>
                <w:szCs w:val="28"/>
              </w:rPr>
              <w:t>。师培中心提升改造</w:t>
            </w:r>
            <w:r>
              <w:rPr>
                <w:rFonts w:hint="eastAsia" w:eastAsia="仿宋" w:cs="Times New Roman"/>
                <w:color w:val="auto"/>
                <w:sz w:val="28"/>
                <w:szCs w:val="28"/>
                <w:lang w:val="en-US" w:eastAsia="zh-CN"/>
              </w:rPr>
              <w:t>项目，</w:t>
            </w:r>
            <w:r>
              <w:rPr>
                <w:rFonts w:eastAsia="仿宋" w:cs="Times New Roman"/>
                <w:color w:val="auto"/>
                <w:sz w:val="28"/>
                <w:szCs w:val="28"/>
              </w:rPr>
              <w:t>农村中小学教师周转房</w:t>
            </w:r>
            <w:r>
              <w:rPr>
                <w:rFonts w:hint="eastAsia" w:eastAsia="仿宋" w:cs="Times New Roman"/>
                <w:color w:val="auto"/>
                <w:sz w:val="28"/>
                <w:szCs w:val="28"/>
                <w:lang w:val="en-US" w:eastAsia="zh-CN"/>
              </w:rPr>
              <w:t>建设项目</w:t>
            </w:r>
            <w:r>
              <w:rPr>
                <w:rFonts w:eastAsia="仿宋" w:cs="Times New Roman"/>
                <w:color w:val="auto"/>
                <w:sz w:val="28"/>
                <w:szCs w:val="28"/>
              </w:rPr>
              <w:t>。</w:t>
            </w:r>
          </w:p>
        </w:tc>
      </w:tr>
    </w:tbl>
    <w:p>
      <w:pPr>
        <w:pStyle w:val="4"/>
        <w:spacing w:before="156" w:beforeLines="50" w:after="156" w:afterLines="50" w:line="576" w:lineRule="exact"/>
        <w:jc w:val="center"/>
        <w:rPr>
          <w:rFonts w:ascii="Times New Roman" w:hAnsi="Times New Roman"/>
          <w:color w:val="auto"/>
          <w:kern w:val="2"/>
          <w:sz w:val="32"/>
          <w:szCs w:val="32"/>
        </w:rPr>
      </w:pPr>
      <w:bookmarkStart w:id="511" w:name="_Toc4948"/>
      <w:bookmarkStart w:id="512" w:name="_Toc10374"/>
      <w:bookmarkStart w:id="513" w:name="_Toc15078"/>
      <w:r>
        <w:rPr>
          <w:rFonts w:ascii="Times New Roman" w:hAnsi="Times New Roman" w:eastAsia="黑体"/>
          <w:b w:val="0"/>
          <w:bCs w:val="0"/>
          <w:color w:val="auto"/>
          <w:kern w:val="2"/>
          <w:sz w:val="32"/>
          <w:szCs w:val="32"/>
        </w:rPr>
        <w:t>第二十六章  深化健康金川建设</w:t>
      </w:r>
      <w:bookmarkEnd w:id="510"/>
      <w:bookmarkEnd w:id="511"/>
      <w:bookmarkEnd w:id="512"/>
      <w:bookmarkEnd w:id="513"/>
    </w:p>
    <w:p>
      <w:pPr>
        <w:spacing w:line="576" w:lineRule="exact"/>
        <w:ind w:firstLine="640" w:firstLineChars="200"/>
        <w:rPr>
          <w:rFonts w:cs="Times New Roman"/>
          <w:color w:val="auto"/>
        </w:rPr>
      </w:pPr>
      <w:r>
        <w:rPr>
          <w:rFonts w:cs="Times New Roman"/>
          <w:color w:val="auto"/>
        </w:rPr>
        <w:t>把保障人民健康放在优先发展的战略位置，深入实施“健康金川2030”行动，加快建立覆盖城乡居民、更加优质高效的医疗卫生服务体系，增强重大疾病防控和突发公共卫生事件应对能力，努力全方位全周期保障群众生命健康。</w:t>
      </w:r>
    </w:p>
    <w:p>
      <w:pPr>
        <w:pStyle w:val="5"/>
        <w:spacing w:before="156" w:beforeLines="50" w:after="156" w:afterLines="50" w:line="576" w:lineRule="exact"/>
        <w:jc w:val="center"/>
        <w:rPr>
          <w:rFonts w:eastAsia="楷体_GB2312"/>
          <w:color w:val="auto"/>
        </w:rPr>
      </w:pPr>
      <w:bookmarkStart w:id="514" w:name="_Toc26872_WPSOffice_Level3"/>
      <w:bookmarkStart w:id="515" w:name="_Toc19482"/>
      <w:bookmarkStart w:id="516" w:name="_Toc25071"/>
      <w:bookmarkStart w:id="517" w:name="_Toc14864"/>
      <w:r>
        <w:rPr>
          <w:rFonts w:eastAsia="楷体_GB2312"/>
          <w:color w:val="auto"/>
        </w:rPr>
        <w:t>第一节  实施医疗质量提升行动</w:t>
      </w:r>
      <w:bookmarkEnd w:id="514"/>
      <w:bookmarkEnd w:id="515"/>
      <w:bookmarkEnd w:id="516"/>
      <w:bookmarkEnd w:id="517"/>
    </w:p>
    <w:p>
      <w:pPr>
        <w:spacing w:line="576" w:lineRule="exact"/>
        <w:ind w:firstLine="640" w:firstLineChars="200"/>
        <w:rPr>
          <w:rFonts w:cs="Times New Roman"/>
          <w:color w:val="auto"/>
        </w:rPr>
      </w:pPr>
      <w:r>
        <w:rPr>
          <w:rFonts w:cs="Times New Roman"/>
          <w:color w:val="auto"/>
        </w:rPr>
        <w:t>优化医疗资源配置，持续推动县人民医院提质创优、中藏医院提升改造、妇幼保健院功能拓展，加强观音桥、安宁、马奈等乡镇卫生院标准化建设，打造以县城、重点集镇为中心的1小时医疗服务圈和半小时医疗急救圈，完善县乡村三级医疗服务体系。加快县人民医院传染病区建设，推动ICU、中毒、呼吸科等专科建设。做实家庭医生签约服务，逐步提高基层首诊率。充分利用信息化手段，建立医院与基层医疗机构之间诊疗信息互通共享、远程医疗服务和教学培训信息渠道。全面推进“平安医院”创建活动，维护医疗机构秩序</w:t>
      </w:r>
      <w:r>
        <w:rPr>
          <w:rFonts w:hint="eastAsia" w:cs="Times New Roman"/>
          <w:color w:val="auto"/>
        </w:rPr>
        <w:t>，</w:t>
      </w:r>
      <w:r>
        <w:rPr>
          <w:rFonts w:cs="Times New Roman"/>
          <w:color w:val="auto"/>
        </w:rPr>
        <w:t>打击涉医违法犯罪，构建和谐医患关系。到2025年，每千人口床位数达到7.4张</w:t>
      </w:r>
      <w:r>
        <w:rPr>
          <w:rFonts w:hint="eastAsia" w:cs="Times New Roman"/>
          <w:color w:val="auto"/>
        </w:rPr>
        <w:t>，</w:t>
      </w:r>
      <w:r>
        <w:rPr>
          <w:rFonts w:cs="Times New Roman"/>
          <w:color w:val="auto"/>
        </w:rPr>
        <w:t>每千人执业（助理）医师数达到2.6人以上。</w:t>
      </w:r>
    </w:p>
    <w:p>
      <w:pPr>
        <w:pStyle w:val="5"/>
        <w:spacing w:before="156" w:beforeLines="50" w:after="156" w:afterLines="50" w:line="576" w:lineRule="exact"/>
        <w:jc w:val="center"/>
        <w:rPr>
          <w:rFonts w:eastAsia="楷体_GB2312"/>
          <w:color w:val="auto"/>
        </w:rPr>
      </w:pPr>
      <w:bookmarkStart w:id="518" w:name="_Toc7619"/>
      <w:bookmarkStart w:id="519" w:name="_Toc26850"/>
      <w:bookmarkStart w:id="520" w:name="_Toc11941_WPSOffice_Level3"/>
      <w:bookmarkStart w:id="521" w:name="_Toc26887"/>
      <w:r>
        <w:rPr>
          <w:rFonts w:eastAsia="楷体_GB2312"/>
          <w:color w:val="auto"/>
        </w:rPr>
        <w:t>第二节  加强公共卫生体系建设</w:t>
      </w:r>
      <w:bookmarkEnd w:id="518"/>
      <w:bookmarkEnd w:id="519"/>
      <w:bookmarkEnd w:id="520"/>
      <w:bookmarkEnd w:id="521"/>
    </w:p>
    <w:p>
      <w:pPr>
        <w:spacing w:line="576" w:lineRule="exact"/>
        <w:ind w:firstLine="640" w:firstLineChars="200"/>
        <w:rPr>
          <w:rFonts w:cs="Times New Roman"/>
          <w:color w:val="auto"/>
        </w:rPr>
      </w:pPr>
      <w:r>
        <w:rPr>
          <w:rFonts w:cs="Times New Roman"/>
          <w:color w:val="auto"/>
        </w:rPr>
        <w:t>积极推进疾控机构等级达标，加强县疾病预防控制中心规范化建设，推动乡镇卫生院和村卫生室规范化建设，完善城乡公共卫生服务体系。持续提升公共卫生服务能力，做好重点癌症、高血压、高血糖、血脂异常等慢性病防控工作，加强重大传染病和大骨节病、包虫病等地方病防治。构建公共卫生信息化平台，接入基本公共卫生服务系统，积极推进公共卫生服务一体化建设。健全公共卫生应急管理体系，新建公共卫生应急指挥中心，设置医学观察区、快检实验室等科室，提升常见传染病采样检测能力和重大传染病快速检测能力。依托县疾病预防控制中心，完善县域乡村重大疫情防控协同机制，提升基层医疗疫情防治能力。建立县级应急物资储备仓库，完善重大公共卫生事件应急紧缺物资储备、调配、运输、管理制度。深入开展爱国卫生运动，促进全民养成文明健康生活方式。</w:t>
      </w:r>
    </w:p>
    <w:p>
      <w:pPr>
        <w:pStyle w:val="5"/>
        <w:spacing w:before="156" w:beforeLines="50" w:after="156" w:afterLines="50" w:line="576" w:lineRule="exact"/>
        <w:jc w:val="center"/>
        <w:rPr>
          <w:rFonts w:eastAsia="楷体_GB2312"/>
          <w:color w:val="auto"/>
        </w:rPr>
      </w:pPr>
      <w:bookmarkStart w:id="522" w:name="_Toc23222"/>
      <w:bookmarkStart w:id="523" w:name="_Toc1596_WPSOffice_Level3"/>
      <w:bookmarkStart w:id="524" w:name="_Toc23910"/>
      <w:bookmarkStart w:id="525" w:name="_Toc19653"/>
      <w:r>
        <w:rPr>
          <w:rFonts w:eastAsia="楷体_GB2312"/>
          <w:color w:val="auto"/>
        </w:rPr>
        <w:t>第三节  传承发展中藏医药事业</w:t>
      </w:r>
      <w:bookmarkEnd w:id="522"/>
      <w:bookmarkEnd w:id="523"/>
      <w:bookmarkEnd w:id="524"/>
      <w:bookmarkEnd w:id="525"/>
    </w:p>
    <w:p>
      <w:pPr>
        <w:spacing w:line="576" w:lineRule="exact"/>
        <w:ind w:firstLine="640" w:firstLineChars="200"/>
        <w:rPr>
          <w:rFonts w:cs="Times New Roman"/>
          <w:color w:val="auto"/>
        </w:rPr>
      </w:pPr>
      <w:r>
        <w:rPr>
          <w:rFonts w:cs="Times New Roman"/>
          <w:color w:val="auto"/>
        </w:rPr>
        <w:t>深入实施基层中医药服务能力提升工程，大力推广中医药适宜技术，建设乡镇卫生院中藏医科室（馆），实现基层中医药服务全覆盖。提高中藏医科室服务能力，强化中藏医院治未病、康复理疗等预防保健专科建设。加强中藏西医临床协作，整合资源，优势互补，提高重大疑难病、急危重症临床疗效。大力培养本土中藏医药人才，打造中医民族医药临床名家、教育名师和研究型人才。</w:t>
      </w:r>
    </w:p>
    <w:p>
      <w:pPr>
        <w:pStyle w:val="5"/>
        <w:spacing w:before="156" w:beforeLines="50" w:after="156" w:afterLines="50" w:line="576" w:lineRule="exact"/>
        <w:jc w:val="center"/>
        <w:rPr>
          <w:rFonts w:eastAsia="楷体_GB2312"/>
          <w:color w:val="auto"/>
        </w:rPr>
      </w:pPr>
      <w:bookmarkStart w:id="526" w:name="_Toc29527"/>
      <w:bookmarkStart w:id="527" w:name="_Toc28815_WPSOffice_Level3"/>
      <w:bookmarkStart w:id="528" w:name="_Toc961"/>
      <w:bookmarkStart w:id="529" w:name="_Toc19959"/>
      <w:r>
        <w:rPr>
          <w:rFonts w:eastAsia="楷体_GB2312"/>
          <w:color w:val="auto"/>
        </w:rPr>
        <w:t>第四节  深化医药卫生体制改革</w:t>
      </w:r>
      <w:bookmarkEnd w:id="526"/>
      <w:bookmarkEnd w:id="527"/>
      <w:bookmarkEnd w:id="528"/>
      <w:bookmarkEnd w:id="529"/>
    </w:p>
    <w:p>
      <w:pPr>
        <w:spacing w:line="576" w:lineRule="exact"/>
        <w:ind w:firstLine="640" w:firstLineChars="200"/>
        <w:rPr>
          <w:rFonts w:cs="Times New Roman"/>
          <w:color w:val="auto"/>
        </w:rPr>
      </w:pPr>
      <w:r>
        <w:rPr>
          <w:rFonts w:cs="Times New Roman"/>
          <w:color w:val="auto"/>
        </w:rPr>
        <w:t>抓好医疗、医保、医药“三医联动”改革，全面落实药品备案采购制度、预检分诊和分级诊疗制度、家庭医生签约服务制度。全面推进综合医改试点，鼓励县医院与乡镇卫生院建立县域紧密型医疗卫生共同体，</w:t>
      </w:r>
      <w:r>
        <w:rPr>
          <w:rFonts w:hint="eastAsia" w:cs="Times New Roman"/>
          <w:color w:val="auto"/>
        </w:rPr>
        <w:t>促进优质医疗卫生资源下沉，</w:t>
      </w:r>
      <w:r>
        <w:rPr>
          <w:rFonts w:cs="Times New Roman"/>
          <w:color w:val="auto"/>
        </w:rPr>
        <w:t>推动城乡医疗卫生服务一体化。推进政事分开、管办分开，建立现代公立医院管理制度。加快妇幼保健机构和卫生执法机构改革，组建县卫生健康综合执法大队。加强医疗卫生服务队伍建设，大力实施“县聘乡管村用”</w:t>
      </w:r>
      <w:r>
        <w:rPr>
          <w:rFonts w:hint="eastAsia" w:cs="Times New Roman"/>
          <w:color w:val="auto"/>
        </w:rPr>
        <w:t>制度</w:t>
      </w:r>
      <w:r>
        <w:rPr>
          <w:rFonts w:cs="Times New Roman"/>
          <w:color w:val="auto"/>
        </w:rPr>
        <w:t>，健全医疗卫生人才保障和激励机制。</w:t>
      </w:r>
    </w:p>
    <w:p>
      <w:pPr>
        <w:pStyle w:val="5"/>
        <w:spacing w:before="156" w:beforeLines="50" w:after="156" w:afterLines="50" w:line="576" w:lineRule="exact"/>
        <w:jc w:val="center"/>
        <w:rPr>
          <w:rFonts w:eastAsia="楷体_GB2312"/>
          <w:color w:val="auto"/>
        </w:rPr>
      </w:pPr>
      <w:bookmarkStart w:id="530" w:name="_Toc23505"/>
      <w:bookmarkStart w:id="531" w:name="_Toc23940_WPSOffice_Level3"/>
      <w:bookmarkStart w:id="532" w:name="_Toc6887"/>
      <w:bookmarkStart w:id="533" w:name="_Toc17336"/>
      <w:r>
        <w:rPr>
          <w:rFonts w:eastAsia="楷体_GB2312"/>
          <w:color w:val="auto"/>
        </w:rPr>
        <w:t>第五节  广泛开展全民健身运动</w:t>
      </w:r>
      <w:bookmarkEnd w:id="530"/>
      <w:bookmarkEnd w:id="531"/>
      <w:bookmarkEnd w:id="532"/>
      <w:bookmarkEnd w:id="533"/>
    </w:p>
    <w:p>
      <w:pPr>
        <w:spacing w:line="576" w:lineRule="exact"/>
        <w:ind w:firstLine="640" w:firstLineChars="200"/>
        <w:rPr>
          <w:rFonts w:cs="Times New Roman"/>
          <w:color w:val="auto"/>
        </w:rPr>
      </w:pPr>
      <w:r>
        <w:rPr>
          <w:rFonts w:cs="Times New Roman"/>
          <w:color w:val="auto"/>
        </w:rPr>
        <w:t>夯实体育健身设施，加大体育综合场馆和全民健身设施建设力度，完善城市慢跑步行道和绿道。到2025年，力争人均体育场地面积达2.2平方米。推行公共体育设施免费或低收费开放，有序促进各类体育场地设施向社会开放。开展好民族特色体育赛事活动，定期举办全民运动会、学生运动会。制定实施特殊人群的体质健康干预计划。</w:t>
      </w:r>
    </w:p>
    <w:tbl>
      <w:tblPr>
        <w:tblStyle w:val="27"/>
        <w:tblW w:w="873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8736" w:type="dxa"/>
            <w:vAlign w:val="top"/>
          </w:tcPr>
          <w:p>
            <w:pPr>
              <w:spacing w:line="576" w:lineRule="exact"/>
              <w:jc w:val="center"/>
              <w:rPr>
                <w:rFonts w:eastAsia="黑体" w:cs="Times New Roman"/>
                <w:color w:val="auto"/>
                <w:kern w:val="0"/>
                <w:sz w:val="28"/>
                <w:szCs w:val="32"/>
              </w:rPr>
            </w:pPr>
            <w:bookmarkStart w:id="534" w:name="_Toc26872_WPSOffice_Level2"/>
            <w:r>
              <w:rPr>
                <w:rFonts w:eastAsia="黑体" w:cs="Times New Roman"/>
                <w:color w:val="auto"/>
                <w:sz w:val="28"/>
                <w:szCs w:val="28"/>
              </w:rPr>
              <w:t>专栏15  健康金川重点项目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36"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28"/>
                <w:szCs w:val="28"/>
              </w:rPr>
            </w:pPr>
            <w:r>
              <w:rPr>
                <w:rFonts w:eastAsia="楷体" w:cs="Times New Roman"/>
                <w:b/>
                <w:bCs/>
                <w:color w:val="auto"/>
                <w:kern w:val="0"/>
                <w:sz w:val="28"/>
                <w:szCs w:val="32"/>
              </w:rPr>
              <w:t>医疗服务</w:t>
            </w:r>
            <w:r>
              <w:rPr>
                <w:rFonts w:eastAsia="仿宋" w:cs="Times New Roman"/>
                <w:color w:val="auto"/>
                <w:kern w:val="0"/>
                <w:sz w:val="28"/>
                <w:szCs w:val="32"/>
              </w:rPr>
              <w:t>。</w:t>
            </w:r>
            <w:r>
              <w:rPr>
                <w:rFonts w:eastAsia="仿宋" w:cs="Times New Roman"/>
                <w:color w:val="auto"/>
                <w:sz w:val="28"/>
                <w:szCs w:val="28"/>
              </w:rPr>
              <w:t>县人民医院传染病区建设</w:t>
            </w:r>
            <w:r>
              <w:rPr>
                <w:rFonts w:hint="eastAsia" w:eastAsia="仿宋" w:cs="Times New Roman"/>
                <w:color w:val="auto"/>
                <w:sz w:val="28"/>
                <w:szCs w:val="28"/>
                <w:lang w:val="en-US" w:eastAsia="zh-CN"/>
              </w:rPr>
              <w:t>项目，</w:t>
            </w:r>
            <w:r>
              <w:rPr>
                <w:rFonts w:eastAsia="仿宋" w:cs="Times New Roman"/>
                <w:color w:val="auto"/>
                <w:sz w:val="28"/>
                <w:szCs w:val="28"/>
              </w:rPr>
              <w:t>县乡村三级医疗卫生机构信息化建设</w:t>
            </w:r>
            <w:r>
              <w:rPr>
                <w:rFonts w:hint="eastAsia" w:eastAsia="仿宋" w:cs="Times New Roman"/>
                <w:color w:val="auto"/>
                <w:sz w:val="28"/>
                <w:szCs w:val="28"/>
                <w:lang w:val="en-US" w:eastAsia="zh-CN"/>
              </w:rPr>
              <w:t>项目</w:t>
            </w:r>
            <w:r>
              <w:rPr>
                <w:rFonts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公共卫生</w:t>
            </w:r>
            <w:r>
              <w:rPr>
                <w:rFonts w:eastAsia="仿宋" w:cs="Times New Roman"/>
                <w:color w:val="auto"/>
                <w:kern w:val="0"/>
                <w:sz w:val="28"/>
                <w:szCs w:val="32"/>
              </w:rPr>
              <w:t>。县公共卫生应急指挥中心建设</w:t>
            </w:r>
            <w:r>
              <w:rPr>
                <w:rFonts w:hint="eastAsia" w:eastAsia="仿宋" w:cs="Times New Roman"/>
                <w:color w:val="auto"/>
                <w:kern w:val="0"/>
                <w:sz w:val="28"/>
                <w:szCs w:val="32"/>
                <w:lang w:val="en-US" w:eastAsia="zh-CN"/>
              </w:rPr>
              <w:t>项目</w:t>
            </w:r>
            <w:r>
              <w:rPr>
                <w:rFonts w:hint="eastAsia" w:eastAsia="仿宋" w:cs="Times New Roman"/>
                <w:color w:val="auto"/>
                <w:kern w:val="0"/>
                <w:sz w:val="28"/>
                <w:szCs w:val="32"/>
                <w:lang w:eastAsia="zh-CN"/>
              </w:rPr>
              <w:t>，</w:t>
            </w:r>
            <w:r>
              <w:rPr>
                <w:rFonts w:eastAsia="仿宋" w:cs="Times New Roman"/>
                <w:color w:val="auto"/>
                <w:kern w:val="0"/>
                <w:sz w:val="28"/>
                <w:szCs w:val="32"/>
              </w:rPr>
              <w:t>乡镇卫生院和村卫生室公共卫生服务业务用房建设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县公共卫生信息化平台建设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全县公共卫生应急物资储备仓库建设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中藏医药</w:t>
            </w:r>
            <w:r>
              <w:rPr>
                <w:rFonts w:eastAsia="仿宋" w:cs="Times New Roman"/>
                <w:color w:val="auto"/>
                <w:kern w:val="0"/>
                <w:sz w:val="28"/>
                <w:szCs w:val="32"/>
              </w:rPr>
              <w:t>。乡镇卫生院中藏医科室（馆）建设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体育设施</w:t>
            </w:r>
            <w:r>
              <w:rPr>
                <w:rFonts w:eastAsia="仿宋" w:cs="Times New Roman"/>
                <w:color w:val="auto"/>
                <w:kern w:val="0"/>
                <w:sz w:val="28"/>
                <w:szCs w:val="32"/>
              </w:rPr>
              <w:t>。珍珠球及女子业余体校多功能训练基地</w:t>
            </w:r>
            <w:r>
              <w:rPr>
                <w:rFonts w:hint="eastAsia" w:eastAsia="仿宋" w:cs="Times New Roman"/>
                <w:color w:val="auto"/>
                <w:kern w:val="0"/>
                <w:sz w:val="28"/>
                <w:szCs w:val="32"/>
                <w:lang w:val="en-US" w:eastAsia="zh-CN"/>
              </w:rPr>
              <w:t>建设项目</w:t>
            </w:r>
            <w:r>
              <w:rPr>
                <w:rFonts w:hint="eastAsia" w:eastAsia="仿宋" w:cs="Times New Roman"/>
                <w:color w:val="auto"/>
                <w:kern w:val="0"/>
                <w:sz w:val="28"/>
                <w:szCs w:val="32"/>
                <w:lang w:eastAsia="zh-CN"/>
              </w:rPr>
              <w:t>，</w:t>
            </w:r>
            <w:r>
              <w:rPr>
                <w:rFonts w:eastAsia="仿宋" w:cs="Times New Roman"/>
                <w:color w:val="auto"/>
                <w:kern w:val="0"/>
                <w:sz w:val="28"/>
                <w:szCs w:val="32"/>
              </w:rPr>
              <w:t>综合体育馆建设</w:t>
            </w:r>
            <w:r>
              <w:rPr>
                <w:rFonts w:hint="eastAsia" w:eastAsia="仿宋" w:cs="Times New Roman"/>
                <w:color w:val="auto"/>
                <w:kern w:val="0"/>
                <w:sz w:val="28"/>
                <w:szCs w:val="32"/>
                <w:lang w:val="en-US" w:eastAsia="zh-CN"/>
              </w:rPr>
              <w:t>项目</w:t>
            </w:r>
            <w:r>
              <w:rPr>
                <w:rFonts w:hint="eastAsia" w:eastAsia="仿宋" w:cs="Times New Roman"/>
                <w:color w:val="auto"/>
                <w:kern w:val="0"/>
                <w:sz w:val="28"/>
                <w:szCs w:val="32"/>
                <w:lang w:eastAsia="zh-CN"/>
              </w:rPr>
              <w:t>，</w:t>
            </w:r>
            <w:r>
              <w:rPr>
                <w:rFonts w:eastAsia="仿宋" w:cs="Times New Roman"/>
                <w:color w:val="auto"/>
                <w:kern w:val="0"/>
                <w:sz w:val="28"/>
                <w:szCs w:val="32"/>
              </w:rPr>
              <w:t>县游泳馆建设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全民健身活动中心提升</w:t>
            </w:r>
            <w:r>
              <w:rPr>
                <w:rFonts w:hint="eastAsia" w:eastAsia="仿宋" w:cs="Times New Roman"/>
                <w:color w:val="auto"/>
                <w:kern w:val="0"/>
                <w:sz w:val="28"/>
                <w:szCs w:val="32"/>
                <w:lang w:val="en-US" w:eastAsia="zh-CN"/>
              </w:rPr>
              <w:t>项目</w:t>
            </w:r>
            <w:r>
              <w:rPr>
                <w:rFonts w:hint="eastAsia" w:eastAsia="仿宋" w:cs="Times New Roman"/>
                <w:color w:val="auto"/>
                <w:kern w:val="0"/>
                <w:sz w:val="28"/>
                <w:szCs w:val="32"/>
                <w:lang w:eastAsia="zh-CN"/>
              </w:rPr>
              <w:t>，</w:t>
            </w:r>
            <w:r>
              <w:rPr>
                <w:rFonts w:eastAsia="仿宋" w:cs="Times New Roman"/>
                <w:color w:val="auto"/>
                <w:kern w:val="0"/>
                <w:sz w:val="28"/>
                <w:szCs w:val="32"/>
              </w:rPr>
              <w:t>国际自行车公园建设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w:t>
            </w:r>
          </w:p>
        </w:tc>
      </w:tr>
    </w:tbl>
    <w:p>
      <w:pPr>
        <w:pStyle w:val="4"/>
        <w:spacing w:before="156" w:beforeLines="50" w:after="156" w:afterLines="50" w:line="576" w:lineRule="exact"/>
        <w:jc w:val="center"/>
        <w:rPr>
          <w:rFonts w:ascii="Times New Roman" w:hAnsi="Times New Roman"/>
          <w:color w:val="auto"/>
          <w:kern w:val="2"/>
          <w:sz w:val="32"/>
          <w:szCs w:val="32"/>
        </w:rPr>
      </w:pPr>
      <w:bookmarkStart w:id="535" w:name="_Toc28731"/>
      <w:bookmarkStart w:id="536" w:name="_Toc11721"/>
      <w:bookmarkStart w:id="537" w:name="_Toc15006"/>
      <w:r>
        <w:rPr>
          <w:rFonts w:ascii="Times New Roman" w:hAnsi="Times New Roman" w:eastAsia="黑体"/>
          <w:b w:val="0"/>
          <w:bCs w:val="0"/>
          <w:color w:val="auto"/>
          <w:kern w:val="2"/>
          <w:sz w:val="32"/>
          <w:szCs w:val="32"/>
        </w:rPr>
        <w:t>第二十七章  织密社会保障体系</w:t>
      </w:r>
      <w:bookmarkEnd w:id="534"/>
      <w:bookmarkEnd w:id="535"/>
      <w:bookmarkEnd w:id="536"/>
      <w:bookmarkEnd w:id="537"/>
    </w:p>
    <w:p>
      <w:pPr>
        <w:spacing w:line="576" w:lineRule="exact"/>
        <w:ind w:firstLine="640" w:firstLineChars="200"/>
        <w:rPr>
          <w:rFonts w:cs="Times New Roman"/>
          <w:color w:val="auto"/>
        </w:rPr>
      </w:pPr>
      <w:r>
        <w:rPr>
          <w:rFonts w:cs="Times New Roman"/>
          <w:color w:val="auto"/>
        </w:rPr>
        <w:t>按照兜底线、织密网、建机制的要求，统筹完善社会保险、社会救助、优抚安置等制度，全面建成覆盖全民、城乡统筹、权责清晰、保障适度、可持续的多层次社会保障体系。</w:t>
      </w:r>
    </w:p>
    <w:p>
      <w:pPr>
        <w:pStyle w:val="5"/>
        <w:spacing w:before="156" w:beforeLines="50" w:after="156" w:afterLines="50" w:line="576" w:lineRule="exact"/>
        <w:jc w:val="center"/>
        <w:rPr>
          <w:rFonts w:eastAsia="楷体_GB2312"/>
          <w:color w:val="auto"/>
        </w:rPr>
      </w:pPr>
      <w:bookmarkStart w:id="538" w:name="_Toc21836_WPSOffice_Level3"/>
      <w:bookmarkStart w:id="539" w:name="_Toc13221"/>
      <w:bookmarkStart w:id="540" w:name="_Toc14684"/>
      <w:bookmarkStart w:id="541" w:name="_Toc30169"/>
      <w:r>
        <w:rPr>
          <w:rFonts w:eastAsia="楷体_GB2312"/>
          <w:color w:val="auto"/>
        </w:rPr>
        <w:t>第一节  完善社会保险制度</w:t>
      </w:r>
      <w:bookmarkEnd w:id="538"/>
      <w:bookmarkEnd w:id="539"/>
      <w:bookmarkEnd w:id="540"/>
      <w:bookmarkEnd w:id="541"/>
    </w:p>
    <w:p>
      <w:pPr>
        <w:spacing w:line="576" w:lineRule="exact"/>
        <w:ind w:firstLine="640" w:firstLineChars="200"/>
        <w:rPr>
          <w:rFonts w:cs="Times New Roman"/>
          <w:color w:val="auto"/>
        </w:rPr>
      </w:pPr>
      <w:r>
        <w:rPr>
          <w:rFonts w:cs="Times New Roman"/>
          <w:color w:val="auto"/>
        </w:rPr>
        <w:t>深入实施全民参保计划，继续做好以非公有制企业和灵活就业人员参保为重点的扩面工作，不断扩大社会保险覆盖面，努力实现全民参保。深化机关事业单位养老保险制度改革，配合做好基本养老保险全国统筹，积极发展职业年金、企业年金、商业养老保险。健全以基本医疗保险为主体，医疗救助为托底，补充医疗保险、商业健康保险、慈善捐赠、医疗互助共同发展的医疗保障体系。全面落实异地就医结算制度，做好医保基金征缴和信息化监管。进一步扩大失业保险基金支出范围，推动建立集保障生活、预防失业、促进就业</w:t>
      </w:r>
      <w:r>
        <w:rPr>
          <w:rFonts w:hint="eastAsia" w:cs="Times New Roman"/>
          <w:color w:val="auto"/>
        </w:rPr>
        <w:t>“</w:t>
      </w:r>
      <w:r>
        <w:rPr>
          <w:rFonts w:cs="Times New Roman"/>
          <w:color w:val="auto"/>
        </w:rPr>
        <w:t>三位一体</w:t>
      </w:r>
      <w:r>
        <w:rPr>
          <w:rFonts w:hint="eastAsia" w:cs="Times New Roman"/>
          <w:color w:val="auto"/>
        </w:rPr>
        <w:t>”</w:t>
      </w:r>
      <w:r>
        <w:rPr>
          <w:rFonts w:cs="Times New Roman"/>
          <w:color w:val="auto"/>
        </w:rPr>
        <w:t>的失业保险制度。进一步研究完善工伤康复政策和标准体系，探索工伤康复早期介入机制。健全社会保险经办管理服务体系，推进社会保险信息网络和服务经办进一步向乡镇、农村（社区）延伸。</w:t>
      </w:r>
    </w:p>
    <w:p>
      <w:pPr>
        <w:pStyle w:val="5"/>
        <w:spacing w:before="156" w:beforeLines="50" w:after="156" w:afterLines="50" w:line="576" w:lineRule="exact"/>
        <w:jc w:val="center"/>
        <w:rPr>
          <w:rFonts w:eastAsia="楷体_GB2312"/>
          <w:color w:val="auto"/>
        </w:rPr>
      </w:pPr>
      <w:bookmarkStart w:id="542" w:name="_Toc10928_WPSOffice_Level3"/>
      <w:bookmarkStart w:id="543" w:name="_Toc15986"/>
      <w:bookmarkStart w:id="544" w:name="_Toc26853"/>
      <w:bookmarkStart w:id="545" w:name="_Toc3840"/>
      <w:r>
        <w:rPr>
          <w:rFonts w:eastAsia="楷体_GB2312"/>
          <w:color w:val="auto"/>
        </w:rPr>
        <w:t>第二节  提升社会救助水平</w:t>
      </w:r>
      <w:bookmarkEnd w:id="542"/>
      <w:bookmarkEnd w:id="543"/>
      <w:bookmarkEnd w:id="544"/>
      <w:bookmarkEnd w:id="545"/>
    </w:p>
    <w:p>
      <w:pPr>
        <w:spacing w:line="576" w:lineRule="exact"/>
        <w:ind w:firstLine="640" w:firstLineChars="200"/>
        <w:rPr>
          <w:rFonts w:cs="Times New Roman"/>
          <w:color w:val="auto"/>
        </w:rPr>
      </w:pPr>
      <w:r>
        <w:rPr>
          <w:rFonts w:cs="Times New Roman"/>
          <w:color w:val="auto"/>
        </w:rPr>
        <w:t>建立健全以最低生活保障、特困人员供养、受灾人员救助等基本救助制度为基础，以医疗救助、教育救助、住房救助、就业救助、临时救助等专项救助制度为支撑，以社会力量参与社会救助为补充的社会救助体系。推进城乡低保统筹，逐步提高农村低保标准，缩小城乡低保标准差距。完善低保对象认定体系，重点加大对未成年人、老年人、重病患者和重度残疾人、单亲家庭等特殊群体的救助力度。健全城乡特困人员供养制度，引入第三方市场化管理模式，做好农牧区特困人员救助工作。加强受灾人员救助、临时救助等急难救助工作。加强流浪乞讨人员救助管理，建立流浪乞讨人员信息档案，</w:t>
      </w:r>
      <w:r>
        <w:rPr>
          <w:rFonts w:cs="Times New Roman"/>
          <w:color w:val="auto"/>
          <w:lang w:val="zh-CN"/>
        </w:rPr>
        <w:t>争取县流浪乞讨人员救助中心建设。</w:t>
      </w:r>
      <w:r>
        <w:rPr>
          <w:rFonts w:cs="Times New Roman"/>
          <w:color w:val="auto"/>
        </w:rPr>
        <w:t>支持社会力量通过承接政府购买服务、慈善捐赠、提供志愿服务等方式参与救助事业。加快建设</w:t>
      </w:r>
      <w:r>
        <w:rPr>
          <w:rFonts w:cs="Times New Roman"/>
          <w:color w:val="auto"/>
          <w:lang w:val="zh-CN"/>
        </w:rPr>
        <w:t>县社会救助福利服务中心，</w:t>
      </w:r>
      <w:r>
        <w:rPr>
          <w:rFonts w:cs="Times New Roman"/>
          <w:color w:val="auto"/>
        </w:rPr>
        <w:t>推动</w:t>
      </w:r>
      <w:r>
        <w:rPr>
          <w:rFonts w:cs="Times New Roman"/>
          <w:color w:val="auto"/>
          <w:lang w:val="zh-CN"/>
        </w:rPr>
        <w:t>县救助站建设。</w:t>
      </w:r>
      <w:r>
        <w:rPr>
          <w:rFonts w:cs="Times New Roman"/>
          <w:color w:val="auto"/>
        </w:rPr>
        <w:t>推进基层社会救助信息化建设，健全“居民家庭经济状况核对”机制，打造“互联网+”寻亲服务平台。</w:t>
      </w:r>
    </w:p>
    <w:p>
      <w:pPr>
        <w:pStyle w:val="5"/>
        <w:spacing w:before="156" w:beforeLines="50" w:after="156" w:afterLines="50" w:line="576" w:lineRule="exact"/>
        <w:jc w:val="center"/>
        <w:rPr>
          <w:rFonts w:eastAsia="楷体_GB2312"/>
          <w:color w:val="auto"/>
        </w:rPr>
      </w:pPr>
      <w:bookmarkStart w:id="546" w:name="_Toc19005_WPSOffice_Level3"/>
      <w:bookmarkStart w:id="547" w:name="_Toc12855"/>
      <w:bookmarkStart w:id="548" w:name="_Toc11681"/>
      <w:bookmarkStart w:id="549" w:name="_Toc25582"/>
      <w:r>
        <w:rPr>
          <w:rFonts w:eastAsia="楷体_GB2312"/>
          <w:color w:val="auto"/>
        </w:rPr>
        <w:t>第三节  发展福利慈善事业</w:t>
      </w:r>
      <w:bookmarkEnd w:id="546"/>
      <w:bookmarkEnd w:id="547"/>
      <w:bookmarkEnd w:id="548"/>
      <w:bookmarkEnd w:id="549"/>
    </w:p>
    <w:p>
      <w:pPr>
        <w:spacing w:line="576" w:lineRule="exact"/>
        <w:ind w:firstLine="640" w:firstLineChars="200"/>
        <w:rPr>
          <w:rFonts w:cs="Times New Roman"/>
          <w:color w:val="auto"/>
        </w:rPr>
      </w:pPr>
      <w:r>
        <w:rPr>
          <w:rFonts w:cs="Times New Roman"/>
          <w:color w:val="auto"/>
        </w:rPr>
        <w:t>加快发展普惠型社会福利，加强农村留守儿童、残疾人、老年人、妇女等特殊群体关爱服务。提高优生优育服务水平，加强妇幼保健机构创等达标和产儿科规范化建设，全面开展免费孕前优生健康检查，加强新生儿疾病筛查。实施儿童营养改善行动，完善儿童福利服务和关爱保护体系建设，实现儿童之家覆盖全部乡镇。加快全县青少年活动中心建设，努力打造青少年全面发展的重要平台。提升残疾人基本生活保障水平，健全残疾人医疗康复救助制度，健全康复服务网络，支持残疾人就业创业。提高老年人福利保障水平，提高高龄、困难、失能、失独等特殊老年人待遇。推动精神卫生福利设施建设</w:t>
      </w:r>
      <w:r>
        <w:rPr>
          <w:rFonts w:hint="eastAsia" w:cs="Times New Roman"/>
          <w:color w:val="auto"/>
          <w:lang w:eastAsia="zh-CN"/>
        </w:rPr>
        <w:t>，</w:t>
      </w:r>
      <w:r>
        <w:rPr>
          <w:rFonts w:hint="eastAsia" w:eastAsia="仿宋" w:cs="Times New Roman"/>
          <w:color w:val="auto"/>
        </w:rPr>
        <w:t>抓好精神病患救治救助工作</w:t>
      </w:r>
      <w:r>
        <w:rPr>
          <w:rFonts w:cs="Times New Roman"/>
          <w:color w:val="auto"/>
        </w:rPr>
        <w:t>。支持慈善事业发展，加大慈善文化宣传力度，拓宽慈善募捐渠道，创新慈善捐赠模式，深入挖掘社会慈善资源。</w:t>
      </w:r>
    </w:p>
    <w:p>
      <w:pPr>
        <w:pStyle w:val="5"/>
        <w:spacing w:before="156" w:beforeLines="50" w:after="156" w:afterLines="50" w:line="576" w:lineRule="exact"/>
        <w:jc w:val="center"/>
        <w:rPr>
          <w:rFonts w:eastAsia="楷体_GB2312"/>
          <w:color w:val="auto"/>
        </w:rPr>
      </w:pPr>
      <w:bookmarkStart w:id="550" w:name="_Toc19096_WPSOffice_Level3"/>
      <w:bookmarkStart w:id="551" w:name="_Toc16705"/>
      <w:bookmarkStart w:id="552" w:name="_Toc18728"/>
      <w:bookmarkStart w:id="553" w:name="_Toc7790"/>
      <w:r>
        <w:rPr>
          <w:rFonts w:eastAsia="楷体_GB2312"/>
          <w:color w:val="auto"/>
        </w:rPr>
        <w:t>第四节  健全养老服务体系</w:t>
      </w:r>
      <w:bookmarkEnd w:id="550"/>
      <w:bookmarkEnd w:id="551"/>
      <w:bookmarkEnd w:id="552"/>
      <w:bookmarkEnd w:id="553"/>
    </w:p>
    <w:p>
      <w:pPr>
        <w:spacing w:line="576" w:lineRule="exact"/>
        <w:ind w:firstLine="640" w:firstLineChars="200"/>
        <w:rPr>
          <w:rFonts w:cs="Times New Roman"/>
          <w:color w:val="auto"/>
          <w:lang w:val="zh-CN"/>
        </w:rPr>
      </w:pPr>
      <w:r>
        <w:rPr>
          <w:rFonts w:cs="Times New Roman"/>
          <w:color w:val="auto"/>
        </w:rPr>
        <w:t>健全以居家为基础、社区为依托、机构为补充、医养相结合的多层次养老服务体系，推动生活照料、康复护理、精神慰藉、紧急援助等服务全覆盖。推动安宁敬老院投入运营，打造金川机构养老服务新标杆。积极探索养老机构“公建民营”运作模式，按照管办分离的发展思路，引进社会组织或服务团体参与养老服务机构管理和运作。深化“互联网+”养老服务模式，大力推广智慧居家养老服务，辐射带动“线下”社区居家养老服务站点建设，构建立体化智慧养老服务体系。探索建立老年人综合能力评估中心，优化老年人综合能力等级评定机制和服务流程，构建老年人基础信息数据库。鼓励和支持社会组织、民办机构开展养老服务。推动中藏医药与养老结合，提高基层医疗机构为老年人提供日常护理、慢性病管理、康复、健康教育和咨询、养生保健等服务的能力。</w:t>
      </w:r>
      <w:r>
        <w:rPr>
          <w:rFonts w:cs="Times New Roman"/>
          <w:color w:val="auto"/>
          <w:lang w:val="zh-CN"/>
        </w:rPr>
        <w:t>大力发展养老服务新业态，打造独具</w:t>
      </w:r>
      <w:r>
        <w:rPr>
          <w:rFonts w:hint="eastAsia" w:cs="Times New Roman"/>
          <w:color w:val="auto"/>
          <w:lang w:val="zh-CN"/>
        </w:rPr>
        <w:t>金川</w:t>
      </w:r>
      <w:r>
        <w:rPr>
          <w:rFonts w:cs="Times New Roman"/>
          <w:color w:val="auto"/>
          <w:lang w:val="zh-CN"/>
        </w:rPr>
        <w:t>特色的健康养老服务项目和品牌，促进养老服务产业规模和消费市场互促共赢、繁荣发展。</w:t>
      </w:r>
      <w:r>
        <w:rPr>
          <w:rFonts w:cs="Times New Roman"/>
          <w:color w:val="auto"/>
        </w:rPr>
        <w:t>到2025年，每千名老年人拥有养老床位达200张。</w:t>
      </w:r>
    </w:p>
    <w:p>
      <w:pPr>
        <w:pStyle w:val="5"/>
        <w:spacing w:before="156" w:beforeLines="50" w:after="156" w:afterLines="50" w:line="576" w:lineRule="exact"/>
        <w:jc w:val="center"/>
        <w:rPr>
          <w:rFonts w:eastAsia="楷体_GB2312"/>
          <w:color w:val="auto"/>
        </w:rPr>
      </w:pPr>
      <w:bookmarkStart w:id="554" w:name="_Toc13262"/>
      <w:bookmarkStart w:id="555" w:name="_Toc12784_WPSOffice_Level3"/>
      <w:bookmarkStart w:id="556" w:name="_Toc15330"/>
      <w:bookmarkStart w:id="557" w:name="_Toc12968"/>
      <w:r>
        <w:rPr>
          <w:rFonts w:eastAsia="楷体_GB2312"/>
          <w:color w:val="auto"/>
        </w:rPr>
        <w:t>第五节  推进殡葬婚俗改革</w:t>
      </w:r>
      <w:bookmarkEnd w:id="554"/>
      <w:bookmarkEnd w:id="555"/>
      <w:bookmarkEnd w:id="556"/>
      <w:bookmarkEnd w:id="557"/>
    </w:p>
    <w:p>
      <w:pPr>
        <w:spacing w:line="576" w:lineRule="exact"/>
        <w:ind w:firstLine="640" w:firstLineChars="200"/>
        <w:rPr>
          <w:rFonts w:cs="Times New Roman"/>
          <w:color w:val="auto"/>
        </w:rPr>
      </w:pPr>
      <w:r>
        <w:rPr>
          <w:rFonts w:cs="Times New Roman"/>
          <w:color w:val="auto"/>
        </w:rPr>
        <w:t>深化殡葬事业改革，加强殡仪馆、农村公益性公墓、乡镇集中治丧场所等基础设施建设，完善殡葬公共服务体系。大力倡导节地生态安葬，建立节地生态安葬奖补制度，鼓励引导群众采取不占地或少占地、不搞水泥石材固化硬化的安葬方式。综合运用政策宣传、思想教育、乡规民约、矛盾调处等多种手段，稳妥解决殡葬管理实际问题。推进婚丧习俗改革，明确操办标准和要求、违约责任和奖惩措施。规范婚姻登记管理，完善婚姻登记管理信息系统及网上预约婚姻登记服务，</w:t>
      </w:r>
      <w:r>
        <w:rPr>
          <w:rFonts w:hint="eastAsia" w:cs="Times New Roman"/>
          <w:color w:val="auto"/>
        </w:rPr>
        <w:t>加强</w:t>
      </w:r>
      <w:r>
        <w:rPr>
          <w:rFonts w:cs="Times New Roman"/>
          <w:color w:val="auto"/>
        </w:rPr>
        <w:t>婚姻登记严重失信当事人信用约束，探索婚姻家庭矛盾调解新模式。</w:t>
      </w:r>
    </w:p>
    <w:p>
      <w:pPr>
        <w:pStyle w:val="5"/>
        <w:spacing w:before="156" w:beforeLines="50" w:after="156" w:afterLines="50" w:line="576" w:lineRule="exact"/>
        <w:jc w:val="center"/>
        <w:rPr>
          <w:rFonts w:eastAsia="楷体_GB2312"/>
          <w:color w:val="auto"/>
        </w:rPr>
      </w:pPr>
      <w:bookmarkStart w:id="558" w:name="_Toc7432"/>
      <w:bookmarkStart w:id="559" w:name="_Toc3287"/>
      <w:bookmarkStart w:id="560" w:name="_Toc24421"/>
      <w:bookmarkStart w:id="561" w:name="_Toc29280_WPSOffice_Level3"/>
      <w:r>
        <w:rPr>
          <w:rFonts w:eastAsia="楷体_GB2312"/>
          <w:color w:val="auto"/>
        </w:rPr>
        <w:t>第六节  做好退役军人事务</w:t>
      </w:r>
      <w:bookmarkEnd w:id="558"/>
      <w:bookmarkEnd w:id="559"/>
      <w:bookmarkEnd w:id="560"/>
      <w:bookmarkEnd w:id="561"/>
    </w:p>
    <w:p>
      <w:pPr>
        <w:spacing w:line="576" w:lineRule="exact"/>
        <w:ind w:firstLine="640" w:firstLineChars="200"/>
        <w:rPr>
          <w:rFonts w:cs="Times New Roman"/>
          <w:color w:val="auto"/>
        </w:rPr>
      </w:pPr>
      <w:r>
        <w:rPr>
          <w:rFonts w:cs="Times New Roman"/>
          <w:color w:val="auto"/>
        </w:rPr>
        <w:t>健全退役军人服务保障体系，积极拓宽安置渠道，推进退役军人充实城乡基层工作力量。加强退役军人的职业教育和技能培训，全面促进退役军人就业创业。加快烈士陵园基础设施配套建设，让烈士陵园成为爱国主义教育主阵地。弘扬英烈精神，营造尊军崇军浓厚社会氛围，积极发挥退役军人作用，服务全县经济社会发展。</w:t>
      </w:r>
    </w:p>
    <w:tbl>
      <w:tblPr>
        <w:tblStyle w:val="27"/>
        <w:tblW w:w="869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8696" w:type="dxa"/>
            <w:vAlign w:val="top"/>
          </w:tcPr>
          <w:p>
            <w:pPr>
              <w:spacing w:line="576" w:lineRule="exact"/>
              <w:jc w:val="center"/>
              <w:rPr>
                <w:rFonts w:eastAsia="黑体" w:cs="Times New Roman"/>
                <w:color w:val="auto"/>
                <w:kern w:val="0"/>
                <w:sz w:val="28"/>
                <w:szCs w:val="32"/>
              </w:rPr>
            </w:pPr>
            <w:bookmarkStart w:id="562" w:name="_Toc11941_WPSOffice_Level2"/>
            <w:r>
              <w:rPr>
                <w:rFonts w:eastAsia="黑体" w:cs="Times New Roman"/>
                <w:color w:val="auto"/>
                <w:sz w:val="28"/>
                <w:szCs w:val="28"/>
              </w:rPr>
              <w:t>专栏16  金川县社会保障重点项目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6"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28"/>
                <w:szCs w:val="28"/>
              </w:rPr>
            </w:pPr>
            <w:r>
              <w:rPr>
                <w:rFonts w:eastAsia="楷体" w:cs="Times New Roman"/>
                <w:b/>
                <w:bCs/>
                <w:color w:val="auto"/>
                <w:kern w:val="0"/>
                <w:sz w:val="28"/>
                <w:szCs w:val="32"/>
              </w:rPr>
              <w:t>社会救助</w:t>
            </w:r>
            <w:r>
              <w:rPr>
                <w:rFonts w:eastAsia="仿宋" w:cs="Times New Roman"/>
                <w:color w:val="auto"/>
                <w:kern w:val="0"/>
                <w:sz w:val="28"/>
                <w:szCs w:val="32"/>
              </w:rPr>
              <w:t>。</w:t>
            </w:r>
            <w:r>
              <w:rPr>
                <w:rFonts w:eastAsia="仿宋" w:cs="Times New Roman"/>
                <w:color w:val="auto"/>
                <w:sz w:val="28"/>
                <w:szCs w:val="28"/>
              </w:rPr>
              <w:t>县社会救助福利服务中心建设</w:t>
            </w:r>
            <w:r>
              <w:rPr>
                <w:rFonts w:hint="eastAsia" w:eastAsia="仿宋" w:cs="Times New Roman"/>
                <w:color w:val="auto"/>
                <w:sz w:val="28"/>
                <w:szCs w:val="28"/>
                <w:lang w:val="en-US" w:eastAsia="zh-CN"/>
              </w:rPr>
              <w:t>项目</w:t>
            </w:r>
            <w:r>
              <w:rPr>
                <w:rFonts w:hint="eastAsia" w:eastAsia="仿宋" w:cs="Times New Roman"/>
                <w:color w:val="auto"/>
                <w:sz w:val="28"/>
                <w:szCs w:val="28"/>
                <w:lang w:eastAsia="zh-CN"/>
              </w:rPr>
              <w:t>，</w:t>
            </w:r>
            <w:r>
              <w:rPr>
                <w:rFonts w:eastAsia="仿宋" w:cs="Times New Roman"/>
                <w:color w:val="auto"/>
                <w:sz w:val="28"/>
                <w:szCs w:val="28"/>
              </w:rPr>
              <w:t>县救助站建设</w:t>
            </w:r>
            <w:r>
              <w:rPr>
                <w:rFonts w:hint="eastAsia" w:eastAsia="仿宋" w:cs="Times New Roman"/>
                <w:color w:val="auto"/>
                <w:sz w:val="28"/>
                <w:szCs w:val="28"/>
                <w:lang w:val="en-US" w:eastAsia="zh-CN"/>
              </w:rPr>
              <w:t>项目，</w:t>
            </w:r>
            <w:r>
              <w:rPr>
                <w:rFonts w:eastAsia="仿宋" w:cs="Times New Roman"/>
                <w:color w:val="auto"/>
                <w:sz w:val="28"/>
                <w:szCs w:val="28"/>
              </w:rPr>
              <w:t>城市流浪乞讨人员救助中心</w:t>
            </w:r>
            <w:r>
              <w:rPr>
                <w:rFonts w:hint="eastAsia" w:eastAsia="仿宋" w:cs="Times New Roman"/>
                <w:color w:val="auto"/>
                <w:sz w:val="28"/>
                <w:szCs w:val="28"/>
                <w:lang w:val="en-US" w:eastAsia="zh-CN"/>
              </w:rPr>
              <w:t>建设项目</w:t>
            </w:r>
            <w:r>
              <w:rPr>
                <w:rFonts w:hint="eastAsia" w:eastAsia="仿宋" w:cs="Times New Roman"/>
                <w:color w:val="auto"/>
                <w:sz w:val="28"/>
                <w:szCs w:val="28"/>
                <w:lang w:eastAsia="zh-CN"/>
              </w:rPr>
              <w:t>，</w:t>
            </w:r>
            <w:r>
              <w:rPr>
                <w:rFonts w:eastAsia="仿宋" w:cs="Times New Roman"/>
                <w:color w:val="auto"/>
                <w:sz w:val="28"/>
                <w:szCs w:val="28"/>
              </w:rPr>
              <w:t>基层社会救助信息化建设</w:t>
            </w:r>
            <w:r>
              <w:rPr>
                <w:rFonts w:hint="eastAsia" w:eastAsia="仿宋" w:cs="Times New Roman"/>
                <w:color w:val="auto"/>
                <w:sz w:val="28"/>
                <w:szCs w:val="28"/>
                <w:lang w:val="en-US" w:eastAsia="zh-CN"/>
              </w:rPr>
              <w:t>项目</w:t>
            </w:r>
            <w:r>
              <w:rPr>
                <w:rFonts w:eastAsia="仿宋"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福利事业</w:t>
            </w:r>
            <w:r>
              <w:rPr>
                <w:rFonts w:eastAsia="仿宋" w:cs="Times New Roman"/>
                <w:color w:val="auto"/>
                <w:kern w:val="0"/>
                <w:sz w:val="28"/>
                <w:szCs w:val="32"/>
              </w:rPr>
              <w:t>。儿童营养改善行动</w:t>
            </w:r>
            <w:r>
              <w:rPr>
                <w:rFonts w:hint="eastAsia" w:eastAsia="仿宋" w:cs="Times New Roman"/>
                <w:color w:val="auto"/>
                <w:kern w:val="0"/>
                <w:sz w:val="28"/>
                <w:szCs w:val="32"/>
                <w:lang w:eastAsia="zh-CN"/>
              </w:rPr>
              <w:t>，</w:t>
            </w:r>
            <w:r>
              <w:rPr>
                <w:rFonts w:eastAsia="仿宋" w:cs="Times New Roman"/>
                <w:color w:val="auto"/>
                <w:kern w:val="0"/>
                <w:sz w:val="28"/>
                <w:szCs w:val="32"/>
              </w:rPr>
              <w:t>未成年保护中心建设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精神卫生福利设施建设</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eastAsia="仿宋" w:cs="Times New Roman"/>
                <w:color w:val="auto"/>
                <w:kern w:val="0"/>
                <w:sz w:val="28"/>
                <w:szCs w:val="32"/>
                <w:lang w:eastAsia="zh-CN"/>
              </w:rPr>
            </w:pPr>
            <w:r>
              <w:rPr>
                <w:rFonts w:eastAsia="楷体" w:cs="Times New Roman"/>
                <w:b/>
                <w:bCs/>
                <w:color w:val="auto"/>
                <w:kern w:val="0"/>
                <w:sz w:val="28"/>
                <w:szCs w:val="32"/>
              </w:rPr>
              <w:t>养老服务</w:t>
            </w:r>
            <w:r>
              <w:rPr>
                <w:rFonts w:eastAsia="仿宋" w:cs="Times New Roman"/>
                <w:color w:val="auto"/>
                <w:kern w:val="0"/>
                <w:sz w:val="28"/>
                <w:szCs w:val="32"/>
              </w:rPr>
              <w:t>。智慧居家养老服务体系建设</w:t>
            </w:r>
            <w:r>
              <w:rPr>
                <w:rFonts w:hint="eastAsia" w:eastAsia="仿宋" w:cs="Times New Roman"/>
                <w:color w:val="auto"/>
                <w:kern w:val="0"/>
                <w:sz w:val="28"/>
                <w:szCs w:val="32"/>
                <w:lang w:val="en-US" w:eastAsia="zh-CN"/>
              </w:rPr>
              <w:t>项目</w:t>
            </w:r>
            <w:r>
              <w:rPr>
                <w:rFonts w:hint="eastAsia" w:eastAsia="仿宋" w:cs="Times New Roman"/>
                <w:color w:val="auto"/>
                <w:kern w:val="0"/>
                <w:sz w:val="28"/>
                <w:szCs w:val="32"/>
                <w:lang w:eastAsia="zh-CN"/>
              </w:rPr>
              <w:t>，</w:t>
            </w:r>
            <w:r>
              <w:rPr>
                <w:rFonts w:eastAsia="仿宋" w:cs="Times New Roman"/>
                <w:color w:val="auto"/>
                <w:kern w:val="0"/>
                <w:sz w:val="28"/>
                <w:szCs w:val="32"/>
              </w:rPr>
              <w:t>老年人综合能力评估中心建设</w:t>
            </w:r>
            <w:r>
              <w:rPr>
                <w:rFonts w:hint="eastAsia" w:eastAsia="仿宋" w:cs="Times New Roman"/>
                <w:color w:val="auto"/>
                <w:kern w:val="0"/>
                <w:sz w:val="28"/>
                <w:szCs w:val="32"/>
                <w:lang w:val="en-US" w:eastAsia="zh-CN"/>
              </w:rPr>
              <w:t>项目，</w:t>
            </w:r>
            <w:r>
              <w:rPr>
                <w:rFonts w:eastAsia="仿宋" w:cs="Times New Roman"/>
                <w:color w:val="auto"/>
                <w:sz w:val="28"/>
                <w:szCs w:val="28"/>
              </w:rPr>
              <w:t>医养结合项目</w:t>
            </w:r>
            <w:r>
              <w:rPr>
                <w:rFonts w:hint="eastAsia" w:eastAsia="仿宋"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楷体" w:cs="Times New Roman"/>
                <w:b/>
                <w:bCs/>
                <w:color w:val="auto"/>
                <w:kern w:val="0"/>
                <w:sz w:val="28"/>
                <w:szCs w:val="32"/>
              </w:rPr>
            </w:pPr>
            <w:r>
              <w:rPr>
                <w:rFonts w:eastAsia="楷体" w:cs="Times New Roman"/>
                <w:b/>
                <w:bCs/>
                <w:color w:val="auto"/>
                <w:kern w:val="0"/>
                <w:sz w:val="28"/>
                <w:szCs w:val="32"/>
              </w:rPr>
              <w:t>殡葬</w:t>
            </w:r>
            <w:r>
              <w:rPr>
                <w:rFonts w:hint="eastAsia" w:eastAsia="楷体" w:cs="Times New Roman"/>
                <w:b/>
                <w:bCs/>
                <w:color w:val="auto"/>
                <w:kern w:val="0"/>
                <w:sz w:val="28"/>
                <w:szCs w:val="32"/>
              </w:rPr>
              <w:t>服务</w:t>
            </w:r>
            <w:r>
              <w:rPr>
                <w:rFonts w:eastAsia="仿宋" w:cs="Times New Roman"/>
                <w:color w:val="auto"/>
                <w:kern w:val="0"/>
                <w:sz w:val="28"/>
                <w:szCs w:val="32"/>
              </w:rPr>
              <w:t>。殡葬服务站建设项目。</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eastAsia="楷体" w:cs="Times New Roman"/>
                <w:b/>
                <w:bCs/>
                <w:color w:val="auto"/>
                <w:kern w:val="0"/>
                <w:sz w:val="28"/>
                <w:szCs w:val="32"/>
              </w:rPr>
              <w:t>优抚安置</w:t>
            </w:r>
            <w:r>
              <w:rPr>
                <w:rFonts w:eastAsia="仿宋" w:cs="Times New Roman"/>
                <w:color w:val="auto"/>
                <w:kern w:val="0"/>
                <w:sz w:val="28"/>
                <w:szCs w:val="32"/>
              </w:rPr>
              <w:t>。烈士陵园改扩建</w:t>
            </w:r>
            <w:r>
              <w:rPr>
                <w:rFonts w:hint="eastAsia" w:eastAsia="仿宋" w:cs="Times New Roman"/>
                <w:color w:val="auto"/>
                <w:kern w:val="0"/>
                <w:sz w:val="28"/>
                <w:szCs w:val="32"/>
                <w:lang w:val="en-US" w:eastAsia="zh-CN"/>
              </w:rPr>
              <w:t>项目</w:t>
            </w:r>
            <w:r>
              <w:rPr>
                <w:rFonts w:eastAsia="仿宋" w:cs="Times New Roman"/>
                <w:color w:val="auto"/>
                <w:kern w:val="0"/>
                <w:sz w:val="28"/>
                <w:szCs w:val="32"/>
              </w:rPr>
              <w:t>。</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563" w:name="_Toc6428"/>
      <w:bookmarkStart w:id="564" w:name="_Toc5039"/>
      <w:bookmarkStart w:id="565" w:name="_Toc1214"/>
      <w:r>
        <w:rPr>
          <w:rFonts w:ascii="Times New Roman" w:hAnsi="Times New Roman" w:eastAsia="黑体"/>
          <w:b w:val="0"/>
          <w:bCs w:val="0"/>
          <w:color w:val="auto"/>
          <w:kern w:val="2"/>
          <w:sz w:val="32"/>
          <w:szCs w:val="32"/>
        </w:rPr>
        <w:t>第二十八章  丰富群众精神家园</w:t>
      </w:r>
      <w:bookmarkEnd w:id="562"/>
      <w:bookmarkEnd w:id="563"/>
      <w:bookmarkEnd w:id="564"/>
      <w:bookmarkEnd w:id="565"/>
    </w:p>
    <w:p>
      <w:pPr>
        <w:spacing w:line="576" w:lineRule="exact"/>
        <w:ind w:firstLine="640" w:firstLineChars="200"/>
        <w:rPr>
          <w:rFonts w:cs="Times New Roman"/>
          <w:color w:val="auto"/>
        </w:rPr>
      </w:pPr>
      <w:r>
        <w:rPr>
          <w:rFonts w:cs="Times New Roman"/>
          <w:color w:val="auto"/>
        </w:rPr>
        <w:t>坚定文化自信，坚持以社会主义核心价值观引领文化建设，加强社会主义精神文明建设，完善公共文化服务体系，加强文化遗产保护利用，推进文艺精品创作生产，激活多元文化福地。</w:t>
      </w:r>
    </w:p>
    <w:p>
      <w:pPr>
        <w:pStyle w:val="5"/>
        <w:spacing w:before="156" w:beforeLines="50" w:after="156" w:afterLines="50" w:line="576" w:lineRule="exact"/>
        <w:jc w:val="center"/>
        <w:rPr>
          <w:rFonts w:eastAsia="楷体_GB2312"/>
          <w:color w:val="auto"/>
        </w:rPr>
      </w:pPr>
      <w:bookmarkStart w:id="566" w:name="_Toc27193"/>
      <w:bookmarkStart w:id="567" w:name="_Toc19864"/>
      <w:bookmarkStart w:id="568" w:name="_Toc32410_WPSOffice_Level3"/>
      <w:bookmarkStart w:id="569" w:name="_Toc11709"/>
      <w:r>
        <w:rPr>
          <w:rFonts w:eastAsia="楷体_GB2312"/>
          <w:color w:val="auto"/>
        </w:rPr>
        <w:t>第一节  加强社会精神文明建设</w:t>
      </w:r>
      <w:bookmarkEnd w:id="566"/>
      <w:bookmarkEnd w:id="567"/>
      <w:bookmarkEnd w:id="568"/>
      <w:bookmarkEnd w:id="569"/>
    </w:p>
    <w:p>
      <w:pPr>
        <w:spacing w:line="560" w:lineRule="exact"/>
        <w:ind w:firstLine="640" w:firstLineChars="200"/>
        <w:rPr>
          <w:rFonts w:cs="Times New Roman"/>
          <w:color w:val="auto"/>
        </w:rPr>
      </w:pPr>
      <w:r>
        <w:rPr>
          <w:rFonts w:cs="Times New Roman"/>
          <w:color w:val="auto"/>
        </w:rPr>
        <w:t>深入开展习近平新时代中国特色社会主义思想学习教育，践行社会主义核心价值观，推动理想信念教育常态化制度化。深化中国特色社会主义和中国梦宣传教育，加强爱国主义、集体主义、社会主义教育，建设嘉绒藏族维护祖国统一纪念馆、金川老街爱国主义基地，用社会主义先进文化占领文化阵地。实施公民道德素质提升行动，深入</w:t>
      </w:r>
      <w:r>
        <w:rPr>
          <w:rFonts w:hint="eastAsia" w:cs="Times New Roman"/>
          <w:color w:val="auto"/>
        </w:rPr>
        <w:t>推进</w:t>
      </w:r>
      <w:r>
        <w:rPr>
          <w:rFonts w:cs="Times New Roman"/>
          <w:color w:val="auto"/>
        </w:rPr>
        <w:t>文明新风培育、移风易俗</w:t>
      </w:r>
      <w:r>
        <w:rPr>
          <w:rFonts w:hint="eastAsia" w:cs="Times New Roman"/>
          <w:color w:val="auto"/>
        </w:rPr>
        <w:t>建设</w:t>
      </w:r>
      <w:r>
        <w:rPr>
          <w:rFonts w:cs="Times New Roman"/>
          <w:color w:val="auto"/>
        </w:rPr>
        <w:t>、基层文明创建、乡村文化引领“四大工程”。广泛开展“孝善和俭”道德传扬活动，大力推进社会公德、职业道德、家庭美德和个人品德建设。积极倡导尊老爱幼、邻里团结、遵纪守法的良好乡风民俗，坚决遏制大操大办、厚葬薄养、攀比随礼等陈规陋习，设立乡风文明榜、红黑榜。加强家庭、家教、家风建设，广泛开展五好家庭、星级文明户、文明集市创建和寻找“最美家庭”等活动。深入开展“最美金川人”“金川大孝子”“金川大善人”等道德模范评选活动，推出一批新时代的先进典范人物。加强未成年人思想道德建设，引导青少年形成正确人生观、价值观和世界观。加强“扫黄打非”网格工作站建设，推进“扫黄打非”工作进基层全覆盖。加强网信体系建设，研究制定网信领域人才发展整体规划，加大力度建好网信人才队伍，</w:t>
      </w:r>
      <w:r>
        <w:rPr>
          <w:rFonts w:hint="eastAsia" w:cs="Times New Roman"/>
          <w:color w:val="auto"/>
        </w:rPr>
        <w:t>提升</w:t>
      </w:r>
      <w:r>
        <w:rPr>
          <w:rFonts w:cs="Times New Roman"/>
          <w:color w:val="auto"/>
        </w:rPr>
        <w:t>网络舆情监测、预警、应对</w:t>
      </w:r>
      <w:r>
        <w:rPr>
          <w:rFonts w:hint="eastAsia" w:cs="Times New Roman"/>
          <w:color w:val="auto"/>
        </w:rPr>
        <w:t>能力</w:t>
      </w:r>
      <w:r>
        <w:rPr>
          <w:rFonts w:cs="Times New Roman"/>
          <w:color w:val="auto"/>
        </w:rPr>
        <w:t>。</w:t>
      </w:r>
      <w:r>
        <w:rPr>
          <w:rFonts w:hint="eastAsia" w:cs="Times New Roman"/>
          <w:color w:val="auto"/>
        </w:rPr>
        <w:t>深入推进</w:t>
      </w:r>
      <w:r>
        <w:rPr>
          <w:rFonts w:cs="Times New Roman"/>
          <w:color w:val="auto"/>
        </w:rPr>
        <w:t>全国新时代文明实践中心试点县建设，巩固提升省级文明城市创建成果。</w:t>
      </w:r>
    </w:p>
    <w:p>
      <w:pPr>
        <w:pStyle w:val="5"/>
        <w:spacing w:before="156" w:beforeLines="50" w:after="156" w:afterLines="50" w:line="576" w:lineRule="exact"/>
        <w:jc w:val="center"/>
        <w:rPr>
          <w:rFonts w:eastAsia="楷体_GB2312"/>
          <w:color w:val="auto"/>
        </w:rPr>
      </w:pPr>
      <w:bookmarkStart w:id="570" w:name="_Toc18610"/>
      <w:bookmarkStart w:id="571" w:name="_Toc23511"/>
      <w:bookmarkStart w:id="572" w:name="_Toc7807_WPSOffice_Level3"/>
      <w:bookmarkStart w:id="573" w:name="_Toc4005"/>
      <w:r>
        <w:rPr>
          <w:rFonts w:eastAsia="楷体_GB2312"/>
          <w:color w:val="auto"/>
        </w:rPr>
        <w:t>第二节  完善公共文化服务体系</w:t>
      </w:r>
      <w:bookmarkEnd w:id="570"/>
      <w:bookmarkEnd w:id="571"/>
      <w:bookmarkEnd w:id="572"/>
      <w:bookmarkEnd w:id="573"/>
    </w:p>
    <w:p>
      <w:pPr>
        <w:spacing w:line="560" w:lineRule="exact"/>
        <w:ind w:firstLine="640" w:firstLineChars="200"/>
        <w:rPr>
          <w:rFonts w:cs="Times New Roman"/>
          <w:color w:val="auto"/>
        </w:rPr>
      </w:pPr>
      <w:r>
        <w:rPr>
          <w:rFonts w:cs="Times New Roman"/>
          <w:color w:val="auto"/>
        </w:rPr>
        <w:t>按照有标准、有网络、有内容、有人才的要求，优化城乡公共文化资源配置，构建全面覆盖、互联互通的县乡村三级公共文化服务体系。夯实公共文化服务阵地，加快县“四馆一中心”建设</w:t>
      </w:r>
      <w:r>
        <w:rPr>
          <w:rFonts w:hint="eastAsia" w:cs="Times New Roman"/>
          <w:color w:val="auto"/>
        </w:rPr>
        <w:t>，</w:t>
      </w:r>
      <w:r>
        <w:rPr>
          <w:rFonts w:cs="Times New Roman"/>
          <w:color w:val="auto"/>
        </w:rPr>
        <w:t>提升流动服务能力。推进社区群众服务中心建设，落实集社区办公、服务、交流等项目为一体的群众性活动设施。完善乡（镇）综合性文化站、村（社区）综合性文化服务中心建设，推动公共文化资源重点向基层倾斜。深入实施文化惠民工程，全面推广“阵地+节目”“阵地+服务”“阵地+节庆”文化供给模式，推进文化下乡、文化进社区活动。实施“互联网+公共文化服务”行动计划，支持和规范利用互联网平台开展公共文化服务。加强广播电视网络建设，完善应急广播体系，打造智慧广电。推进媒体深度融合发展，做强新型主流媒体，建强用好县融媒体中心</w:t>
      </w:r>
      <w:r>
        <w:rPr>
          <w:rFonts w:ascii="Times New Roman" w:hAnsi="Times New Roman" w:cs="Times New Roman"/>
          <w:color w:val="auto"/>
        </w:rPr>
        <w:t>。</w:t>
      </w:r>
      <w:r>
        <w:rPr>
          <w:rFonts w:hint="eastAsia" w:ascii="Times New Roman" w:hAnsi="Times New Roman" w:cs="Times New Roman"/>
          <w:color w:val="auto"/>
          <w:lang w:val="en-US" w:eastAsia="zh-CN"/>
        </w:rPr>
        <w:t>推动</w:t>
      </w:r>
      <w:r>
        <w:rPr>
          <w:rFonts w:hint="default" w:ascii="Times New Roman" w:hAnsi="Times New Roman" w:cs="Times New Roman"/>
          <w:color w:val="auto"/>
        </w:rPr>
        <w:t>金</w:t>
      </w:r>
      <w:r>
        <w:rPr>
          <w:rFonts w:ascii="Times New Roman" w:hAnsi="Times New Roman" w:cs="Times New Roman"/>
          <w:color w:val="auto"/>
        </w:rPr>
        <w:t>川县档案馆档案目录数据库和重点档案全文数据库建设。</w:t>
      </w:r>
    </w:p>
    <w:p>
      <w:pPr>
        <w:pStyle w:val="5"/>
        <w:spacing w:before="156" w:beforeLines="50" w:after="156" w:afterLines="50" w:line="576" w:lineRule="exact"/>
        <w:jc w:val="center"/>
        <w:rPr>
          <w:rFonts w:eastAsia="楷体_GB2312"/>
          <w:color w:val="auto"/>
        </w:rPr>
      </w:pPr>
      <w:bookmarkStart w:id="574" w:name="_Toc10629_WPSOffice_Level3"/>
      <w:bookmarkStart w:id="575" w:name="_Toc5521"/>
      <w:bookmarkStart w:id="576" w:name="_Toc20474"/>
      <w:bookmarkStart w:id="577" w:name="_Toc9592"/>
      <w:r>
        <w:rPr>
          <w:rFonts w:eastAsia="楷体_GB2312"/>
          <w:color w:val="auto"/>
        </w:rPr>
        <w:t>第三节  强化文化遗产保护利用</w:t>
      </w:r>
      <w:bookmarkEnd w:id="574"/>
      <w:bookmarkEnd w:id="575"/>
      <w:bookmarkEnd w:id="576"/>
      <w:bookmarkEnd w:id="577"/>
    </w:p>
    <w:p>
      <w:pPr>
        <w:spacing w:line="560" w:lineRule="exact"/>
        <w:ind w:firstLine="640" w:firstLineChars="200"/>
        <w:rPr>
          <w:rFonts w:cs="Times New Roman"/>
          <w:color w:val="auto"/>
        </w:rPr>
      </w:pPr>
      <w:r>
        <w:rPr>
          <w:rFonts w:ascii="Times New Roman" w:hAnsi="Times New Roman" w:cs="Times New Roman"/>
          <w:color w:val="auto"/>
        </w:rPr>
        <w:t>深入挖掘象雄、东女、宗教、生态、红军、乾隆征战“六大文化”品牌资源，加强对非遗的保护、传承和利用。推进嘉绒文化生态保护区、唐卡传习所、金川民俗文化和文创产品展示馆、红军文化博物馆、乾隆征战历史博物馆建设。扎实开展乡村文脉保护传承、最美古镇、古村创建行动，积极培养传承传统技艺和保护宣传文化遗产新生力量。积极申</w:t>
      </w:r>
      <w:r>
        <w:rPr>
          <w:rFonts w:cs="Times New Roman"/>
          <w:color w:val="auto"/>
        </w:rPr>
        <w:t>报省、州级文物保护单位，不断加大文物保护传承力度。</w:t>
      </w:r>
    </w:p>
    <w:p>
      <w:pPr>
        <w:pStyle w:val="5"/>
        <w:spacing w:before="156" w:beforeLines="50" w:after="156" w:afterLines="50" w:line="576" w:lineRule="exact"/>
        <w:jc w:val="center"/>
        <w:rPr>
          <w:rFonts w:eastAsia="楷体_GB2312"/>
          <w:color w:val="auto"/>
        </w:rPr>
      </w:pPr>
      <w:bookmarkStart w:id="578" w:name="_Toc31404"/>
      <w:bookmarkStart w:id="579" w:name="_Toc24323_WPSOffice_Level3"/>
      <w:bookmarkStart w:id="580" w:name="_Toc5096"/>
      <w:bookmarkStart w:id="581" w:name="_Toc2653"/>
      <w:r>
        <w:rPr>
          <w:rFonts w:eastAsia="楷体_GB2312"/>
          <w:color w:val="auto"/>
        </w:rPr>
        <w:t>第四节  推进文艺精品创作生产</w:t>
      </w:r>
      <w:bookmarkEnd w:id="578"/>
      <w:bookmarkEnd w:id="579"/>
      <w:bookmarkEnd w:id="580"/>
      <w:bookmarkEnd w:id="581"/>
    </w:p>
    <w:p>
      <w:pPr>
        <w:spacing w:line="560" w:lineRule="exact"/>
        <w:ind w:firstLine="640" w:firstLineChars="200"/>
        <w:rPr>
          <w:rFonts w:cs="Times New Roman"/>
          <w:color w:val="auto"/>
        </w:rPr>
      </w:pPr>
      <w:r>
        <w:rPr>
          <w:rFonts w:cs="Times New Roman"/>
          <w:color w:val="auto"/>
        </w:rPr>
        <w:t>深度挖掘和保护“六大文化”品牌资源，</w:t>
      </w:r>
      <w:r>
        <w:rPr>
          <w:rFonts w:hint="eastAsia" w:cs="Times New Roman"/>
          <w:color w:val="auto"/>
          <w:lang w:val="en-US" w:eastAsia="zh-CN"/>
        </w:rPr>
        <w:t>积极推进</w:t>
      </w:r>
      <w:r>
        <w:rPr>
          <w:rFonts w:hint="eastAsia" w:cs="Times New Roman"/>
          <w:color w:val="auto"/>
        </w:rPr>
        <w:t>双柏树文化创意园建设</w:t>
      </w:r>
      <w:r>
        <w:rPr>
          <w:rFonts w:hint="eastAsia" w:cs="Times New Roman"/>
          <w:color w:val="auto"/>
          <w:lang w:eastAsia="zh-CN"/>
        </w:rPr>
        <w:t>，</w:t>
      </w:r>
      <w:r>
        <w:rPr>
          <w:rFonts w:cs="Times New Roman"/>
          <w:color w:val="auto"/>
        </w:rPr>
        <w:t>着力打造具有“金川味道”的文学作品、影视佳品、演艺精品、工艺产品，鼓励开发嘉绒藏绣、工艺品等文创产品。拍摄影视作品《虎头勇士》，丰富精品文化产品供给。加强文艺演出队伍建设，扶持发展民间演艺团队。加大文艺人才队伍培养力度，培育高水平创作人才。以讲好金川故事为着力点，加强文化传播载体建设，提升多元文化福地影响力。</w:t>
      </w:r>
    </w:p>
    <w:tbl>
      <w:tblPr>
        <w:tblStyle w:val="27"/>
        <w:tblW w:w="869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69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blHeader/>
          <w:jc w:val="center"/>
        </w:trPr>
        <w:tc>
          <w:tcPr>
            <w:tcW w:w="8690" w:type="dxa"/>
            <w:vAlign w:val="top"/>
          </w:tcPr>
          <w:p>
            <w:pPr>
              <w:spacing w:line="576" w:lineRule="exact"/>
              <w:jc w:val="center"/>
              <w:rPr>
                <w:rFonts w:eastAsia="黑体" w:cs="Times New Roman"/>
                <w:color w:val="auto"/>
                <w:kern w:val="0"/>
                <w:sz w:val="28"/>
                <w:szCs w:val="32"/>
              </w:rPr>
            </w:pPr>
            <w:bookmarkStart w:id="582" w:name="_Toc26872_WPSOffice_Level1"/>
            <w:r>
              <w:rPr>
                <w:rFonts w:eastAsia="黑体" w:cs="Times New Roman"/>
                <w:color w:val="auto"/>
                <w:sz w:val="28"/>
                <w:szCs w:val="28"/>
              </w:rPr>
              <w:t>专栏17  金川县多元文化福地建设重点项目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0"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精神文明建设</w:t>
            </w:r>
            <w:r>
              <w:rPr>
                <w:rFonts w:cs="Times New Roman"/>
                <w:color w:val="auto"/>
                <w:kern w:val="0"/>
                <w:sz w:val="28"/>
                <w:szCs w:val="32"/>
              </w:rPr>
              <w:t>。村史馆、新时代文明实践中心</w:t>
            </w:r>
            <w:r>
              <w:rPr>
                <w:rFonts w:hint="eastAsia" w:cs="Times New Roman"/>
                <w:color w:val="auto"/>
                <w:kern w:val="0"/>
                <w:sz w:val="28"/>
                <w:szCs w:val="32"/>
                <w:lang w:val="en-US" w:eastAsia="zh-CN"/>
              </w:rPr>
              <w:t>建设项目，</w:t>
            </w:r>
            <w:r>
              <w:rPr>
                <w:rFonts w:cs="Times New Roman"/>
                <w:color w:val="auto"/>
                <w:kern w:val="0"/>
                <w:sz w:val="28"/>
                <w:szCs w:val="32"/>
              </w:rPr>
              <w:t>嘉绒藏族维护祖国统一纪念馆</w:t>
            </w:r>
            <w:r>
              <w:rPr>
                <w:rFonts w:hint="eastAsia" w:cs="Times New Roman"/>
                <w:color w:val="auto"/>
                <w:kern w:val="0"/>
                <w:sz w:val="28"/>
                <w:szCs w:val="32"/>
                <w:lang w:val="en-US" w:eastAsia="zh-CN"/>
              </w:rPr>
              <w:t>建设项目</w:t>
            </w:r>
            <w:r>
              <w:rPr>
                <w:rFonts w:hint="eastAsia" w:cs="Times New Roman"/>
                <w:color w:val="auto"/>
                <w:kern w:val="0"/>
                <w:sz w:val="28"/>
                <w:szCs w:val="32"/>
                <w:lang w:eastAsia="zh-CN"/>
              </w:rPr>
              <w:t>，</w:t>
            </w:r>
            <w:r>
              <w:rPr>
                <w:rFonts w:cs="Times New Roman"/>
                <w:color w:val="auto"/>
                <w:kern w:val="0"/>
                <w:sz w:val="28"/>
                <w:szCs w:val="32"/>
              </w:rPr>
              <w:t>老街爱国主义基地建设</w:t>
            </w:r>
            <w:r>
              <w:rPr>
                <w:rFonts w:hint="eastAsia" w:cs="Times New Roman"/>
                <w:color w:val="auto"/>
                <w:kern w:val="0"/>
                <w:sz w:val="28"/>
                <w:szCs w:val="32"/>
                <w:lang w:val="en-US" w:eastAsia="zh-CN"/>
              </w:rPr>
              <w:t>项目</w:t>
            </w:r>
            <w:r>
              <w:rPr>
                <w:rFonts w:cs="Times New Roman"/>
                <w:color w:val="auto"/>
                <w:kern w:val="0"/>
                <w:sz w:val="28"/>
                <w:szCs w:val="32"/>
              </w:rPr>
              <w:t>，历史文化研究系列图书100卷</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第五届省级文明城市建设</w:t>
            </w:r>
            <w:r>
              <w:rPr>
                <w:rFonts w:hint="eastAsia" w:cs="Times New Roman"/>
                <w:color w:val="auto"/>
                <w:kern w:val="0"/>
                <w:sz w:val="28"/>
                <w:szCs w:val="32"/>
                <w:lang w:val="en-US" w:eastAsia="zh-CN"/>
              </w:rPr>
              <w:t>项目</w:t>
            </w:r>
            <w:r>
              <w:rPr>
                <w:rFonts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公共文化服务</w:t>
            </w:r>
            <w:r>
              <w:rPr>
                <w:rFonts w:cs="Times New Roman"/>
                <w:color w:val="auto"/>
                <w:kern w:val="0"/>
                <w:sz w:val="28"/>
                <w:szCs w:val="32"/>
              </w:rPr>
              <w:t>。观音桥镇观音广场提升改造</w:t>
            </w:r>
            <w:r>
              <w:rPr>
                <w:rFonts w:hint="eastAsia" w:cs="Times New Roman"/>
                <w:color w:val="auto"/>
                <w:kern w:val="0"/>
                <w:sz w:val="28"/>
                <w:szCs w:val="32"/>
                <w:lang w:val="en-US" w:eastAsia="zh-CN"/>
              </w:rPr>
              <w:t>项目，</w:t>
            </w:r>
            <w:r>
              <w:rPr>
                <w:rFonts w:cs="Times New Roman"/>
                <w:color w:val="auto"/>
                <w:kern w:val="0"/>
                <w:sz w:val="28"/>
                <w:szCs w:val="32"/>
              </w:rPr>
              <w:t>7个乡镇电影院建设</w:t>
            </w:r>
            <w:r>
              <w:rPr>
                <w:rFonts w:hint="eastAsia" w:cs="Times New Roman"/>
                <w:color w:val="auto"/>
                <w:kern w:val="0"/>
                <w:sz w:val="28"/>
                <w:szCs w:val="32"/>
                <w:lang w:val="en-US" w:eastAsia="zh-CN"/>
              </w:rPr>
              <w:t>项目，</w:t>
            </w:r>
            <w:r>
              <w:rPr>
                <w:rFonts w:cs="Times New Roman"/>
                <w:color w:val="auto"/>
                <w:kern w:val="0"/>
                <w:sz w:val="28"/>
                <w:szCs w:val="32"/>
              </w:rPr>
              <w:t>融媒体二期建设</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演播室改造</w:t>
            </w:r>
            <w:r>
              <w:rPr>
                <w:rFonts w:hint="eastAsia" w:cs="Times New Roman"/>
                <w:color w:val="auto"/>
                <w:kern w:val="0"/>
                <w:sz w:val="28"/>
                <w:szCs w:val="32"/>
                <w:lang w:val="en-US" w:eastAsia="zh-CN"/>
              </w:rPr>
              <w:t>项目，</w:t>
            </w:r>
            <w:r>
              <w:rPr>
                <w:rFonts w:cs="Times New Roman"/>
                <w:color w:val="auto"/>
                <w:kern w:val="0"/>
                <w:sz w:val="28"/>
                <w:szCs w:val="32"/>
              </w:rPr>
              <w:t>发射台站基础设施二期改造</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档案馆信息化建设</w:t>
            </w:r>
            <w:r>
              <w:rPr>
                <w:rFonts w:hint="eastAsia" w:cs="Times New Roman"/>
                <w:color w:val="auto"/>
                <w:kern w:val="0"/>
                <w:sz w:val="28"/>
                <w:szCs w:val="32"/>
                <w:lang w:val="en-US" w:eastAsia="zh-CN"/>
              </w:rPr>
              <w:t>项目</w:t>
            </w:r>
            <w:r>
              <w:rPr>
                <w:rFonts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color w:val="auto"/>
                <w:kern w:val="0"/>
                <w:sz w:val="28"/>
                <w:szCs w:val="32"/>
              </w:rPr>
            </w:pPr>
            <w:r>
              <w:rPr>
                <w:rFonts w:cs="Times New Roman"/>
                <w:b/>
                <w:bCs/>
                <w:color w:val="auto"/>
                <w:kern w:val="0"/>
                <w:sz w:val="28"/>
                <w:szCs w:val="32"/>
              </w:rPr>
              <w:t>文化传承与保护。</w:t>
            </w:r>
            <w:r>
              <w:rPr>
                <w:rFonts w:cs="Times New Roman"/>
                <w:color w:val="auto"/>
                <w:kern w:val="0"/>
                <w:sz w:val="28"/>
                <w:szCs w:val="32"/>
              </w:rPr>
              <w:t>唐卡传习所建设</w:t>
            </w:r>
            <w:r>
              <w:rPr>
                <w:rFonts w:hint="eastAsia" w:cs="Times New Roman"/>
                <w:color w:val="auto"/>
                <w:kern w:val="0"/>
                <w:sz w:val="28"/>
                <w:szCs w:val="32"/>
                <w:lang w:val="en-US" w:eastAsia="zh-CN"/>
              </w:rPr>
              <w:t>项目，</w:t>
            </w:r>
            <w:r>
              <w:rPr>
                <w:rFonts w:cs="Times New Roman"/>
                <w:color w:val="auto"/>
                <w:kern w:val="0"/>
                <w:sz w:val="28"/>
                <w:szCs w:val="32"/>
              </w:rPr>
              <w:t>民俗文化和文创产品展示馆建设</w:t>
            </w:r>
            <w:r>
              <w:rPr>
                <w:rFonts w:hint="eastAsia" w:cs="Times New Roman"/>
                <w:color w:val="auto"/>
                <w:kern w:val="0"/>
                <w:sz w:val="28"/>
                <w:szCs w:val="32"/>
                <w:lang w:val="en-US" w:eastAsia="zh-CN"/>
              </w:rPr>
              <w:t>项目，</w:t>
            </w:r>
            <w:r>
              <w:rPr>
                <w:rFonts w:cs="Times New Roman"/>
                <w:color w:val="auto"/>
                <w:kern w:val="0"/>
                <w:sz w:val="28"/>
                <w:szCs w:val="32"/>
              </w:rPr>
              <w:t>红军革命纪念建筑群修复打造</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勒乌摩崖石刻挖掘保护</w:t>
            </w:r>
            <w:r>
              <w:rPr>
                <w:rFonts w:hint="eastAsia" w:cs="Times New Roman"/>
                <w:color w:val="auto"/>
                <w:kern w:val="0"/>
                <w:sz w:val="28"/>
                <w:szCs w:val="32"/>
                <w:lang w:val="en-US" w:eastAsia="zh-CN"/>
              </w:rPr>
              <w:t>项目，</w:t>
            </w:r>
            <w:r>
              <w:rPr>
                <w:rFonts w:cs="Times New Roman"/>
                <w:color w:val="auto"/>
                <w:kern w:val="0"/>
                <w:sz w:val="28"/>
                <w:szCs w:val="32"/>
              </w:rPr>
              <w:t>象雄文化书院建设</w:t>
            </w:r>
            <w:r>
              <w:rPr>
                <w:rFonts w:hint="eastAsia" w:cs="Times New Roman"/>
                <w:color w:val="auto"/>
                <w:kern w:val="0"/>
                <w:sz w:val="28"/>
                <w:szCs w:val="32"/>
                <w:lang w:val="en-US" w:eastAsia="zh-CN"/>
              </w:rPr>
              <w:t>项目，</w:t>
            </w:r>
            <w:r>
              <w:rPr>
                <w:rFonts w:cs="Times New Roman"/>
                <w:color w:val="auto"/>
                <w:kern w:val="0"/>
                <w:sz w:val="28"/>
                <w:szCs w:val="32"/>
              </w:rPr>
              <w:t>嘉绒书院建设</w:t>
            </w:r>
            <w:r>
              <w:rPr>
                <w:rFonts w:hint="eastAsia" w:cs="Times New Roman"/>
                <w:color w:val="auto"/>
                <w:kern w:val="0"/>
                <w:sz w:val="28"/>
                <w:szCs w:val="32"/>
                <w:lang w:val="en-US" w:eastAsia="zh-CN"/>
              </w:rPr>
              <w:t>项目</w:t>
            </w:r>
            <w:r>
              <w:rPr>
                <w:rFonts w:hint="eastAsia" w:cs="Times New Roman"/>
                <w:color w:val="auto"/>
                <w:kern w:val="0"/>
                <w:sz w:val="28"/>
                <w:szCs w:val="32"/>
                <w:lang w:eastAsia="zh-CN"/>
              </w:rPr>
              <w:t>，</w:t>
            </w:r>
            <w:r>
              <w:rPr>
                <w:rFonts w:cs="Times New Roman"/>
                <w:color w:val="auto"/>
                <w:kern w:val="0"/>
                <w:sz w:val="28"/>
                <w:szCs w:val="32"/>
              </w:rPr>
              <w:t>嘉绒语译制中心建设</w:t>
            </w:r>
            <w:r>
              <w:rPr>
                <w:rFonts w:hint="eastAsia" w:cs="Times New Roman"/>
                <w:color w:val="auto"/>
                <w:kern w:val="0"/>
                <w:sz w:val="28"/>
                <w:szCs w:val="32"/>
                <w:lang w:val="en-US" w:eastAsia="zh-CN"/>
              </w:rPr>
              <w:t>项目</w:t>
            </w:r>
            <w:r>
              <w:rPr>
                <w:rFonts w:cs="Times New Roman"/>
                <w:color w:val="auto"/>
                <w:kern w:val="0"/>
                <w:sz w:val="28"/>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kern w:val="0"/>
                <w:sz w:val="28"/>
                <w:szCs w:val="32"/>
              </w:rPr>
            </w:pPr>
            <w:r>
              <w:rPr>
                <w:rFonts w:cs="Times New Roman"/>
                <w:b/>
                <w:bCs/>
                <w:color w:val="auto"/>
                <w:kern w:val="0"/>
                <w:sz w:val="28"/>
                <w:szCs w:val="32"/>
              </w:rPr>
              <w:t>文创产品开发</w:t>
            </w:r>
            <w:r>
              <w:rPr>
                <w:rFonts w:cs="Times New Roman"/>
                <w:color w:val="auto"/>
                <w:kern w:val="0"/>
                <w:sz w:val="28"/>
                <w:szCs w:val="32"/>
              </w:rPr>
              <w:t>。</w:t>
            </w:r>
            <w:r>
              <w:rPr>
                <w:rFonts w:cs="Times New Roman"/>
                <w:color w:val="auto"/>
                <w:kern w:val="0"/>
                <w:sz w:val="28"/>
                <w:szCs w:val="32"/>
                <w:highlight w:val="none"/>
              </w:rPr>
              <w:t>双柏树文化创意园建设</w:t>
            </w:r>
            <w:r>
              <w:rPr>
                <w:rFonts w:hint="eastAsia" w:cs="Times New Roman"/>
                <w:color w:val="auto"/>
                <w:kern w:val="0"/>
                <w:sz w:val="28"/>
                <w:szCs w:val="32"/>
                <w:highlight w:val="none"/>
                <w:lang w:val="en-US" w:eastAsia="zh-CN"/>
              </w:rPr>
              <w:t>项目</w:t>
            </w:r>
            <w:r>
              <w:rPr>
                <w:rFonts w:cs="Times New Roman"/>
                <w:color w:val="auto"/>
                <w:kern w:val="0"/>
                <w:sz w:val="28"/>
                <w:szCs w:val="32"/>
                <w:highlight w:val="none"/>
              </w:rPr>
              <w:t>。</w:t>
            </w:r>
          </w:p>
        </w:tc>
      </w:tr>
    </w:tbl>
    <w:p>
      <w:pPr>
        <w:pStyle w:val="3"/>
        <w:spacing w:before="312" w:beforeLines="100" w:after="312" w:afterLines="100" w:line="576" w:lineRule="exact"/>
        <w:rPr>
          <w:color w:val="auto"/>
          <w:sz w:val="36"/>
          <w:szCs w:val="36"/>
        </w:rPr>
      </w:pPr>
      <w:bookmarkStart w:id="583" w:name="_Toc21514"/>
      <w:bookmarkStart w:id="584" w:name="_Toc31794"/>
      <w:bookmarkStart w:id="585" w:name="_Toc6124"/>
      <w:r>
        <w:rPr>
          <w:color w:val="auto"/>
          <w:sz w:val="36"/>
          <w:szCs w:val="36"/>
        </w:rPr>
        <w:t>第九篇  推进基层治理创新，维护社会大局和谐稳定</w:t>
      </w:r>
      <w:bookmarkEnd w:id="582"/>
      <w:bookmarkEnd w:id="583"/>
      <w:bookmarkEnd w:id="584"/>
      <w:bookmarkEnd w:id="585"/>
    </w:p>
    <w:p>
      <w:pPr>
        <w:spacing w:line="576" w:lineRule="exact"/>
        <w:ind w:firstLine="640" w:firstLineChars="200"/>
        <w:rPr>
          <w:rFonts w:cs="Times New Roman"/>
          <w:color w:val="auto"/>
        </w:rPr>
      </w:pPr>
      <w:r>
        <w:rPr>
          <w:rFonts w:cs="Times New Roman"/>
          <w:color w:val="auto"/>
        </w:rPr>
        <w:t>坚持预防为主、综合施策，有效发挥法治固根本、稳预期、利长远的保障作用，着力夯基础、建机制、提能力、强治理，提升治理体系和治理能力现代化水平。</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586" w:name="_Toc25772"/>
      <w:bookmarkStart w:id="587" w:name="_Toc26894"/>
      <w:bookmarkStart w:id="588" w:name="_Toc28887"/>
      <w:bookmarkStart w:id="589" w:name="_Toc1596_WPSOffice_Level2"/>
      <w:r>
        <w:rPr>
          <w:rFonts w:ascii="Times New Roman" w:hAnsi="Times New Roman" w:eastAsia="黑体"/>
          <w:b w:val="0"/>
          <w:bCs w:val="0"/>
          <w:color w:val="auto"/>
          <w:kern w:val="2"/>
          <w:sz w:val="32"/>
          <w:szCs w:val="32"/>
        </w:rPr>
        <w:t>第二十九章  深化法治金川实践</w:t>
      </w:r>
      <w:bookmarkEnd w:id="586"/>
      <w:bookmarkEnd w:id="587"/>
      <w:bookmarkEnd w:id="588"/>
      <w:bookmarkEnd w:id="589"/>
    </w:p>
    <w:p>
      <w:pPr>
        <w:spacing w:line="576" w:lineRule="exact"/>
        <w:ind w:firstLine="640" w:firstLineChars="200"/>
        <w:rPr>
          <w:rFonts w:cs="Times New Roman"/>
          <w:color w:val="auto"/>
        </w:rPr>
      </w:pPr>
      <w:r>
        <w:rPr>
          <w:rFonts w:cs="Times New Roman"/>
          <w:color w:val="auto"/>
        </w:rPr>
        <w:t>坚持依法治县、依法行政一体推进，法治政府、法治社会一体建设，普法、用法、执法一体加强，将法治理念贯彻到金川经济社会发展各领域全过程，加快建成法治金川。</w:t>
      </w:r>
    </w:p>
    <w:p>
      <w:pPr>
        <w:pStyle w:val="5"/>
        <w:spacing w:before="156" w:beforeLines="50" w:after="156" w:afterLines="50" w:line="576" w:lineRule="exact"/>
        <w:jc w:val="center"/>
        <w:rPr>
          <w:rFonts w:eastAsia="楷体_GB2312"/>
          <w:color w:val="auto"/>
        </w:rPr>
      </w:pPr>
      <w:bookmarkStart w:id="590" w:name="_Toc14030_WPSOffice_Level3"/>
      <w:bookmarkStart w:id="591" w:name="_Toc20735"/>
      <w:bookmarkStart w:id="592" w:name="_Toc32308"/>
      <w:bookmarkStart w:id="593" w:name="_Toc21195"/>
      <w:r>
        <w:rPr>
          <w:rFonts w:eastAsia="楷体_GB2312"/>
          <w:color w:val="auto"/>
        </w:rPr>
        <w:t>第一节  加强法治政府建设</w:t>
      </w:r>
      <w:bookmarkEnd w:id="590"/>
      <w:bookmarkEnd w:id="591"/>
      <w:bookmarkEnd w:id="592"/>
      <w:bookmarkEnd w:id="593"/>
    </w:p>
    <w:p>
      <w:pPr>
        <w:spacing w:line="576" w:lineRule="exact"/>
        <w:ind w:firstLine="640" w:firstLineChars="200"/>
        <w:rPr>
          <w:rFonts w:cs="Times New Roman"/>
          <w:color w:val="auto"/>
        </w:rPr>
      </w:pPr>
      <w:r>
        <w:rPr>
          <w:rFonts w:cs="Times New Roman"/>
          <w:color w:val="auto"/>
        </w:rPr>
        <w:t>加强领导干部法治意识法治思维培养，建立健全县乡政府学法制度。高质量建设法治政府，健全依法决策机制和政府法律顾问制度，严格落实重大行政决策“五大程序”。深入推进综合行政执法体制改革，全面落实行政执法“三项制度”，加强行政执法和司法衔接，落实行政执法责任制和责任追究制度。加快行政执法标准化、信息化建设。全面推进政府信息公开，打造“透明政府”“阳光政府”。</w:t>
      </w:r>
    </w:p>
    <w:p>
      <w:pPr>
        <w:pStyle w:val="5"/>
        <w:spacing w:before="156" w:beforeLines="50" w:after="156" w:afterLines="50" w:line="576" w:lineRule="exact"/>
        <w:jc w:val="center"/>
        <w:rPr>
          <w:rFonts w:eastAsia="楷体_GB2312"/>
          <w:color w:val="auto"/>
        </w:rPr>
      </w:pPr>
      <w:bookmarkStart w:id="594" w:name="_Toc1247"/>
      <w:bookmarkStart w:id="595" w:name="_Toc24767"/>
      <w:bookmarkStart w:id="596" w:name="_Toc4811_WPSOffice_Level3"/>
      <w:bookmarkStart w:id="597" w:name="_Toc1464"/>
      <w:r>
        <w:rPr>
          <w:rFonts w:eastAsia="楷体_GB2312"/>
          <w:color w:val="auto"/>
        </w:rPr>
        <w:t>第二节  提高司法公正水平</w:t>
      </w:r>
      <w:bookmarkEnd w:id="594"/>
      <w:bookmarkEnd w:id="595"/>
      <w:bookmarkEnd w:id="596"/>
      <w:bookmarkEnd w:id="597"/>
    </w:p>
    <w:p>
      <w:pPr>
        <w:spacing w:line="576" w:lineRule="exact"/>
        <w:ind w:firstLine="640" w:firstLineChars="200"/>
        <w:rPr>
          <w:rFonts w:cs="Times New Roman"/>
          <w:color w:val="auto"/>
        </w:rPr>
      </w:pPr>
      <w:r>
        <w:rPr>
          <w:rFonts w:cs="Times New Roman"/>
          <w:color w:val="auto"/>
        </w:rPr>
        <w:t>深入推进司法体制综合配套改革，建立权责一致的司法权运行机制。深化以审判为中心的刑事诉讼制度改革，抓好公益诉讼工作，落实捕诉一体和认罪认罚从宽制度。构建覆盖城乡、均等普惠、便捷高效的公共法律服务体系，加强公共法律服务实体、热线、网络三大平台建设，</w:t>
      </w:r>
      <w:r>
        <w:rPr>
          <w:rFonts w:hint="eastAsia" w:cs="Times New Roman"/>
          <w:color w:val="auto"/>
        </w:rPr>
        <w:t>提升</w:t>
      </w:r>
      <w:r>
        <w:rPr>
          <w:rFonts w:cs="Times New Roman"/>
          <w:color w:val="auto"/>
        </w:rPr>
        <w:t>基层乡（镇）、村（社）公共法律服务站点功能，推行司法便民化服务。完善基层法律援助机制，强化法律服务队伍建设。</w:t>
      </w:r>
    </w:p>
    <w:p>
      <w:pPr>
        <w:pStyle w:val="5"/>
        <w:spacing w:before="156" w:beforeLines="50" w:after="156" w:afterLines="50" w:line="576" w:lineRule="exact"/>
        <w:jc w:val="center"/>
        <w:rPr>
          <w:rFonts w:eastAsia="楷体_GB2312"/>
          <w:color w:val="auto"/>
        </w:rPr>
      </w:pPr>
      <w:bookmarkStart w:id="598" w:name="_Toc3588"/>
      <w:bookmarkStart w:id="599" w:name="_Toc5750"/>
      <w:bookmarkStart w:id="600" w:name="_Toc12324_WPSOffice_Level3"/>
      <w:bookmarkStart w:id="601" w:name="_Toc22847"/>
      <w:r>
        <w:rPr>
          <w:rFonts w:eastAsia="楷体_GB2312"/>
          <w:color w:val="auto"/>
        </w:rPr>
        <w:t>第三节  加快法治社会建设</w:t>
      </w:r>
      <w:bookmarkEnd w:id="598"/>
      <w:bookmarkEnd w:id="599"/>
      <w:bookmarkEnd w:id="600"/>
      <w:bookmarkEnd w:id="601"/>
    </w:p>
    <w:p>
      <w:pPr>
        <w:spacing w:line="576" w:lineRule="exact"/>
        <w:ind w:firstLine="640" w:firstLineChars="200"/>
        <w:rPr>
          <w:rFonts w:cs="Times New Roman"/>
          <w:color w:val="auto"/>
        </w:rPr>
      </w:pPr>
      <w:r>
        <w:rPr>
          <w:rFonts w:cs="Times New Roman"/>
          <w:color w:val="auto"/>
        </w:rPr>
        <w:t>健全常态化普法工作机制，扎实开展“八五普法”“法律政策七进”活动。落实以案释法制度，加强组织领导</w:t>
      </w:r>
      <w:r>
        <w:rPr>
          <w:rFonts w:hint="eastAsia" w:cs="Times New Roman"/>
          <w:color w:val="auto"/>
        </w:rPr>
        <w:t>，</w:t>
      </w:r>
      <w:r>
        <w:rPr>
          <w:rFonts w:cs="Times New Roman"/>
          <w:color w:val="auto"/>
        </w:rPr>
        <w:t>强化督导考核和经费保障机制，丰富法治宣传载体，构建多形式推进、立体化覆盖的法律政策宣传体系。创新法治宣传教育形式，组织开展“12·4”国家宪法日暨全国法制宣传日等法</w:t>
      </w:r>
      <w:r>
        <w:rPr>
          <w:rFonts w:hint="eastAsia" w:cs="Times New Roman"/>
          <w:color w:val="auto"/>
          <w:lang w:eastAsia="zh-CN"/>
        </w:rPr>
        <w:t>治</w:t>
      </w:r>
      <w:r>
        <w:rPr>
          <w:rFonts w:cs="Times New Roman"/>
          <w:color w:val="auto"/>
        </w:rPr>
        <w:t>宣传教育活动，不断扩大法治宣传教育覆盖面。加强法治文化阵地和基层法治培训基地建设，积极推进法治</w:t>
      </w:r>
      <w:r>
        <w:rPr>
          <w:rFonts w:hint="eastAsia" w:cs="Times New Roman"/>
          <w:color w:val="auto"/>
        </w:rPr>
        <w:t>社会建设</w:t>
      </w:r>
      <w:r>
        <w:rPr>
          <w:rFonts w:cs="Times New Roman"/>
          <w:color w:val="auto"/>
        </w:rPr>
        <w:t>。</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02" w:name="_Toc18712"/>
      <w:bookmarkStart w:id="603" w:name="_Toc11569"/>
      <w:bookmarkStart w:id="604" w:name="_Toc28815_WPSOffice_Level2"/>
      <w:bookmarkStart w:id="605" w:name="_Toc26905"/>
      <w:r>
        <w:rPr>
          <w:rFonts w:ascii="Times New Roman" w:hAnsi="Times New Roman" w:eastAsia="黑体"/>
          <w:b w:val="0"/>
          <w:bCs w:val="0"/>
          <w:color w:val="auto"/>
          <w:kern w:val="2"/>
          <w:sz w:val="32"/>
          <w:szCs w:val="32"/>
        </w:rPr>
        <w:t>第三十章  加快基层治理创新</w:t>
      </w:r>
      <w:bookmarkEnd w:id="602"/>
      <w:bookmarkEnd w:id="603"/>
      <w:bookmarkEnd w:id="604"/>
      <w:bookmarkEnd w:id="605"/>
    </w:p>
    <w:p>
      <w:pPr>
        <w:spacing w:line="576" w:lineRule="exact"/>
        <w:ind w:firstLine="640" w:firstLineChars="200"/>
        <w:rPr>
          <w:rFonts w:cs="Times New Roman"/>
          <w:color w:val="auto"/>
        </w:rPr>
      </w:pPr>
      <w:r>
        <w:rPr>
          <w:rFonts w:cs="Times New Roman"/>
          <w:color w:val="auto"/>
        </w:rPr>
        <w:t>坚持共建共治共享，着力推动社会治理主体多元化、治理机制透明化、治理方式科学化，建设人人有责、人人尽责、人人享有的社会治理共同体。</w:t>
      </w:r>
    </w:p>
    <w:p>
      <w:pPr>
        <w:pStyle w:val="5"/>
        <w:spacing w:before="156" w:beforeLines="50" w:after="156" w:afterLines="50" w:line="576" w:lineRule="exact"/>
        <w:jc w:val="center"/>
        <w:rPr>
          <w:rFonts w:eastAsia="楷体_GB2312"/>
          <w:color w:val="auto"/>
        </w:rPr>
      </w:pPr>
      <w:bookmarkStart w:id="606" w:name="_Toc12909"/>
      <w:bookmarkStart w:id="607" w:name="_Toc29146_WPSOffice_Level3"/>
      <w:bookmarkStart w:id="608" w:name="_Toc1498"/>
      <w:bookmarkStart w:id="609" w:name="_Toc19323"/>
      <w:r>
        <w:rPr>
          <w:rFonts w:eastAsia="楷体_GB2312"/>
          <w:color w:val="auto"/>
        </w:rPr>
        <w:t>第一节  完善城乡基层治理体系</w:t>
      </w:r>
      <w:bookmarkEnd w:id="606"/>
      <w:bookmarkEnd w:id="607"/>
      <w:bookmarkEnd w:id="608"/>
      <w:bookmarkEnd w:id="609"/>
    </w:p>
    <w:p>
      <w:pPr>
        <w:spacing w:line="576" w:lineRule="exact"/>
        <w:ind w:firstLine="640" w:firstLineChars="200"/>
        <w:rPr>
          <w:rFonts w:cs="Times New Roman"/>
          <w:color w:val="auto"/>
        </w:rPr>
      </w:pPr>
      <w:r>
        <w:rPr>
          <w:rFonts w:cs="Times New Roman"/>
          <w:color w:val="auto"/>
        </w:rPr>
        <w:t>全面推行“一核三治”基层治理模式，健全党组织领导的自治、法治、德治相结合的城乡基层治理体系。紧扣“藏区党建示范县”创建目标，加大藏区党建投入，提升基层党组织政治功能和组织力，健全基层组织和政权建设长效机制。提升群众自治能力，加强基层群众性自治组织规范化建设，创新协商议事形式和活动载体，探索基层民主自治多种实现形式。提升法治保障能力，健全村（社区）法律顾问制度，建立重大决策征求法律顾问意见制度，深化民主法治示范村（社区）创建活动。提升德治教化能力，依托全国新时代文明实践中心试点县建设，加快构建“实践中心—实践所—实践站”县乡村三级组织体系。完善基层民主协</w:t>
      </w:r>
      <w:r>
        <w:rPr>
          <w:rFonts w:cs="Times New Roman"/>
          <w:color w:val="auto"/>
          <w:spacing w:val="-6"/>
        </w:rPr>
        <w:t>商制度，畅通和规范城乡群众和社会组织参与基层社会治理渠道。</w:t>
      </w:r>
    </w:p>
    <w:p>
      <w:pPr>
        <w:pStyle w:val="5"/>
        <w:spacing w:before="156" w:beforeLines="50" w:after="156" w:afterLines="50" w:line="576" w:lineRule="exact"/>
        <w:jc w:val="center"/>
        <w:rPr>
          <w:rFonts w:eastAsia="楷体_GB2312"/>
          <w:color w:val="auto"/>
        </w:rPr>
      </w:pPr>
      <w:bookmarkStart w:id="610" w:name="_Toc20784"/>
      <w:bookmarkStart w:id="611" w:name="_Toc24973"/>
      <w:bookmarkStart w:id="612" w:name="_Toc5734_WPSOffice_Level3"/>
      <w:bookmarkStart w:id="613" w:name="_Toc3182"/>
      <w:r>
        <w:rPr>
          <w:rFonts w:eastAsia="楷体_GB2312"/>
          <w:color w:val="auto"/>
        </w:rPr>
        <w:t>第二节  提升基层管理服务能力</w:t>
      </w:r>
      <w:bookmarkEnd w:id="610"/>
      <w:bookmarkEnd w:id="611"/>
      <w:bookmarkEnd w:id="612"/>
      <w:bookmarkEnd w:id="613"/>
    </w:p>
    <w:p>
      <w:pPr>
        <w:spacing w:line="576" w:lineRule="exact"/>
        <w:ind w:firstLine="640" w:firstLineChars="200"/>
        <w:rPr>
          <w:rFonts w:cs="Times New Roman"/>
          <w:color w:val="auto"/>
        </w:rPr>
      </w:pPr>
      <w:r>
        <w:rPr>
          <w:rFonts w:cs="Times New Roman"/>
          <w:color w:val="auto"/>
        </w:rPr>
        <w:t>完善乡镇综合治理服务设施与村办公场所建设，推动政务服务工作重心下移，健全县乡村三级政务服务体系。做好乡镇行政区划和村级建制调整改革“后半篇”文章，理顺乡镇管理权限，推动基层赋权扩能。</w:t>
      </w:r>
      <w:r>
        <w:rPr>
          <w:rFonts w:hint="eastAsia" w:cs="Times New Roman"/>
          <w:color w:val="auto"/>
        </w:rPr>
        <w:t>拓展</w:t>
      </w:r>
      <w:r>
        <w:rPr>
          <w:rFonts w:cs="Times New Roman"/>
          <w:color w:val="auto"/>
        </w:rPr>
        <w:t>基层社会服务，更好满足基层居民托幼、社会保障、公共服务、法律等需求。加强网格化服务管理，构建全域覆盖、全网整合、规范高效、常态运行的网格化管理服务体系。推动基层治理信息化智慧化，推动5G、大数据、人工智能等新一代信息技术与城乡基层治理深度融合，建设智慧社区、数字乡村，构建网格化管理、精细化服务、信息化支撑、开放共享的基层管理服务平台。</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14" w:name="_Toc6897"/>
      <w:bookmarkStart w:id="615" w:name="_Toc17034"/>
      <w:bookmarkStart w:id="616" w:name="_Toc23940_WPSOffice_Level2"/>
      <w:bookmarkStart w:id="617" w:name="_Toc17602"/>
      <w:r>
        <w:rPr>
          <w:rFonts w:ascii="Times New Roman" w:hAnsi="Times New Roman" w:eastAsia="黑体"/>
          <w:b w:val="0"/>
          <w:bCs w:val="0"/>
          <w:color w:val="auto"/>
          <w:kern w:val="2"/>
          <w:sz w:val="32"/>
          <w:szCs w:val="32"/>
        </w:rPr>
        <w:t>第三十一章  健全应急管理体系</w:t>
      </w:r>
      <w:bookmarkEnd w:id="614"/>
      <w:bookmarkEnd w:id="615"/>
      <w:bookmarkEnd w:id="616"/>
      <w:bookmarkEnd w:id="617"/>
    </w:p>
    <w:p>
      <w:pPr>
        <w:spacing w:line="576" w:lineRule="exact"/>
        <w:ind w:firstLine="640" w:firstLineChars="200"/>
        <w:rPr>
          <w:rFonts w:cs="Times New Roman"/>
          <w:color w:val="auto"/>
        </w:rPr>
      </w:pPr>
      <w:r>
        <w:rPr>
          <w:rFonts w:cs="Times New Roman"/>
          <w:color w:val="auto"/>
        </w:rPr>
        <w:t>坚持预防为主、防减并重、综合防治，加强监测预警、应急救援、减灾能力三大体系建设，全面提升防灾、减灾、抗灾、救灾能力，创建地灾治理和综合减灾试点县。</w:t>
      </w:r>
    </w:p>
    <w:p>
      <w:pPr>
        <w:pStyle w:val="5"/>
        <w:spacing w:before="156" w:beforeLines="50" w:after="156" w:afterLines="50" w:line="576" w:lineRule="exact"/>
        <w:jc w:val="center"/>
        <w:rPr>
          <w:rFonts w:eastAsia="楷体_GB2312"/>
          <w:color w:val="auto"/>
        </w:rPr>
      </w:pPr>
      <w:bookmarkStart w:id="618" w:name="_Toc25988"/>
      <w:bookmarkStart w:id="619" w:name="_Toc2388_WPSOffice_Level3"/>
      <w:bookmarkStart w:id="620" w:name="_Toc21411"/>
      <w:bookmarkStart w:id="621" w:name="_Toc26129"/>
      <w:r>
        <w:rPr>
          <w:rFonts w:eastAsia="楷体_GB2312"/>
          <w:color w:val="auto"/>
        </w:rPr>
        <w:t>第一节  筑牢安全生产稳固防线</w:t>
      </w:r>
      <w:bookmarkEnd w:id="618"/>
      <w:bookmarkEnd w:id="619"/>
      <w:bookmarkEnd w:id="620"/>
      <w:bookmarkEnd w:id="621"/>
    </w:p>
    <w:p>
      <w:pPr>
        <w:spacing w:line="576" w:lineRule="exact"/>
        <w:ind w:firstLine="640" w:firstLineChars="200"/>
        <w:rPr>
          <w:rFonts w:cs="Times New Roman"/>
          <w:color w:val="auto"/>
        </w:rPr>
      </w:pPr>
      <w:r>
        <w:rPr>
          <w:rFonts w:cs="Times New Roman"/>
          <w:color w:val="auto"/>
        </w:rPr>
        <w:t>全面落实安全生产党政同责、一岗双责等基本责任制度。扎实开展安全生产专项整治行动，紧盯道路交通、非煤矿山、食品药品、消防安全、危化物品、建筑施工等重点领域，持续抓好大排查、大整治，从源头上消除安全隐患，坚决遏制重特大安全事故发生。</w:t>
      </w:r>
      <w:r>
        <w:rPr>
          <w:rFonts w:hint="eastAsia" w:cs="Times New Roman"/>
          <w:color w:val="auto"/>
        </w:rPr>
        <w:t>推进安全生产监管信息化，建设安全生产风险监测预警系统，实现政府监管监察执法、企业在线监测和预警防控信息一体化。</w:t>
      </w:r>
      <w:r>
        <w:rPr>
          <w:rFonts w:cs="Times New Roman"/>
          <w:color w:val="auto"/>
        </w:rPr>
        <w:t>常态化抓好疫情防控，严把“两州三县”边界关口，完善“五长协管”工作机制。</w:t>
      </w:r>
    </w:p>
    <w:p>
      <w:pPr>
        <w:pStyle w:val="5"/>
        <w:spacing w:before="156" w:beforeLines="50" w:after="156" w:afterLines="50" w:line="576" w:lineRule="exact"/>
        <w:jc w:val="center"/>
        <w:rPr>
          <w:rFonts w:eastAsia="楷体_GB2312"/>
          <w:color w:val="auto"/>
        </w:rPr>
      </w:pPr>
      <w:bookmarkStart w:id="622" w:name="_Toc27441"/>
      <w:bookmarkStart w:id="623" w:name="_Toc32393"/>
      <w:bookmarkStart w:id="624" w:name="_Toc29124"/>
      <w:bookmarkStart w:id="625" w:name="_Toc31461_WPSOffice_Level3"/>
      <w:r>
        <w:rPr>
          <w:rFonts w:eastAsia="楷体_GB2312"/>
          <w:color w:val="auto"/>
        </w:rPr>
        <w:t>第二节  强化监测预警体系建设</w:t>
      </w:r>
      <w:bookmarkEnd w:id="622"/>
      <w:bookmarkEnd w:id="623"/>
      <w:bookmarkEnd w:id="624"/>
      <w:bookmarkEnd w:id="625"/>
    </w:p>
    <w:p>
      <w:pPr>
        <w:spacing w:line="576" w:lineRule="exact"/>
        <w:ind w:firstLine="640" w:firstLineChars="200"/>
        <w:rPr>
          <w:rFonts w:cs="Times New Roman"/>
          <w:color w:val="auto"/>
        </w:rPr>
      </w:pPr>
      <w:r>
        <w:rPr>
          <w:rFonts w:cs="Times New Roman"/>
          <w:color w:val="auto"/>
        </w:rPr>
        <w:t>开展自然灾害综合风险普查，建立健全灾害风险基础数据库。健全灾害预警体系，加强气象减灾、防震减灾、防汛抗旱和山地灾害监测预警预报系统建设，健全县、乡（镇）、村、组、点五级网络预警体系，实现监测全时段、预警全覆盖、预报全送达。加强偏远、高风险地区的预警手段和设施建设，增加监测点，进一步扩大监测覆盖面。逐步改进监测技术和手段，有效提高监测能力。加强县乡村三级灾害信息员队伍建设，强化业务培训，提升识灾报灾、日常监测和临灾避险应急能力。完善群测群防体系，健全以村干部和骨干群众为主体的群测群防队伍，将群测群防组织纳入防灾管理体系。充分利用应急广播、电视、互联网、</w:t>
      </w:r>
      <w:r>
        <w:rPr>
          <w:rFonts w:cs="Times New Roman"/>
          <w:color w:val="auto"/>
          <w:w w:val="97"/>
        </w:rPr>
        <w:t>“两微”、手机短信等手段，及时将灾害预警信息传递给受威胁群众。</w:t>
      </w:r>
    </w:p>
    <w:p>
      <w:pPr>
        <w:pStyle w:val="5"/>
        <w:spacing w:before="156" w:beforeLines="50" w:after="156" w:afterLines="50" w:line="576" w:lineRule="exact"/>
        <w:jc w:val="center"/>
        <w:rPr>
          <w:rFonts w:eastAsia="楷体_GB2312"/>
          <w:color w:val="auto"/>
        </w:rPr>
      </w:pPr>
      <w:bookmarkStart w:id="626" w:name="_Toc7685"/>
      <w:bookmarkStart w:id="627" w:name="_Toc20196"/>
      <w:bookmarkStart w:id="628" w:name="_Toc7602_WPSOffice_Level3"/>
      <w:bookmarkStart w:id="629" w:name="_Toc10030"/>
      <w:r>
        <w:rPr>
          <w:rFonts w:eastAsia="楷体_GB2312"/>
          <w:color w:val="auto"/>
        </w:rPr>
        <w:t>第三节  完善灾害应急救援体系</w:t>
      </w:r>
      <w:bookmarkEnd w:id="626"/>
      <w:bookmarkEnd w:id="627"/>
      <w:bookmarkEnd w:id="628"/>
      <w:bookmarkEnd w:id="629"/>
    </w:p>
    <w:p>
      <w:pPr>
        <w:spacing w:line="576" w:lineRule="exact"/>
        <w:ind w:firstLine="640" w:firstLineChars="200"/>
        <w:rPr>
          <w:rFonts w:cs="Times New Roman"/>
          <w:color w:val="auto"/>
        </w:rPr>
      </w:pPr>
      <w:r>
        <w:rPr>
          <w:rFonts w:cs="Times New Roman"/>
          <w:color w:val="auto"/>
        </w:rPr>
        <w:t>健全完善全县应急指挥平台，强化社会安全、事故灾难、公共卫生信息搜集和研判能力建设，建成涵盖城乡的应急指挥调度系统。加强应急救援队伍建设，统筹综合性救援力量和专业性应急救援力量建设，强化应急处突演练，提升实战能力。投用新型多功能应急指挥车，增强移动指挥能力。提高疏散和应急避险能力，科学设置疏散通道和应急避险场所，分片区制定疏散和撤离路线。提高防灾救灾物资储备能力，规划建设县级大型救灾应急物资储备仓库，在观音镇、安宁、周山三个片区建设小型物资储备仓库。</w:t>
      </w:r>
    </w:p>
    <w:p>
      <w:pPr>
        <w:pStyle w:val="5"/>
        <w:spacing w:before="156" w:beforeLines="50" w:after="156" w:afterLines="50" w:line="576" w:lineRule="exact"/>
        <w:jc w:val="center"/>
        <w:rPr>
          <w:rFonts w:eastAsia="楷体_GB2312"/>
          <w:color w:val="auto"/>
        </w:rPr>
      </w:pPr>
      <w:bookmarkStart w:id="630" w:name="_Toc30803"/>
      <w:bookmarkStart w:id="631" w:name="_Toc26874_WPSOffice_Level3"/>
      <w:bookmarkStart w:id="632" w:name="_Toc32740"/>
      <w:bookmarkStart w:id="633" w:name="_Toc21664"/>
      <w:r>
        <w:rPr>
          <w:rFonts w:eastAsia="楷体_GB2312"/>
          <w:color w:val="auto"/>
        </w:rPr>
        <w:t>第四节  加强防灾减灾能力建设</w:t>
      </w:r>
      <w:bookmarkEnd w:id="630"/>
      <w:bookmarkEnd w:id="631"/>
      <w:bookmarkEnd w:id="632"/>
      <w:bookmarkEnd w:id="633"/>
    </w:p>
    <w:p>
      <w:pPr>
        <w:spacing w:line="576" w:lineRule="exact"/>
        <w:ind w:firstLine="640" w:firstLineChars="200"/>
        <w:rPr>
          <w:rFonts w:eastAsia="仿宋" w:cs="Times New Roman"/>
          <w:color w:val="auto"/>
          <w:kern w:val="0"/>
          <w:szCs w:val="32"/>
        </w:rPr>
      </w:pPr>
      <w:r>
        <w:rPr>
          <w:rFonts w:cs="Times New Roman"/>
          <w:color w:val="auto"/>
        </w:rPr>
        <w:t>完善灾害防御体系，建好防汛抗旱、地质灾害、气象灾害、地震灾害和森林草原火灾“五大防灾体系”。提升防洪抗旱能力，综合运用防洪抗旱减灾工程措施和非工程措施，完善防洪抗旱防灾减灾体系。加强地质灾害防御工程建设，完成地质灾害管理信息系统建设，推进隐患点居民搬迁避让工程，提高抗御山洪、泥石流等自然灾害能力。建设人工影响天气的防灾减灾系统，减少冰雹、干旱、雷电、大雪等自然灾害损失。建立健全地震群测群防机制，完善抗震设防要求管理监督机制，</w:t>
      </w:r>
      <w:r>
        <w:rPr>
          <w:rFonts w:hint="eastAsia" w:cs="Times New Roman"/>
          <w:color w:val="auto"/>
        </w:rPr>
        <w:t>强化</w:t>
      </w:r>
      <w:r>
        <w:rPr>
          <w:rFonts w:cs="Times New Roman"/>
          <w:color w:val="auto"/>
        </w:rPr>
        <w:t>农村</w:t>
      </w:r>
      <w:r>
        <w:rPr>
          <w:rFonts w:hint="eastAsia" w:cs="Times New Roman"/>
          <w:color w:val="auto"/>
          <w:lang w:val="en-US" w:eastAsia="zh-CN"/>
        </w:rPr>
        <w:t>民</w:t>
      </w:r>
      <w:r>
        <w:rPr>
          <w:rFonts w:cs="Times New Roman"/>
          <w:color w:val="auto"/>
        </w:rPr>
        <w:t>居抗震设防指导。狠抓森林草原防火工作，推进瞭望监测网、预测预报网、通讯指挥网、森林阻隔网建设，</w:t>
      </w:r>
      <w:r>
        <w:rPr>
          <w:rFonts w:hint="eastAsia" w:cs="Times New Roman"/>
          <w:color w:val="auto"/>
        </w:rPr>
        <w:t>配齐配强</w:t>
      </w:r>
      <w:r>
        <w:rPr>
          <w:rFonts w:cs="Times New Roman"/>
          <w:color w:val="auto"/>
        </w:rPr>
        <w:t>扑火专业队伍，备足扑火所需物资。开展安全生产和防灾减灾知识“七进”宣传教育，提高公众防灾能力。</w:t>
      </w:r>
    </w:p>
    <w:tbl>
      <w:tblPr>
        <w:tblStyle w:val="27"/>
        <w:tblW w:w="872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7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25" w:type="dxa"/>
          </w:tcPr>
          <w:p>
            <w:pPr>
              <w:pStyle w:val="34"/>
              <w:spacing w:line="576" w:lineRule="exact"/>
              <w:jc w:val="center"/>
              <w:rPr>
                <w:rFonts w:hint="default" w:ascii="Times New Roman" w:hAnsi="Times New Roman"/>
                <w:color w:val="auto"/>
                <w:sz w:val="30"/>
                <w:szCs w:val="30"/>
              </w:rPr>
            </w:pPr>
            <w:bookmarkStart w:id="634" w:name="_Toc21836_WPSOffice_Level2"/>
            <w:r>
              <w:rPr>
                <w:rFonts w:hint="default" w:ascii="Times New Roman" w:hAnsi="Times New Roman"/>
                <w:bCs/>
                <w:color w:val="auto"/>
                <w:sz w:val="28"/>
                <w:szCs w:val="32"/>
              </w:rPr>
              <w:t>专栏18  金川县防灾减灾建设重点项目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25"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b/>
                <w:color w:val="auto"/>
                <w:sz w:val="28"/>
                <w:szCs w:val="28"/>
              </w:rPr>
            </w:pPr>
            <w:r>
              <w:rPr>
                <w:rFonts w:cs="Times New Roman"/>
                <w:b/>
                <w:color w:val="auto"/>
                <w:sz w:val="28"/>
                <w:szCs w:val="28"/>
              </w:rPr>
              <w:t>监测预警</w:t>
            </w:r>
            <w:r>
              <w:rPr>
                <w:rFonts w:cs="Times New Roman"/>
                <w:bCs/>
                <w:color w:val="auto"/>
                <w:sz w:val="28"/>
                <w:szCs w:val="28"/>
              </w:rPr>
              <w:t>。农村气象灾害防御体系建设</w:t>
            </w:r>
            <w:r>
              <w:rPr>
                <w:rFonts w:hint="eastAsia" w:cs="Times New Roman"/>
                <w:bCs/>
                <w:color w:val="auto"/>
                <w:sz w:val="28"/>
                <w:szCs w:val="28"/>
                <w:lang w:val="en-US" w:eastAsia="zh-CN"/>
              </w:rPr>
              <w:t>项目，</w:t>
            </w:r>
            <w:r>
              <w:rPr>
                <w:rFonts w:cs="Times New Roman"/>
                <w:bCs/>
                <w:color w:val="auto"/>
                <w:sz w:val="28"/>
                <w:szCs w:val="28"/>
              </w:rPr>
              <w:t>气象防灾减灾能力提升建设</w:t>
            </w:r>
            <w:r>
              <w:rPr>
                <w:rFonts w:hint="eastAsia" w:cs="Times New Roman"/>
                <w:bCs/>
                <w:color w:val="auto"/>
                <w:sz w:val="28"/>
                <w:szCs w:val="28"/>
                <w:lang w:val="en-US" w:eastAsia="zh-CN"/>
              </w:rPr>
              <w:t>项目，</w:t>
            </w:r>
            <w:r>
              <w:rPr>
                <w:rFonts w:cs="Times New Roman"/>
                <w:bCs/>
                <w:color w:val="auto"/>
                <w:sz w:val="28"/>
                <w:szCs w:val="28"/>
              </w:rPr>
              <w:t>防汛抗旱山地灾害预警系统建设</w:t>
            </w:r>
            <w:r>
              <w:rPr>
                <w:rFonts w:hint="eastAsia" w:cs="Times New Roman"/>
                <w:bCs/>
                <w:color w:val="auto"/>
                <w:sz w:val="28"/>
                <w:szCs w:val="28"/>
                <w:lang w:val="en-US" w:eastAsia="zh-CN"/>
              </w:rPr>
              <w:t>项目</w:t>
            </w:r>
            <w:r>
              <w:rPr>
                <w:rFonts w:hint="eastAsia" w:cs="Times New Roman"/>
                <w:bCs/>
                <w:color w:val="auto"/>
                <w:sz w:val="28"/>
                <w:szCs w:val="28"/>
                <w:lang w:eastAsia="zh-CN"/>
              </w:rPr>
              <w:t>，</w:t>
            </w:r>
            <w:r>
              <w:rPr>
                <w:rFonts w:cs="Times New Roman"/>
                <w:bCs/>
                <w:color w:val="auto"/>
                <w:sz w:val="28"/>
                <w:szCs w:val="28"/>
              </w:rPr>
              <w:t>森林火险预警监测系统建设</w:t>
            </w:r>
            <w:r>
              <w:rPr>
                <w:rFonts w:hint="eastAsia" w:cs="Times New Roman"/>
                <w:bCs/>
                <w:color w:val="auto"/>
                <w:sz w:val="28"/>
                <w:szCs w:val="28"/>
                <w:lang w:val="en-US" w:eastAsia="zh-CN"/>
              </w:rPr>
              <w:t>项目</w:t>
            </w:r>
            <w:r>
              <w:rPr>
                <w:rFonts w:cs="Times New Roman"/>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bCs/>
                <w:color w:val="auto"/>
                <w:sz w:val="28"/>
                <w:szCs w:val="28"/>
              </w:rPr>
            </w:pPr>
            <w:r>
              <w:rPr>
                <w:rFonts w:cs="Times New Roman"/>
                <w:b/>
                <w:color w:val="auto"/>
                <w:sz w:val="28"/>
                <w:szCs w:val="28"/>
              </w:rPr>
              <w:t>应急救援</w:t>
            </w:r>
            <w:r>
              <w:rPr>
                <w:rFonts w:cs="Times New Roman"/>
                <w:bCs/>
                <w:color w:val="auto"/>
                <w:sz w:val="28"/>
                <w:szCs w:val="28"/>
              </w:rPr>
              <w:t>。全县应急指挥平台建设</w:t>
            </w:r>
            <w:r>
              <w:rPr>
                <w:rFonts w:hint="eastAsia" w:cs="Times New Roman"/>
                <w:bCs/>
                <w:color w:val="auto"/>
                <w:sz w:val="28"/>
                <w:szCs w:val="28"/>
                <w:lang w:val="en-US" w:eastAsia="zh-CN"/>
              </w:rPr>
              <w:t>项目，</w:t>
            </w:r>
            <w:r>
              <w:rPr>
                <w:rFonts w:cs="Times New Roman"/>
                <w:bCs/>
                <w:color w:val="auto"/>
                <w:sz w:val="28"/>
                <w:szCs w:val="28"/>
              </w:rPr>
              <w:t>救灾应急物资储备仓库建设</w:t>
            </w:r>
            <w:r>
              <w:rPr>
                <w:rFonts w:hint="eastAsia" w:cs="Times New Roman"/>
                <w:bCs/>
                <w:color w:val="auto"/>
                <w:sz w:val="28"/>
                <w:szCs w:val="28"/>
                <w:lang w:val="en-US" w:eastAsia="zh-CN"/>
              </w:rPr>
              <w:t>项目</w:t>
            </w:r>
            <w:r>
              <w:rPr>
                <w:rFonts w:hint="eastAsia" w:cs="Times New Roman"/>
                <w:bCs/>
                <w:color w:val="auto"/>
                <w:sz w:val="28"/>
                <w:szCs w:val="28"/>
                <w:lang w:eastAsia="zh-CN"/>
              </w:rPr>
              <w:t>，</w:t>
            </w:r>
            <w:r>
              <w:rPr>
                <w:rFonts w:cs="Times New Roman"/>
                <w:bCs/>
                <w:color w:val="auto"/>
                <w:sz w:val="28"/>
                <w:szCs w:val="28"/>
              </w:rPr>
              <w:t>应急避险场所建设</w:t>
            </w:r>
            <w:r>
              <w:rPr>
                <w:rFonts w:hint="eastAsia" w:cs="Times New Roman"/>
                <w:bCs/>
                <w:color w:val="auto"/>
                <w:sz w:val="28"/>
                <w:szCs w:val="28"/>
                <w:lang w:val="en-US" w:eastAsia="zh-CN"/>
              </w:rPr>
              <w:t>项目</w:t>
            </w:r>
            <w:r>
              <w:rPr>
                <w:rFonts w:hint="eastAsia" w:cs="Times New Roman"/>
                <w:bCs/>
                <w:color w:val="auto"/>
                <w:sz w:val="28"/>
                <w:szCs w:val="28"/>
                <w:lang w:eastAsia="zh-CN"/>
              </w:rPr>
              <w:t>，</w:t>
            </w:r>
            <w:r>
              <w:rPr>
                <w:rFonts w:cs="Times New Roman"/>
                <w:bCs/>
                <w:color w:val="auto"/>
                <w:sz w:val="28"/>
                <w:szCs w:val="28"/>
              </w:rPr>
              <w:t>1辆多功能应急指挥车</w:t>
            </w:r>
            <w:r>
              <w:rPr>
                <w:rFonts w:hint="eastAsia" w:cs="Times New Roman"/>
                <w:bCs/>
                <w:color w:val="auto"/>
                <w:sz w:val="28"/>
                <w:szCs w:val="28"/>
                <w:lang w:val="en-US" w:eastAsia="zh-CN"/>
              </w:rPr>
              <w:t>购置项目</w:t>
            </w:r>
            <w:r>
              <w:rPr>
                <w:rFonts w:hint="eastAsia" w:cs="Times New Roman"/>
                <w:bCs/>
                <w:color w:val="auto"/>
                <w:sz w:val="28"/>
                <w:szCs w:val="28"/>
                <w:lang w:eastAsia="zh-CN"/>
              </w:rPr>
              <w:t>，</w:t>
            </w:r>
            <w:r>
              <w:rPr>
                <w:rFonts w:cs="Times New Roman"/>
                <w:bCs/>
                <w:color w:val="auto"/>
                <w:sz w:val="28"/>
                <w:szCs w:val="28"/>
              </w:rPr>
              <w:t>应急救援队伍能力培训</w:t>
            </w:r>
            <w:r>
              <w:rPr>
                <w:rFonts w:hint="eastAsia" w:cs="Times New Roman"/>
                <w:bCs/>
                <w:color w:val="auto"/>
                <w:sz w:val="28"/>
                <w:szCs w:val="28"/>
                <w:lang w:val="en-US" w:eastAsia="zh-CN"/>
              </w:rPr>
              <w:t>项目</w:t>
            </w:r>
            <w:r>
              <w:rPr>
                <w:rFonts w:cs="Times New Roman"/>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30"/>
                <w:szCs w:val="30"/>
              </w:rPr>
            </w:pPr>
            <w:r>
              <w:rPr>
                <w:rFonts w:cs="Times New Roman"/>
                <w:b/>
                <w:color w:val="auto"/>
                <w:sz w:val="28"/>
                <w:szCs w:val="28"/>
              </w:rPr>
              <w:t>综合减灾</w:t>
            </w:r>
            <w:r>
              <w:rPr>
                <w:rFonts w:cs="Times New Roman"/>
                <w:bCs/>
                <w:color w:val="auto"/>
                <w:sz w:val="28"/>
                <w:szCs w:val="28"/>
              </w:rPr>
              <w:t>。森林草原防灭火基础建设提升</w:t>
            </w:r>
            <w:r>
              <w:rPr>
                <w:rFonts w:hint="eastAsia" w:cs="Times New Roman"/>
                <w:bCs/>
                <w:color w:val="auto"/>
                <w:sz w:val="28"/>
                <w:szCs w:val="28"/>
                <w:lang w:val="en-US" w:eastAsia="zh-CN"/>
              </w:rPr>
              <w:t>项目，森林</w:t>
            </w:r>
            <w:r>
              <w:rPr>
                <w:rFonts w:cs="Times New Roman"/>
                <w:color w:val="auto"/>
                <w:kern w:val="0"/>
                <w:sz w:val="28"/>
                <w:szCs w:val="32"/>
              </w:rPr>
              <w:t>防灭火通道建设</w:t>
            </w:r>
            <w:r>
              <w:rPr>
                <w:rFonts w:hint="eastAsia" w:cs="Times New Roman"/>
                <w:color w:val="auto"/>
                <w:kern w:val="0"/>
                <w:sz w:val="28"/>
                <w:szCs w:val="32"/>
                <w:lang w:val="en-US" w:eastAsia="zh-CN"/>
              </w:rPr>
              <w:t>项目，</w:t>
            </w:r>
            <w:r>
              <w:rPr>
                <w:rFonts w:cs="Times New Roman"/>
                <w:color w:val="auto"/>
                <w:kern w:val="0"/>
                <w:sz w:val="28"/>
                <w:szCs w:val="32"/>
              </w:rPr>
              <w:t>森林防火阻隔系统建设</w:t>
            </w:r>
            <w:r>
              <w:rPr>
                <w:rFonts w:hint="eastAsia" w:cs="Times New Roman"/>
                <w:color w:val="auto"/>
                <w:kern w:val="0"/>
                <w:sz w:val="28"/>
                <w:szCs w:val="32"/>
                <w:lang w:val="en-US" w:eastAsia="zh-CN"/>
              </w:rPr>
              <w:t>项目，</w:t>
            </w:r>
            <w:r>
              <w:rPr>
                <w:rFonts w:cs="Times New Roman"/>
                <w:bCs/>
                <w:color w:val="auto"/>
                <w:sz w:val="28"/>
                <w:szCs w:val="28"/>
              </w:rPr>
              <w:t>应急排危除险项目。</w:t>
            </w:r>
          </w:p>
        </w:tc>
      </w:tr>
    </w:tbl>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35" w:name="_Toc1803"/>
      <w:bookmarkStart w:id="636" w:name="_Toc28950"/>
      <w:bookmarkStart w:id="637" w:name="_Toc17001"/>
      <w:r>
        <w:rPr>
          <w:rFonts w:ascii="Times New Roman" w:hAnsi="Times New Roman" w:eastAsia="黑体"/>
          <w:b w:val="0"/>
          <w:bCs w:val="0"/>
          <w:color w:val="auto"/>
          <w:kern w:val="2"/>
          <w:sz w:val="32"/>
          <w:szCs w:val="32"/>
        </w:rPr>
        <w:t>第三十二章  增进民族团结进步</w:t>
      </w:r>
      <w:bookmarkEnd w:id="634"/>
      <w:bookmarkEnd w:id="635"/>
      <w:bookmarkEnd w:id="636"/>
      <w:bookmarkEnd w:id="637"/>
    </w:p>
    <w:p>
      <w:pPr>
        <w:spacing w:line="576" w:lineRule="exact"/>
        <w:ind w:firstLine="640" w:firstLineChars="200"/>
        <w:rPr>
          <w:rFonts w:cs="Times New Roman"/>
          <w:color w:val="auto"/>
        </w:rPr>
      </w:pPr>
      <w:r>
        <w:rPr>
          <w:rFonts w:cs="Times New Roman"/>
          <w:color w:val="auto"/>
        </w:rPr>
        <w:t>全面贯彻落实党的民族政策，依法加强宗教事务管理，巩固和发展民族大团结，加快创建全国民族团结进步示范县，推动各民族和睦相处、和衷共济、和谐发展，铸牢中华民族共同体意识。</w:t>
      </w:r>
    </w:p>
    <w:p>
      <w:pPr>
        <w:pStyle w:val="5"/>
        <w:spacing w:before="156" w:beforeLines="50" w:after="156" w:afterLines="50" w:line="576" w:lineRule="exact"/>
        <w:jc w:val="center"/>
        <w:rPr>
          <w:rFonts w:eastAsia="楷体_GB2312"/>
          <w:color w:val="auto"/>
        </w:rPr>
      </w:pPr>
      <w:bookmarkStart w:id="638" w:name="_Toc14642"/>
      <w:bookmarkStart w:id="639" w:name="_Toc6631"/>
      <w:bookmarkStart w:id="640" w:name="_Toc22486"/>
      <w:bookmarkStart w:id="641" w:name="_Toc23945_WPSOffice_Level3"/>
      <w:r>
        <w:rPr>
          <w:rFonts w:eastAsia="楷体_GB2312"/>
          <w:color w:val="auto"/>
        </w:rPr>
        <w:t>第一节  铸牢中华民族共同体意识</w:t>
      </w:r>
      <w:bookmarkEnd w:id="638"/>
      <w:bookmarkEnd w:id="639"/>
      <w:bookmarkEnd w:id="640"/>
      <w:bookmarkEnd w:id="641"/>
    </w:p>
    <w:p>
      <w:pPr>
        <w:spacing w:line="576" w:lineRule="exact"/>
        <w:ind w:firstLine="640" w:firstLineChars="200"/>
        <w:rPr>
          <w:rFonts w:cs="Times New Roman"/>
          <w:color w:val="auto"/>
        </w:rPr>
      </w:pPr>
      <w:r>
        <w:rPr>
          <w:rFonts w:cs="Times New Roman"/>
          <w:color w:val="auto"/>
        </w:rPr>
        <w:t>深入开展党的民族理论、民族政策、民族法律法规宣传教育，推进个人、社会、民族、国家价值内在统一，推动“三个离不开”“五个认同”“六个相互”</w:t>
      </w:r>
      <w:r>
        <w:rPr>
          <w:rFonts w:hint="eastAsia" w:cs="Times New Roman"/>
          <w:color w:val="auto"/>
        </w:rPr>
        <w:t>入</w:t>
      </w:r>
      <w:r>
        <w:rPr>
          <w:rFonts w:cs="Times New Roman"/>
          <w:color w:val="auto"/>
        </w:rPr>
        <w:t>心见行。加强“滴灌式”民族团结进步宣传教育，深化中华民族共同体意识宣传教育“七进+”活动。坚持抓基层、强基础，把民族团结进步示范县创建工作重心下沉到机关、社区、乡村、学校、企业、寺庙等基层单位，多渠道、全方位开展创建工作宣传月、宣传周、宣传日活动。深入推进“孝善和俭”进寺庙，建立健全“两联一进”“百千万”常态长效机制，不断增进党群、干群、干僧关系。依法保障各民族公民合法权益，积极预防和依法妥善处理影响民族团结的矛盾纠纷。</w:t>
      </w:r>
    </w:p>
    <w:p>
      <w:pPr>
        <w:pStyle w:val="5"/>
        <w:spacing w:before="156" w:beforeLines="50" w:after="156" w:afterLines="50" w:line="576" w:lineRule="exact"/>
        <w:jc w:val="center"/>
        <w:rPr>
          <w:rFonts w:eastAsia="楷体_GB2312"/>
          <w:color w:val="auto"/>
        </w:rPr>
      </w:pPr>
      <w:bookmarkStart w:id="642" w:name="_Toc21668"/>
      <w:bookmarkStart w:id="643" w:name="_Toc7958"/>
      <w:bookmarkStart w:id="644" w:name="_Toc26712_WPSOffice_Level3"/>
      <w:bookmarkStart w:id="645" w:name="_Toc30100"/>
      <w:r>
        <w:rPr>
          <w:rFonts w:eastAsia="楷体_GB2312"/>
          <w:color w:val="auto"/>
        </w:rPr>
        <w:t>第二节  提高宗教事务法治化水平</w:t>
      </w:r>
      <w:bookmarkEnd w:id="642"/>
      <w:bookmarkEnd w:id="643"/>
      <w:bookmarkEnd w:id="644"/>
      <w:bookmarkEnd w:id="645"/>
    </w:p>
    <w:p>
      <w:pPr>
        <w:spacing w:line="576" w:lineRule="exact"/>
        <w:ind w:firstLine="640" w:firstLineChars="200"/>
        <w:rPr>
          <w:rFonts w:cs="Times New Roman"/>
          <w:color w:val="auto"/>
        </w:rPr>
      </w:pPr>
      <w:r>
        <w:rPr>
          <w:rFonts w:cs="Times New Roman"/>
          <w:color w:val="auto"/>
        </w:rPr>
        <w:t>始终坚持宗教中国化方向，全面落实党的宗教工作方针和国家宗教事务管理法规，积极引导宗教与社会主义社会相适应。坚持依法治寺管僧，完善依法管理人、财、物、佛事、教务“五件大事”制度，扎实推进寺庙“一寺一策”、宗教活动点“一点一策”依法规范管理。积极推进法治宣传进宗教场所活动，提高宗教界人士法律意识。加强寺庙管委会班子队伍建设，完善新型寺管会管理运行机制，推进寺庙管理服务信息化建设。加强寺庙基础设施建设，完善僧尼公共服务和社会保障体系。深入开展“爱国爱</w:t>
      </w:r>
      <w:r>
        <w:rPr>
          <w:rFonts w:cs="Times New Roman"/>
          <w:color w:val="auto"/>
          <w:spacing w:val="-6"/>
        </w:rPr>
        <w:t>教爱家乡”“民族团结进步寺庙”活动，依法保护群众正常宗教需求。</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46" w:name="_Toc31402"/>
      <w:bookmarkStart w:id="647" w:name="_Toc27352"/>
      <w:bookmarkStart w:id="648" w:name="_Toc9679"/>
      <w:bookmarkStart w:id="649" w:name="_Toc10928_WPSOffice_Level2"/>
      <w:r>
        <w:rPr>
          <w:rFonts w:ascii="Times New Roman" w:hAnsi="Times New Roman" w:eastAsia="黑体"/>
          <w:b w:val="0"/>
          <w:bCs w:val="0"/>
          <w:color w:val="auto"/>
          <w:kern w:val="2"/>
          <w:sz w:val="32"/>
          <w:szCs w:val="32"/>
        </w:rPr>
        <w:t>第三十三章  推进平安金川建设</w:t>
      </w:r>
      <w:bookmarkEnd w:id="646"/>
      <w:bookmarkEnd w:id="647"/>
      <w:bookmarkEnd w:id="648"/>
      <w:bookmarkEnd w:id="649"/>
    </w:p>
    <w:p>
      <w:pPr>
        <w:spacing w:line="576" w:lineRule="exact"/>
        <w:ind w:firstLine="640" w:firstLineChars="200"/>
        <w:rPr>
          <w:rFonts w:cs="Times New Roman"/>
          <w:color w:val="auto"/>
        </w:rPr>
      </w:pPr>
      <w:r>
        <w:rPr>
          <w:rFonts w:cs="Times New Roman"/>
          <w:color w:val="auto"/>
        </w:rPr>
        <w:t>深刻把握新时代风险新特征新变化，坚持把维护稳定作为压倒一切的政治任务，做到谋定在先、防患未然、有备无患，确保全县社会和谐稳定，建设更高水平的平安金川。</w:t>
      </w:r>
    </w:p>
    <w:p>
      <w:pPr>
        <w:pStyle w:val="5"/>
        <w:spacing w:before="156" w:beforeLines="50" w:after="156" w:afterLines="50" w:line="576" w:lineRule="exact"/>
        <w:jc w:val="center"/>
        <w:rPr>
          <w:rFonts w:eastAsia="楷体_GB2312"/>
          <w:color w:val="auto"/>
        </w:rPr>
      </w:pPr>
      <w:bookmarkStart w:id="650" w:name="_Toc10087"/>
      <w:bookmarkStart w:id="651" w:name="_Toc13268"/>
      <w:bookmarkStart w:id="652" w:name="_Toc2923_WPSOffice_Level3"/>
      <w:bookmarkStart w:id="653" w:name="_Toc20292"/>
      <w:r>
        <w:rPr>
          <w:rFonts w:eastAsia="楷体_GB2312"/>
          <w:color w:val="auto"/>
        </w:rPr>
        <w:t>第一节  深化“三反两防”斗争</w:t>
      </w:r>
      <w:bookmarkEnd w:id="650"/>
      <w:bookmarkEnd w:id="651"/>
      <w:bookmarkEnd w:id="652"/>
      <w:bookmarkEnd w:id="653"/>
    </w:p>
    <w:p>
      <w:pPr>
        <w:spacing w:line="576" w:lineRule="exact"/>
        <w:ind w:firstLine="640" w:firstLineChars="200"/>
        <w:rPr>
          <w:rFonts w:cs="Times New Roman"/>
          <w:color w:val="auto"/>
        </w:rPr>
      </w:pPr>
      <w:r>
        <w:rPr>
          <w:rFonts w:cs="Times New Roman"/>
          <w:color w:val="auto"/>
        </w:rPr>
        <w:t>强化“维稳工作无淡季”意识，紧盯重点乡镇、重点部位、重点场所，科学部署维稳力量，完善县乡村常态化维稳工作机制，健全“两州七县”交界地区维稳工作联动联勤机制。扎实做好情报收集和研判，强化反渗透工作，严防境外人员非法潜入县内进行渗透破坏活动。坚决依法打击暴力恐怖、民族分裂、煽动自焚等违法犯罪活动，加强重点人群管控力度。加强反分裂斗争应急指挥力量和装备保障，提升维稳处突信息化、智能化水平。</w:t>
      </w:r>
    </w:p>
    <w:p>
      <w:pPr>
        <w:pStyle w:val="5"/>
        <w:spacing w:before="156" w:beforeLines="50" w:after="156" w:afterLines="50" w:line="576" w:lineRule="exact"/>
        <w:jc w:val="center"/>
        <w:rPr>
          <w:rFonts w:eastAsia="楷体_GB2312"/>
          <w:color w:val="auto"/>
        </w:rPr>
      </w:pPr>
      <w:bookmarkStart w:id="654" w:name="_Toc25035"/>
      <w:bookmarkStart w:id="655" w:name="_Toc8414_WPSOffice_Level3"/>
      <w:bookmarkStart w:id="656" w:name="_Toc22711"/>
      <w:bookmarkStart w:id="657" w:name="_Toc27939"/>
      <w:r>
        <w:rPr>
          <w:rFonts w:eastAsia="楷体_GB2312"/>
          <w:color w:val="auto"/>
        </w:rPr>
        <w:t>第二节  完善社会治安防控体系</w:t>
      </w:r>
      <w:bookmarkEnd w:id="654"/>
      <w:bookmarkEnd w:id="655"/>
      <w:bookmarkEnd w:id="656"/>
      <w:bookmarkEnd w:id="657"/>
    </w:p>
    <w:p>
      <w:pPr>
        <w:spacing w:line="576" w:lineRule="exact"/>
        <w:ind w:firstLine="640" w:firstLineChars="200"/>
        <w:rPr>
          <w:rFonts w:cs="Times New Roman"/>
          <w:color w:val="auto"/>
        </w:rPr>
      </w:pPr>
      <w:r>
        <w:rPr>
          <w:rFonts w:cs="Times New Roman"/>
          <w:color w:val="auto"/>
        </w:rPr>
        <w:t>坚持专群结合、群防群治，健全点线面结合、网上网下结合、人防物防技防结合、天地人一体化社会治安防控体系。夯实基层政法力量，推进综治中心规范化、信息化建设，加强乡镇司法所、公安派出所、人民法庭“两所一庭”规范化建设，推进交警队、公安检查站建设。落实城乡社区警务战略，建立城区“网格化+片区长”、农村“网格化+治安户长”、牧区“网格化+联户长”、寺庙“网格化+经师”管理模式，实行“民警+乡村干部+红袖标”巡防模式。持续推进“天网工程”“雪亮工程”等治安防控系统智慧化建设。健全扫黑除恶专项斗争长效常治机制，严厉打击各类违法犯罪活动，全力整治各类乱点乱象。加强流动人口、刑释解教人员、社区矫正人员、涉藏重点人员、吸毒人员、违法青少年等重点对象动态监管，最大限度预防和惩治犯罪。</w:t>
      </w:r>
    </w:p>
    <w:p>
      <w:pPr>
        <w:pStyle w:val="5"/>
        <w:spacing w:before="156" w:beforeLines="50" w:after="156" w:afterLines="50" w:line="576" w:lineRule="exact"/>
        <w:jc w:val="center"/>
        <w:rPr>
          <w:rFonts w:eastAsia="楷体_GB2312"/>
          <w:color w:val="auto"/>
        </w:rPr>
      </w:pPr>
      <w:bookmarkStart w:id="658" w:name="_Toc11997"/>
      <w:bookmarkStart w:id="659" w:name="_Toc31255"/>
      <w:bookmarkStart w:id="660" w:name="_Toc18666_WPSOffice_Level3"/>
      <w:bookmarkStart w:id="661" w:name="_Toc30793"/>
      <w:r>
        <w:rPr>
          <w:rFonts w:eastAsia="楷体_GB2312"/>
          <w:color w:val="auto"/>
        </w:rPr>
        <w:t>第三节  预防调处化解矛盾纠纷</w:t>
      </w:r>
      <w:bookmarkEnd w:id="658"/>
      <w:bookmarkEnd w:id="659"/>
      <w:bookmarkEnd w:id="660"/>
      <w:bookmarkEnd w:id="661"/>
    </w:p>
    <w:p>
      <w:pPr>
        <w:spacing w:line="576" w:lineRule="exact"/>
        <w:ind w:firstLine="640" w:firstLineChars="200"/>
        <w:rPr>
          <w:rFonts w:cs="Times New Roman"/>
          <w:color w:val="auto"/>
        </w:rPr>
      </w:pPr>
      <w:r>
        <w:rPr>
          <w:rFonts w:cs="Times New Roman"/>
          <w:color w:val="auto"/>
        </w:rPr>
        <w:t>坚持和发扬新时代“枫桥经验”，健全矛盾纠纷多元化解机制，巩固和深化人民调解、行政调解、司法调解联动的“大调解”体系。建立完善矛盾纠纷排查机制，加大社会舆情、网络舆情监测力度，力争把民间纠纷化解在基层，把社会矛盾消除在萌芽状态。推进人民调解组织规范化建设，建立劳动人事、医疗纠纷、交通事故等专业性行业性调解组织。依法规范信访秩序，加强县、乡（镇）两级信访视频系统建设，畅通和规范群众诉求表达、利益协调、权益保障通道。</w:t>
      </w:r>
    </w:p>
    <w:tbl>
      <w:tblPr>
        <w:tblStyle w:val="27"/>
        <w:tblW w:w="871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7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15" w:type="dxa"/>
          </w:tcPr>
          <w:p>
            <w:pPr>
              <w:pStyle w:val="34"/>
              <w:spacing w:line="576" w:lineRule="exact"/>
              <w:jc w:val="center"/>
              <w:rPr>
                <w:rFonts w:hint="default" w:ascii="Times New Roman" w:hAnsi="Times New Roman"/>
                <w:color w:val="auto"/>
                <w:sz w:val="30"/>
                <w:szCs w:val="30"/>
              </w:rPr>
            </w:pPr>
            <w:bookmarkStart w:id="662" w:name="_Toc11941_WPSOffice_Level1"/>
            <w:r>
              <w:rPr>
                <w:rFonts w:hint="default" w:ascii="Times New Roman" w:hAnsi="Times New Roman"/>
                <w:bCs/>
                <w:color w:val="auto"/>
                <w:sz w:val="28"/>
                <w:szCs w:val="32"/>
              </w:rPr>
              <w:t>专栏19  平安金川建设重点项目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15" w:type="dxa"/>
          </w:tcPr>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cs="Times New Roman"/>
                <w:b/>
                <w:color w:val="auto"/>
                <w:sz w:val="28"/>
                <w:szCs w:val="28"/>
              </w:rPr>
            </w:pPr>
            <w:r>
              <w:rPr>
                <w:rFonts w:cs="Times New Roman"/>
                <w:b/>
                <w:color w:val="auto"/>
                <w:sz w:val="28"/>
                <w:szCs w:val="28"/>
              </w:rPr>
              <w:t>维护稳定</w:t>
            </w:r>
            <w:r>
              <w:rPr>
                <w:rFonts w:cs="Times New Roman"/>
                <w:bCs/>
                <w:color w:val="auto"/>
                <w:sz w:val="28"/>
                <w:szCs w:val="28"/>
              </w:rPr>
              <w:t>。联合维稳训练基地建设</w:t>
            </w:r>
            <w:r>
              <w:rPr>
                <w:rFonts w:hint="eastAsia" w:cs="Times New Roman"/>
                <w:bCs/>
                <w:color w:val="auto"/>
                <w:sz w:val="28"/>
                <w:szCs w:val="28"/>
                <w:lang w:val="en-US" w:eastAsia="zh-CN"/>
              </w:rPr>
              <w:t>项目，</w:t>
            </w:r>
            <w:r>
              <w:rPr>
                <w:rFonts w:cs="Times New Roman"/>
                <w:bCs/>
                <w:color w:val="auto"/>
                <w:sz w:val="28"/>
                <w:szCs w:val="28"/>
              </w:rPr>
              <w:t>大数据中心和社会综合治理智能化建设</w:t>
            </w:r>
            <w:r>
              <w:rPr>
                <w:rFonts w:hint="eastAsia" w:cs="Times New Roman"/>
                <w:bCs/>
                <w:color w:val="auto"/>
                <w:sz w:val="28"/>
                <w:szCs w:val="28"/>
                <w:lang w:val="en-US" w:eastAsia="zh-CN"/>
              </w:rPr>
              <w:t>项目</w:t>
            </w:r>
            <w:r>
              <w:rPr>
                <w:rFonts w:cs="Times New Roman"/>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eastAsia="仿宋" w:cs="Times New Roman"/>
                <w:color w:val="auto"/>
                <w:sz w:val="30"/>
                <w:szCs w:val="30"/>
              </w:rPr>
            </w:pPr>
            <w:r>
              <w:rPr>
                <w:rFonts w:cs="Times New Roman"/>
                <w:b/>
                <w:color w:val="auto"/>
                <w:sz w:val="28"/>
                <w:szCs w:val="28"/>
              </w:rPr>
              <w:t>社会治安</w:t>
            </w:r>
            <w:r>
              <w:rPr>
                <w:rFonts w:cs="Times New Roman"/>
                <w:bCs/>
                <w:color w:val="auto"/>
                <w:sz w:val="28"/>
                <w:szCs w:val="28"/>
              </w:rPr>
              <w:t>。雪亮工程</w:t>
            </w:r>
            <w:r>
              <w:rPr>
                <w:rFonts w:hint="eastAsia" w:cs="Times New Roman"/>
                <w:bCs/>
                <w:color w:val="auto"/>
                <w:sz w:val="28"/>
                <w:szCs w:val="28"/>
                <w:lang w:eastAsia="zh-CN"/>
              </w:rPr>
              <w:t>，</w:t>
            </w:r>
            <w:r>
              <w:rPr>
                <w:rFonts w:cs="Times New Roman"/>
                <w:bCs/>
                <w:color w:val="auto"/>
                <w:sz w:val="28"/>
                <w:szCs w:val="28"/>
              </w:rPr>
              <w:t>人民法院审判大楼、乡镇人民法庭建设</w:t>
            </w:r>
            <w:r>
              <w:rPr>
                <w:rFonts w:hint="eastAsia" w:cs="Times New Roman"/>
                <w:bCs/>
                <w:color w:val="auto"/>
                <w:sz w:val="28"/>
                <w:szCs w:val="28"/>
                <w:lang w:val="en-US" w:eastAsia="zh-CN"/>
              </w:rPr>
              <w:t>项目，</w:t>
            </w:r>
            <w:r>
              <w:rPr>
                <w:rFonts w:cs="Times New Roman"/>
                <w:bCs/>
                <w:color w:val="auto"/>
                <w:sz w:val="28"/>
                <w:szCs w:val="28"/>
              </w:rPr>
              <w:t>拘留所建设</w:t>
            </w:r>
            <w:r>
              <w:rPr>
                <w:rFonts w:hint="eastAsia" w:cs="Times New Roman"/>
                <w:bCs/>
                <w:color w:val="auto"/>
                <w:sz w:val="28"/>
                <w:szCs w:val="28"/>
                <w:lang w:val="en-US" w:eastAsia="zh-CN"/>
              </w:rPr>
              <w:t>项目</w:t>
            </w:r>
            <w:r>
              <w:rPr>
                <w:rFonts w:hint="eastAsia" w:cs="Times New Roman"/>
                <w:bCs/>
                <w:color w:val="auto"/>
                <w:sz w:val="28"/>
                <w:szCs w:val="28"/>
                <w:lang w:eastAsia="zh-CN"/>
              </w:rPr>
              <w:t>，</w:t>
            </w:r>
            <w:r>
              <w:rPr>
                <w:rFonts w:cs="Times New Roman"/>
                <w:bCs/>
                <w:color w:val="auto"/>
                <w:sz w:val="28"/>
                <w:szCs w:val="28"/>
              </w:rPr>
              <w:t>社区矫正法律援助中心</w:t>
            </w:r>
            <w:r>
              <w:rPr>
                <w:rFonts w:hint="eastAsia" w:cs="Times New Roman"/>
                <w:bCs/>
                <w:color w:val="auto"/>
                <w:sz w:val="28"/>
                <w:szCs w:val="28"/>
                <w:lang w:val="en-US" w:eastAsia="zh-CN"/>
              </w:rPr>
              <w:t>建设项目，</w:t>
            </w:r>
            <w:r>
              <w:rPr>
                <w:rFonts w:cs="Times New Roman"/>
                <w:bCs/>
                <w:color w:val="auto"/>
                <w:sz w:val="28"/>
                <w:szCs w:val="28"/>
              </w:rPr>
              <w:t>交警大队业务用房（含车管所）建设</w:t>
            </w:r>
            <w:r>
              <w:rPr>
                <w:rFonts w:hint="eastAsia" w:cs="Times New Roman"/>
                <w:bCs/>
                <w:color w:val="auto"/>
                <w:sz w:val="28"/>
                <w:szCs w:val="28"/>
                <w:lang w:val="en-US" w:eastAsia="zh-CN"/>
              </w:rPr>
              <w:t>项目，</w:t>
            </w:r>
            <w:r>
              <w:rPr>
                <w:rFonts w:cs="Times New Roman"/>
                <w:bCs/>
                <w:color w:val="auto"/>
                <w:sz w:val="28"/>
                <w:szCs w:val="28"/>
              </w:rPr>
              <w:t>3个乡镇派出所业务用房建设</w:t>
            </w:r>
            <w:r>
              <w:rPr>
                <w:rFonts w:hint="eastAsia" w:cs="Times New Roman"/>
                <w:bCs/>
                <w:color w:val="auto"/>
                <w:sz w:val="28"/>
                <w:szCs w:val="28"/>
                <w:lang w:val="en-US" w:eastAsia="zh-CN"/>
              </w:rPr>
              <w:t>项目，</w:t>
            </w:r>
            <w:r>
              <w:rPr>
                <w:rFonts w:cs="Times New Roman"/>
                <w:bCs/>
                <w:color w:val="auto"/>
                <w:sz w:val="28"/>
                <w:szCs w:val="28"/>
              </w:rPr>
              <w:t>16个乡和88个村（社区）综治中心规范及信息化建设</w:t>
            </w:r>
            <w:r>
              <w:rPr>
                <w:rFonts w:hint="eastAsia" w:cs="Times New Roman"/>
                <w:bCs/>
                <w:color w:val="auto"/>
                <w:sz w:val="28"/>
                <w:szCs w:val="28"/>
                <w:lang w:val="en-US" w:eastAsia="zh-CN"/>
              </w:rPr>
              <w:t>项目</w:t>
            </w:r>
            <w:r>
              <w:rPr>
                <w:rFonts w:cs="Times New Roman"/>
                <w:bCs/>
                <w:color w:val="auto"/>
                <w:sz w:val="28"/>
                <w:szCs w:val="28"/>
              </w:rPr>
              <w:t>。</w:t>
            </w:r>
          </w:p>
        </w:tc>
      </w:tr>
    </w:tbl>
    <w:p>
      <w:pPr>
        <w:pStyle w:val="3"/>
        <w:spacing w:before="312" w:beforeLines="100" w:after="312" w:afterLines="100" w:line="576" w:lineRule="exact"/>
        <w:rPr>
          <w:color w:val="auto"/>
          <w:w w:val="95"/>
          <w:sz w:val="36"/>
          <w:szCs w:val="36"/>
        </w:rPr>
      </w:pPr>
      <w:bookmarkStart w:id="663" w:name="_Toc2333"/>
      <w:bookmarkStart w:id="664" w:name="_Toc21457"/>
      <w:bookmarkStart w:id="665" w:name="_Toc16699"/>
      <w:r>
        <w:rPr>
          <w:color w:val="auto"/>
          <w:w w:val="95"/>
          <w:sz w:val="36"/>
          <w:szCs w:val="36"/>
        </w:rPr>
        <w:t>第十篇  凝聚发展强大合力，推动规划纲要落地见效</w:t>
      </w:r>
      <w:bookmarkEnd w:id="662"/>
      <w:bookmarkEnd w:id="663"/>
      <w:bookmarkEnd w:id="664"/>
      <w:bookmarkEnd w:id="665"/>
    </w:p>
    <w:p>
      <w:pPr>
        <w:spacing w:line="576" w:lineRule="exact"/>
        <w:ind w:firstLine="640" w:firstLineChars="200"/>
        <w:rPr>
          <w:rFonts w:cs="Times New Roman"/>
          <w:color w:val="auto"/>
        </w:rPr>
      </w:pPr>
      <w:r>
        <w:rPr>
          <w:rFonts w:cs="Times New Roman"/>
          <w:color w:val="auto"/>
        </w:rPr>
        <w:t>实现“十四五”规划目标和2035年远景目标，必须坚持党的全面领导，完善党领导经济社会发展工作体制机制，提高领导能</w:t>
      </w:r>
      <w:r>
        <w:rPr>
          <w:rFonts w:cs="Times New Roman"/>
          <w:color w:val="auto"/>
          <w:spacing w:val="-6"/>
        </w:rPr>
        <w:t>力和水平，团结带领全县各族人民群众，凝聚推动发展的强大合力。</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66" w:name="_Toc823"/>
      <w:bookmarkStart w:id="667" w:name="_Toc26854"/>
      <w:bookmarkStart w:id="668" w:name="_Toc1974"/>
      <w:bookmarkStart w:id="669" w:name="_Toc19005_WPSOffice_Level2"/>
      <w:r>
        <w:rPr>
          <w:rFonts w:ascii="Times New Roman" w:hAnsi="Times New Roman" w:eastAsia="黑体"/>
          <w:b w:val="0"/>
          <w:bCs w:val="0"/>
          <w:color w:val="auto"/>
          <w:kern w:val="2"/>
          <w:sz w:val="32"/>
          <w:szCs w:val="32"/>
        </w:rPr>
        <w:t>第三十四章  加强党的全面领导</w:t>
      </w:r>
      <w:bookmarkEnd w:id="666"/>
      <w:bookmarkEnd w:id="667"/>
      <w:bookmarkEnd w:id="668"/>
      <w:bookmarkEnd w:id="669"/>
    </w:p>
    <w:p>
      <w:pPr>
        <w:spacing w:line="576" w:lineRule="exact"/>
        <w:ind w:firstLine="640" w:firstLineChars="200"/>
        <w:rPr>
          <w:rFonts w:cs="Times New Roman"/>
          <w:color w:val="auto"/>
        </w:rPr>
      </w:pPr>
      <w:r>
        <w:rPr>
          <w:rFonts w:cs="Times New Roman"/>
          <w:color w:val="auto"/>
        </w:rPr>
        <w:t>推动“十四五”时期经济社会发展，全县上下要旗帜鲜明讲政治，坚持用习近平新时代中国特色社会主义思想武装头脑，切实把增强“四个意识”、坚定“四个自信”、做到“两个维护”落实到行动上。坚持党把方向、谋大局、定政策的核心领导作用，完善党委研究经济社会发展战略、定期分析经济形势、研究重大政策的工作机制，健全决策咨询机制，提高决策科学化水平。坚持全面从严治党，持续整治软弱涣散基层党组织，着力提升一般党组织，不断巩固先进党组织，推进基层党组织标准化规范化建设。加强高素质专业化干部队伍建设，进一步提高党委领导班子和干部适应新时代新要求抓改革、促发展的水平和能力。依托县级党校等教育载体，积极开展党员培训教育活动，提高党员队伍整体素质。加强党风廉政建设，认真贯彻落实中央八项规定、省委省政府十项规定及其实施细则精神、州委州政府八条意见及实施细则和县十项规定，持续用力整饬“四风”，大力整治形式主义、官僚主义，坚决打赢作风建设持久战。坚持“三个区分开来”，加大干部正向激励力度。巩固发展反腐败压倒性胜利，大力惩治群众身边的不正之风和腐败问题。</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70" w:name="_Toc14735"/>
      <w:bookmarkStart w:id="671" w:name="_Toc4599"/>
      <w:bookmarkStart w:id="672" w:name="_Toc19096_WPSOffice_Level2"/>
      <w:bookmarkStart w:id="673" w:name="_Toc25935"/>
      <w:r>
        <w:rPr>
          <w:rFonts w:ascii="Times New Roman" w:hAnsi="Times New Roman" w:eastAsia="黑体"/>
          <w:b w:val="0"/>
          <w:bCs w:val="0"/>
          <w:color w:val="auto"/>
          <w:kern w:val="2"/>
          <w:sz w:val="32"/>
          <w:szCs w:val="32"/>
        </w:rPr>
        <w:t>第三十五章  推进民主政治建设</w:t>
      </w:r>
      <w:bookmarkEnd w:id="670"/>
      <w:bookmarkEnd w:id="671"/>
      <w:bookmarkEnd w:id="672"/>
      <w:bookmarkEnd w:id="673"/>
    </w:p>
    <w:p>
      <w:pPr>
        <w:spacing w:line="576" w:lineRule="exact"/>
        <w:ind w:firstLine="640" w:firstLineChars="200"/>
        <w:rPr>
          <w:rFonts w:cs="Times New Roman"/>
          <w:color w:val="auto"/>
        </w:rPr>
      </w:pPr>
      <w:r>
        <w:rPr>
          <w:rFonts w:cs="Times New Roman"/>
          <w:color w:val="auto"/>
        </w:rPr>
        <w:t>充分调动一切积极因素，团结一切可以团结的力量，凝心聚力推动金川“十四五”发展。坚持人民代表大会根本政治制度，支持人大及其常委会依法履行职能，积极开展法律监督和工作监督。发挥人民政协专门协商机构作用，坚持建言资政和凝聚共识双向发力，提高政治协商、民主监督、参政议政水平。巩固和发展最广泛的爱国统一战线，充分发挥无党派人士、宗教界代表人士、工商联等统战成员的优势和作用，进一步发挥工会、共青团、妇联、佛协等人民团体联系群众的桥梁纽带作用。坚持党管武装不放松，切实做好军民融合发展大文章，巩固发展大团结大联合局面。坚持人民主体地位，激发全体人民积极性、主动性、创造性，共同为全县改革发展稳定贡献力量。</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74" w:name="_Toc12784_WPSOffice_Level2"/>
      <w:bookmarkStart w:id="675" w:name="_Toc22227"/>
      <w:bookmarkStart w:id="676" w:name="_Toc23051"/>
      <w:bookmarkStart w:id="677" w:name="_Toc25861"/>
      <w:r>
        <w:rPr>
          <w:rFonts w:ascii="Times New Roman" w:hAnsi="Times New Roman" w:eastAsia="黑体"/>
          <w:b w:val="0"/>
          <w:bCs w:val="0"/>
          <w:color w:val="auto"/>
          <w:kern w:val="2"/>
          <w:sz w:val="32"/>
          <w:szCs w:val="32"/>
        </w:rPr>
        <w:t>第三十六章  强化资源要素保障</w:t>
      </w:r>
      <w:bookmarkEnd w:id="674"/>
      <w:bookmarkEnd w:id="675"/>
      <w:bookmarkEnd w:id="676"/>
      <w:bookmarkEnd w:id="677"/>
    </w:p>
    <w:p>
      <w:pPr>
        <w:spacing w:line="576" w:lineRule="exact"/>
        <w:ind w:firstLine="640" w:firstLineChars="200"/>
        <w:rPr>
          <w:rFonts w:cs="Times New Roman"/>
          <w:color w:val="auto"/>
        </w:rPr>
      </w:pPr>
      <w:r>
        <w:rPr>
          <w:rFonts w:cs="Times New Roman"/>
          <w:color w:val="auto"/>
        </w:rPr>
        <w:t>强化人才保障，创新人才引进、培养、使用、评价和激励机制，完善人才配套服务措施，统筹推进各类人才队伍建设，加强经济社会发展重点急需领域借智借脑。强化资金保障，积极争取中央省州级资金支持力度，深挖地方财政增收潜力，强化财政资金引导撬动作用，</w:t>
      </w:r>
      <w:r>
        <w:rPr>
          <w:rFonts w:hint="eastAsia" w:cs="Times New Roman"/>
          <w:color w:val="auto"/>
        </w:rPr>
        <w:t>鼓励金融机构加大信贷支持，</w:t>
      </w:r>
      <w:r>
        <w:rPr>
          <w:rFonts w:cs="Times New Roman"/>
          <w:color w:val="auto"/>
        </w:rPr>
        <w:t>吸引社会资本参与经济社会发展。强化土地保障，坚持用好增量、盘活存量，优化调整用地结构布局，实行差别化用地政策，多措并举保障发展用地，加强土地使用管理和监督检查，</w:t>
      </w:r>
      <w:r>
        <w:rPr>
          <w:rFonts w:hint="eastAsia" w:cs="Times New Roman"/>
          <w:color w:val="auto"/>
        </w:rPr>
        <w:t>提升</w:t>
      </w:r>
      <w:r>
        <w:rPr>
          <w:rFonts w:cs="Times New Roman"/>
          <w:color w:val="auto"/>
        </w:rPr>
        <w:t>建设用地使用绩效。</w:t>
      </w:r>
    </w:p>
    <w:p>
      <w:pPr>
        <w:pStyle w:val="4"/>
        <w:spacing w:before="156" w:beforeLines="50" w:after="156" w:afterLines="50" w:line="576" w:lineRule="exact"/>
        <w:jc w:val="center"/>
        <w:rPr>
          <w:rFonts w:ascii="Times New Roman" w:hAnsi="Times New Roman" w:eastAsia="黑体"/>
          <w:b w:val="0"/>
          <w:bCs w:val="0"/>
          <w:color w:val="auto"/>
          <w:kern w:val="2"/>
          <w:sz w:val="32"/>
          <w:szCs w:val="32"/>
        </w:rPr>
      </w:pPr>
      <w:bookmarkStart w:id="678" w:name="_Toc22911"/>
      <w:bookmarkStart w:id="679" w:name="_Toc22961"/>
      <w:bookmarkStart w:id="680" w:name="_Toc7450"/>
      <w:bookmarkStart w:id="681" w:name="_Toc29280_WPSOffice_Level2"/>
      <w:r>
        <w:rPr>
          <w:rFonts w:ascii="Times New Roman" w:hAnsi="Times New Roman" w:eastAsia="黑体"/>
          <w:b w:val="0"/>
          <w:bCs w:val="0"/>
          <w:color w:val="auto"/>
          <w:kern w:val="2"/>
          <w:sz w:val="32"/>
          <w:szCs w:val="32"/>
        </w:rPr>
        <w:t>第三十七章  健全规划实施机制</w:t>
      </w:r>
      <w:bookmarkEnd w:id="678"/>
      <w:bookmarkEnd w:id="679"/>
      <w:bookmarkEnd w:id="680"/>
      <w:bookmarkEnd w:id="681"/>
    </w:p>
    <w:p>
      <w:pPr>
        <w:spacing w:line="576" w:lineRule="exact"/>
        <w:ind w:firstLine="640" w:firstLineChars="200"/>
        <w:rPr>
          <w:rFonts w:cs="Times New Roman"/>
          <w:color w:val="auto"/>
        </w:rPr>
      </w:pPr>
      <w:r>
        <w:rPr>
          <w:rFonts w:cs="Times New Roman"/>
          <w:color w:val="auto"/>
        </w:rPr>
        <w:t>本规划经县人民代表大会审议批准，由县人民政府组织实施，各乡镇、县级部门要严格遵守。制定实施国民经济和社会发展年度计划，推动规划确定的目标、任务和重大工程、重大项目落实，并向县人大报告。进一步健全监督评估机制，主动接受人大、政协和社会各界的监督。加强规划实施情况动态监测，及时发现并解决规划实施中出现的问题，在规划实施中期和末期，由县政府组织开展中期评估和总结评估，并提请县人大常委会审议。需要对规划进行调整时，由县政府提出调整方案，报县人民代表大会或县人民代表大会常务委员会批准。</w:t>
      </w:r>
    </w:p>
    <w:sectPr>
      <w:pgSz w:w="11906" w:h="16838"/>
      <w:pgMar w:top="1984" w:right="1531" w:bottom="1871" w:left="1531" w:header="850" w:footer="1304"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mc:AlternateContent>
        <mc:Choice Requires="wps">
          <w:drawing>
            <wp:anchor distT="0" distB="0" distL="114300" distR="114300" simplePos="0" relativeHeight="251659264" behindDoc="0" locked="0" layoutInCell="1" allowOverlap="1">
              <wp:simplePos x="0" y="0"/>
              <wp:positionH relativeFrom="margin">
                <wp:posOffset>2334895</wp:posOffset>
              </wp:positionH>
              <wp:positionV relativeFrom="paragraph">
                <wp:posOffset>0</wp:posOffset>
              </wp:positionV>
              <wp:extent cx="655320" cy="266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5532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cs="Times New Roman"/>
                              <w:sz w:val="20"/>
                              <w:szCs w:val="20"/>
                            </w:rPr>
                            <w:id w:val="-1263999718"/>
                          </w:sdtPr>
                          <w:sdtEndPr>
                            <w:rPr>
                              <w:rFonts w:cs="Times New Roman"/>
                              <w:sz w:val="20"/>
                              <w:szCs w:val="20"/>
                            </w:rPr>
                          </w:sdtEndPr>
                          <w:sdtContent>
                            <w:p>
                              <w:pPr>
                                <w:pStyle w:val="14"/>
                                <w:jc w:val="center"/>
                                <w:rPr>
                                  <w:rFonts w:cs="Times New Roman"/>
                                  <w:sz w:val="20"/>
                                  <w:szCs w:val="20"/>
                                </w:rPr>
                              </w:pPr>
                              <w:r>
                                <w:rPr>
                                  <w:rFonts w:cs="Times New Roman"/>
                                  <w:sz w:val="20"/>
                                  <w:szCs w:val="20"/>
                                </w:rPr>
                                <w:fldChar w:fldCharType="begin"/>
                              </w:r>
                              <w:r>
                                <w:rPr>
                                  <w:rFonts w:cs="Times New Roman"/>
                                  <w:sz w:val="20"/>
                                  <w:szCs w:val="20"/>
                                </w:rPr>
                                <w:instrText xml:space="preserve">PAGE   \* MERGEFORMAT</w:instrText>
                              </w:r>
                              <w:r>
                                <w:rPr>
                                  <w:rFonts w:cs="Times New Roman"/>
                                  <w:sz w:val="20"/>
                                  <w:szCs w:val="20"/>
                                </w:rPr>
                                <w:fldChar w:fldCharType="separate"/>
                              </w:r>
                              <w:r>
                                <w:rPr>
                                  <w:rFonts w:cs="Times New Roman"/>
                                  <w:sz w:val="20"/>
                                  <w:szCs w:val="20"/>
                                  <w:lang w:val="zh-CN"/>
                                </w:rPr>
                                <w:t>88</w:t>
                              </w:r>
                              <w:r>
                                <w:rPr>
                                  <w:rFonts w:cs="Times New Roman"/>
                                  <w:sz w:val="20"/>
                                  <w:szCs w:val="20"/>
                                </w:rPr>
                                <w:fldChar w:fldCharType="end"/>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3.85pt;margin-top:0pt;height:21pt;width:51.6pt;mso-position-horizontal-relative:margin;z-index:251659264;mso-width-relative:page;mso-height-relative:page;" filled="f" stroked="f" coordsize="21600,21600" o:gfxdata="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CEObNYAAAAHAQAADwAAAAAAAAABACAAAAAiAAAAZHJzL2Rvd25yZXYueG1sUEsB&#10;AhQAFAAAAAgAh07iQHse7j0wAgAAVQQAAA4AAAAAAAAAAQAgAAAAJQEAAGRycy9lMm9Eb2MueG1s&#10;UEsFBgAAAAAGAAYAWQEAAMcFAAAAAA==&#10;">
              <v:fill on="f" focussize="0,0"/>
              <v:stroke on="f" weight="0.5pt"/>
              <v:imagedata o:title=""/>
              <o:lock v:ext="edit" aspectratio="f"/>
              <v:textbox inset="0mm,0mm,0mm,0mm">
                <w:txbxContent>
                  <w:sdt>
                    <w:sdtPr>
                      <w:rPr>
                        <w:rFonts w:cs="Times New Roman"/>
                        <w:sz w:val="20"/>
                        <w:szCs w:val="20"/>
                      </w:rPr>
                      <w:id w:val="-1263999718"/>
                    </w:sdtPr>
                    <w:sdtEndPr>
                      <w:rPr>
                        <w:rFonts w:cs="Times New Roman"/>
                        <w:sz w:val="20"/>
                        <w:szCs w:val="20"/>
                      </w:rPr>
                    </w:sdtEndPr>
                    <w:sdtContent>
                      <w:p>
                        <w:pPr>
                          <w:pStyle w:val="14"/>
                          <w:jc w:val="center"/>
                          <w:rPr>
                            <w:rFonts w:cs="Times New Roman"/>
                            <w:sz w:val="20"/>
                            <w:szCs w:val="20"/>
                          </w:rPr>
                        </w:pPr>
                        <w:r>
                          <w:rPr>
                            <w:rFonts w:cs="Times New Roman"/>
                            <w:sz w:val="20"/>
                            <w:szCs w:val="20"/>
                          </w:rPr>
                          <w:fldChar w:fldCharType="begin"/>
                        </w:r>
                        <w:r>
                          <w:rPr>
                            <w:rFonts w:cs="Times New Roman"/>
                            <w:sz w:val="20"/>
                            <w:szCs w:val="20"/>
                          </w:rPr>
                          <w:instrText xml:space="preserve">PAGE   \* MERGEFORMAT</w:instrText>
                        </w:r>
                        <w:r>
                          <w:rPr>
                            <w:rFonts w:cs="Times New Roman"/>
                            <w:sz w:val="20"/>
                            <w:szCs w:val="20"/>
                          </w:rPr>
                          <w:fldChar w:fldCharType="separate"/>
                        </w:r>
                        <w:r>
                          <w:rPr>
                            <w:rFonts w:cs="Times New Roman"/>
                            <w:sz w:val="20"/>
                            <w:szCs w:val="20"/>
                            <w:lang w:val="zh-CN"/>
                          </w:rPr>
                          <w:t>88</w:t>
                        </w:r>
                        <w:r>
                          <w:rPr>
                            <w:rFonts w:cs="Times New Roman"/>
                            <w:sz w:val="20"/>
                            <w:szCs w:val="20"/>
                          </w:rPr>
                          <w:fldChar w:fldCharType="end"/>
                        </w:r>
                      </w:p>
                    </w:sdtContent>
                  </w:sdt>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6254"/>
    <w:rsid w:val="000343BA"/>
    <w:rsid w:val="000355E5"/>
    <w:rsid w:val="00036143"/>
    <w:rsid w:val="000434C6"/>
    <w:rsid w:val="0004638C"/>
    <w:rsid w:val="000526AF"/>
    <w:rsid w:val="00052D1D"/>
    <w:rsid w:val="00053763"/>
    <w:rsid w:val="00053E3A"/>
    <w:rsid w:val="00063DBA"/>
    <w:rsid w:val="000718B7"/>
    <w:rsid w:val="00076973"/>
    <w:rsid w:val="000775A4"/>
    <w:rsid w:val="00084125"/>
    <w:rsid w:val="00092F42"/>
    <w:rsid w:val="00097CBB"/>
    <w:rsid w:val="000A6C23"/>
    <w:rsid w:val="000A7DA4"/>
    <w:rsid w:val="000B5170"/>
    <w:rsid w:val="000B79F1"/>
    <w:rsid w:val="000C3A77"/>
    <w:rsid w:val="000E0AAA"/>
    <w:rsid w:val="0012732A"/>
    <w:rsid w:val="00127352"/>
    <w:rsid w:val="00131931"/>
    <w:rsid w:val="001369C1"/>
    <w:rsid w:val="0015587C"/>
    <w:rsid w:val="001570DC"/>
    <w:rsid w:val="0017063B"/>
    <w:rsid w:val="00172618"/>
    <w:rsid w:val="00172A27"/>
    <w:rsid w:val="00185493"/>
    <w:rsid w:val="001D6507"/>
    <w:rsid w:val="001E6A0F"/>
    <w:rsid w:val="001F7EB8"/>
    <w:rsid w:val="00202180"/>
    <w:rsid w:val="00223708"/>
    <w:rsid w:val="00224D90"/>
    <w:rsid w:val="002330BD"/>
    <w:rsid w:val="00234F01"/>
    <w:rsid w:val="00245D9E"/>
    <w:rsid w:val="002808B6"/>
    <w:rsid w:val="00284864"/>
    <w:rsid w:val="002A273A"/>
    <w:rsid w:val="002A48EC"/>
    <w:rsid w:val="002B08FF"/>
    <w:rsid w:val="002B338F"/>
    <w:rsid w:val="002C4751"/>
    <w:rsid w:val="002C5324"/>
    <w:rsid w:val="002C57EC"/>
    <w:rsid w:val="002D2DEB"/>
    <w:rsid w:val="003121BF"/>
    <w:rsid w:val="00313411"/>
    <w:rsid w:val="003160A5"/>
    <w:rsid w:val="0032500B"/>
    <w:rsid w:val="00346EAE"/>
    <w:rsid w:val="00352156"/>
    <w:rsid w:val="00370CB9"/>
    <w:rsid w:val="00380FFA"/>
    <w:rsid w:val="0038541E"/>
    <w:rsid w:val="003903C2"/>
    <w:rsid w:val="00391739"/>
    <w:rsid w:val="003F0FB9"/>
    <w:rsid w:val="003F3398"/>
    <w:rsid w:val="003F3CD7"/>
    <w:rsid w:val="003F5142"/>
    <w:rsid w:val="003F5A52"/>
    <w:rsid w:val="0043401E"/>
    <w:rsid w:val="00453945"/>
    <w:rsid w:val="004706E7"/>
    <w:rsid w:val="00471E2F"/>
    <w:rsid w:val="00476030"/>
    <w:rsid w:val="00485A3A"/>
    <w:rsid w:val="00493AF3"/>
    <w:rsid w:val="004A1E8B"/>
    <w:rsid w:val="004B1982"/>
    <w:rsid w:val="004B36E0"/>
    <w:rsid w:val="004C2DE1"/>
    <w:rsid w:val="004E0006"/>
    <w:rsid w:val="004F0891"/>
    <w:rsid w:val="004F34FA"/>
    <w:rsid w:val="00534C21"/>
    <w:rsid w:val="00536CB4"/>
    <w:rsid w:val="00562FFE"/>
    <w:rsid w:val="00575472"/>
    <w:rsid w:val="00582CD4"/>
    <w:rsid w:val="00590EF4"/>
    <w:rsid w:val="00593B66"/>
    <w:rsid w:val="005A4000"/>
    <w:rsid w:val="005B1583"/>
    <w:rsid w:val="005C4E9E"/>
    <w:rsid w:val="005F40BA"/>
    <w:rsid w:val="006120C0"/>
    <w:rsid w:val="0062102A"/>
    <w:rsid w:val="0062555C"/>
    <w:rsid w:val="00626599"/>
    <w:rsid w:val="00634816"/>
    <w:rsid w:val="00646B81"/>
    <w:rsid w:val="0065259A"/>
    <w:rsid w:val="00697A7A"/>
    <w:rsid w:val="006A0F2B"/>
    <w:rsid w:val="006A7506"/>
    <w:rsid w:val="006C37D3"/>
    <w:rsid w:val="006D18D7"/>
    <w:rsid w:val="006D7683"/>
    <w:rsid w:val="006E281A"/>
    <w:rsid w:val="006F1BD1"/>
    <w:rsid w:val="00706597"/>
    <w:rsid w:val="00713C12"/>
    <w:rsid w:val="007577EF"/>
    <w:rsid w:val="00773375"/>
    <w:rsid w:val="007871EA"/>
    <w:rsid w:val="00792612"/>
    <w:rsid w:val="00793D29"/>
    <w:rsid w:val="007B1645"/>
    <w:rsid w:val="007B25EF"/>
    <w:rsid w:val="007E1D53"/>
    <w:rsid w:val="007F726E"/>
    <w:rsid w:val="00806E64"/>
    <w:rsid w:val="00811E3C"/>
    <w:rsid w:val="0082162D"/>
    <w:rsid w:val="00826E99"/>
    <w:rsid w:val="00832461"/>
    <w:rsid w:val="00835168"/>
    <w:rsid w:val="00865611"/>
    <w:rsid w:val="008817AA"/>
    <w:rsid w:val="0088644C"/>
    <w:rsid w:val="00897E4E"/>
    <w:rsid w:val="008A50C6"/>
    <w:rsid w:val="008B08E0"/>
    <w:rsid w:val="008B2AE3"/>
    <w:rsid w:val="008D478F"/>
    <w:rsid w:val="008D5F2A"/>
    <w:rsid w:val="008F071E"/>
    <w:rsid w:val="008F76B5"/>
    <w:rsid w:val="00901185"/>
    <w:rsid w:val="00902D74"/>
    <w:rsid w:val="0090532C"/>
    <w:rsid w:val="00913E0B"/>
    <w:rsid w:val="00914B6B"/>
    <w:rsid w:val="009242D9"/>
    <w:rsid w:val="00924F54"/>
    <w:rsid w:val="00925227"/>
    <w:rsid w:val="00927FA6"/>
    <w:rsid w:val="009570C5"/>
    <w:rsid w:val="00957E0E"/>
    <w:rsid w:val="009638EE"/>
    <w:rsid w:val="00991AF6"/>
    <w:rsid w:val="0099554E"/>
    <w:rsid w:val="009B216A"/>
    <w:rsid w:val="009D1155"/>
    <w:rsid w:val="00A02A2A"/>
    <w:rsid w:val="00A51944"/>
    <w:rsid w:val="00A55525"/>
    <w:rsid w:val="00A5581D"/>
    <w:rsid w:val="00A61D1E"/>
    <w:rsid w:val="00A62D97"/>
    <w:rsid w:val="00A77071"/>
    <w:rsid w:val="00A77968"/>
    <w:rsid w:val="00A84621"/>
    <w:rsid w:val="00AB06E8"/>
    <w:rsid w:val="00AF6B8C"/>
    <w:rsid w:val="00B026E8"/>
    <w:rsid w:val="00B21183"/>
    <w:rsid w:val="00B27ED0"/>
    <w:rsid w:val="00B33A10"/>
    <w:rsid w:val="00B3427F"/>
    <w:rsid w:val="00B4459C"/>
    <w:rsid w:val="00B80C95"/>
    <w:rsid w:val="00BA3740"/>
    <w:rsid w:val="00BC37E3"/>
    <w:rsid w:val="00BD48C5"/>
    <w:rsid w:val="00BE38F3"/>
    <w:rsid w:val="00BE78C9"/>
    <w:rsid w:val="00BF2451"/>
    <w:rsid w:val="00BF547D"/>
    <w:rsid w:val="00C017D6"/>
    <w:rsid w:val="00C43712"/>
    <w:rsid w:val="00C462ED"/>
    <w:rsid w:val="00C52C0F"/>
    <w:rsid w:val="00C5550C"/>
    <w:rsid w:val="00C60091"/>
    <w:rsid w:val="00C6615D"/>
    <w:rsid w:val="00C7484D"/>
    <w:rsid w:val="00C91FEA"/>
    <w:rsid w:val="00CA61BD"/>
    <w:rsid w:val="00CB5D73"/>
    <w:rsid w:val="00CB6172"/>
    <w:rsid w:val="00CB793D"/>
    <w:rsid w:val="00CD42EA"/>
    <w:rsid w:val="00CF4B8D"/>
    <w:rsid w:val="00D019A9"/>
    <w:rsid w:val="00D071D1"/>
    <w:rsid w:val="00D2662B"/>
    <w:rsid w:val="00D331AA"/>
    <w:rsid w:val="00D46ED9"/>
    <w:rsid w:val="00D57CA2"/>
    <w:rsid w:val="00D753AC"/>
    <w:rsid w:val="00D7571C"/>
    <w:rsid w:val="00D84908"/>
    <w:rsid w:val="00DA7997"/>
    <w:rsid w:val="00DB240C"/>
    <w:rsid w:val="00E02B76"/>
    <w:rsid w:val="00E21116"/>
    <w:rsid w:val="00E4080D"/>
    <w:rsid w:val="00E43BFF"/>
    <w:rsid w:val="00E500BA"/>
    <w:rsid w:val="00E50BD9"/>
    <w:rsid w:val="00E60A66"/>
    <w:rsid w:val="00E73E53"/>
    <w:rsid w:val="00E76421"/>
    <w:rsid w:val="00E8254A"/>
    <w:rsid w:val="00E929DD"/>
    <w:rsid w:val="00EA1AB1"/>
    <w:rsid w:val="00EA34C6"/>
    <w:rsid w:val="00EA511D"/>
    <w:rsid w:val="00EA6A07"/>
    <w:rsid w:val="00EA7479"/>
    <w:rsid w:val="00ED2666"/>
    <w:rsid w:val="00ED4033"/>
    <w:rsid w:val="00F011EC"/>
    <w:rsid w:val="00F10EBD"/>
    <w:rsid w:val="00F17C9A"/>
    <w:rsid w:val="00F22D91"/>
    <w:rsid w:val="00F2515E"/>
    <w:rsid w:val="00F2768A"/>
    <w:rsid w:val="00F45BD7"/>
    <w:rsid w:val="00F601D7"/>
    <w:rsid w:val="00F701B7"/>
    <w:rsid w:val="00F763CB"/>
    <w:rsid w:val="00F80C34"/>
    <w:rsid w:val="00F80E33"/>
    <w:rsid w:val="00F9616A"/>
    <w:rsid w:val="00FA624E"/>
    <w:rsid w:val="00FA688E"/>
    <w:rsid w:val="00FB1EEF"/>
    <w:rsid w:val="00FC556E"/>
    <w:rsid w:val="00FD44D5"/>
    <w:rsid w:val="00FE255D"/>
    <w:rsid w:val="01035117"/>
    <w:rsid w:val="010423CE"/>
    <w:rsid w:val="012D4711"/>
    <w:rsid w:val="01330FBD"/>
    <w:rsid w:val="01390E80"/>
    <w:rsid w:val="014004EF"/>
    <w:rsid w:val="01522798"/>
    <w:rsid w:val="01536B14"/>
    <w:rsid w:val="01582B08"/>
    <w:rsid w:val="015B474E"/>
    <w:rsid w:val="016F1A82"/>
    <w:rsid w:val="017B777F"/>
    <w:rsid w:val="017E0F39"/>
    <w:rsid w:val="01832D15"/>
    <w:rsid w:val="0188078B"/>
    <w:rsid w:val="019045EA"/>
    <w:rsid w:val="0198566B"/>
    <w:rsid w:val="01AC71BB"/>
    <w:rsid w:val="01B414B3"/>
    <w:rsid w:val="01B82836"/>
    <w:rsid w:val="01BC61A7"/>
    <w:rsid w:val="01C555E8"/>
    <w:rsid w:val="01CF5B25"/>
    <w:rsid w:val="01D73C4A"/>
    <w:rsid w:val="01F57A63"/>
    <w:rsid w:val="01FE6E03"/>
    <w:rsid w:val="0203148E"/>
    <w:rsid w:val="02086D33"/>
    <w:rsid w:val="02096554"/>
    <w:rsid w:val="020A0F49"/>
    <w:rsid w:val="02116559"/>
    <w:rsid w:val="0214660B"/>
    <w:rsid w:val="02167315"/>
    <w:rsid w:val="02212EC1"/>
    <w:rsid w:val="0224192B"/>
    <w:rsid w:val="022F214D"/>
    <w:rsid w:val="025A0A8C"/>
    <w:rsid w:val="025A20AF"/>
    <w:rsid w:val="02661DA6"/>
    <w:rsid w:val="026E095E"/>
    <w:rsid w:val="02775DC2"/>
    <w:rsid w:val="02827C9D"/>
    <w:rsid w:val="028D2467"/>
    <w:rsid w:val="029E533C"/>
    <w:rsid w:val="02AA5A1D"/>
    <w:rsid w:val="02BB4CCE"/>
    <w:rsid w:val="02C17FF0"/>
    <w:rsid w:val="02DA6DE1"/>
    <w:rsid w:val="03017983"/>
    <w:rsid w:val="030303C4"/>
    <w:rsid w:val="030F7FD4"/>
    <w:rsid w:val="03115769"/>
    <w:rsid w:val="03180562"/>
    <w:rsid w:val="03215414"/>
    <w:rsid w:val="03222D52"/>
    <w:rsid w:val="03261AFF"/>
    <w:rsid w:val="032C3C5D"/>
    <w:rsid w:val="033B247A"/>
    <w:rsid w:val="033E214D"/>
    <w:rsid w:val="0344554B"/>
    <w:rsid w:val="034E2350"/>
    <w:rsid w:val="03500BD0"/>
    <w:rsid w:val="035F4C90"/>
    <w:rsid w:val="036F50E4"/>
    <w:rsid w:val="0373239C"/>
    <w:rsid w:val="037672C0"/>
    <w:rsid w:val="03773D1A"/>
    <w:rsid w:val="03836129"/>
    <w:rsid w:val="039411FD"/>
    <w:rsid w:val="03A52647"/>
    <w:rsid w:val="03A87536"/>
    <w:rsid w:val="03AF0445"/>
    <w:rsid w:val="03B47676"/>
    <w:rsid w:val="03BB3CC5"/>
    <w:rsid w:val="03BC60B7"/>
    <w:rsid w:val="03C74819"/>
    <w:rsid w:val="03CB67A1"/>
    <w:rsid w:val="03D25F6E"/>
    <w:rsid w:val="03D60462"/>
    <w:rsid w:val="03D77672"/>
    <w:rsid w:val="03DD1CA2"/>
    <w:rsid w:val="03DD3160"/>
    <w:rsid w:val="03E73758"/>
    <w:rsid w:val="03EF6F7F"/>
    <w:rsid w:val="03FB24B3"/>
    <w:rsid w:val="040225B7"/>
    <w:rsid w:val="041455A9"/>
    <w:rsid w:val="042152B8"/>
    <w:rsid w:val="04237D45"/>
    <w:rsid w:val="043466E8"/>
    <w:rsid w:val="043D025B"/>
    <w:rsid w:val="044D1050"/>
    <w:rsid w:val="044F25AC"/>
    <w:rsid w:val="04720A5C"/>
    <w:rsid w:val="04785018"/>
    <w:rsid w:val="04817FA9"/>
    <w:rsid w:val="04824567"/>
    <w:rsid w:val="049E7743"/>
    <w:rsid w:val="04B41104"/>
    <w:rsid w:val="04B63690"/>
    <w:rsid w:val="04BE59E7"/>
    <w:rsid w:val="04C61F36"/>
    <w:rsid w:val="04CA6A68"/>
    <w:rsid w:val="04CC725E"/>
    <w:rsid w:val="04D34CC1"/>
    <w:rsid w:val="04D65A4E"/>
    <w:rsid w:val="04E440C6"/>
    <w:rsid w:val="04F63AE4"/>
    <w:rsid w:val="04F736DE"/>
    <w:rsid w:val="04FF20E7"/>
    <w:rsid w:val="05032574"/>
    <w:rsid w:val="05043DD8"/>
    <w:rsid w:val="050F0EDB"/>
    <w:rsid w:val="051E11AC"/>
    <w:rsid w:val="051F5947"/>
    <w:rsid w:val="05237346"/>
    <w:rsid w:val="053541ED"/>
    <w:rsid w:val="053A45A3"/>
    <w:rsid w:val="053E1028"/>
    <w:rsid w:val="053E5043"/>
    <w:rsid w:val="054C6D88"/>
    <w:rsid w:val="05503142"/>
    <w:rsid w:val="055A6CE8"/>
    <w:rsid w:val="055D6EF0"/>
    <w:rsid w:val="05635CB2"/>
    <w:rsid w:val="05703B7D"/>
    <w:rsid w:val="05704A51"/>
    <w:rsid w:val="057217EA"/>
    <w:rsid w:val="0577296A"/>
    <w:rsid w:val="05825F6C"/>
    <w:rsid w:val="05982438"/>
    <w:rsid w:val="059D6742"/>
    <w:rsid w:val="05A45D29"/>
    <w:rsid w:val="05B13DAB"/>
    <w:rsid w:val="05BE7788"/>
    <w:rsid w:val="05BF6AE2"/>
    <w:rsid w:val="05CC1B8E"/>
    <w:rsid w:val="05EF6A51"/>
    <w:rsid w:val="05F03A71"/>
    <w:rsid w:val="05F8358A"/>
    <w:rsid w:val="05FE467A"/>
    <w:rsid w:val="05FF2201"/>
    <w:rsid w:val="06086046"/>
    <w:rsid w:val="06126A83"/>
    <w:rsid w:val="06246F52"/>
    <w:rsid w:val="0626768D"/>
    <w:rsid w:val="062D0E79"/>
    <w:rsid w:val="063224D2"/>
    <w:rsid w:val="063A2539"/>
    <w:rsid w:val="063A2F3F"/>
    <w:rsid w:val="063A3651"/>
    <w:rsid w:val="063F778A"/>
    <w:rsid w:val="06412584"/>
    <w:rsid w:val="06593CDE"/>
    <w:rsid w:val="06692CA9"/>
    <w:rsid w:val="066F0E1A"/>
    <w:rsid w:val="068450AB"/>
    <w:rsid w:val="06872E7C"/>
    <w:rsid w:val="069928F0"/>
    <w:rsid w:val="06B2105A"/>
    <w:rsid w:val="06D538D8"/>
    <w:rsid w:val="06D56C39"/>
    <w:rsid w:val="06E958B4"/>
    <w:rsid w:val="06F04F40"/>
    <w:rsid w:val="06F46604"/>
    <w:rsid w:val="06FD469D"/>
    <w:rsid w:val="07001E35"/>
    <w:rsid w:val="07011C5D"/>
    <w:rsid w:val="070457D4"/>
    <w:rsid w:val="07252798"/>
    <w:rsid w:val="07335D7F"/>
    <w:rsid w:val="07341FC2"/>
    <w:rsid w:val="07455645"/>
    <w:rsid w:val="07542F23"/>
    <w:rsid w:val="07570E5A"/>
    <w:rsid w:val="07615C62"/>
    <w:rsid w:val="076316B5"/>
    <w:rsid w:val="07876D8B"/>
    <w:rsid w:val="078B336F"/>
    <w:rsid w:val="079C3EBC"/>
    <w:rsid w:val="07A92590"/>
    <w:rsid w:val="07A97753"/>
    <w:rsid w:val="07AA11B5"/>
    <w:rsid w:val="07AF2ABE"/>
    <w:rsid w:val="07B076C9"/>
    <w:rsid w:val="07BB46FE"/>
    <w:rsid w:val="07BD4344"/>
    <w:rsid w:val="07C70425"/>
    <w:rsid w:val="07CA6585"/>
    <w:rsid w:val="07DA4401"/>
    <w:rsid w:val="07DC2CF9"/>
    <w:rsid w:val="07EB12B7"/>
    <w:rsid w:val="07FD55B4"/>
    <w:rsid w:val="07FE632D"/>
    <w:rsid w:val="08092F68"/>
    <w:rsid w:val="08105126"/>
    <w:rsid w:val="08121F83"/>
    <w:rsid w:val="08295064"/>
    <w:rsid w:val="08382DE2"/>
    <w:rsid w:val="083C3760"/>
    <w:rsid w:val="083C4994"/>
    <w:rsid w:val="08503352"/>
    <w:rsid w:val="08514013"/>
    <w:rsid w:val="085C6455"/>
    <w:rsid w:val="085F25F9"/>
    <w:rsid w:val="086311D2"/>
    <w:rsid w:val="08677398"/>
    <w:rsid w:val="0876505C"/>
    <w:rsid w:val="08782C1A"/>
    <w:rsid w:val="087A5B9F"/>
    <w:rsid w:val="087C780A"/>
    <w:rsid w:val="08802AFD"/>
    <w:rsid w:val="0880727B"/>
    <w:rsid w:val="088713D6"/>
    <w:rsid w:val="0888404C"/>
    <w:rsid w:val="0888494A"/>
    <w:rsid w:val="08935E9D"/>
    <w:rsid w:val="089455D9"/>
    <w:rsid w:val="089503CC"/>
    <w:rsid w:val="089F3F82"/>
    <w:rsid w:val="08AD5E95"/>
    <w:rsid w:val="08B05183"/>
    <w:rsid w:val="08B829E9"/>
    <w:rsid w:val="08CB6C6F"/>
    <w:rsid w:val="08D57AD6"/>
    <w:rsid w:val="08D85A34"/>
    <w:rsid w:val="090D30AC"/>
    <w:rsid w:val="0915743D"/>
    <w:rsid w:val="0919110E"/>
    <w:rsid w:val="092452BF"/>
    <w:rsid w:val="09276FF2"/>
    <w:rsid w:val="093660B2"/>
    <w:rsid w:val="093933D5"/>
    <w:rsid w:val="09426FEA"/>
    <w:rsid w:val="095F424A"/>
    <w:rsid w:val="0963726E"/>
    <w:rsid w:val="09666641"/>
    <w:rsid w:val="09683868"/>
    <w:rsid w:val="09700148"/>
    <w:rsid w:val="09703D27"/>
    <w:rsid w:val="0971315B"/>
    <w:rsid w:val="0980229A"/>
    <w:rsid w:val="09835218"/>
    <w:rsid w:val="09871F9C"/>
    <w:rsid w:val="098851B5"/>
    <w:rsid w:val="09967471"/>
    <w:rsid w:val="09A37133"/>
    <w:rsid w:val="09A54C41"/>
    <w:rsid w:val="09C37895"/>
    <w:rsid w:val="09CB4F1C"/>
    <w:rsid w:val="09D4093B"/>
    <w:rsid w:val="09D82A87"/>
    <w:rsid w:val="09D91B5C"/>
    <w:rsid w:val="09DA4A44"/>
    <w:rsid w:val="09DD3753"/>
    <w:rsid w:val="09FD0755"/>
    <w:rsid w:val="0A0F0F4D"/>
    <w:rsid w:val="0A0F69B3"/>
    <w:rsid w:val="0A157FC7"/>
    <w:rsid w:val="0A1C6458"/>
    <w:rsid w:val="0A2071CF"/>
    <w:rsid w:val="0A24670C"/>
    <w:rsid w:val="0A2858AF"/>
    <w:rsid w:val="0A2A61D8"/>
    <w:rsid w:val="0A2A6BA1"/>
    <w:rsid w:val="0A2C1D24"/>
    <w:rsid w:val="0A311CED"/>
    <w:rsid w:val="0A3A0B08"/>
    <w:rsid w:val="0A4E0546"/>
    <w:rsid w:val="0A683826"/>
    <w:rsid w:val="0A6C74B2"/>
    <w:rsid w:val="0A6F3A61"/>
    <w:rsid w:val="0A7B1100"/>
    <w:rsid w:val="0A7F11E1"/>
    <w:rsid w:val="0A864044"/>
    <w:rsid w:val="0A891DDB"/>
    <w:rsid w:val="0A8D6E48"/>
    <w:rsid w:val="0A993A3B"/>
    <w:rsid w:val="0A9F2B72"/>
    <w:rsid w:val="0AAE6AE6"/>
    <w:rsid w:val="0ABB459F"/>
    <w:rsid w:val="0AC00133"/>
    <w:rsid w:val="0AC12E1E"/>
    <w:rsid w:val="0AC5145E"/>
    <w:rsid w:val="0AC55A19"/>
    <w:rsid w:val="0ADA14F5"/>
    <w:rsid w:val="0AE13484"/>
    <w:rsid w:val="0AE51028"/>
    <w:rsid w:val="0AEB0290"/>
    <w:rsid w:val="0AF17A93"/>
    <w:rsid w:val="0AFA382C"/>
    <w:rsid w:val="0AFB6EA9"/>
    <w:rsid w:val="0B087656"/>
    <w:rsid w:val="0B0B4212"/>
    <w:rsid w:val="0B171624"/>
    <w:rsid w:val="0B1A0C55"/>
    <w:rsid w:val="0B1E77BE"/>
    <w:rsid w:val="0B21735B"/>
    <w:rsid w:val="0B241291"/>
    <w:rsid w:val="0B255C82"/>
    <w:rsid w:val="0B291A9C"/>
    <w:rsid w:val="0B392D0D"/>
    <w:rsid w:val="0B3C1FF0"/>
    <w:rsid w:val="0B62017F"/>
    <w:rsid w:val="0B6729ED"/>
    <w:rsid w:val="0B6B115C"/>
    <w:rsid w:val="0B6D6200"/>
    <w:rsid w:val="0B6F528F"/>
    <w:rsid w:val="0B923185"/>
    <w:rsid w:val="0B94788B"/>
    <w:rsid w:val="0BA86779"/>
    <w:rsid w:val="0BBE6C39"/>
    <w:rsid w:val="0BC20466"/>
    <w:rsid w:val="0BC72018"/>
    <w:rsid w:val="0BCB087F"/>
    <w:rsid w:val="0BE65BF2"/>
    <w:rsid w:val="0BEE0EF3"/>
    <w:rsid w:val="0BEF5ED3"/>
    <w:rsid w:val="0BF04C48"/>
    <w:rsid w:val="0C017AFF"/>
    <w:rsid w:val="0C0767A8"/>
    <w:rsid w:val="0C0F646E"/>
    <w:rsid w:val="0C12385A"/>
    <w:rsid w:val="0C123D8D"/>
    <w:rsid w:val="0C1C7625"/>
    <w:rsid w:val="0C251C06"/>
    <w:rsid w:val="0C270A71"/>
    <w:rsid w:val="0C2F5F63"/>
    <w:rsid w:val="0C3D3971"/>
    <w:rsid w:val="0C582A85"/>
    <w:rsid w:val="0C5A015E"/>
    <w:rsid w:val="0C5E0348"/>
    <w:rsid w:val="0C645831"/>
    <w:rsid w:val="0C7029DD"/>
    <w:rsid w:val="0C7772AE"/>
    <w:rsid w:val="0C7960FC"/>
    <w:rsid w:val="0C8D79C6"/>
    <w:rsid w:val="0C900FCE"/>
    <w:rsid w:val="0C975B7A"/>
    <w:rsid w:val="0CAD7C33"/>
    <w:rsid w:val="0CB5336C"/>
    <w:rsid w:val="0CC91572"/>
    <w:rsid w:val="0CD93178"/>
    <w:rsid w:val="0CD940B8"/>
    <w:rsid w:val="0CDD4535"/>
    <w:rsid w:val="0CE04B13"/>
    <w:rsid w:val="0CE155AD"/>
    <w:rsid w:val="0CE470F2"/>
    <w:rsid w:val="0CEA33D5"/>
    <w:rsid w:val="0CF862D5"/>
    <w:rsid w:val="0CFB4BD7"/>
    <w:rsid w:val="0CFF2DC9"/>
    <w:rsid w:val="0D0B0913"/>
    <w:rsid w:val="0D107A8B"/>
    <w:rsid w:val="0D18743E"/>
    <w:rsid w:val="0D1F7F8E"/>
    <w:rsid w:val="0D270B19"/>
    <w:rsid w:val="0D3E7409"/>
    <w:rsid w:val="0D427D09"/>
    <w:rsid w:val="0D4A2244"/>
    <w:rsid w:val="0D4B2011"/>
    <w:rsid w:val="0D505549"/>
    <w:rsid w:val="0D522F2A"/>
    <w:rsid w:val="0D6379D7"/>
    <w:rsid w:val="0D655A73"/>
    <w:rsid w:val="0D676FCB"/>
    <w:rsid w:val="0D6B0A92"/>
    <w:rsid w:val="0D6D5FF9"/>
    <w:rsid w:val="0D7A333E"/>
    <w:rsid w:val="0D801724"/>
    <w:rsid w:val="0D8A104D"/>
    <w:rsid w:val="0DAB49D7"/>
    <w:rsid w:val="0DB26418"/>
    <w:rsid w:val="0DC27C0F"/>
    <w:rsid w:val="0DC66FE5"/>
    <w:rsid w:val="0DC8644E"/>
    <w:rsid w:val="0DDC5FD5"/>
    <w:rsid w:val="0DEF108F"/>
    <w:rsid w:val="0DF113D8"/>
    <w:rsid w:val="0DFC4F09"/>
    <w:rsid w:val="0E01736D"/>
    <w:rsid w:val="0E0D7E1D"/>
    <w:rsid w:val="0E0F69C0"/>
    <w:rsid w:val="0E2056A7"/>
    <w:rsid w:val="0E2428EC"/>
    <w:rsid w:val="0E2D4CF8"/>
    <w:rsid w:val="0E3120E8"/>
    <w:rsid w:val="0E3B13E3"/>
    <w:rsid w:val="0E3D7A1B"/>
    <w:rsid w:val="0E404077"/>
    <w:rsid w:val="0E426EF7"/>
    <w:rsid w:val="0E473EC4"/>
    <w:rsid w:val="0E4E1BE1"/>
    <w:rsid w:val="0E4F11E4"/>
    <w:rsid w:val="0E534462"/>
    <w:rsid w:val="0E5E0DCC"/>
    <w:rsid w:val="0E655024"/>
    <w:rsid w:val="0E724162"/>
    <w:rsid w:val="0E785476"/>
    <w:rsid w:val="0E7A313E"/>
    <w:rsid w:val="0E7E08BB"/>
    <w:rsid w:val="0E9E7D47"/>
    <w:rsid w:val="0EAC4169"/>
    <w:rsid w:val="0EB66065"/>
    <w:rsid w:val="0EBF1415"/>
    <w:rsid w:val="0EC32D3C"/>
    <w:rsid w:val="0ECA051C"/>
    <w:rsid w:val="0ED02E4F"/>
    <w:rsid w:val="0ED93B09"/>
    <w:rsid w:val="0EDC1EBB"/>
    <w:rsid w:val="0EDD2225"/>
    <w:rsid w:val="0EE03C1D"/>
    <w:rsid w:val="0EEC29E3"/>
    <w:rsid w:val="0EEF79BE"/>
    <w:rsid w:val="0EF200A5"/>
    <w:rsid w:val="0EFA652A"/>
    <w:rsid w:val="0EFF6D43"/>
    <w:rsid w:val="0F112C9D"/>
    <w:rsid w:val="0F113100"/>
    <w:rsid w:val="0F11581D"/>
    <w:rsid w:val="0F14789C"/>
    <w:rsid w:val="0F263591"/>
    <w:rsid w:val="0F33430C"/>
    <w:rsid w:val="0F3875C9"/>
    <w:rsid w:val="0F3A04AA"/>
    <w:rsid w:val="0F400765"/>
    <w:rsid w:val="0F437CCC"/>
    <w:rsid w:val="0F4A217A"/>
    <w:rsid w:val="0F5358BF"/>
    <w:rsid w:val="0F5B56F5"/>
    <w:rsid w:val="0F5F65F7"/>
    <w:rsid w:val="0F671783"/>
    <w:rsid w:val="0F6F48CE"/>
    <w:rsid w:val="0F7A58A7"/>
    <w:rsid w:val="0F7B1BFE"/>
    <w:rsid w:val="0F81577F"/>
    <w:rsid w:val="0F85187F"/>
    <w:rsid w:val="0F8D218E"/>
    <w:rsid w:val="0F9A14FE"/>
    <w:rsid w:val="0F9A2A4F"/>
    <w:rsid w:val="0FA07FB2"/>
    <w:rsid w:val="0FA52E18"/>
    <w:rsid w:val="0FAB3F7E"/>
    <w:rsid w:val="0FD3068F"/>
    <w:rsid w:val="0FD55E27"/>
    <w:rsid w:val="0FD631E8"/>
    <w:rsid w:val="0FDB3E83"/>
    <w:rsid w:val="0FE53D8B"/>
    <w:rsid w:val="0FF22DE2"/>
    <w:rsid w:val="0FF348E4"/>
    <w:rsid w:val="100E4CD8"/>
    <w:rsid w:val="101167A0"/>
    <w:rsid w:val="101340F0"/>
    <w:rsid w:val="101623CA"/>
    <w:rsid w:val="101909E4"/>
    <w:rsid w:val="102B1469"/>
    <w:rsid w:val="102D72DB"/>
    <w:rsid w:val="10302FA8"/>
    <w:rsid w:val="1042685A"/>
    <w:rsid w:val="104914AF"/>
    <w:rsid w:val="104F69FB"/>
    <w:rsid w:val="105478F7"/>
    <w:rsid w:val="105D5D6D"/>
    <w:rsid w:val="10605726"/>
    <w:rsid w:val="106A54B4"/>
    <w:rsid w:val="10704F9B"/>
    <w:rsid w:val="107623DD"/>
    <w:rsid w:val="10805DCA"/>
    <w:rsid w:val="10860003"/>
    <w:rsid w:val="10972E16"/>
    <w:rsid w:val="109D3465"/>
    <w:rsid w:val="109E53E1"/>
    <w:rsid w:val="10A06C71"/>
    <w:rsid w:val="10B37232"/>
    <w:rsid w:val="10C76B0E"/>
    <w:rsid w:val="10CE7385"/>
    <w:rsid w:val="10D270F7"/>
    <w:rsid w:val="10D80E9A"/>
    <w:rsid w:val="10DC1342"/>
    <w:rsid w:val="10E31850"/>
    <w:rsid w:val="10E66AFF"/>
    <w:rsid w:val="10E86626"/>
    <w:rsid w:val="10F67D94"/>
    <w:rsid w:val="10F85C63"/>
    <w:rsid w:val="11011BC9"/>
    <w:rsid w:val="11064028"/>
    <w:rsid w:val="110D1EB3"/>
    <w:rsid w:val="111068E1"/>
    <w:rsid w:val="111D61EF"/>
    <w:rsid w:val="112D3ADA"/>
    <w:rsid w:val="113D7E56"/>
    <w:rsid w:val="113F0F0C"/>
    <w:rsid w:val="115B707F"/>
    <w:rsid w:val="11767BF1"/>
    <w:rsid w:val="11794652"/>
    <w:rsid w:val="117F3C71"/>
    <w:rsid w:val="11865733"/>
    <w:rsid w:val="118A1C35"/>
    <w:rsid w:val="118D48CF"/>
    <w:rsid w:val="118F7F0C"/>
    <w:rsid w:val="11A30A6C"/>
    <w:rsid w:val="11A71EA2"/>
    <w:rsid w:val="11A746A7"/>
    <w:rsid w:val="11AE330A"/>
    <w:rsid w:val="11AE3E76"/>
    <w:rsid w:val="11B436E2"/>
    <w:rsid w:val="11BA52B9"/>
    <w:rsid w:val="11C80AAA"/>
    <w:rsid w:val="11D40920"/>
    <w:rsid w:val="11DC3D06"/>
    <w:rsid w:val="11DD5BA8"/>
    <w:rsid w:val="11E503F5"/>
    <w:rsid w:val="11E727EB"/>
    <w:rsid w:val="11EC7A40"/>
    <w:rsid w:val="12125F80"/>
    <w:rsid w:val="122E3FD1"/>
    <w:rsid w:val="12383146"/>
    <w:rsid w:val="125C0183"/>
    <w:rsid w:val="12601795"/>
    <w:rsid w:val="126335D1"/>
    <w:rsid w:val="126404E9"/>
    <w:rsid w:val="126F2716"/>
    <w:rsid w:val="12786B51"/>
    <w:rsid w:val="12796A1A"/>
    <w:rsid w:val="128618F1"/>
    <w:rsid w:val="128D4AB1"/>
    <w:rsid w:val="128F32A9"/>
    <w:rsid w:val="128F5DFC"/>
    <w:rsid w:val="12A50D47"/>
    <w:rsid w:val="12BA3AD1"/>
    <w:rsid w:val="12C677E6"/>
    <w:rsid w:val="12C75AD9"/>
    <w:rsid w:val="12CA5AD9"/>
    <w:rsid w:val="12D22C48"/>
    <w:rsid w:val="12DB7BCC"/>
    <w:rsid w:val="12E14F39"/>
    <w:rsid w:val="12E54A05"/>
    <w:rsid w:val="12E74A48"/>
    <w:rsid w:val="12E86885"/>
    <w:rsid w:val="12E8720A"/>
    <w:rsid w:val="12F04A72"/>
    <w:rsid w:val="12F54531"/>
    <w:rsid w:val="13067BA7"/>
    <w:rsid w:val="13115C37"/>
    <w:rsid w:val="132140B1"/>
    <w:rsid w:val="13235056"/>
    <w:rsid w:val="13260CC9"/>
    <w:rsid w:val="13286EFF"/>
    <w:rsid w:val="133005B9"/>
    <w:rsid w:val="133B657C"/>
    <w:rsid w:val="13471C72"/>
    <w:rsid w:val="134E3055"/>
    <w:rsid w:val="135527C1"/>
    <w:rsid w:val="13684ACC"/>
    <w:rsid w:val="136B6B53"/>
    <w:rsid w:val="136E0B94"/>
    <w:rsid w:val="13734CFE"/>
    <w:rsid w:val="13AB4296"/>
    <w:rsid w:val="13B4001F"/>
    <w:rsid w:val="13C33417"/>
    <w:rsid w:val="13C400B1"/>
    <w:rsid w:val="13C90D8E"/>
    <w:rsid w:val="13CA4BE2"/>
    <w:rsid w:val="13D03C4E"/>
    <w:rsid w:val="13EF061C"/>
    <w:rsid w:val="13F42C3D"/>
    <w:rsid w:val="13F56881"/>
    <w:rsid w:val="13F766F5"/>
    <w:rsid w:val="13F85722"/>
    <w:rsid w:val="14044B26"/>
    <w:rsid w:val="14113C26"/>
    <w:rsid w:val="141207D3"/>
    <w:rsid w:val="1414269C"/>
    <w:rsid w:val="14182A01"/>
    <w:rsid w:val="141E1BE9"/>
    <w:rsid w:val="141F2F54"/>
    <w:rsid w:val="14292432"/>
    <w:rsid w:val="142B4A93"/>
    <w:rsid w:val="142F6145"/>
    <w:rsid w:val="1432270C"/>
    <w:rsid w:val="14394371"/>
    <w:rsid w:val="14397A24"/>
    <w:rsid w:val="143E624B"/>
    <w:rsid w:val="144A248E"/>
    <w:rsid w:val="144D5A2F"/>
    <w:rsid w:val="1473350D"/>
    <w:rsid w:val="14795B5A"/>
    <w:rsid w:val="147E1AD1"/>
    <w:rsid w:val="148359E0"/>
    <w:rsid w:val="14894BDE"/>
    <w:rsid w:val="14956CDF"/>
    <w:rsid w:val="14961E8B"/>
    <w:rsid w:val="14C04DB1"/>
    <w:rsid w:val="14C37412"/>
    <w:rsid w:val="14C70A48"/>
    <w:rsid w:val="14D30A9A"/>
    <w:rsid w:val="14DA47FC"/>
    <w:rsid w:val="14E155CB"/>
    <w:rsid w:val="14E53716"/>
    <w:rsid w:val="14E550DD"/>
    <w:rsid w:val="14E869C6"/>
    <w:rsid w:val="14E960AD"/>
    <w:rsid w:val="150823E3"/>
    <w:rsid w:val="15095E83"/>
    <w:rsid w:val="150B1D88"/>
    <w:rsid w:val="15260287"/>
    <w:rsid w:val="15331F62"/>
    <w:rsid w:val="15343BE1"/>
    <w:rsid w:val="15390891"/>
    <w:rsid w:val="154F75B0"/>
    <w:rsid w:val="155B4B52"/>
    <w:rsid w:val="155C1002"/>
    <w:rsid w:val="156801E2"/>
    <w:rsid w:val="15681CBC"/>
    <w:rsid w:val="156B3A70"/>
    <w:rsid w:val="157B4CC8"/>
    <w:rsid w:val="157D3F06"/>
    <w:rsid w:val="158C7839"/>
    <w:rsid w:val="158E22AA"/>
    <w:rsid w:val="15902AAF"/>
    <w:rsid w:val="15942553"/>
    <w:rsid w:val="15AE61F1"/>
    <w:rsid w:val="15C37958"/>
    <w:rsid w:val="15C95204"/>
    <w:rsid w:val="15DF63B8"/>
    <w:rsid w:val="15E158C0"/>
    <w:rsid w:val="15F42B7E"/>
    <w:rsid w:val="15FF0ADD"/>
    <w:rsid w:val="15FF41B8"/>
    <w:rsid w:val="160B6C80"/>
    <w:rsid w:val="162350D3"/>
    <w:rsid w:val="16247E8D"/>
    <w:rsid w:val="16351712"/>
    <w:rsid w:val="163643C8"/>
    <w:rsid w:val="163E627D"/>
    <w:rsid w:val="16435ED5"/>
    <w:rsid w:val="16482EA8"/>
    <w:rsid w:val="166E4423"/>
    <w:rsid w:val="16711F2F"/>
    <w:rsid w:val="1675220F"/>
    <w:rsid w:val="16962F20"/>
    <w:rsid w:val="16A166BC"/>
    <w:rsid w:val="16A224C5"/>
    <w:rsid w:val="16A66D6A"/>
    <w:rsid w:val="16AA5723"/>
    <w:rsid w:val="16AF2466"/>
    <w:rsid w:val="16B1555E"/>
    <w:rsid w:val="16BC6B1A"/>
    <w:rsid w:val="16C36CFB"/>
    <w:rsid w:val="16D25848"/>
    <w:rsid w:val="16D42E70"/>
    <w:rsid w:val="16E337E7"/>
    <w:rsid w:val="16F27216"/>
    <w:rsid w:val="16FB37D9"/>
    <w:rsid w:val="17064EB9"/>
    <w:rsid w:val="170B2411"/>
    <w:rsid w:val="170B67BC"/>
    <w:rsid w:val="17175AA0"/>
    <w:rsid w:val="171D0E5F"/>
    <w:rsid w:val="17231898"/>
    <w:rsid w:val="172A0BDF"/>
    <w:rsid w:val="172B16D6"/>
    <w:rsid w:val="1745396D"/>
    <w:rsid w:val="17613776"/>
    <w:rsid w:val="17613CCE"/>
    <w:rsid w:val="176D161D"/>
    <w:rsid w:val="17771862"/>
    <w:rsid w:val="17857C91"/>
    <w:rsid w:val="1788555D"/>
    <w:rsid w:val="1799041A"/>
    <w:rsid w:val="179B15C8"/>
    <w:rsid w:val="179D53C0"/>
    <w:rsid w:val="17A6362F"/>
    <w:rsid w:val="17A778B2"/>
    <w:rsid w:val="17AA6FFC"/>
    <w:rsid w:val="17AD0996"/>
    <w:rsid w:val="17B67F4B"/>
    <w:rsid w:val="17B968CB"/>
    <w:rsid w:val="17C120C4"/>
    <w:rsid w:val="17D00BB7"/>
    <w:rsid w:val="17D520C2"/>
    <w:rsid w:val="17DB0032"/>
    <w:rsid w:val="17DF4134"/>
    <w:rsid w:val="17E52172"/>
    <w:rsid w:val="17EC021B"/>
    <w:rsid w:val="17EF7659"/>
    <w:rsid w:val="18004575"/>
    <w:rsid w:val="180471E8"/>
    <w:rsid w:val="1805167F"/>
    <w:rsid w:val="180F26F5"/>
    <w:rsid w:val="1815060C"/>
    <w:rsid w:val="18182B76"/>
    <w:rsid w:val="181D047B"/>
    <w:rsid w:val="18253A93"/>
    <w:rsid w:val="183E252A"/>
    <w:rsid w:val="1855122E"/>
    <w:rsid w:val="18616A69"/>
    <w:rsid w:val="186A13C0"/>
    <w:rsid w:val="186C613B"/>
    <w:rsid w:val="187232B6"/>
    <w:rsid w:val="1876107F"/>
    <w:rsid w:val="1883528E"/>
    <w:rsid w:val="188A14AC"/>
    <w:rsid w:val="188A5771"/>
    <w:rsid w:val="188A7256"/>
    <w:rsid w:val="18957E05"/>
    <w:rsid w:val="18A01717"/>
    <w:rsid w:val="18A642F1"/>
    <w:rsid w:val="18A97CA8"/>
    <w:rsid w:val="18BB23DB"/>
    <w:rsid w:val="18C172F2"/>
    <w:rsid w:val="18C329BF"/>
    <w:rsid w:val="18D24C6B"/>
    <w:rsid w:val="18D44D58"/>
    <w:rsid w:val="18D93C9A"/>
    <w:rsid w:val="18E35BA3"/>
    <w:rsid w:val="18E942F6"/>
    <w:rsid w:val="18EF017E"/>
    <w:rsid w:val="18F833B5"/>
    <w:rsid w:val="18FE037B"/>
    <w:rsid w:val="19061741"/>
    <w:rsid w:val="19177EE4"/>
    <w:rsid w:val="191A4A8F"/>
    <w:rsid w:val="191C2DA3"/>
    <w:rsid w:val="19222333"/>
    <w:rsid w:val="19245F22"/>
    <w:rsid w:val="192A3502"/>
    <w:rsid w:val="19341C57"/>
    <w:rsid w:val="19574BDF"/>
    <w:rsid w:val="195C2C8E"/>
    <w:rsid w:val="196F5AD0"/>
    <w:rsid w:val="19713EEC"/>
    <w:rsid w:val="19714277"/>
    <w:rsid w:val="197301DA"/>
    <w:rsid w:val="197B27B6"/>
    <w:rsid w:val="197B5FE3"/>
    <w:rsid w:val="1980206C"/>
    <w:rsid w:val="19813C4B"/>
    <w:rsid w:val="198907D0"/>
    <w:rsid w:val="19917350"/>
    <w:rsid w:val="19985655"/>
    <w:rsid w:val="19A3081E"/>
    <w:rsid w:val="19C376E2"/>
    <w:rsid w:val="19C7498A"/>
    <w:rsid w:val="19C779CE"/>
    <w:rsid w:val="19EC1962"/>
    <w:rsid w:val="19FC376B"/>
    <w:rsid w:val="19FF12F9"/>
    <w:rsid w:val="1A011A38"/>
    <w:rsid w:val="1A043936"/>
    <w:rsid w:val="1A0710DB"/>
    <w:rsid w:val="1A0F2332"/>
    <w:rsid w:val="1A142451"/>
    <w:rsid w:val="1A194AA9"/>
    <w:rsid w:val="1A1F4E74"/>
    <w:rsid w:val="1A23712F"/>
    <w:rsid w:val="1A2638BE"/>
    <w:rsid w:val="1A303146"/>
    <w:rsid w:val="1A361942"/>
    <w:rsid w:val="1A3B7212"/>
    <w:rsid w:val="1A3F52D3"/>
    <w:rsid w:val="1A400006"/>
    <w:rsid w:val="1A534285"/>
    <w:rsid w:val="1A566349"/>
    <w:rsid w:val="1A576839"/>
    <w:rsid w:val="1A6A0F7A"/>
    <w:rsid w:val="1A70185D"/>
    <w:rsid w:val="1A7A340C"/>
    <w:rsid w:val="1A7C7431"/>
    <w:rsid w:val="1A7E0954"/>
    <w:rsid w:val="1A8009DD"/>
    <w:rsid w:val="1A8048F7"/>
    <w:rsid w:val="1A827098"/>
    <w:rsid w:val="1A8A054A"/>
    <w:rsid w:val="1A8A7BF0"/>
    <w:rsid w:val="1A9302D9"/>
    <w:rsid w:val="1A9F57CE"/>
    <w:rsid w:val="1AA55D66"/>
    <w:rsid w:val="1AAA787C"/>
    <w:rsid w:val="1AAD1704"/>
    <w:rsid w:val="1AB97486"/>
    <w:rsid w:val="1AC82F3B"/>
    <w:rsid w:val="1AD50B31"/>
    <w:rsid w:val="1ADC679F"/>
    <w:rsid w:val="1AE03750"/>
    <w:rsid w:val="1AEA4016"/>
    <w:rsid w:val="1AEB2276"/>
    <w:rsid w:val="1AFC1C21"/>
    <w:rsid w:val="1B011AC4"/>
    <w:rsid w:val="1B0B486A"/>
    <w:rsid w:val="1B262E12"/>
    <w:rsid w:val="1B2F7221"/>
    <w:rsid w:val="1B323946"/>
    <w:rsid w:val="1B3245F9"/>
    <w:rsid w:val="1B427E42"/>
    <w:rsid w:val="1B474948"/>
    <w:rsid w:val="1B4D5B89"/>
    <w:rsid w:val="1B5939A2"/>
    <w:rsid w:val="1B5E1473"/>
    <w:rsid w:val="1B65324B"/>
    <w:rsid w:val="1B6A4384"/>
    <w:rsid w:val="1B7202FF"/>
    <w:rsid w:val="1B7C3D3F"/>
    <w:rsid w:val="1B7F12E0"/>
    <w:rsid w:val="1B843BEA"/>
    <w:rsid w:val="1B86136C"/>
    <w:rsid w:val="1B89017F"/>
    <w:rsid w:val="1B8C3DB5"/>
    <w:rsid w:val="1BA16BE9"/>
    <w:rsid w:val="1BB06E12"/>
    <w:rsid w:val="1BBA0CDE"/>
    <w:rsid w:val="1BBD5C3F"/>
    <w:rsid w:val="1BC84E3B"/>
    <w:rsid w:val="1BD96EDF"/>
    <w:rsid w:val="1BDF10EF"/>
    <w:rsid w:val="1BEE40F7"/>
    <w:rsid w:val="1BFE4870"/>
    <w:rsid w:val="1BFE5294"/>
    <w:rsid w:val="1C0329C7"/>
    <w:rsid w:val="1C07121F"/>
    <w:rsid w:val="1C124A3F"/>
    <w:rsid w:val="1C142FBA"/>
    <w:rsid w:val="1C1F57C1"/>
    <w:rsid w:val="1C2C5F09"/>
    <w:rsid w:val="1C2F68DD"/>
    <w:rsid w:val="1C3F6234"/>
    <w:rsid w:val="1C414C30"/>
    <w:rsid w:val="1C475EE6"/>
    <w:rsid w:val="1C4C1A5F"/>
    <w:rsid w:val="1C4D1A2B"/>
    <w:rsid w:val="1C556F67"/>
    <w:rsid w:val="1C5B79C0"/>
    <w:rsid w:val="1C5D580C"/>
    <w:rsid w:val="1C624874"/>
    <w:rsid w:val="1C815766"/>
    <w:rsid w:val="1C844AF2"/>
    <w:rsid w:val="1C8F5D75"/>
    <w:rsid w:val="1C8F674F"/>
    <w:rsid w:val="1C9524F1"/>
    <w:rsid w:val="1C9555AF"/>
    <w:rsid w:val="1C9A1AC3"/>
    <w:rsid w:val="1C9B7931"/>
    <w:rsid w:val="1CA14D2A"/>
    <w:rsid w:val="1CAF11B4"/>
    <w:rsid w:val="1CB32F99"/>
    <w:rsid w:val="1CB50960"/>
    <w:rsid w:val="1CBE34A0"/>
    <w:rsid w:val="1CC06596"/>
    <w:rsid w:val="1CCD7430"/>
    <w:rsid w:val="1CD31E55"/>
    <w:rsid w:val="1CD74DE9"/>
    <w:rsid w:val="1CDB6D2A"/>
    <w:rsid w:val="1CDF4948"/>
    <w:rsid w:val="1CED539C"/>
    <w:rsid w:val="1CF16BE8"/>
    <w:rsid w:val="1CF17641"/>
    <w:rsid w:val="1CFE163C"/>
    <w:rsid w:val="1D011EBA"/>
    <w:rsid w:val="1D142C06"/>
    <w:rsid w:val="1D1906D3"/>
    <w:rsid w:val="1D2761FB"/>
    <w:rsid w:val="1D2934F1"/>
    <w:rsid w:val="1D3576DA"/>
    <w:rsid w:val="1D3F6583"/>
    <w:rsid w:val="1D4514C1"/>
    <w:rsid w:val="1D4B428D"/>
    <w:rsid w:val="1D4E71DF"/>
    <w:rsid w:val="1D533850"/>
    <w:rsid w:val="1D5F2860"/>
    <w:rsid w:val="1D7E2358"/>
    <w:rsid w:val="1D7F0F20"/>
    <w:rsid w:val="1D8530C4"/>
    <w:rsid w:val="1D853661"/>
    <w:rsid w:val="1D8F0703"/>
    <w:rsid w:val="1D8F1526"/>
    <w:rsid w:val="1D9740C4"/>
    <w:rsid w:val="1D980650"/>
    <w:rsid w:val="1DA36D9A"/>
    <w:rsid w:val="1DA872B4"/>
    <w:rsid w:val="1DB23999"/>
    <w:rsid w:val="1DB61D94"/>
    <w:rsid w:val="1DBA5FFF"/>
    <w:rsid w:val="1DC26EBA"/>
    <w:rsid w:val="1DD156B7"/>
    <w:rsid w:val="1DD2196B"/>
    <w:rsid w:val="1DD3089F"/>
    <w:rsid w:val="1DD74625"/>
    <w:rsid w:val="1DE16BF5"/>
    <w:rsid w:val="1DE30D42"/>
    <w:rsid w:val="1DE530AB"/>
    <w:rsid w:val="1DF30B51"/>
    <w:rsid w:val="1DF51830"/>
    <w:rsid w:val="1E077E56"/>
    <w:rsid w:val="1E0C5FE3"/>
    <w:rsid w:val="1E0F0183"/>
    <w:rsid w:val="1E111A9B"/>
    <w:rsid w:val="1E1367DB"/>
    <w:rsid w:val="1E260E59"/>
    <w:rsid w:val="1E2A3739"/>
    <w:rsid w:val="1E375A12"/>
    <w:rsid w:val="1E3942BF"/>
    <w:rsid w:val="1E423556"/>
    <w:rsid w:val="1E43170F"/>
    <w:rsid w:val="1E46545D"/>
    <w:rsid w:val="1E572539"/>
    <w:rsid w:val="1E5B7B8B"/>
    <w:rsid w:val="1E5C7C3E"/>
    <w:rsid w:val="1E5E59A9"/>
    <w:rsid w:val="1E5F57A5"/>
    <w:rsid w:val="1E652315"/>
    <w:rsid w:val="1E681685"/>
    <w:rsid w:val="1E7720E4"/>
    <w:rsid w:val="1E7A37CC"/>
    <w:rsid w:val="1E7F4660"/>
    <w:rsid w:val="1E955CCC"/>
    <w:rsid w:val="1E9F67D5"/>
    <w:rsid w:val="1EA73606"/>
    <w:rsid w:val="1EA82B71"/>
    <w:rsid w:val="1EBC0067"/>
    <w:rsid w:val="1EBC0E9A"/>
    <w:rsid w:val="1EC30966"/>
    <w:rsid w:val="1EC70B3B"/>
    <w:rsid w:val="1EC72348"/>
    <w:rsid w:val="1EDA17FA"/>
    <w:rsid w:val="1EDA6A79"/>
    <w:rsid w:val="1EDC17EC"/>
    <w:rsid w:val="1EE260A9"/>
    <w:rsid w:val="1EE73CB9"/>
    <w:rsid w:val="1EF7361D"/>
    <w:rsid w:val="1EFD5F03"/>
    <w:rsid w:val="1F016AFE"/>
    <w:rsid w:val="1F02571E"/>
    <w:rsid w:val="1F0D527C"/>
    <w:rsid w:val="1F0F67B8"/>
    <w:rsid w:val="1F200920"/>
    <w:rsid w:val="1F2112DC"/>
    <w:rsid w:val="1F27059D"/>
    <w:rsid w:val="1F3E615F"/>
    <w:rsid w:val="1F4238FB"/>
    <w:rsid w:val="1F4961F5"/>
    <w:rsid w:val="1F4D4A2A"/>
    <w:rsid w:val="1F5D3710"/>
    <w:rsid w:val="1F62799A"/>
    <w:rsid w:val="1F6B52A3"/>
    <w:rsid w:val="1F6C4978"/>
    <w:rsid w:val="1F773026"/>
    <w:rsid w:val="1F803AE4"/>
    <w:rsid w:val="1F8238FA"/>
    <w:rsid w:val="1F8754EB"/>
    <w:rsid w:val="1F8E31E8"/>
    <w:rsid w:val="1F952F19"/>
    <w:rsid w:val="1F9E10AC"/>
    <w:rsid w:val="1FA62AD8"/>
    <w:rsid w:val="1FBC5CC3"/>
    <w:rsid w:val="1FBE6FC3"/>
    <w:rsid w:val="1FC22481"/>
    <w:rsid w:val="1FC3254F"/>
    <w:rsid w:val="1FCB1A85"/>
    <w:rsid w:val="1FCD5E32"/>
    <w:rsid w:val="1FD442D3"/>
    <w:rsid w:val="1FD540EB"/>
    <w:rsid w:val="1FF243A9"/>
    <w:rsid w:val="1FFE7EE6"/>
    <w:rsid w:val="20010991"/>
    <w:rsid w:val="2002179B"/>
    <w:rsid w:val="20086259"/>
    <w:rsid w:val="200A50AD"/>
    <w:rsid w:val="201B3592"/>
    <w:rsid w:val="202E4EB3"/>
    <w:rsid w:val="20401980"/>
    <w:rsid w:val="20445A5B"/>
    <w:rsid w:val="20542C4B"/>
    <w:rsid w:val="205F2AFF"/>
    <w:rsid w:val="206B6E09"/>
    <w:rsid w:val="208565FB"/>
    <w:rsid w:val="20961BCE"/>
    <w:rsid w:val="20A14D8E"/>
    <w:rsid w:val="20B112B9"/>
    <w:rsid w:val="20B90FA8"/>
    <w:rsid w:val="20C02C9D"/>
    <w:rsid w:val="20C63AEB"/>
    <w:rsid w:val="20C72D2B"/>
    <w:rsid w:val="20D51894"/>
    <w:rsid w:val="20D72043"/>
    <w:rsid w:val="20E7066D"/>
    <w:rsid w:val="20F374EF"/>
    <w:rsid w:val="20F83BB8"/>
    <w:rsid w:val="2105239F"/>
    <w:rsid w:val="212225A5"/>
    <w:rsid w:val="212E5229"/>
    <w:rsid w:val="212F3B35"/>
    <w:rsid w:val="21465C4C"/>
    <w:rsid w:val="21480825"/>
    <w:rsid w:val="215835EF"/>
    <w:rsid w:val="215B5DC1"/>
    <w:rsid w:val="21653A89"/>
    <w:rsid w:val="216D5E85"/>
    <w:rsid w:val="21792E84"/>
    <w:rsid w:val="217A63C0"/>
    <w:rsid w:val="218A2BF4"/>
    <w:rsid w:val="218A7AD8"/>
    <w:rsid w:val="218E7E53"/>
    <w:rsid w:val="219C64E5"/>
    <w:rsid w:val="219E63F0"/>
    <w:rsid w:val="21A10D1C"/>
    <w:rsid w:val="21AC075B"/>
    <w:rsid w:val="21AD4222"/>
    <w:rsid w:val="21AF686A"/>
    <w:rsid w:val="21B77905"/>
    <w:rsid w:val="21B91D04"/>
    <w:rsid w:val="21C175A0"/>
    <w:rsid w:val="21C766CE"/>
    <w:rsid w:val="21CF1A9D"/>
    <w:rsid w:val="21CF3627"/>
    <w:rsid w:val="21E03799"/>
    <w:rsid w:val="21E23A75"/>
    <w:rsid w:val="21EC6222"/>
    <w:rsid w:val="21EE2E94"/>
    <w:rsid w:val="21FD4DB1"/>
    <w:rsid w:val="22052BDF"/>
    <w:rsid w:val="220C06F2"/>
    <w:rsid w:val="220C201F"/>
    <w:rsid w:val="220D17FD"/>
    <w:rsid w:val="221D4B29"/>
    <w:rsid w:val="2228393F"/>
    <w:rsid w:val="223D2883"/>
    <w:rsid w:val="2241608F"/>
    <w:rsid w:val="2241665D"/>
    <w:rsid w:val="22420941"/>
    <w:rsid w:val="226043AE"/>
    <w:rsid w:val="22625F72"/>
    <w:rsid w:val="226B3FCA"/>
    <w:rsid w:val="226C6A22"/>
    <w:rsid w:val="226C6BE9"/>
    <w:rsid w:val="2273179F"/>
    <w:rsid w:val="227715DA"/>
    <w:rsid w:val="228829B6"/>
    <w:rsid w:val="228C7F34"/>
    <w:rsid w:val="22A57343"/>
    <w:rsid w:val="22A7319B"/>
    <w:rsid w:val="22AE4DC4"/>
    <w:rsid w:val="22B35FB9"/>
    <w:rsid w:val="22B55372"/>
    <w:rsid w:val="22B96B5D"/>
    <w:rsid w:val="22D940A2"/>
    <w:rsid w:val="22E066F6"/>
    <w:rsid w:val="22E343CA"/>
    <w:rsid w:val="2301575B"/>
    <w:rsid w:val="23053D6A"/>
    <w:rsid w:val="230C707C"/>
    <w:rsid w:val="230D2E8E"/>
    <w:rsid w:val="230D4CA2"/>
    <w:rsid w:val="231A2073"/>
    <w:rsid w:val="232519BA"/>
    <w:rsid w:val="23331C53"/>
    <w:rsid w:val="233A0869"/>
    <w:rsid w:val="233A5C1C"/>
    <w:rsid w:val="233B244B"/>
    <w:rsid w:val="233E1D92"/>
    <w:rsid w:val="23412154"/>
    <w:rsid w:val="23545F7E"/>
    <w:rsid w:val="2361247A"/>
    <w:rsid w:val="23660768"/>
    <w:rsid w:val="23714EDE"/>
    <w:rsid w:val="23763CF9"/>
    <w:rsid w:val="237D6B65"/>
    <w:rsid w:val="238F54D9"/>
    <w:rsid w:val="23A4245E"/>
    <w:rsid w:val="23B117AC"/>
    <w:rsid w:val="23B334F2"/>
    <w:rsid w:val="23B42C21"/>
    <w:rsid w:val="23B65735"/>
    <w:rsid w:val="23C02688"/>
    <w:rsid w:val="23DD65D6"/>
    <w:rsid w:val="23E6618C"/>
    <w:rsid w:val="23F54EDF"/>
    <w:rsid w:val="23FC13D9"/>
    <w:rsid w:val="2413318D"/>
    <w:rsid w:val="241911AD"/>
    <w:rsid w:val="241C6A3A"/>
    <w:rsid w:val="24275F6A"/>
    <w:rsid w:val="24286EE5"/>
    <w:rsid w:val="24392FFA"/>
    <w:rsid w:val="243E5FF0"/>
    <w:rsid w:val="24463A9E"/>
    <w:rsid w:val="244A615F"/>
    <w:rsid w:val="245B44CC"/>
    <w:rsid w:val="245D580C"/>
    <w:rsid w:val="245F40D8"/>
    <w:rsid w:val="24674F7A"/>
    <w:rsid w:val="24736ED2"/>
    <w:rsid w:val="24797AFA"/>
    <w:rsid w:val="247C581F"/>
    <w:rsid w:val="247D0276"/>
    <w:rsid w:val="249078BB"/>
    <w:rsid w:val="249117D8"/>
    <w:rsid w:val="249926F1"/>
    <w:rsid w:val="249B51CA"/>
    <w:rsid w:val="24A13A7C"/>
    <w:rsid w:val="24A25786"/>
    <w:rsid w:val="24A53BFF"/>
    <w:rsid w:val="24AF0FAF"/>
    <w:rsid w:val="24B86C5B"/>
    <w:rsid w:val="24BA370C"/>
    <w:rsid w:val="24CA473A"/>
    <w:rsid w:val="24EC067E"/>
    <w:rsid w:val="24EF35D6"/>
    <w:rsid w:val="24F34E6B"/>
    <w:rsid w:val="24F55DB5"/>
    <w:rsid w:val="24FA5BC2"/>
    <w:rsid w:val="24FB4E63"/>
    <w:rsid w:val="25003D9A"/>
    <w:rsid w:val="25024E64"/>
    <w:rsid w:val="250D0C81"/>
    <w:rsid w:val="250D5D6F"/>
    <w:rsid w:val="25123B95"/>
    <w:rsid w:val="25150572"/>
    <w:rsid w:val="25171127"/>
    <w:rsid w:val="251A7626"/>
    <w:rsid w:val="251C716D"/>
    <w:rsid w:val="2526720E"/>
    <w:rsid w:val="2532509E"/>
    <w:rsid w:val="253F41BA"/>
    <w:rsid w:val="2544503A"/>
    <w:rsid w:val="254C254F"/>
    <w:rsid w:val="25615977"/>
    <w:rsid w:val="2566674E"/>
    <w:rsid w:val="256B7D6A"/>
    <w:rsid w:val="256F3FA1"/>
    <w:rsid w:val="25751D5D"/>
    <w:rsid w:val="258344D6"/>
    <w:rsid w:val="25874FEE"/>
    <w:rsid w:val="25917E68"/>
    <w:rsid w:val="2599056A"/>
    <w:rsid w:val="259A4C12"/>
    <w:rsid w:val="25A16DE2"/>
    <w:rsid w:val="25A3403A"/>
    <w:rsid w:val="25A701B2"/>
    <w:rsid w:val="25A86A9C"/>
    <w:rsid w:val="25BE3C65"/>
    <w:rsid w:val="25C06618"/>
    <w:rsid w:val="25C3175A"/>
    <w:rsid w:val="25DC123F"/>
    <w:rsid w:val="25DF1A40"/>
    <w:rsid w:val="25E60FB2"/>
    <w:rsid w:val="25F053C6"/>
    <w:rsid w:val="25F474B0"/>
    <w:rsid w:val="25F74C57"/>
    <w:rsid w:val="25FC06FD"/>
    <w:rsid w:val="25FE02E2"/>
    <w:rsid w:val="25FF33FA"/>
    <w:rsid w:val="26025F4D"/>
    <w:rsid w:val="26052DC8"/>
    <w:rsid w:val="260F0418"/>
    <w:rsid w:val="262426B9"/>
    <w:rsid w:val="262C5739"/>
    <w:rsid w:val="2639284B"/>
    <w:rsid w:val="2642571F"/>
    <w:rsid w:val="26463316"/>
    <w:rsid w:val="26477BEF"/>
    <w:rsid w:val="26481A48"/>
    <w:rsid w:val="2649560C"/>
    <w:rsid w:val="26572372"/>
    <w:rsid w:val="26593FBF"/>
    <w:rsid w:val="26611BCE"/>
    <w:rsid w:val="26674348"/>
    <w:rsid w:val="26755985"/>
    <w:rsid w:val="268C42A3"/>
    <w:rsid w:val="26912175"/>
    <w:rsid w:val="26995098"/>
    <w:rsid w:val="269958AF"/>
    <w:rsid w:val="269D5895"/>
    <w:rsid w:val="26AF5933"/>
    <w:rsid w:val="26B058D2"/>
    <w:rsid w:val="26B535F3"/>
    <w:rsid w:val="26BA37BB"/>
    <w:rsid w:val="26CF461A"/>
    <w:rsid w:val="26D36CC7"/>
    <w:rsid w:val="26E0669D"/>
    <w:rsid w:val="26E6346C"/>
    <w:rsid w:val="26EF20BC"/>
    <w:rsid w:val="26F815F7"/>
    <w:rsid w:val="271A5E0C"/>
    <w:rsid w:val="271D367D"/>
    <w:rsid w:val="272A404B"/>
    <w:rsid w:val="27402B6D"/>
    <w:rsid w:val="2741575C"/>
    <w:rsid w:val="274713A7"/>
    <w:rsid w:val="275B5327"/>
    <w:rsid w:val="275E699C"/>
    <w:rsid w:val="27684594"/>
    <w:rsid w:val="276F3B36"/>
    <w:rsid w:val="27755B85"/>
    <w:rsid w:val="27991DD2"/>
    <w:rsid w:val="27A86CAA"/>
    <w:rsid w:val="27B40E5F"/>
    <w:rsid w:val="27B65F93"/>
    <w:rsid w:val="27C64266"/>
    <w:rsid w:val="27CF36C4"/>
    <w:rsid w:val="27CF6C1A"/>
    <w:rsid w:val="27DA6EC3"/>
    <w:rsid w:val="27DF2545"/>
    <w:rsid w:val="27E2119C"/>
    <w:rsid w:val="27E741C6"/>
    <w:rsid w:val="27EC21EA"/>
    <w:rsid w:val="27EE1A8C"/>
    <w:rsid w:val="27FA20A5"/>
    <w:rsid w:val="280B352D"/>
    <w:rsid w:val="28114034"/>
    <w:rsid w:val="281E3A48"/>
    <w:rsid w:val="28271D8B"/>
    <w:rsid w:val="283853BA"/>
    <w:rsid w:val="283C7DD4"/>
    <w:rsid w:val="284C6FB6"/>
    <w:rsid w:val="28605AC9"/>
    <w:rsid w:val="28657BB0"/>
    <w:rsid w:val="286825CD"/>
    <w:rsid w:val="28701C48"/>
    <w:rsid w:val="28817C7C"/>
    <w:rsid w:val="28A1634A"/>
    <w:rsid w:val="28B3074F"/>
    <w:rsid w:val="28B56848"/>
    <w:rsid w:val="28B80705"/>
    <w:rsid w:val="28CA0C98"/>
    <w:rsid w:val="28CC5CD8"/>
    <w:rsid w:val="28CF2BB1"/>
    <w:rsid w:val="28E55C89"/>
    <w:rsid w:val="28E97A45"/>
    <w:rsid w:val="28ED2EC4"/>
    <w:rsid w:val="28F10E74"/>
    <w:rsid w:val="28F22C4B"/>
    <w:rsid w:val="28F82D10"/>
    <w:rsid w:val="28FC46BB"/>
    <w:rsid w:val="28FF2B1A"/>
    <w:rsid w:val="290206B3"/>
    <w:rsid w:val="29051882"/>
    <w:rsid w:val="29134EB0"/>
    <w:rsid w:val="291359E5"/>
    <w:rsid w:val="29141DE7"/>
    <w:rsid w:val="291E6CDE"/>
    <w:rsid w:val="29280E25"/>
    <w:rsid w:val="29304EBA"/>
    <w:rsid w:val="29326E9C"/>
    <w:rsid w:val="29362B92"/>
    <w:rsid w:val="293B11E5"/>
    <w:rsid w:val="293D014C"/>
    <w:rsid w:val="293F72D1"/>
    <w:rsid w:val="29423BB1"/>
    <w:rsid w:val="2954642E"/>
    <w:rsid w:val="29587B1F"/>
    <w:rsid w:val="295F5930"/>
    <w:rsid w:val="296358DC"/>
    <w:rsid w:val="29673ACD"/>
    <w:rsid w:val="297671CB"/>
    <w:rsid w:val="298A056C"/>
    <w:rsid w:val="299527BB"/>
    <w:rsid w:val="299E6B99"/>
    <w:rsid w:val="29A437DD"/>
    <w:rsid w:val="29A55192"/>
    <w:rsid w:val="29AB3456"/>
    <w:rsid w:val="29AD6F14"/>
    <w:rsid w:val="29B10909"/>
    <w:rsid w:val="29B741BE"/>
    <w:rsid w:val="29BA6DC4"/>
    <w:rsid w:val="29BB16BD"/>
    <w:rsid w:val="29C37171"/>
    <w:rsid w:val="29C64A99"/>
    <w:rsid w:val="29CA0651"/>
    <w:rsid w:val="29CF1B2E"/>
    <w:rsid w:val="29D778AA"/>
    <w:rsid w:val="29DB47B7"/>
    <w:rsid w:val="29E01682"/>
    <w:rsid w:val="29E62E29"/>
    <w:rsid w:val="29EB0274"/>
    <w:rsid w:val="29EF04C9"/>
    <w:rsid w:val="29F917F5"/>
    <w:rsid w:val="2A051200"/>
    <w:rsid w:val="2A0664E4"/>
    <w:rsid w:val="2A134677"/>
    <w:rsid w:val="2A1C20E7"/>
    <w:rsid w:val="2A2728A0"/>
    <w:rsid w:val="2A2F14CA"/>
    <w:rsid w:val="2A3177C9"/>
    <w:rsid w:val="2A3A3229"/>
    <w:rsid w:val="2A4407FB"/>
    <w:rsid w:val="2A445EC8"/>
    <w:rsid w:val="2A483EDF"/>
    <w:rsid w:val="2A4E2FE6"/>
    <w:rsid w:val="2A513C35"/>
    <w:rsid w:val="2A606329"/>
    <w:rsid w:val="2A657044"/>
    <w:rsid w:val="2A6A5AE5"/>
    <w:rsid w:val="2A6D2507"/>
    <w:rsid w:val="2AA30CC5"/>
    <w:rsid w:val="2AA32383"/>
    <w:rsid w:val="2AA73F61"/>
    <w:rsid w:val="2AAD3D7A"/>
    <w:rsid w:val="2AB16ABD"/>
    <w:rsid w:val="2ACD19E3"/>
    <w:rsid w:val="2ACE3CBA"/>
    <w:rsid w:val="2ACE441A"/>
    <w:rsid w:val="2AD33C30"/>
    <w:rsid w:val="2AE12639"/>
    <w:rsid w:val="2AF3513A"/>
    <w:rsid w:val="2AF54BB5"/>
    <w:rsid w:val="2AF672CF"/>
    <w:rsid w:val="2AFB2C4F"/>
    <w:rsid w:val="2B0A728F"/>
    <w:rsid w:val="2B0D2D21"/>
    <w:rsid w:val="2B121AFE"/>
    <w:rsid w:val="2B1D166B"/>
    <w:rsid w:val="2B245B16"/>
    <w:rsid w:val="2B26734A"/>
    <w:rsid w:val="2B2C7992"/>
    <w:rsid w:val="2B3424AC"/>
    <w:rsid w:val="2B412B76"/>
    <w:rsid w:val="2B42684D"/>
    <w:rsid w:val="2B4B17C5"/>
    <w:rsid w:val="2B4D651E"/>
    <w:rsid w:val="2B5121A6"/>
    <w:rsid w:val="2B563D69"/>
    <w:rsid w:val="2B575E43"/>
    <w:rsid w:val="2B5E670F"/>
    <w:rsid w:val="2B600E35"/>
    <w:rsid w:val="2B637912"/>
    <w:rsid w:val="2B730E06"/>
    <w:rsid w:val="2B7A0426"/>
    <w:rsid w:val="2B9D2BA7"/>
    <w:rsid w:val="2BA04DBB"/>
    <w:rsid w:val="2BA60347"/>
    <w:rsid w:val="2BA641CA"/>
    <w:rsid w:val="2BBE1987"/>
    <w:rsid w:val="2BC52679"/>
    <w:rsid w:val="2BC73CE5"/>
    <w:rsid w:val="2BCA1746"/>
    <w:rsid w:val="2BD50CFB"/>
    <w:rsid w:val="2BDC73F0"/>
    <w:rsid w:val="2BDD44FF"/>
    <w:rsid w:val="2BF30E81"/>
    <w:rsid w:val="2BF536A4"/>
    <w:rsid w:val="2C04374C"/>
    <w:rsid w:val="2C0477D1"/>
    <w:rsid w:val="2C0C09D3"/>
    <w:rsid w:val="2C0F5109"/>
    <w:rsid w:val="2C2631EC"/>
    <w:rsid w:val="2C272355"/>
    <w:rsid w:val="2C2B5FF0"/>
    <w:rsid w:val="2C2F6660"/>
    <w:rsid w:val="2C303923"/>
    <w:rsid w:val="2C312DF4"/>
    <w:rsid w:val="2C3E4F65"/>
    <w:rsid w:val="2C4045A9"/>
    <w:rsid w:val="2C5A3902"/>
    <w:rsid w:val="2C5E1121"/>
    <w:rsid w:val="2C6A2ED6"/>
    <w:rsid w:val="2C6A75F9"/>
    <w:rsid w:val="2C732331"/>
    <w:rsid w:val="2C8155B7"/>
    <w:rsid w:val="2C8502BE"/>
    <w:rsid w:val="2C9A49D6"/>
    <w:rsid w:val="2CA203EB"/>
    <w:rsid w:val="2CA371E3"/>
    <w:rsid w:val="2CB00728"/>
    <w:rsid w:val="2CB12762"/>
    <w:rsid w:val="2CB72D0F"/>
    <w:rsid w:val="2CC4791F"/>
    <w:rsid w:val="2CCF781F"/>
    <w:rsid w:val="2CD70C5E"/>
    <w:rsid w:val="2CE77070"/>
    <w:rsid w:val="2D0D42CC"/>
    <w:rsid w:val="2D156F71"/>
    <w:rsid w:val="2D231D06"/>
    <w:rsid w:val="2D442F0B"/>
    <w:rsid w:val="2D564DAF"/>
    <w:rsid w:val="2D66042E"/>
    <w:rsid w:val="2D6E4210"/>
    <w:rsid w:val="2D771702"/>
    <w:rsid w:val="2D8764F6"/>
    <w:rsid w:val="2D8F0B9B"/>
    <w:rsid w:val="2D90456A"/>
    <w:rsid w:val="2D9B129A"/>
    <w:rsid w:val="2DA314FE"/>
    <w:rsid w:val="2DA52CB3"/>
    <w:rsid w:val="2DA97DA4"/>
    <w:rsid w:val="2DAE641F"/>
    <w:rsid w:val="2DD25B39"/>
    <w:rsid w:val="2DE53DD6"/>
    <w:rsid w:val="2DEC00AB"/>
    <w:rsid w:val="2DF139A3"/>
    <w:rsid w:val="2DF85113"/>
    <w:rsid w:val="2E021760"/>
    <w:rsid w:val="2E0659FE"/>
    <w:rsid w:val="2E126F0A"/>
    <w:rsid w:val="2E15082F"/>
    <w:rsid w:val="2E1C622D"/>
    <w:rsid w:val="2E212570"/>
    <w:rsid w:val="2E255C4A"/>
    <w:rsid w:val="2E356A26"/>
    <w:rsid w:val="2E4C4FDF"/>
    <w:rsid w:val="2E5E1BA7"/>
    <w:rsid w:val="2E5F13CB"/>
    <w:rsid w:val="2E622949"/>
    <w:rsid w:val="2E645220"/>
    <w:rsid w:val="2E6555F2"/>
    <w:rsid w:val="2E697565"/>
    <w:rsid w:val="2E741E04"/>
    <w:rsid w:val="2E76254E"/>
    <w:rsid w:val="2E7E2709"/>
    <w:rsid w:val="2E8B5CF6"/>
    <w:rsid w:val="2E916442"/>
    <w:rsid w:val="2E921C0F"/>
    <w:rsid w:val="2E9B099D"/>
    <w:rsid w:val="2E9D2350"/>
    <w:rsid w:val="2EB5122E"/>
    <w:rsid w:val="2EB56BD9"/>
    <w:rsid w:val="2EB83A66"/>
    <w:rsid w:val="2EBF1C32"/>
    <w:rsid w:val="2EC02B2D"/>
    <w:rsid w:val="2EC52005"/>
    <w:rsid w:val="2ECC6680"/>
    <w:rsid w:val="2ED32B8A"/>
    <w:rsid w:val="2EDE0113"/>
    <w:rsid w:val="2EE041D2"/>
    <w:rsid w:val="2EEB0268"/>
    <w:rsid w:val="2F0133BF"/>
    <w:rsid w:val="2F0220E6"/>
    <w:rsid w:val="2F035362"/>
    <w:rsid w:val="2F080C26"/>
    <w:rsid w:val="2F0B761F"/>
    <w:rsid w:val="2F193DD2"/>
    <w:rsid w:val="2F1D0D3D"/>
    <w:rsid w:val="2F23755B"/>
    <w:rsid w:val="2F2F7723"/>
    <w:rsid w:val="2F380AE6"/>
    <w:rsid w:val="2F3838F5"/>
    <w:rsid w:val="2F3D6A66"/>
    <w:rsid w:val="2F403E82"/>
    <w:rsid w:val="2F456801"/>
    <w:rsid w:val="2F510B18"/>
    <w:rsid w:val="2F527A79"/>
    <w:rsid w:val="2F531BB2"/>
    <w:rsid w:val="2F541E25"/>
    <w:rsid w:val="2F5516FA"/>
    <w:rsid w:val="2F5B3DC4"/>
    <w:rsid w:val="2F6544E5"/>
    <w:rsid w:val="2F69053A"/>
    <w:rsid w:val="2F6F1FE0"/>
    <w:rsid w:val="2F7A7718"/>
    <w:rsid w:val="2F89141E"/>
    <w:rsid w:val="2F8E38FD"/>
    <w:rsid w:val="2FA17E00"/>
    <w:rsid w:val="2FAA730F"/>
    <w:rsid w:val="2FAF1FF1"/>
    <w:rsid w:val="2FB41D4B"/>
    <w:rsid w:val="2FBD07AE"/>
    <w:rsid w:val="2FBE53B3"/>
    <w:rsid w:val="2FC15370"/>
    <w:rsid w:val="2FC24E75"/>
    <w:rsid w:val="2FC74C2E"/>
    <w:rsid w:val="2FC82993"/>
    <w:rsid w:val="2FCA1B29"/>
    <w:rsid w:val="2FDE1B3E"/>
    <w:rsid w:val="2FF561DB"/>
    <w:rsid w:val="2FF57067"/>
    <w:rsid w:val="2FFA4B13"/>
    <w:rsid w:val="300155F3"/>
    <w:rsid w:val="30034981"/>
    <w:rsid w:val="30156156"/>
    <w:rsid w:val="301D75CC"/>
    <w:rsid w:val="302E0628"/>
    <w:rsid w:val="30366E41"/>
    <w:rsid w:val="303B4DA4"/>
    <w:rsid w:val="30590E40"/>
    <w:rsid w:val="305B331C"/>
    <w:rsid w:val="305D2B9A"/>
    <w:rsid w:val="30792250"/>
    <w:rsid w:val="30832FB9"/>
    <w:rsid w:val="309369F3"/>
    <w:rsid w:val="3094360F"/>
    <w:rsid w:val="30990AE0"/>
    <w:rsid w:val="309C2751"/>
    <w:rsid w:val="30BE50D8"/>
    <w:rsid w:val="30C05114"/>
    <w:rsid w:val="30C43B5E"/>
    <w:rsid w:val="30C7083C"/>
    <w:rsid w:val="30D871B0"/>
    <w:rsid w:val="30DE50E7"/>
    <w:rsid w:val="30DF2C55"/>
    <w:rsid w:val="30E66010"/>
    <w:rsid w:val="30EA68ED"/>
    <w:rsid w:val="30EF25B8"/>
    <w:rsid w:val="30F41074"/>
    <w:rsid w:val="30FB393A"/>
    <w:rsid w:val="30FB4778"/>
    <w:rsid w:val="310B6F54"/>
    <w:rsid w:val="311A41F9"/>
    <w:rsid w:val="311D16A5"/>
    <w:rsid w:val="312B3379"/>
    <w:rsid w:val="31303F30"/>
    <w:rsid w:val="313727DC"/>
    <w:rsid w:val="314703B7"/>
    <w:rsid w:val="31555F88"/>
    <w:rsid w:val="315D375B"/>
    <w:rsid w:val="315F2F38"/>
    <w:rsid w:val="316C7FBB"/>
    <w:rsid w:val="31740F6C"/>
    <w:rsid w:val="319628D1"/>
    <w:rsid w:val="31997200"/>
    <w:rsid w:val="319C5226"/>
    <w:rsid w:val="31A01707"/>
    <w:rsid w:val="31A47D35"/>
    <w:rsid w:val="31A50616"/>
    <w:rsid w:val="31B4752C"/>
    <w:rsid w:val="31C20402"/>
    <w:rsid w:val="31C53A03"/>
    <w:rsid w:val="31D80B84"/>
    <w:rsid w:val="31DC4C2F"/>
    <w:rsid w:val="31EA430F"/>
    <w:rsid w:val="31ED10D8"/>
    <w:rsid w:val="31ED7438"/>
    <w:rsid w:val="31F30DB4"/>
    <w:rsid w:val="31F65B60"/>
    <w:rsid w:val="31F96589"/>
    <w:rsid w:val="32050B3A"/>
    <w:rsid w:val="32062F73"/>
    <w:rsid w:val="321A5B79"/>
    <w:rsid w:val="321E5E45"/>
    <w:rsid w:val="321F6147"/>
    <w:rsid w:val="32241AD0"/>
    <w:rsid w:val="32274A36"/>
    <w:rsid w:val="322F6C9A"/>
    <w:rsid w:val="32312984"/>
    <w:rsid w:val="32381D99"/>
    <w:rsid w:val="324C5E66"/>
    <w:rsid w:val="32535EDB"/>
    <w:rsid w:val="325966FB"/>
    <w:rsid w:val="32597B91"/>
    <w:rsid w:val="325B4AC3"/>
    <w:rsid w:val="32671281"/>
    <w:rsid w:val="32733942"/>
    <w:rsid w:val="3274047D"/>
    <w:rsid w:val="327D6050"/>
    <w:rsid w:val="327E0EC2"/>
    <w:rsid w:val="32832940"/>
    <w:rsid w:val="32844B22"/>
    <w:rsid w:val="328A0919"/>
    <w:rsid w:val="328B4714"/>
    <w:rsid w:val="329675CD"/>
    <w:rsid w:val="32A11400"/>
    <w:rsid w:val="32A14540"/>
    <w:rsid w:val="32AB6529"/>
    <w:rsid w:val="32B511F0"/>
    <w:rsid w:val="32B909F4"/>
    <w:rsid w:val="32BD2658"/>
    <w:rsid w:val="32C63D87"/>
    <w:rsid w:val="32CB0F09"/>
    <w:rsid w:val="32D0529A"/>
    <w:rsid w:val="32F36AA8"/>
    <w:rsid w:val="32FE60D7"/>
    <w:rsid w:val="33014A22"/>
    <w:rsid w:val="3304315F"/>
    <w:rsid w:val="330C249E"/>
    <w:rsid w:val="330C498D"/>
    <w:rsid w:val="330E6646"/>
    <w:rsid w:val="331B770A"/>
    <w:rsid w:val="33340465"/>
    <w:rsid w:val="333954DB"/>
    <w:rsid w:val="33396803"/>
    <w:rsid w:val="3345007D"/>
    <w:rsid w:val="335B4F53"/>
    <w:rsid w:val="33606847"/>
    <w:rsid w:val="336262B6"/>
    <w:rsid w:val="336637A7"/>
    <w:rsid w:val="3367362A"/>
    <w:rsid w:val="3369484B"/>
    <w:rsid w:val="336A237E"/>
    <w:rsid w:val="336D71D4"/>
    <w:rsid w:val="337A73D6"/>
    <w:rsid w:val="337B2643"/>
    <w:rsid w:val="337D1348"/>
    <w:rsid w:val="337F0DC7"/>
    <w:rsid w:val="33820B3D"/>
    <w:rsid w:val="338339C2"/>
    <w:rsid w:val="33914E69"/>
    <w:rsid w:val="33970730"/>
    <w:rsid w:val="339D06A0"/>
    <w:rsid w:val="339E26AD"/>
    <w:rsid w:val="33A0578D"/>
    <w:rsid w:val="33B45659"/>
    <w:rsid w:val="33C01F47"/>
    <w:rsid w:val="33CC451E"/>
    <w:rsid w:val="33E25961"/>
    <w:rsid w:val="340E4887"/>
    <w:rsid w:val="341213BB"/>
    <w:rsid w:val="343019E0"/>
    <w:rsid w:val="34465DA3"/>
    <w:rsid w:val="344743E2"/>
    <w:rsid w:val="344A6C04"/>
    <w:rsid w:val="345348E7"/>
    <w:rsid w:val="34651F4E"/>
    <w:rsid w:val="34751DAC"/>
    <w:rsid w:val="347E1106"/>
    <w:rsid w:val="347F1DC2"/>
    <w:rsid w:val="34920434"/>
    <w:rsid w:val="3499258B"/>
    <w:rsid w:val="34A24D6F"/>
    <w:rsid w:val="34A8585B"/>
    <w:rsid w:val="34B133B4"/>
    <w:rsid w:val="34BD2098"/>
    <w:rsid w:val="34C474CC"/>
    <w:rsid w:val="34C732B5"/>
    <w:rsid w:val="34D516D4"/>
    <w:rsid w:val="34D55205"/>
    <w:rsid w:val="34D94412"/>
    <w:rsid w:val="34E20915"/>
    <w:rsid w:val="34E67503"/>
    <w:rsid w:val="34EB1BEE"/>
    <w:rsid w:val="35037CDF"/>
    <w:rsid w:val="350803CC"/>
    <w:rsid w:val="350E4197"/>
    <w:rsid w:val="35205CC2"/>
    <w:rsid w:val="35307280"/>
    <w:rsid w:val="35367AC1"/>
    <w:rsid w:val="353869CA"/>
    <w:rsid w:val="35391016"/>
    <w:rsid w:val="35465841"/>
    <w:rsid w:val="354956AF"/>
    <w:rsid w:val="35501F2B"/>
    <w:rsid w:val="3550318B"/>
    <w:rsid w:val="35546CE3"/>
    <w:rsid w:val="3555148D"/>
    <w:rsid w:val="35593E6D"/>
    <w:rsid w:val="355B0EB5"/>
    <w:rsid w:val="355C66A1"/>
    <w:rsid w:val="357212AE"/>
    <w:rsid w:val="357308A8"/>
    <w:rsid w:val="35765B76"/>
    <w:rsid w:val="357F7DAC"/>
    <w:rsid w:val="358B70DE"/>
    <w:rsid w:val="35924100"/>
    <w:rsid w:val="35926B76"/>
    <w:rsid w:val="3597523A"/>
    <w:rsid w:val="359B3147"/>
    <w:rsid w:val="35A24061"/>
    <w:rsid w:val="35A3393B"/>
    <w:rsid w:val="35A926E0"/>
    <w:rsid w:val="35AC5641"/>
    <w:rsid w:val="35D264F0"/>
    <w:rsid w:val="35D269D4"/>
    <w:rsid w:val="35D476B4"/>
    <w:rsid w:val="35DF22E1"/>
    <w:rsid w:val="35E86BE4"/>
    <w:rsid w:val="35F26B19"/>
    <w:rsid w:val="35F46A85"/>
    <w:rsid w:val="35F71A74"/>
    <w:rsid w:val="35FD79CF"/>
    <w:rsid w:val="36012D4D"/>
    <w:rsid w:val="360A3126"/>
    <w:rsid w:val="360B6F0B"/>
    <w:rsid w:val="361C6867"/>
    <w:rsid w:val="36383B09"/>
    <w:rsid w:val="364979D8"/>
    <w:rsid w:val="36557075"/>
    <w:rsid w:val="36611ABE"/>
    <w:rsid w:val="367403CE"/>
    <w:rsid w:val="36777235"/>
    <w:rsid w:val="3681188A"/>
    <w:rsid w:val="36844CF9"/>
    <w:rsid w:val="368A0406"/>
    <w:rsid w:val="36A23F93"/>
    <w:rsid w:val="36A3486D"/>
    <w:rsid w:val="36A870ED"/>
    <w:rsid w:val="36AD4717"/>
    <w:rsid w:val="36AF0A95"/>
    <w:rsid w:val="36AF4207"/>
    <w:rsid w:val="36AF61B1"/>
    <w:rsid w:val="36C13059"/>
    <w:rsid w:val="36C272BB"/>
    <w:rsid w:val="36CF7A35"/>
    <w:rsid w:val="36D05F91"/>
    <w:rsid w:val="36D2783E"/>
    <w:rsid w:val="36D27B63"/>
    <w:rsid w:val="36D41E8F"/>
    <w:rsid w:val="36D54692"/>
    <w:rsid w:val="36D96EDA"/>
    <w:rsid w:val="36E26959"/>
    <w:rsid w:val="36F10D00"/>
    <w:rsid w:val="36FA3946"/>
    <w:rsid w:val="37003C32"/>
    <w:rsid w:val="37064640"/>
    <w:rsid w:val="370833CF"/>
    <w:rsid w:val="37094800"/>
    <w:rsid w:val="3729369A"/>
    <w:rsid w:val="373E0C87"/>
    <w:rsid w:val="3745476B"/>
    <w:rsid w:val="374855C6"/>
    <w:rsid w:val="374A077D"/>
    <w:rsid w:val="3764260A"/>
    <w:rsid w:val="376C09D2"/>
    <w:rsid w:val="376D4635"/>
    <w:rsid w:val="376F36E6"/>
    <w:rsid w:val="3774183B"/>
    <w:rsid w:val="37795171"/>
    <w:rsid w:val="37795998"/>
    <w:rsid w:val="377A3D83"/>
    <w:rsid w:val="377B37D2"/>
    <w:rsid w:val="37863ECD"/>
    <w:rsid w:val="37871B87"/>
    <w:rsid w:val="379073E9"/>
    <w:rsid w:val="37907945"/>
    <w:rsid w:val="379433CC"/>
    <w:rsid w:val="379475B9"/>
    <w:rsid w:val="379C0FB7"/>
    <w:rsid w:val="37A06C8B"/>
    <w:rsid w:val="37B13640"/>
    <w:rsid w:val="37B67A41"/>
    <w:rsid w:val="37B845A0"/>
    <w:rsid w:val="37BC56F1"/>
    <w:rsid w:val="37BE1F64"/>
    <w:rsid w:val="37BE5CC9"/>
    <w:rsid w:val="37C95950"/>
    <w:rsid w:val="37CA16A6"/>
    <w:rsid w:val="37CD4642"/>
    <w:rsid w:val="37CE790C"/>
    <w:rsid w:val="37DC46E9"/>
    <w:rsid w:val="37E6402D"/>
    <w:rsid w:val="37EF735E"/>
    <w:rsid w:val="37F414A8"/>
    <w:rsid w:val="37F9410A"/>
    <w:rsid w:val="3804438C"/>
    <w:rsid w:val="382769BA"/>
    <w:rsid w:val="382B357B"/>
    <w:rsid w:val="382B6885"/>
    <w:rsid w:val="38391128"/>
    <w:rsid w:val="386764BC"/>
    <w:rsid w:val="38720F21"/>
    <w:rsid w:val="38754CBA"/>
    <w:rsid w:val="387C1325"/>
    <w:rsid w:val="387C7A31"/>
    <w:rsid w:val="387D7AF7"/>
    <w:rsid w:val="387F2D74"/>
    <w:rsid w:val="388739DD"/>
    <w:rsid w:val="388B28DB"/>
    <w:rsid w:val="388D01B4"/>
    <w:rsid w:val="388D5ACF"/>
    <w:rsid w:val="38960164"/>
    <w:rsid w:val="389C13AC"/>
    <w:rsid w:val="38B202E4"/>
    <w:rsid w:val="38B62097"/>
    <w:rsid w:val="38B840B1"/>
    <w:rsid w:val="38C0447C"/>
    <w:rsid w:val="38C4747E"/>
    <w:rsid w:val="38C97296"/>
    <w:rsid w:val="38CB620C"/>
    <w:rsid w:val="38D204AC"/>
    <w:rsid w:val="38D96DC4"/>
    <w:rsid w:val="38DE309E"/>
    <w:rsid w:val="38E361CB"/>
    <w:rsid w:val="38E83104"/>
    <w:rsid w:val="38ED2B5C"/>
    <w:rsid w:val="38EE7DBF"/>
    <w:rsid w:val="38F240F7"/>
    <w:rsid w:val="390200DD"/>
    <w:rsid w:val="3904620E"/>
    <w:rsid w:val="39061908"/>
    <w:rsid w:val="390B4EC8"/>
    <w:rsid w:val="392065A4"/>
    <w:rsid w:val="392A161D"/>
    <w:rsid w:val="3935462C"/>
    <w:rsid w:val="39376D96"/>
    <w:rsid w:val="39384E2B"/>
    <w:rsid w:val="393C0985"/>
    <w:rsid w:val="3940143A"/>
    <w:rsid w:val="394E7C8A"/>
    <w:rsid w:val="39567707"/>
    <w:rsid w:val="395C41B4"/>
    <w:rsid w:val="395E547C"/>
    <w:rsid w:val="395E595A"/>
    <w:rsid w:val="39612A5C"/>
    <w:rsid w:val="39694312"/>
    <w:rsid w:val="396E29E7"/>
    <w:rsid w:val="397265C5"/>
    <w:rsid w:val="398907BC"/>
    <w:rsid w:val="39890BB2"/>
    <w:rsid w:val="398F78DE"/>
    <w:rsid w:val="399B332D"/>
    <w:rsid w:val="399B7C43"/>
    <w:rsid w:val="399D4632"/>
    <w:rsid w:val="39B66379"/>
    <w:rsid w:val="39CE0602"/>
    <w:rsid w:val="39DC0945"/>
    <w:rsid w:val="39E00462"/>
    <w:rsid w:val="39E36E20"/>
    <w:rsid w:val="39E50BD9"/>
    <w:rsid w:val="39E74A67"/>
    <w:rsid w:val="39EB685E"/>
    <w:rsid w:val="39EC00CF"/>
    <w:rsid w:val="39F26C3B"/>
    <w:rsid w:val="39FA195D"/>
    <w:rsid w:val="39FA4EC8"/>
    <w:rsid w:val="39FB33C1"/>
    <w:rsid w:val="3A0339A7"/>
    <w:rsid w:val="3A0653F4"/>
    <w:rsid w:val="3A0824BB"/>
    <w:rsid w:val="3A0A34FF"/>
    <w:rsid w:val="3A132EFF"/>
    <w:rsid w:val="3A143B54"/>
    <w:rsid w:val="3A1C48DF"/>
    <w:rsid w:val="3A56420C"/>
    <w:rsid w:val="3A631B7E"/>
    <w:rsid w:val="3A6D26AD"/>
    <w:rsid w:val="3A6E5ECD"/>
    <w:rsid w:val="3A74727C"/>
    <w:rsid w:val="3A7E29D4"/>
    <w:rsid w:val="3A8109A8"/>
    <w:rsid w:val="3A8C29F9"/>
    <w:rsid w:val="3A9201A9"/>
    <w:rsid w:val="3AA479E2"/>
    <w:rsid w:val="3AA83F91"/>
    <w:rsid w:val="3ABF6ED9"/>
    <w:rsid w:val="3AC90CB1"/>
    <w:rsid w:val="3AC96EE6"/>
    <w:rsid w:val="3AD6788E"/>
    <w:rsid w:val="3AE45F95"/>
    <w:rsid w:val="3AEB70EE"/>
    <w:rsid w:val="3AF154F9"/>
    <w:rsid w:val="3AFA0C87"/>
    <w:rsid w:val="3AFD0C40"/>
    <w:rsid w:val="3B08053D"/>
    <w:rsid w:val="3B10149D"/>
    <w:rsid w:val="3B193F38"/>
    <w:rsid w:val="3B216ACB"/>
    <w:rsid w:val="3B2D5489"/>
    <w:rsid w:val="3B375128"/>
    <w:rsid w:val="3B4325B6"/>
    <w:rsid w:val="3B4663E4"/>
    <w:rsid w:val="3B502E06"/>
    <w:rsid w:val="3B60169E"/>
    <w:rsid w:val="3B61109D"/>
    <w:rsid w:val="3B627A21"/>
    <w:rsid w:val="3B630D43"/>
    <w:rsid w:val="3B65212D"/>
    <w:rsid w:val="3B6D3AC9"/>
    <w:rsid w:val="3B6E2D51"/>
    <w:rsid w:val="3B7840F1"/>
    <w:rsid w:val="3B79098F"/>
    <w:rsid w:val="3B7C39A6"/>
    <w:rsid w:val="3B8E6545"/>
    <w:rsid w:val="3B975467"/>
    <w:rsid w:val="3B97695F"/>
    <w:rsid w:val="3B9C1AAF"/>
    <w:rsid w:val="3BA015F2"/>
    <w:rsid w:val="3BA02F9F"/>
    <w:rsid w:val="3BA2775B"/>
    <w:rsid w:val="3BA719C4"/>
    <w:rsid w:val="3BAA7858"/>
    <w:rsid w:val="3BB43E24"/>
    <w:rsid w:val="3BB76B5E"/>
    <w:rsid w:val="3BC26971"/>
    <w:rsid w:val="3BC30AF2"/>
    <w:rsid w:val="3BC7492B"/>
    <w:rsid w:val="3BCE50B7"/>
    <w:rsid w:val="3BDB7CBA"/>
    <w:rsid w:val="3BDF48E2"/>
    <w:rsid w:val="3BE02DAC"/>
    <w:rsid w:val="3BE81629"/>
    <w:rsid w:val="3BE877CB"/>
    <w:rsid w:val="3BE96EBE"/>
    <w:rsid w:val="3BEE2775"/>
    <w:rsid w:val="3BFF0328"/>
    <w:rsid w:val="3C115DE0"/>
    <w:rsid w:val="3C1C18C4"/>
    <w:rsid w:val="3C255E04"/>
    <w:rsid w:val="3C327244"/>
    <w:rsid w:val="3C327E1F"/>
    <w:rsid w:val="3C4D2476"/>
    <w:rsid w:val="3C527155"/>
    <w:rsid w:val="3C590524"/>
    <w:rsid w:val="3C5B2BF2"/>
    <w:rsid w:val="3C5C4C42"/>
    <w:rsid w:val="3C5E2A90"/>
    <w:rsid w:val="3C5F6BB6"/>
    <w:rsid w:val="3C710478"/>
    <w:rsid w:val="3C725808"/>
    <w:rsid w:val="3C7A61D6"/>
    <w:rsid w:val="3C7F3E48"/>
    <w:rsid w:val="3CA01FB6"/>
    <w:rsid w:val="3CA05D50"/>
    <w:rsid w:val="3CA30FDC"/>
    <w:rsid w:val="3CA51A11"/>
    <w:rsid w:val="3CAE30A8"/>
    <w:rsid w:val="3CBF7B2C"/>
    <w:rsid w:val="3CC46AAE"/>
    <w:rsid w:val="3CCB27C4"/>
    <w:rsid w:val="3CD44B4D"/>
    <w:rsid w:val="3CD8219E"/>
    <w:rsid w:val="3CD93118"/>
    <w:rsid w:val="3CDD2BEA"/>
    <w:rsid w:val="3CF50AFE"/>
    <w:rsid w:val="3CF7171E"/>
    <w:rsid w:val="3CFD03B9"/>
    <w:rsid w:val="3D057AC4"/>
    <w:rsid w:val="3D063FD8"/>
    <w:rsid w:val="3D0C7A86"/>
    <w:rsid w:val="3D0D1609"/>
    <w:rsid w:val="3D0D5E8B"/>
    <w:rsid w:val="3D1A6500"/>
    <w:rsid w:val="3D21352F"/>
    <w:rsid w:val="3D3E0C87"/>
    <w:rsid w:val="3D405336"/>
    <w:rsid w:val="3D4F0B8A"/>
    <w:rsid w:val="3D520A7B"/>
    <w:rsid w:val="3D565677"/>
    <w:rsid w:val="3D582F58"/>
    <w:rsid w:val="3D5A4AAB"/>
    <w:rsid w:val="3D5A67B1"/>
    <w:rsid w:val="3D60525C"/>
    <w:rsid w:val="3D700137"/>
    <w:rsid w:val="3D7226BF"/>
    <w:rsid w:val="3D7E7D12"/>
    <w:rsid w:val="3D7F4B5F"/>
    <w:rsid w:val="3D7F7C00"/>
    <w:rsid w:val="3D846F68"/>
    <w:rsid w:val="3D8519B4"/>
    <w:rsid w:val="3D853C91"/>
    <w:rsid w:val="3D881C19"/>
    <w:rsid w:val="3D996049"/>
    <w:rsid w:val="3DA3447E"/>
    <w:rsid w:val="3DB95C83"/>
    <w:rsid w:val="3DC16F02"/>
    <w:rsid w:val="3DC802F5"/>
    <w:rsid w:val="3DD01443"/>
    <w:rsid w:val="3DD972EB"/>
    <w:rsid w:val="3DDE10E5"/>
    <w:rsid w:val="3DE172D7"/>
    <w:rsid w:val="3DE329BF"/>
    <w:rsid w:val="3DF00C1F"/>
    <w:rsid w:val="3DF9666C"/>
    <w:rsid w:val="3E053810"/>
    <w:rsid w:val="3E072423"/>
    <w:rsid w:val="3E08709D"/>
    <w:rsid w:val="3E251A33"/>
    <w:rsid w:val="3E2F517A"/>
    <w:rsid w:val="3E3C5248"/>
    <w:rsid w:val="3E3D1EAE"/>
    <w:rsid w:val="3E4218E3"/>
    <w:rsid w:val="3E48628C"/>
    <w:rsid w:val="3E684ED9"/>
    <w:rsid w:val="3E735747"/>
    <w:rsid w:val="3E7E4370"/>
    <w:rsid w:val="3E845A20"/>
    <w:rsid w:val="3E8641F0"/>
    <w:rsid w:val="3E896F22"/>
    <w:rsid w:val="3E907124"/>
    <w:rsid w:val="3E960EFC"/>
    <w:rsid w:val="3E9C275D"/>
    <w:rsid w:val="3E9E7DD1"/>
    <w:rsid w:val="3EA82AFF"/>
    <w:rsid w:val="3EB202F3"/>
    <w:rsid w:val="3EBA5D2A"/>
    <w:rsid w:val="3EBF198D"/>
    <w:rsid w:val="3ED30B12"/>
    <w:rsid w:val="3EF21A2C"/>
    <w:rsid w:val="3EF24C15"/>
    <w:rsid w:val="3EF827F2"/>
    <w:rsid w:val="3EFA4D4D"/>
    <w:rsid w:val="3EFB6369"/>
    <w:rsid w:val="3EFC30AF"/>
    <w:rsid w:val="3EFC5932"/>
    <w:rsid w:val="3EFD0614"/>
    <w:rsid w:val="3F065A2C"/>
    <w:rsid w:val="3F0A040F"/>
    <w:rsid w:val="3F2957B0"/>
    <w:rsid w:val="3F315D70"/>
    <w:rsid w:val="3F3B0E56"/>
    <w:rsid w:val="3F3F2FBB"/>
    <w:rsid w:val="3F4A3BDC"/>
    <w:rsid w:val="3F4D7CD7"/>
    <w:rsid w:val="3F4F4968"/>
    <w:rsid w:val="3F51162D"/>
    <w:rsid w:val="3F520C72"/>
    <w:rsid w:val="3F5962A8"/>
    <w:rsid w:val="3F5A0710"/>
    <w:rsid w:val="3F5B6A36"/>
    <w:rsid w:val="3F682471"/>
    <w:rsid w:val="3F7931AE"/>
    <w:rsid w:val="3F864D48"/>
    <w:rsid w:val="3F9022FF"/>
    <w:rsid w:val="3F972DE6"/>
    <w:rsid w:val="3F977888"/>
    <w:rsid w:val="3FA14E98"/>
    <w:rsid w:val="3FAA290C"/>
    <w:rsid w:val="3FB34F31"/>
    <w:rsid w:val="3FB83DBD"/>
    <w:rsid w:val="3FBE61BE"/>
    <w:rsid w:val="3FC279FF"/>
    <w:rsid w:val="3FC54766"/>
    <w:rsid w:val="3FCA4E52"/>
    <w:rsid w:val="3FCF3C74"/>
    <w:rsid w:val="3FDA0C41"/>
    <w:rsid w:val="3FDA3CBD"/>
    <w:rsid w:val="3FEF7A3D"/>
    <w:rsid w:val="3FFB064C"/>
    <w:rsid w:val="3FFC23D2"/>
    <w:rsid w:val="400D5B1C"/>
    <w:rsid w:val="4010624F"/>
    <w:rsid w:val="4023044C"/>
    <w:rsid w:val="40231569"/>
    <w:rsid w:val="404A2EF4"/>
    <w:rsid w:val="405254D4"/>
    <w:rsid w:val="40580B42"/>
    <w:rsid w:val="40593851"/>
    <w:rsid w:val="406209B7"/>
    <w:rsid w:val="40706138"/>
    <w:rsid w:val="40754F68"/>
    <w:rsid w:val="40807183"/>
    <w:rsid w:val="408744A0"/>
    <w:rsid w:val="40883DF5"/>
    <w:rsid w:val="408B3B95"/>
    <w:rsid w:val="408C4008"/>
    <w:rsid w:val="40945BBD"/>
    <w:rsid w:val="409523F4"/>
    <w:rsid w:val="40B12D0B"/>
    <w:rsid w:val="40B82F7F"/>
    <w:rsid w:val="40BF7406"/>
    <w:rsid w:val="40C3584F"/>
    <w:rsid w:val="40C72F37"/>
    <w:rsid w:val="40C90173"/>
    <w:rsid w:val="40C94415"/>
    <w:rsid w:val="40D44A59"/>
    <w:rsid w:val="40D738F2"/>
    <w:rsid w:val="40D91FF1"/>
    <w:rsid w:val="40D97BA5"/>
    <w:rsid w:val="40E02071"/>
    <w:rsid w:val="40E2691F"/>
    <w:rsid w:val="40E27CE0"/>
    <w:rsid w:val="40E85375"/>
    <w:rsid w:val="40F51782"/>
    <w:rsid w:val="40F81FC9"/>
    <w:rsid w:val="4116292F"/>
    <w:rsid w:val="41285D05"/>
    <w:rsid w:val="412D071F"/>
    <w:rsid w:val="412E11A9"/>
    <w:rsid w:val="413B52AE"/>
    <w:rsid w:val="415022BE"/>
    <w:rsid w:val="415A2046"/>
    <w:rsid w:val="415A63E9"/>
    <w:rsid w:val="41600680"/>
    <w:rsid w:val="41701124"/>
    <w:rsid w:val="41711992"/>
    <w:rsid w:val="41863713"/>
    <w:rsid w:val="418B4277"/>
    <w:rsid w:val="418E2E14"/>
    <w:rsid w:val="419E1E3A"/>
    <w:rsid w:val="41A30276"/>
    <w:rsid w:val="41A753F4"/>
    <w:rsid w:val="41AC0338"/>
    <w:rsid w:val="41AD376C"/>
    <w:rsid w:val="41AE3E54"/>
    <w:rsid w:val="41BD43B2"/>
    <w:rsid w:val="41CA2DC7"/>
    <w:rsid w:val="41D044C2"/>
    <w:rsid w:val="41D77EF1"/>
    <w:rsid w:val="41E97E0A"/>
    <w:rsid w:val="41F9042D"/>
    <w:rsid w:val="41FB5BE4"/>
    <w:rsid w:val="420F4DB9"/>
    <w:rsid w:val="42126BB1"/>
    <w:rsid w:val="42177FD0"/>
    <w:rsid w:val="423D5E73"/>
    <w:rsid w:val="423F33AE"/>
    <w:rsid w:val="42414336"/>
    <w:rsid w:val="42490D32"/>
    <w:rsid w:val="424C01F4"/>
    <w:rsid w:val="424D1E80"/>
    <w:rsid w:val="425413FD"/>
    <w:rsid w:val="42555904"/>
    <w:rsid w:val="425A14AE"/>
    <w:rsid w:val="427C1C0E"/>
    <w:rsid w:val="428018FF"/>
    <w:rsid w:val="428156D3"/>
    <w:rsid w:val="428F16AC"/>
    <w:rsid w:val="42977985"/>
    <w:rsid w:val="429A373A"/>
    <w:rsid w:val="429D465B"/>
    <w:rsid w:val="429E684D"/>
    <w:rsid w:val="429F446E"/>
    <w:rsid w:val="42A14857"/>
    <w:rsid w:val="42A338D3"/>
    <w:rsid w:val="42B1435B"/>
    <w:rsid w:val="42BB62C2"/>
    <w:rsid w:val="42C542BA"/>
    <w:rsid w:val="42CC052F"/>
    <w:rsid w:val="42D65350"/>
    <w:rsid w:val="42D80DCD"/>
    <w:rsid w:val="42D92D16"/>
    <w:rsid w:val="42D978BD"/>
    <w:rsid w:val="42DA7B1D"/>
    <w:rsid w:val="42EB7D23"/>
    <w:rsid w:val="42F13C2C"/>
    <w:rsid w:val="42F935A4"/>
    <w:rsid w:val="42FE7153"/>
    <w:rsid w:val="430958B5"/>
    <w:rsid w:val="430E323B"/>
    <w:rsid w:val="431B6D6A"/>
    <w:rsid w:val="43212533"/>
    <w:rsid w:val="432D7E6E"/>
    <w:rsid w:val="43454E15"/>
    <w:rsid w:val="43514680"/>
    <w:rsid w:val="435173DB"/>
    <w:rsid w:val="4352080A"/>
    <w:rsid w:val="435915D6"/>
    <w:rsid w:val="4369029A"/>
    <w:rsid w:val="436A2E28"/>
    <w:rsid w:val="43817596"/>
    <w:rsid w:val="438749B3"/>
    <w:rsid w:val="43883B57"/>
    <w:rsid w:val="438A7C9D"/>
    <w:rsid w:val="439077B8"/>
    <w:rsid w:val="43980BE3"/>
    <w:rsid w:val="43995FE1"/>
    <w:rsid w:val="439E07D2"/>
    <w:rsid w:val="439E1CFC"/>
    <w:rsid w:val="439E4C46"/>
    <w:rsid w:val="43A95335"/>
    <w:rsid w:val="43AE1FFC"/>
    <w:rsid w:val="43C041B4"/>
    <w:rsid w:val="43CB7817"/>
    <w:rsid w:val="43D113AE"/>
    <w:rsid w:val="43D17B49"/>
    <w:rsid w:val="43E61A56"/>
    <w:rsid w:val="43F04C6D"/>
    <w:rsid w:val="43F24E51"/>
    <w:rsid w:val="43F37FBA"/>
    <w:rsid w:val="43F856C3"/>
    <w:rsid w:val="43FB3744"/>
    <w:rsid w:val="440200C0"/>
    <w:rsid w:val="44027A4C"/>
    <w:rsid w:val="44047ABE"/>
    <w:rsid w:val="44056B40"/>
    <w:rsid w:val="44071371"/>
    <w:rsid w:val="44097B64"/>
    <w:rsid w:val="440C68D8"/>
    <w:rsid w:val="44161012"/>
    <w:rsid w:val="4420389E"/>
    <w:rsid w:val="44250234"/>
    <w:rsid w:val="44265EE5"/>
    <w:rsid w:val="44320438"/>
    <w:rsid w:val="44320823"/>
    <w:rsid w:val="4434423A"/>
    <w:rsid w:val="443F021D"/>
    <w:rsid w:val="4440103F"/>
    <w:rsid w:val="444109D8"/>
    <w:rsid w:val="44424BB3"/>
    <w:rsid w:val="44447599"/>
    <w:rsid w:val="44496B92"/>
    <w:rsid w:val="445746C0"/>
    <w:rsid w:val="445A43CD"/>
    <w:rsid w:val="44656D88"/>
    <w:rsid w:val="44670EBB"/>
    <w:rsid w:val="448F771E"/>
    <w:rsid w:val="44947788"/>
    <w:rsid w:val="44970503"/>
    <w:rsid w:val="44A2591F"/>
    <w:rsid w:val="44A86B44"/>
    <w:rsid w:val="44AB5ADA"/>
    <w:rsid w:val="44B548B2"/>
    <w:rsid w:val="44C574C8"/>
    <w:rsid w:val="44C74FC8"/>
    <w:rsid w:val="44CD272F"/>
    <w:rsid w:val="44D40AAA"/>
    <w:rsid w:val="44E80CCE"/>
    <w:rsid w:val="44F110B1"/>
    <w:rsid w:val="45024A1F"/>
    <w:rsid w:val="45081A3A"/>
    <w:rsid w:val="450933C9"/>
    <w:rsid w:val="4511782B"/>
    <w:rsid w:val="451E770D"/>
    <w:rsid w:val="452430F0"/>
    <w:rsid w:val="45303E03"/>
    <w:rsid w:val="453E3AE8"/>
    <w:rsid w:val="45495833"/>
    <w:rsid w:val="454C2349"/>
    <w:rsid w:val="455B4316"/>
    <w:rsid w:val="456C4CD5"/>
    <w:rsid w:val="45727E08"/>
    <w:rsid w:val="45736700"/>
    <w:rsid w:val="45787F6D"/>
    <w:rsid w:val="457C7088"/>
    <w:rsid w:val="457D33C6"/>
    <w:rsid w:val="45991283"/>
    <w:rsid w:val="459927F7"/>
    <w:rsid w:val="459938D2"/>
    <w:rsid w:val="45A47B1C"/>
    <w:rsid w:val="45A62D1E"/>
    <w:rsid w:val="45AE1F5E"/>
    <w:rsid w:val="45B74C0A"/>
    <w:rsid w:val="45C0150B"/>
    <w:rsid w:val="45C7264F"/>
    <w:rsid w:val="45D650F2"/>
    <w:rsid w:val="45D9238A"/>
    <w:rsid w:val="45DE40FB"/>
    <w:rsid w:val="45E14456"/>
    <w:rsid w:val="45E31ABC"/>
    <w:rsid w:val="45E552C7"/>
    <w:rsid w:val="45E57D61"/>
    <w:rsid w:val="45EA26B2"/>
    <w:rsid w:val="45F309E0"/>
    <w:rsid w:val="45FA0E21"/>
    <w:rsid w:val="45FD2F64"/>
    <w:rsid w:val="461F6AD5"/>
    <w:rsid w:val="46203A90"/>
    <w:rsid w:val="462405FC"/>
    <w:rsid w:val="463A70BD"/>
    <w:rsid w:val="464809C2"/>
    <w:rsid w:val="46494106"/>
    <w:rsid w:val="464B56DD"/>
    <w:rsid w:val="46572DDF"/>
    <w:rsid w:val="46594FED"/>
    <w:rsid w:val="465D2CD0"/>
    <w:rsid w:val="46687AEC"/>
    <w:rsid w:val="467815A5"/>
    <w:rsid w:val="469953F4"/>
    <w:rsid w:val="46996664"/>
    <w:rsid w:val="469C4BBB"/>
    <w:rsid w:val="46AF6A0B"/>
    <w:rsid w:val="46B35F46"/>
    <w:rsid w:val="46C60D47"/>
    <w:rsid w:val="46D209C6"/>
    <w:rsid w:val="46DF7E22"/>
    <w:rsid w:val="46E253BD"/>
    <w:rsid w:val="46E612CE"/>
    <w:rsid w:val="46E92BF5"/>
    <w:rsid w:val="46EE5192"/>
    <w:rsid w:val="46F607D3"/>
    <w:rsid w:val="46F76A76"/>
    <w:rsid w:val="46FA260F"/>
    <w:rsid w:val="46FD39CD"/>
    <w:rsid w:val="46FD69A4"/>
    <w:rsid w:val="470A420E"/>
    <w:rsid w:val="471347EB"/>
    <w:rsid w:val="47296401"/>
    <w:rsid w:val="473F4035"/>
    <w:rsid w:val="475F7556"/>
    <w:rsid w:val="47655C36"/>
    <w:rsid w:val="476856E4"/>
    <w:rsid w:val="476C4A16"/>
    <w:rsid w:val="477A46C2"/>
    <w:rsid w:val="477D7BEF"/>
    <w:rsid w:val="477F09EC"/>
    <w:rsid w:val="478A5175"/>
    <w:rsid w:val="479711C9"/>
    <w:rsid w:val="47B33468"/>
    <w:rsid w:val="47B523C9"/>
    <w:rsid w:val="47BA4ADE"/>
    <w:rsid w:val="47BE7CB5"/>
    <w:rsid w:val="47BE7E6F"/>
    <w:rsid w:val="47C14C1A"/>
    <w:rsid w:val="47C81B56"/>
    <w:rsid w:val="47CC121F"/>
    <w:rsid w:val="47D124B1"/>
    <w:rsid w:val="47D254B1"/>
    <w:rsid w:val="47D33E90"/>
    <w:rsid w:val="47D936F0"/>
    <w:rsid w:val="47DA4EF3"/>
    <w:rsid w:val="47DD6093"/>
    <w:rsid w:val="48003E67"/>
    <w:rsid w:val="483A013C"/>
    <w:rsid w:val="483B074D"/>
    <w:rsid w:val="48413609"/>
    <w:rsid w:val="48457EC4"/>
    <w:rsid w:val="48475B8E"/>
    <w:rsid w:val="484B2420"/>
    <w:rsid w:val="4856633D"/>
    <w:rsid w:val="485925DA"/>
    <w:rsid w:val="4866453E"/>
    <w:rsid w:val="48734786"/>
    <w:rsid w:val="487B051B"/>
    <w:rsid w:val="487E6352"/>
    <w:rsid w:val="48864A4C"/>
    <w:rsid w:val="48882AA5"/>
    <w:rsid w:val="489040EA"/>
    <w:rsid w:val="48A33AE8"/>
    <w:rsid w:val="48AA4D99"/>
    <w:rsid w:val="48AB3EF5"/>
    <w:rsid w:val="48B67B01"/>
    <w:rsid w:val="48E7617B"/>
    <w:rsid w:val="48F611F4"/>
    <w:rsid w:val="49042243"/>
    <w:rsid w:val="49055A1C"/>
    <w:rsid w:val="49164994"/>
    <w:rsid w:val="491E5C9E"/>
    <w:rsid w:val="49225E5F"/>
    <w:rsid w:val="493500A9"/>
    <w:rsid w:val="493A6BA1"/>
    <w:rsid w:val="493E2312"/>
    <w:rsid w:val="4954204A"/>
    <w:rsid w:val="496276A9"/>
    <w:rsid w:val="496831EE"/>
    <w:rsid w:val="496C314D"/>
    <w:rsid w:val="496D471E"/>
    <w:rsid w:val="497926D4"/>
    <w:rsid w:val="497E5DDD"/>
    <w:rsid w:val="49912F8B"/>
    <w:rsid w:val="49966FF4"/>
    <w:rsid w:val="49973630"/>
    <w:rsid w:val="499B5C3B"/>
    <w:rsid w:val="49B13AFB"/>
    <w:rsid w:val="49BF3150"/>
    <w:rsid w:val="49C515C4"/>
    <w:rsid w:val="49DD656C"/>
    <w:rsid w:val="49E438CF"/>
    <w:rsid w:val="49E90272"/>
    <w:rsid w:val="49EA5451"/>
    <w:rsid w:val="49EB7B8E"/>
    <w:rsid w:val="49F21B0B"/>
    <w:rsid w:val="49F84CC7"/>
    <w:rsid w:val="49FF2C66"/>
    <w:rsid w:val="4A035F37"/>
    <w:rsid w:val="4A1320C1"/>
    <w:rsid w:val="4A1662DD"/>
    <w:rsid w:val="4A2C441C"/>
    <w:rsid w:val="4A2E10C3"/>
    <w:rsid w:val="4A2F31D2"/>
    <w:rsid w:val="4A382C45"/>
    <w:rsid w:val="4A391222"/>
    <w:rsid w:val="4A4749C9"/>
    <w:rsid w:val="4A4C36F3"/>
    <w:rsid w:val="4A505730"/>
    <w:rsid w:val="4A560C41"/>
    <w:rsid w:val="4A562EF2"/>
    <w:rsid w:val="4A564542"/>
    <w:rsid w:val="4A7F4936"/>
    <w:rsid w:val="4A8E6D4D"/>
    <w:rsid w:val="4A8F5D23"/>
    <w:rsid w:val="4A9F7698"/>
    <w:rsid w:val="4AB11235"/>
    <w:rsid w:val="4AB214D2"/>
    <w:rsid w:val="4AC15314"/>
    <w:rsid w:val="4ACC5564"/>
    <w:rsid w:val="4AE07896"/>
    <w:rsid w:val="4AF07E39"/>
    <w:rsid w:val="4AFA7A32"/>
    <w:rsid w:val="4B0562CB"/>
    <w:rsid w:val="4B085EDD"/>
    <w:rsid w:val="4B0A7893"/>
    <w:rsid w:val="4B0D7E26"/>
    <w:rsid w:val="4B0F43A2"/>
    <w:rsid w:val="4B2C234D"/>
    <w:rsid w:val="4B2D2253"/>
    <w:rsid w:val="4B2D31F5"/>
    <w:rsid w:val="4B3D4FD8"/>
    <w:rsid w:val="4B50525A"/>
    <w:rsid w:val="4B524870"/>
    <w:rsid w:val="4B5764FC"/>
    <w:rsid w:val="4B59707D"/>
    <w:rsid w:val="4B5B1AEB"/>
    <w:rsid w:val="4B674AB8"/>
    <w:rsid w:val="4B6E136C"/>
    <w:rsid w:val="4B6F1B26"/>
    <w:rsid w:val="4B89341B"/>
    <w:rsid w:val="4B8E6657"/>
    <w:rsid w:val="4B8E78DD"/>
    <w:rsid w:val="4B9F4889"/>
    <w:rsid w:val="4BA86130"/>
    <w:rsid w:val="4BB3337B"/>
    <w:rsid w:val="4BCE76F9"/>
    <w:rsid w:val="4BD010CC"/>
    <w:rsid w:val="4BD041C3"/>
    <w:rsid w:val="4BD25245"/>
    <w:rsid w:val="4BDA3DE5"/>
    <w:rsid w:val="4BE4642E"/>
    <w:rsid w:val="4BF0145F"/>
    <w:rsid w:val="4BF960BA"/>
    <w:rsid w:val="4C024B0E"/>
    <w:rsid w:val="4C060028"/>
    <w:rsid w:val="4C0A6089"/>
    <w:rsid w:val="4C0C0846"/>
    <w:rsid w:val="4C133D6F"/>
    <w:rsid w:val="4C1351F9"/>
    <w:rsid w:val="4C185610"/>
    <w:rsid w:val="4C1A653B"/>
    <w:rsid w:val="4C1C7FAD"/>
    <w:rsid w:val="4C1F0758"/>
    <w:rsid w:val="4C220C14"/>
    <w:rsid w:val="4C2651E7"/>
    <w:rsid w:val="4C297175"/>
    <w:rsid w:val="4C336D94"/>
    <w:rsid w:val="4C38211C"/>
    <w:rsid w:val="4C3D2C79"/>
    <w:rsid w:val="4C443950"/>
    <w:rsid w:val="4C4457EA"/>
    <w:rsid w:val="4C4E07AD"/>
    <w:rsid w:val="4C535F15"/>
    <w:rsid w:val="4C56526E"/>
    <w:rsid w:val="4C571678"/>
    <w:rsid w:val="4C6A0315"/>
    <w:rsid w:val="4C855682"/>
    <w:rsid w:val="4C8C103E"/>
    <w:rsid w:val="4C91695C"/>
    <w:rsid w:val="4C9C2D8B"/>
    <w:rsid w:val="4CA77927"/>
    <w:rsid w:val="4CA87388"/>
    <w:rsid w:val="4CAA2061"/>
    <w:rsid w:val="4CAA6A46"/>
    <w:rsid w:val="4CAF3EC3"/>
    <w:rsid w:val="4CB22C9B"/>
    <w:rsid w:val="4CB343B0"/>
    <w:rsid w:val="4CB73E6D"/>
    <w:rsid w:val="4CB90DE3"/>
    <w:rsid w:val="4CBC2C1A"/>
    <w:rsid w:val="4CBF44D3"/>
    <w:rsid w:val="4CCE0D9A"/>
    <w:rsid w:val="4CCE320F"/>
    <w:rsid w:val="4CD270BA"/>
    <w:rsid w:val="4CD618DF"/>
    <w:rsid w:val="4CDA55CA"/>
    <w:rsid w:val="4CE229F4"/>
    <w:rsid w:val="4CE45F1B"/>
    <w:rsid w:val="4CF1101C"/>
    <w:rsid w:val="4CF32616"/>
    <w:rsid w:val="4CF6455D"/>
    <w:rsid w:val="4CFD3425"/>
    <w:rsid w:val="4D0060E9"/>
    <w:rsid w:val="4D0623A2"/>
    <w:rsid w:val="4D2C746E"/>
    <w:rsid w:val="4D325766"/>
    <w:rsid w:val="4D34204E"/>
    <w:rsid w:val="4D360CDD"/>
    <w:rsid w:val="4D38152C"/>
    <w:rsid w:val="4D3A6E52"/>
    <w:rsid w:val="4D3C51C6"/>
    <w:rsid w:val="4D42373C"/>
    <w:rsid w:val="4D453C77"/>
    <w:rsid w:val="4D5049E4"/>
    <w:rsid w:val="4D6364BC"/>
    <w:rsid w:val="4D7B1CBA"/>
    <w:rsid w:val="4D7C3B3D"/>
    <w:rsid w:val="4D7D500C"/>
    <w:rsid w:val="4D7F00C7"/>
    <w:rsid w:val="4D84119F"/>
    <w:rsid w:val="4D853D3A"/>
    <w:rsid w:val="4D8735B4"/>
    <w:rsid w:val="4DA66158"/>
    <w:rsid w:val="4DB063F3"/>
    <w:rsid w:val="4DB66574"/>
    <w:rsid w:val="4DBA3AAB"/>
    <w:rsid w:val="4DBA6963"/>
    <w:rsid w:val="4DC46787"/>
    <w:rsid w:val="4DCB0465"/>
    <w:rsid w:val="4DD002CC"/>
    <w:rsid w:val="4DD77955"/>
    <w:rsid w:val="4DD91660"/>
    <w:rsid w:val="4DFB152D"/>
    <w:rsid w:val="4DFE368C"/>
    <w:rsid w:val="4E004ABB"/>
    <w:rsid w:val="4E02049A"/>
    <w:rsid w:val="4E021C7D"/>
    <w:rsid w:val="4E02569B"/>
    <w:rsid w:val="4E052CE2"/>
    <w:rsid w:val="4E0B5691"/>
    <w:rsid w:val="4E120188"/>
    <w:rsid w:val="4E1D648F"/>
    <w:rsid w:val="4E2106E4"/>
    <w:rsid w:val="4E3E12FC"/>
    <w:rsid w:val="4E58601A"/>
    <w:rsid w:val="4E5F2B3A"/>
    <w:rsid w:val="4E680CBC"/>
    <w:rsid w:val="4E6F0538"/>
    <w:rsid w:val="4E724EA0"/>
    <w:rsid w:val="4E760144"/>
    <w:rsid w:val="4E7867CF"/>
    <w:rsid w:val="4E8A6E8C"/>
    <w:rsid w:val="4E8D7E09"/>
    <w:rsid w:val="4E8E6DDA"/>
    <w:rsid w:val="4E9250D7"/>
    <w:rsid w:val="4E9265A3"/>
    <w:rsid w:val="4E965642"/>
    <w:rsid w:val="4E9B4196"/>
    <w:rsid w:val="4EA544A9"/>
    <w:rsid w:val="4EAA186A"/>
    <w:rsid w:val="4EAB6650"/>
    <w:rsid w:val="4EAE2723"/>
    <w:rsid w:val="4EAE295F"/>
    <w:rsid w:val="4EC56984"/>
    <w:rsid w:val="4EC67253"/>
    <w:rsid w:val="4ECC3C0C"/>
    <w:rsid w:val="4ED17A9A"/>
    <w:rsid w:val="4ED3179C"/>
    <w:rsid w:val="4ED5480C"/>
    <w:rsid w:val="4ED71E8E"/>
    <w:rsid w:val="4EDB1CE5"/>
    <w:rsid w:val="4EEC7456"/>
    <w:rsid w:val="4EF51154"/>
    <w:rsid w:val="4EF562C8"/>
    <w:rsid w:val="4F1A5C05"/>
    <w:rsid w:val="4F20541B"/>
    <w:rsid w:val="4F227B6D"/>
    <w:rsid w:val="4F26497C"/>
    <w:rsid w:val="4F271AAF"/>
    <w:rsid w:val="4F2725C4"/>
    <w:rsid w:val="4F3F2413"/>
    <w:rsid w:val="4F481D19"/>
    <w:rsid w:val="4F4F7D27"/>
    <w:rsid w:val="4F5013BE"/>
    <w:rsid w:val="4F537226"/>
    <w:rsid w:val="4F7540BE"/>
    <w:rsid w:val="4F7829ED"/>
    <w:rsid w:val="4F7B2002"/>
    <w:rsid w:val="4F85614A"/>
    <w:rsid w:val="4F8A2835"/>
    <w:rsid w:val="4F905F34"/>
    <w:rsid w:val="4F961FFE"/>
    <w:rsid w:val="4F9658B2"/>
    <w:rsid w:val="4F9B77FD"/>
    <w:rsid w:val="4FA3515A"/>
    <w:rsid w:val="4FAE2BD5"/>
    <w:rsid w:val="4FB97D9F"/>
    <w:rsid w:val="4FC97A44"/>
    <w:rsid w:val="4FCE74FC"/>
    <w:rsid w:val="4FCF24C0"/>
    <w:rsid w:val="4FDD02EA"/>
    <w:rsid w:val="4FE75A42"/>
    <w:rsid w:val="4FEF7222"/>
    <w:rsid w:val="4FF74FBC"/>
    <w:rsid w:val="500B4782"/>
    <w:rsid w:val="500C4CA5"/>
    <w:rsid w:val="500E2D52"/>
    <w:rsid w:val="50147D96"/>
    <w:rsid w:val="501630B9"/>
    <w:rsid w:val="50286B48"/>
    <w:rsid w:val="50301A33"/>
    <w:rsid w:val="503E7F16"/>
    <w:rsid w:val="5045110C"/>
    <w:rsid w:val="504D25EC"/>
    <w:rsid w:val="505060D3"/>
    <w:rsid w:val="50550BB0"/>
    <w:rsid w:val="505D252C"/>
    <w:rsid w:val="50660C25"/>
    <w:rsid w:val="506859C8"/>
    <w:rsid w:val="507068F6"/>
    <w:rsid w:val="50840D5E"/>
    <w:rsid w:val="50887E71"/>
    <w:rsid w:val="508B2F0A"/>
    <w:rsid w:val="50995E73"/>
    <w:rsid w:val="509D4B75"/>
    <w:rsid w:val="509F6F75"/>
    <w:rsid w:val="50A96A38"/>
    <w:rsid w:val="50AF5AD5"/>
    <w:rsid w:val="50B1441A"/>
    <w:rsid w:val="50B355F7"/>
    <w:rsid w:val="50BC5CFF"/>
    <w:rsid w:val="50C8092E"/>
    <w:rsid w:val="50DF4766"/>
    <w:rsid w:val="50EF0260"/>
    <w:rsid w:val="50EF6DA9"/>
    <w:rsid w:val="50F25053"/>
    <w:rsid w:val="50F36D45"/>
    <w:rsid w:val="510776CD"/>
    <w:rsid w:val="5119292F"/>
    <w:rsid w:val="511933F1"/>
    <w:rsid w:val="511F6EA1"/>
    <w:rsid w:val="51235F5E"/>
    <w:rsid w:val="512F5B65"/>
    <w:rsid w:val="513531EB"/>
    <w:rsid w:val="51371CA3"/>
    <w:rsid w:val="5141285C"/>
    <w:rsid w:val="51431ED3"/>
    <w:rsid w:val="514E3EA6"/>
    <w:rsid w:val="51505CF1"/>
    <w:rsid w:val="51521910"/>
    <w:rsid w:val="516369E8"/>
    <w:rsid w:val="517A2488"/>
    <w:rsid w:val="517A2680"/>
    <w:rsid w:val="51823D5A"/>
    <w:rsid w:val="51841FD8"/>
    <w:rsid w:val="51852E20"/>
    <w:rsid w:val="519A64B3"/>
    <w:rsid w:val="51A12640"/>
    <w:rsid w:val="51A66E5C"/>
    <w:rsid w:val="51B2287C"/>
    <w:rsid w:val="51B54DF1"/>
    <w:rsid w:val="51B71842"/>
    <w:rsid w:val="51B76653"/>
    <w:rsid w:val="51BB0FB7"/>
    <w:rsid w:val="51BB7810"/>
    <w:rsid w:val="51C452EA"/>
    <w:rsid w:val="51C53F0B"/>
    <w:rsid w:val="51CB2551"/>
    <w:rsid w:val="51D12A40"/>
    <w:rsid w:val="51D1650E"/>
    <w:rsid w:val="51D71F41"/>
    <w:rsid w:val="520101A1"/>
    <w:rsid w:val="520A05F7"/>
    <w:rsid w:val="521163AF"/>
    <w:rsid w:val="52182BD7"/>
    <w:rsid w:val="521967BE"/>
    <w:rsid w:val="522145D5"/>
    <w:rsid w:val="52252ABB"/>
    <w:rsid w:val="52254C6A"/>
    <w:rsid w:val="522E024C"/>
    <w:rsid w:val="52352D1D"/>
    <w:rsid w:val="523A4DB1"/>
    <w:rsid w:val="523D3D46"/>
    <w:rsid w:val="52450B27"/>
    <w:rsid w:val="524B68E8"/>
    <w:rsid w:val="5258044D"/>
    <w:rsid w:val="52630985"/>
    <w:rsid w:val="52643BC8"/>
    <w:rsid w:val="52655DDC"/>
    <w:rsid w:val="52687962"/>
    <w:rsid w:val="52723E2F"/>
    <w:rsid w:val="52734777"/>
    <w:rsid w:val="527C4441"/>
    <w:rsid w:val="527C535A"/>
    <w:rsid w:val="52872C6F"/>
    <w:rsid w:val="528B4EAF"/>
    <w:rsid w:val="52A04825"/>
    <w:rsid w:val="52A50401"/>
    <w:rsid w:val="52A778D3"/>
    <w:rsid w:val="52AC76F6"/>
    <w:rsid w:val="52B15136"/>
    <w:rsid w:val="52B65FD3"/>
    <w:rsid w:val="52BA0D23"/>
    <w:rsid w:val="52C27FF6"/>
    <w:rsid w:val="52D72E91"/>
    <w:rsid w:val="52D934DE"/>
    <w:rsid w:val="52E16BC3"/>
    <w:rsid w:val="52EB3D22"/>
    <w:rsid w:val="53013056"/>
    <w:rsid w:val="530F6339"/>
    <w:rsid w:val="531D71A0"/>
    <w:rsid w:val="531E1972"/>
    <w:rsid w:val="53256362"/>
    <w:rsid w:val="532600A0"/>
    <w:rsid w:val="53331298"/>
    <w:rsid w:val="533518D0"/>
    <w:rsid w:val="53430401"/>
    <w:rsid w:val="534A2062"/>
    <w:rsid w:val="53503CF9"/>
    <w:rsid w:val="535C527C"/>
    <w:rsid w:val="53661935"/>
    <w:rsid w:val="537441B2"/>
    <w:rsid w:val="537E6A9D"/>
    <w:rsid w:val="53854AD0"/>
    <w:rsid w:val="53870FBC"/>
    <w:rsid w:val="538A08AF"/>
    <w:rsid w:val="53A0791D"/>
    <w:rsid w:val="53B038DF"/>
    <w:rsid w:val="53C85E48"/>
    <w:rsid w:val="53CA78DF"/>
    <w:rsid w:val="53D051E8"/>
    <w:rsid w:val="53D33BF8"/>
    <w:rsid w:val="53E64BDD"/>
    <w:rsid w:val="53EA2B2E"/>
    <w:rsid w:val="53F0318B"/>
    <w:rsid w:val="53F406F6"/>
    <w:rsid w:val="54005179"/>
    <w:rsid w:val="54040012"/>
    <w:rsid w:val="54063364"/>
    <w:rsid w:val="540A49C5"/>
    <w:rsid w:val="54143F39"/>
    <w:rsid w:val="54193547"/>
    <w:rsid w:val="54242005"/>
    <w:rsid w:val="54266C42"/>
    <w:rsid w:val="542E4CD3"/>
    <w:rsid w:val="545454EB"/>
    <w:rsid w:val="545E04AE"/>
    <w:rsid w:val="545E4E92"/>
    <w:rsid w:val="547242F0"/>
    <w:rsid w:val="54837501"/>
    <w:rsid w:val="549625F9"/>
    <w:rsid w:val="5499454E"/>
    <w:rsid w:val="54A462F2"/>
    <w:rsid w:val="54A70EEA"/>
    <w:rsid w:val="54B77A70"/>
    <w:rsid w:val="54B97DDA"/>
    <w:rsid w:val="54C42CB8"/>
    <w:rsid w:val="54CA62C4"/>
    <w:rsid w:val="54D119FE"/>
    <w:rsid w:val="54D43802"/>
    <w:rsid w:val="54F20DA6"/>
    <w:rsid w:val="550C0051"/>
    <w:rsid w:val="551D31B2"/>
    <w:rsid w:val="552935B3"/>
    <w:rsid w:val="552A6E06"/>
    <w:rsid w:val="552C0E01"/>
    <w:rsid w:val="55352B20"/>
    <w:rsid w:val="55381E6A"/>
    <w:rsid w:val="553A74F4"/>
    <w:rsid w:val="55420D6A"/>
    <w:rsid w:val="5549222C"/>
    <w:rsid w:val="555C07BB"/>
    <w:rsid w:val="555E3C80"/>
    <w:rsid w:val="55643E30"/>
    <w:rsid w:val="556A3C46"/>
    <w:rsid w:val="556B0655"/>
    <w:rsid w:val="556F31F4"/>
    <w:rsid w:val="557629A8"/>
    <w:rsid w:val="55767FE5"/>
    <w:rsid w:val="5585073C"/>
    <w:rsid w:val="558526EA"/>
    <w:rsid w:val="558A48AD"/>
    <w:rsid w:val="5594728C"/>
    <w:rsid w:val="559A3C35"/>
    <w:rsid w:val="559F343F"/>
    <w:rsid w:val="55A4017D"/>
    <w:rsid w:val="55AD0AF9"/>
    <w:rsid w:val="55B91218"/>
    <w:rsid w:val="55C04999"/>
    <w:rsid w:val="55C9311D"/>
    <w:rsid w:val="55C95A78"/>
    <w:rsid w:val="55CB4905"/>
    <w:rsid w:val="55EF5F4B"/>
    <w:rsid w:val="55F222F9"/>
    <w:rsid w:val="55F437B0"/>
    <w:rsid w:val="560C0415"/>
    <w:rsid w:val="560D66A4"/>
    <w:rsid w:val="560F1EA1"/>
    <w:rsid w:val="56125AB0"/>
    <w:rsid w:val="561715F2"/>
    <w:rsid w:val="561B6713"/>
    <w:rsid w:val="561D4106"/>
    <w:rsid w:val="561E2DF8"/>
    <w:rsid w:val="562213B1"/>
    <w:rsid w:val="562617AA"/>
    <w:rsid w:val="562D5048"/>
    <w:rsid w:val="562E5251"/>
    <w:rsid w:val="562F1941"/>
    <w:rsid w:val="56450312"/>
    <w:rsid w:val="56513758"/>
    <w:rsid w:val="565479F8"/>
    <w:rsid w:val="565D2710"/>
    <w:rsid w:val="5663197F"/>
    <w:rsid w:val="56662D1E"/>
    <w:rsid w:val="5687456F"/>
    <w:rsid w:val="568C35F0"/>
    <w:rsid w:val="568F780B"/>
    <w:rsid w:val="569A0435"/>
    <w:rsid w:val="569D5986"/>
    <w:rsid w:val="56A35893"/>
    <w:rsid w:val="56A74729"/>
    <w:rsid w:val="56B06181"/>
    <w:rsid w:val="56B35B69"/>
    <w:rsid w:val="56BB5283"/>
    <w:rsid w:val="56BC79C6"/>
    <w:rsid w:val="56C16DEC"/>
    <w:rsid w:val="56C34AE7"/>
    <w:rsid w:val="56CB61A1"/>
    <w:rsid w:val="56D42178"/>
    <w:rsid w:val="56D612D6"/>
    <w:rsid w:val="56D64EFE"/>
    <w:rsid w:val="56DC2C71"/>
    <w:rsid w:val="56FE29B3"/>
    <w:rsid w:val="57007274"/>
    <w:rsid w:val="570A45EA"/>
    <w:rsid w:val="571277A7"/>
    <w:rsid w:val="5717641A"/>
    <w:rsid w:val="571A0AF2"/>
    <w:rsid w:val="571F40DC"/>
    <w:rsid w:val="57212F03"/>
    <w:rsid w:val="57280420"/>
    <w:rsid w:val="57377C65"/>
    <w:rsid w:val="573E0879"/>
    <w:rsid w:val="57465ECD"/>
    <w:rsid w:val="57474381"/>
    <w:rsid w:val="574C3DD4"/>
    <w:rsid w:val="575543CF"/>
    <w:rsid w:val="576001CA"/>
    <w:rsid w:val="57620E03"/>
    <w:rsid w:val="576E0F2F"/>
    <w:rsid w:val="57804C7A"/>
    <w:rsid w:val="57845110"/>
    <w:rsid w:val="578579B8"/>
    <w:rsid w:val="579D3481"/>
    <w:rsid w:val="57A02BF3"/>
    <w:rsid w:val="57A1278D"/>
    <w:rsid w:val="57B11D63"/>
    <w:rsid w:val="57B36C99"/>
    <w:rsid w:val="57B74492"/>
    <w:rsid w:val="57BA0D49"/>
    <w:rsid w:val="57BC5103"/>
    <w:rsid w:val="57C33A59"/>
    <w:rsid w:val="57CC7F8C"/>
    <w:rsid w:val="57E155D9"/>
    <w:rsid w:val="57E619D2"/>
    <w:rsid w:val="57E97B19"/>
    <w:rsid w:val="57F264C8"/>
    <w:rsid w:val="57F55F08"/>
    <w:rsid w:val="57F80FD3"/>
    <w:rsid w:val="57F8508E"/>
    <w:rsid w:val="57FB7C85"/>
    <w:rsid w:val="57FD3F65"/>
    <w:rsid w:val="5803637B"/>
    <w:rsid w:val="580A41A7"/>
    <w:rsid w:val="580F4AF7"/>
    <w:rsid w:val="5816135E"/>
    <w:rsid w:val="582803B5"/>
    <w:rsid w:val="582B7361"/>
    <w:rsid w:val="58334906"/>
    <w:rsid w:val="58403E90"/>
    <w:rsid w:val="58411E92"/>
    <w:rsid w:val="5843638F"/>
    <w:rsid w:val="584D6D62"/>
    <w:rsid w:val="585E4F76"/>
    <w:rsid w:val="58646172"/>
    <w:rsid w:val="58674C07"/>
    <w:rsid w:val="586A3EEC"/>
    <w:rsid w:val="586B5B54"/>
    <w:rsid w:val="586C7371"/>
    <w:rsid w:val="58821753"/>
    <w:rsid w:val="588D5BA0"/>
    <w:rsid w:val="588E0DF3"/>
    <w:rsid w:val="58901612"/>
    <w:rsid w:val="58987756"/>
    <w:rsid w:val="58AD5DCC"/>
    <w:rsid w:val="58BD24A7"/>
    <w:rsid w:val="58C237E7"/>
    <w:rsid w:val="58CC6E38"/>
    <w:rsid w:val="58CE2115"/>
    <w:rsid w:val="58D23E5C"/>
    <w:rsid w:val="58D94241"/>
    <w:rsid w:val="58E8004A"/>
    <w:rsid w:val="58EA6129"/>
    <w:rsid w:val="58F57D8D"/>
    <w:rsid w:val="58FD215E"/>
    <w:rsid w:val="590116A7"/>
    <w:rsid w:val="590F3C41"/>
    <w:rsid w:val="592124B1"/>
    <w:rsid w:val="592125F1"/>
    <w:rsid w:val="59242B28"/>
    <w:rsid w:val="59243F45"/>
    <w:rsid w:val="5926790C"/>
    <w:rsid w:val="592C7E31"/>
    <w:rsid w:val="594D0E00"/>
    <w:rsid w:val="594D7C5D"/>
    <w:rsid w:val="59554636"/>
    <w:rsid w:val="5958469F"/>
    <w:rsid w:val="595B060E"/>
    <w:rsid w:val="595C4781"/>
    <w:rsid w:val="59621566"/>
    <w:rsid w:val="59651AB9"/>
    <w:rsid w:val="59750B0A"/>
    <w:rsid w:val="597D7B09"/>
    <w:rsid w:val="59804F72"/>
    <w:rsid w:val="599034D1"/>
    <w:rsid w:val="5996652D"/>
    <w:rsid w:val="599848F9"/>
    <w:rsid w:val="599A0B2C"/>
    <w:rsid w:val="599C2CC7"/>
    <w:rsid w:val="59A134D0"/>
    <w:rsid w:val="59AF3233"/>
    <w:rsid w:val="59B9661A"/>
    <w:rsid w:val="59BD027A"/>
    <w:rsid w:val="59C32D27"/>
    <w:rsid w:val="59CA738B"/>
    <w:rsid w:val="59CE7457"/>
    <w:rsid w:val="59DA602B"/>
    <w:rsid w:val="59E20AC9"/>
    <w:rsid w:val="59E24575"/>
    <w:rsid w:val="59E714EB"/>
    <w:rsid w:val="59E871EA"/>
    <w:rsid w:val="59E96445"/>
    <w:rsid w:val="59FE5928"/>
    <w:rsid w:val="5A062EEC"/>
    <w:rsid w:val="5A1102BF"/>
    <w:rsid w:val="5A146B9B"/>
    <w:rsid w:val="5A175932"/>
    <w:rsid w:val="5A1A4795"/>
    <w:rsid w:val="5A2D18FD"/>
    <w:rsid w:val="5A2D6085"/>
    <w:rsid w:val="5A3D78D4"/>
    <w:rsid w:val="5A404685"/>
    <w:rsid w:val="5A4F3AE4"/>
    <w:rsid w:val="5A570363"/>
    <w:rsid w:val="5A584B1B"/>
    <w:rsid w:val="5A6A12AA"/>
    <w:rsid w:val="5A6E18DD"/>
    <w:rsid w:val="5A7A3F03"/>
    <w:rsid w:val="5A7C4B0D"/>
    <w:rsid w:val="5A8D096E"/>
    <w:rsid w:val="5A9051CC"/>
    <w:rsid w:val="5A9B743E"/>
    <w:rsid w:val="5AA51883"/>
    <w:rsid w:val="5AA54922"/>
    <w:rsid w:val="5AB93FE7"/>
    <w:rsid w:val="5AD346E6"/>
    <w:rsid w:val="5AD46F85"/>
    <w:rsid w:val="5AE03C50"/>
    <w:rsid w:val="5AE35FD0"/>
    <w:rsid w:val="5AE556D1"/>
    <w:rsid w:val="5AF232AC"/>
    <w:rsid w:val="5AFB0AB7"/>
    <w:rsid w:val="5B011DC0"/>
    <w:rsid w:val="5B063923"/>
    <w:rsid w:val="5B0A6D90"/>
    <w:rsid w:val="5B0D42DF"/>
    <w:rsid w:val="5B127236"/>
    <w:rsid w:val="5B1B270F"/>
    <w:rsid w:val="5B242D96"/>
    <w:rsid w:val="5B3C331A"/>
    <w:rsid w:val="5B4E7823"/>
    <w:rsid w:val="5B58484C"/>
    <w:rsid w:val="5B6332A0"/>
    <w:rsid w:val="5B682A1F"/>
    <w:rsid w:val="5B6D0CB1"/>
    <w:rsid w:val="5B7D058F"/>
    <w:rsid w:val="5B837D56"/>
    <w:rsid w:val="5B872364"/>
    <w:rsid w:val="5B916F4E"/>
    <w:rsid w:val="5B9317C5"/>
    <w:rsid w:val="5B960746"/>
    <w:rsid w:val="5B994740"/>
    <w:rsid w:val="5B9956F7"/>
    <w:rsid w:val="5BA5597A"/>
    <w:rsid w:val="5BB55ECE"/>
    <w:rsid w:val="5BB628BD"/>
    <w:rsid w:val="5BB81195"/>
    <w:rsid w:val="5BB83CF5"/>
    <w:rsid w:val="5BB91D5F"/>
    <w:rsid w:val="5BB93D93"/>
    <w:rsid w:val="5BC54BF7"/>
    <w:rsid w:val="5BC60D68"/>
    <w:rsid w:val="5BCC65D8"/>
    <w:rsid w:val="5BCD5025"/>
    <w:rsid w:val="5BCF586F"/>
    <w:rsid w:val="5BD02DEC"/>
    <w:rsid w:val="5BD615C7"/>
    <w:rsid w:val="5BE64A4F"/>
    <w:rsid w:val="5BE927ED"/>
    <w:rsid w:val="5BEA73EE"/>
    <w:rsid w:val="5BEB0C34"/>
    <w:rsid w:val="5BED6757"/>
    <w:rsid w:val="5BFC03C6"/>
    <w:rsid w:val="5C023BA9"/>
    <w:rsid w:val="5C0A7908"/>
    <w:rsid w:val="5C0C7C2C"/>
    <w:rsid w:val="5C0E00C8"/>
    <w:rsid w:val="5C1A7EBC"/>
    <w:rsid w:val="5C307CFE"/>
    <w:rsid w:val="5C477AEC"/>
    <w:rsid w:val="5C5779F9"/>
    <w:rsid w:val="5C635501"/>
    <w:rsid w:val="5C635CA0"/>
    <w:rsid w:val="5C6F3360"/>
    <w:rsid w:val="5C7225BA"/>
    <w:rsid w:val="5C7F134C"/>
    <w:rsid w:val="5C820C19"/>
    <w:rsid w:val="5C8332BA"/>
    <w:rsid w:val="5C887454"/>
    <w:rsid w:val="5CA6713C"/>
    <w:rsid w:val="5CAB751A"/>
    <w:rsid w:val="5CBC5E92"/>
    <w:rsid w:val="5CCD06FB"/>
    <w:rsid w:val="5CD05525"/>
    <w:rsid w:val="5CDD1CA8"/>
    <w:rsid w:val="5CDD5849"/>
    <w:rsid w:val="5CE50D85"/>
    <w:rsid w:val="5CE51ACB"/>
    <w:rsid w:val="5CED2922"/>
    <w:rsid w:val="5CFB4D38"/>
    <w:rsid w:val="5D1553CD"/>
    <w:rsid w:val="5D161974"/>
    <w:rsid w:val="5D237D57"/>
    <w:rsid w:val="5D317720"/>
    <w:rsid w:val="5D41734D"/>
    <w:rsid w:val="5D433AEC"/>
    <w:rsid w:val="5D43659A"/>
    <w:rsid w:val="5D552432"/>
    <w:rsid w:val="5D692244"/>
    <w:rsid w:val="5D7B239C"/>
    <w:rsid w:val="5D825219"/>
    <w:rsid w:val="5D884D9D"/>
    <w:rsid w:val="5D900997"/>
    <w:rsid w:val="5DA35864"/>
    <w:rsid w:val="5DA5174E"/>
    <w:rsid w:val="5DB1500C"/>
    <w:rsid w:val="5DBC6B3F"/>
    <w:rsid w:val="5DD34A44"/>
    <w:rsid w:val="5DEA30A0"/>
    <w:rsid w:val="5DF30FA8"/>
    <w:rsid w:val="5DF86A52"/>
    <w:rsid w:val="5E050577"/>
    <w:rsid w:val="5E0637F9"/>
    <w:rsid w:val="5E0A75C5"/>
    <w:rsid w:val="5E0B3C63"/>
    <w:rsid w:val="5E102F35"/>
    <w:rsid w:val="5E154C59"/>
    <w:rsid w:val="5E2448B3"/>
    <w:rsid w:val="5E263190"/>
    <w:rsid w:val="5E311B0E"/>
    <w:rsid w:val="5E3A715D"/>
    <w:rsid w:val="5E430BED"/>
    <w:rsid w:val="5E50755B"/>
    <w:rsid w:val="5E5F7EA6"/>
    <w:rsid w:val="5E670AA1"/>
    <w:rsid w:val="5E70239E"/>
    <w:rsid w:val="5E755F5B"/>
    <w:rsid w:val="5E7D2D7D"/>
    <w:rsid w:val="5E7D4CB0"/>
    <w:rsid w:val="5E902994"/>
    <w:rsid w:val="5E90719E"/>
    <w:rsid w:val="5E953EE3"/>
    <w:rsid w:val="5EA1152F"/>
    <w:rsid w:val="5EB4091F"/>
    <w:rsid w:val="5EBD037F"/>
    <w:rsid w:val="5EC047CA"/>
    <w:rsid w:val="5EC37092"/>
    <w:rsid w:val="5EC8040D"/>
    <w:rsid w:val="5ECC3C84"/>
    <w:rsid w:val="5ECF2B73"/>
    <w:rsid w:val="5ED826E4"/>
    <w:rsid w:val="5EDA1909"/>
    <w:rsid w:val="5EDA3953"/>
    <w:rsid w:val="5EE54FE6"/>
    <w:rsid w:val="5EE66429"/>
    <w:rsid w:val="5EFD6D0B"/>
    <w:rsid w:val="5EFE5827"/>
    <w:rsid w:val="5F0217BC"/>
    <w:rsid w:val="5F03256F"/>
    <w:rsid w:val="5F034EB5"/>
    <w:rsid w:val="5F322527"/>
    <w:rsid w:val="5F3355A8"/>
    <w:rsid w:val="5F450986"/>
    <w:rsid w:val="5F496FC0"/>
    <w:rsid w:val="5F560AB1"/>
    <w:rsid w:val="5F567792"/>
    <w:rsid w:val="5F5903B7"/>
    <w:rsid w:val="5F594AE2"/>
    <w:rsid w:val="5F5C7D71"/>
    <w:rsid w:val="5F5D41FA"/>
    <w:rsid w:val="5F645BFC"/>
    <w:rsid w:val="5F686101"/>
    <w:rsid w:val="5F703FB2"/>
    <w:rsid w:val="5F792D52"/>
    <w:rsid w:val="5F7F092C"/>
    <w:rsid w:val="5F8F6A72"/>
    <w:rsid w:val="5F9371D7"/>
    <w:rsid w:val="5F971FFC"/>
    <w:rsid w:val="5FA218FC"/>
    <w:rsid w:val="5FA77460"/>
    <w:rsid w:val="5FA94D1C"/>
    <w:rsid w:val="5FAA6635"/>
    <w:rsid w:val="5FB16E0E"/>
    <w:rsid w:val="5FC3365A"/>
    <w:rsid w:val="5FC70EB5"/>
    <w:rsid w:val="5FE36E65"/>
    <w:rsid w:val="5FEE2281"/>
    <w:rsid w:val="5FFF71A5"/>
    <w:rsid w:val="60007CAB"/>
    <w:rsid w:val="60074F37"/>
    <w:rsid w:val="600D0529"/>
    <w:rsid w:val="60163DEB"/>
    <w:rsid w:val="60170BCC"/>
    <w:rsid w:val="60193924"/>
    <w:rsid w:val="603265D4"/>
    <w:rsid w:val="60465AD0"/>
    <w:rsid w:val="604740BF"/>
    <w:rsid w:val="60482897"/>
    <w:rsid w:val="606A5B18"/>
    <w:rsid w:val="606D4864"/>
    <w:rsid w:val="60741080"/>
    <w:rsid w:val="60806CD5"/>
    <w:rsid w:val="609836AC"/>
    <w:rsid w:val="609B1648"/>
    <w:rsid w:val="60A116B9"/>
    <w:rsid w:val="60A317B4"/>
    <w:rsid w:val="60AB28A1"/>
    <w:rsid w:val="60B86C5B"/>
    <w:rsid w:val="60BA4CA5"/>
    <w:rsid w:val="60C95724"/>
    <w:rsid w:val="60CA6086"/>
    <w:rsid w:val="60CF177B"/>
    <w:rsid w:val="60DA1E7B"/>
    <w:rsid w:val="60DC5BBE"/>
    <w:rsid w:val="60E34974"/>
    <w:rsid w:val="60E47B8A"/>
    <w:rsid w:val="60EB126E"/>
    <w:rsid w:val="61013555"/>
    <w:rsid w:val="610715F5"/>
    <w:rsid w:val="610F3B26"/>
    <w:rsid w:val="6111063E"/>
    <w:rsid w:val="61133B62"/>
    <w:rsid w:val="61190F63"/>
    <w:rsid w:val="611E62D2"/>
    <w:rsid w:val="61236CB2"/>
    <w:rsid w:val="6126101F"/>
    <w:rsid w:val="61297FEB"/>
    <w:rsid w:val="612E301B"/>
    <w:rsid w:val="612E561B"/>
    <w:rsid w:val="61331E7F"/>
    <w:rsid w:val="613442D4"/>
    <w:rsid w:val="613616CC"/>
    <w:rsid w:val="614A674E"/>
    <w:rsid w:val="614C362A"/>
    <w:rsid w:val="615731CD"/>
    <w:rsid w:val="6158744A"/>
    <w:rsid w:val="61646023"/>
    <w:rsid w:val="616E054C"/>
    <w:rsid w:val="616F0405"/>
    <w:rsid w:val="617847E8"/>
    <w:rsid w:val="61A72E21"/>
    <w:rsid w:val="61A80663"/>
    <w:rsid w:val="61AA5FCF"/>
    <w:rsid w:val="61C21265"/>
    <w:rsid w:val="61CB7FC9"/>
    <w:rsid w:val="61EF41EF"/>
    <w:rsid w:val="61F0316D"/>
    <w:rsid w:val="61F602EB"/>
    <w:rsid w:val="61F839FE"/>
    <w:rsid w:val="61FA00CE"/>
    <w:rsid w:val="61FA2644"/>
    <w:rsid w:val="61FF7EA4"/>
    <w:rsid w:val="620113A0"/>
    <w:rsid w:val="621967A2"/>
    <w:rsid w:val="621D3BF7"/>
    <w:rsid w:val="62223F17"/>
    <w:rsid w:val="622C407D"/>
    <w:rsid w:val="623F4529"/>
    <w:rsid w:val="62452562"/>
    <w:rsid w:val="624B3789"/>
    <w:rsid w:val="62513000"/>
    <w:rsid w:val="62532429"/>
    <w:rsid w:val="625A61A6"/>
    <w:rsid w:val="625C6D2C"/>
    <w:rsid w:val="626569BA"/>
    <w:rsid w:val="626A793F"/>
    <w:rsid w:val="626D022E"/>
    <w:rsid w:val="62751E47"/>
    <w:rsid w:val="628C53BC"/>
    <w:rsid w:val="62A2345C"/>
    <w:rsid w:val="62A62CB5"/>
    <w:rsid w:val="62BD3845"/>
    <w:rsid w:val="62D8231F"/>
    <w:rsid w:val="62D85665"/>
    <w:rsid w:val="62E951AD"/>
    <w:rsid w:val="62E9714C"/>
    <w:rsid w:val="62ED3B49"/>
    <w:rsid w:val="62F57C6A"/>
    <w:rsid w:val="631036A0"/>
    <w:rsid w:val="631820E4"/>
    <w:rsid w:val="63226581"/>
    <w:rsid w:val="632C6545"/>
    <w:rsid w:val="63496DC0"/>
    <w:rsid w:val="634D2445"/>
    <w:rsid w:val="634E12D9"/>
    <w:rsid w:val="634F30CA"/>
    <w:rsid w:val="634F3212"/>
    <w:rsid w:val="635364B2"/>
    <w:rsid w:val="635552EB"/>
    <w:rsid w:val="63592535"/>
    <w:rsid w:val="6380442F"/>
    <w:rsid w:val="638C749E"/>
    <w:rsid w:val="639366F7"/>
    <w:rsid w:val="639B2777"/>
    <w:rsid w:val="63A40A5C"/>
    <w:rsid w:val="63A523A1"/>
    <w:rsid w:val="63A9030B"/>
    <w:rsid w:val="63AA4BA0"/>
    <w:rsid w:val="63AA6472"/>
    <w:rsid w:val="63AC5654"/>
    <w:rsid w:val="63B56445"/>
    <w:rsid w:val="63BB0C52"/>
    <w:rsid w:val="63BB5A2A"/>
    <w:rsid w:val="63C62767"/>
    <w:rsid w:val="63C92E23"/>
    <w:rsid w:val="63CF7BAC"/>
    <w:rsid w:val="63E51275"/>
    <w:rsid w:val="63EC2387"/>
    <w:rsid w:val="63F16D7B"/>
    <w:rsid w:val="63F5730C"/>
    <w:rsid w:val="63F90C40"/>
    <w:rsid w:val="63FB75B4"/>
    <w:rsid w:val="640557AC"/>
    <w:rsid w:val="64080DA7"/>
    <w:rsid w:val="640F61BA"/>
    <w:rsid w:val="6410032D"/>
    <w:rsid w:val="641103D9"/>
    <w:rsid w:val="64122BE8"/>
    <w:rsid w:val="641478F6"/>
    <w:rsid w:val="641C53FF"/>
    <w:rsid w:val="641E3E17"/>
    <w:rsid w:val="64284C76"/>
    <w:rsid w:val="642E7A34"/>
    <w:rsid w:val="64446093"/>
    <w:rsid w:val="646C55E7"/>
    <w:rsid w:val="64797186"/>
    <w:rsid w:val="647B59BA"/>
    <w:rsid w:val="64815798"/>
    <w:rsid w:val="649C15EE"/>
    <w:rsid w:val="64A44901"/>
    <w:rsid w:val="64AE26D1"/>
    <w:rsid w:val="64BA5E47"/>
    <w:rsid w:val="64BC7C6F"/>
    <w:rsid w:val="64C2032C"/>
    <w:rsid w:val="64DE00B8"/>
    <w:rsid w:val="64DF7069"/>
    <w:rsid w:val="64E817EA"/>
    <w:rsid w:val="64EB3131"/>
    <w:rsid w:val="64EF1228"/>
    <w:rsid w:val="64F71ED7"/>
    <w:rsid w:val="64F9683C"/>
    <w:rsid w:val="650F6DA9"/>
    <w:rsid w:val="65200E55"/>
    <w:rsid w:val="65227CD2"/>
    <w:rsid w:val="652D2500"/>
    <w:rsid w:val="653762F0"/>
    <w:rsid w:val="65387669"/>
    <w:rsid w:val="6549715D"/>
    <w:rsid w:val="654D5925"/>
    <w:rsid w:val="655C133A"/>
    <w:rsid w:val="655E0566"/>
    <w:rsid w:val="656402EE"/>
    <w:rsid w:val="65684824"/>
    <w:rsid w:val="656F4063"/>
    <w:rsid w:val="657572BE"/>
    <w:rsid w:val="658B22EA"/>
    <w:rsid w:val="658C7B55"/>
    <w:rsid w:val="65906B29"/>
    <w:rsid w:val="65920942"/>
    <w:rsid w:val="65924965"/>
    <w:rsid w:val="659E314B"/>
    <w:rsid w:val="65A313B7"/>
    <w:rsid w:val="65AA4E64"/>
    <w:rsid w:val="65B21DDE"/>
    <w:rsid w:val="65B52595"/>
    <w:rsid w:val="65B65FB6"/>
    <w:rsid w:val="65B67190"/>
    <w:rsid w:val="65CA68DE"/>
    <w:rsid w:val="65D030AE"/>
    <w:rsid w:val="65D42712"/>
    <w:rsid w:val="65D832A4"/>
    <w:rsid w:val="65D86E88"/>
    <w:rsid w:val="65DE76E8"/>
    <w:rsid w:val="65E3351A"/>
    <w:rsid w:val="65E766CC"/>
    <w:rsid w:val="65E90C1F"/>
    <w:rsid w:val="65FA51E9"/>
    <w:rsid w:val="662209FB"/>
    <w:rsid w:val="66227F05"/>
    <w:rsid w:val="662D487A"/>
    <w:rsid w:val="662E6C3E"/>
    <w:rsid w:val="66314392"/>
    <w:rsid w:val="66317862"/>
    <w:rsid w:val="663E7CFB"/>
    <w:rsid w:val="6653378B"/>
    <w:rsid w:val="665538FC"/>
    <w:rsid w:val="6658259C"/>
    <w:rsid w:val="6667112F"/>
    <w:rsid w:val="66676DD3"/>
    <w:rsid w:val="6669796F"/>
    <w:rsid w:val="66850E98"/>
    <w:rsid w:val="66901EF0"/>
    <w:rsid w:val="66936491"/>
    <w:rsid w:val="66A4752A"/>
    <w:rsid w:val="66AC18E6"/>
    <w:rsid w:val="66AE3DBC"/>
    <w:rsid w:val="66AE4E0B"/>
    <w:rsid w:val="66B852D4"/>
    <w:rsid w:val="66BF65E9"/>
    <w:rsid w:val="66C844F6"/>
    <w:rsid w:val="66CF64F0"/>
    <w:rsid w:val="66E651A3"/>
    <w:rsid w:val="66ED304C"/>
    <w:rsid w:val="66F845DC"/>
    <w:rsid w:val="66F8708B"/>
    <w:rsid w:val="66F9647E"/>
    <w:rsid w:val="670A12F1"/>
    <w:rsid w:val="670C3DB1"/>
    <w:rsid w:val="6718751B"/>
    <w:rsid w:val="671B12ED"/>
    <w:rsid w:val="671E3258"/>
    <w:rsid w:val="671F4E20"/>
    <w:rsid w:val="672237C5"/>
    <w:rsid w:val="672D7D1C"/>
    <w:rsid w:val="67383E85"/>
    <w:rsid w:val="673E72C3"/>
    <w:rsid w:val="674B69D9"/>
    <w:rsid w:val="67503ADD"/>
    <w:rsid w:val="67506F9D"/>
    <w:rsid w:val="67526E66"/>
    <w:rsid w:val="6752749E"/>
    <w:rsid w:val="67555A03"/>
    <w:rsid w:val="675B3CE4"/>
    <w:rsid w:val="67737D53"/>
    <w:rsid w:val="678F648D"/>
    <w:rsid w:val="679274CE"/>
    <w:rsid w:val="6795084F"/>
    <w:rsid w:val="679D79EA"/>
    <w:rsid w:val="67A42856"/>
    <w:rsid w:val="67B94A10"/>
    <w:rsid w:val="67C60CF6"/>
    <w:rsid w:val="67D52C56"/>
    <w:rsid w:val="67E86829"/>
    <w:rsid w:val="67EB1D16"/>
    <w:rsid w:val="67F00436"/>
    <w:rsid w:val="67F6073F"/>
    <w:rsid w:val="68076CE9"/>
    <w:rsid w:val="681421FB"/>
    <w:rsid w:val="6819651A"/>
    <w:rsid w:val="681B050C"/>
    <w:rsid w:val="681B53F0"/>
    <w:rsid w:val="68264126"/>
    <w:rsid w:val="68346187"/>
    <w:rsid w:val="68382EA0"/>
    <w:rsid w:val="68426527"/>
    <w:rsid w:val="685233CC"/>
    <w:rsid w:val="68544780"/>
    <w:rsid w:val="68590F99"/>
    <w:rsid w:val="68614254"/>
    <w:rsid w:val="68646637"/>
    <w:rsid w:val="686C2E05"/>
    <w:rsid w:val="686D6171"/>
    <w:rsid w:val="686E1763"/>
    <w:rsid w:val="686F1784"/>
    <w:rsid w:val="68752AC8"/>
    <w:rsid w:val="68990946"/>
    <w:rsid w:val="689B7545"/>
    <w:rsid w:val="689D0BEF"/>
    <w:rsid w:val="68A82270"/>
    <w:rsid w:val="68A87E75"/>
    <w:rsid w:val="68AC2BD5"/>
    <w:rsid w:val="68B30BD4"/>
    <w:rsid w:val="68B74F83"/>
    <w:rsid w:val="68B8466B"/>
    <w:rsid w:val="68C61A72"/>
    <w:rsid w:val="68CC6970"/>
    <w:rsid w:val="68CC7BB5"/>
    <w:rsid w:val="68D60956"/>
    <w:rsid w:val="68DC1CEE"/>
    <w:rsid w:val="68E40E52"/>
    <w:rsid w:val="690A0B37"/>
    <w:rsid w:val="690F64C6"/>
    <w:rsid w:val="69104ABB"/>
    <w:rsid w:val="691A19D3"/>
    <w:rsid w:val="69263FD3"/>
    <w:rsid w:val="692822D9"/>
    <w:rsid w:val="6936664F"/>
    <w:rsid w:val="69393E3A"/>
    <w:rsid w:val="693B0DAB"/>
    <w:rsid w:val="693D4526"/>
    <w:rsid w:val="69503320"/>
    <w:rsid w:val="695E0DD0"/>
    <w:rsid w:val="69612616"/>
    <w:rsid w:val="696E4C18"/>
    <w:rsid w:val="69755D7E"/>
    <w:rsid w:val="698D6FFA"/>
    <w:rsid w:val="699D73DD"/>
    <w:rsid w:val="699E1607"/>
    <w:rsid w:val="69AA34FC"/>
    <w:rsid w:val="69B3465A"/>
    <w:rsid w:val="69B62668"/>
    <w:rsid w:val="69B80162"/>
    <w:rsid w:val="69B91B07"/>
    <w:rsid w:val="69BF2587"/>
    <w:rsid w:val="69C15465"/>
    <w:rsid w:val="69C224C5"/>
    <w:rsid w:val="69C40E1F"/>
    <w:rsid w:val="69C806C3"/>
    <w:rsid w:val="69C85A60"/>
    <w:rsid w:val="69C956EA"/>
    <w:rsid w:val="69CC54E5"/>
    <w:rsid w:val="69D656F5"/>
    <w:rsid w:val="69E13928"/>
    <w:rsid w:val="69E24EE7"/>
    <w:rsid w:val="69F35130"/>
    <w:rsid w:val="69F45B0D"/>
    <w:rsid w:val="69F6434C"/>
    <w:rsid w:val="69FB30B7"/>
    <w:rsid w:val="69FE60F8"/>
    <w:rsid w:val="6A00475B"/>
    <w:rsid w:val="6A030B21"/>
    <w:rsid w:val="6A05711A"/>
    <w:rsid w:val="6A0B4041"/>
    <w:rsid w:val="6A1C2A78"/>
    <w:rsid w:val="6A233F0D"/>
    <w:rsid w:val="6A2767E9"/>
    <w:rsid w:val="6A291D54"/>
    <w:rsid w:val="6A3070BB"/>
    <w:rsid w:val="6A436141"/>
    <w:rsid w:val="6A50573B"/>
    <w:rsid w:val="6A5973A6"/>
    <w:rsid w:val="6A5C45A3"/>
    <w:rsid w:val="6A6221C7"/>
    <w:rsid w:val="6A713AE3"/>
    <w:rsid w:val="6A735CB5"/>
    <w:rsid w:val="6A736CD3"/>
    <w:rsid w:val="6A9779B6"/>
    <w:rsid w:val="6A9A4264"/>
    <w:rsid w:val="6A9C619F"/>
    <w:rsid w:val="6AA848B1"/>
    <w:rsid w:val="6AA906E4"/>
    <w:rsid w:val="6AB61A08"/>
    <w:rsid w:val="6AB94B9F"/>
    <w:rsid w:val="6AC65CEB"/>
    <w:rsid w:val="6ACA04D4"/>
    <w:rsid w:val="6ACB0962"/>
    <w:rsid w:val="6ACB5E85"/>
    <w:rsid w:val="6ACD1C27"/>
    <w:rsid w:val="6AD6542D"/>
    <w:rsid w:val="6ADA7B18"/>
    <w:rsid w:val="6AE46C26"/>
    <w:rsid w:val="6AE520F5"/>
    <w:rsid w:val="6AE758EE"/>
    <w:rsid w:val="6AF429F8"/>
    <w:rsid w:val="6AF84886"/>
    <w:rsid w:val="6B1B748D"/>
    <w:rsid w:val="6B376C7B"/>
    <w:rsid w:val="6B3E2D7C"/>
    <w:rsid w:val="6B450DA4"/>
    <w:rsid w:val="6B4A087E"/>
    <w:rsid w:val="6B4B4A83"/>
    <w:rsid w:val="6B6426FF"/>
    <w:rsid w:val="6B671E44"/>
    <w:rsid w:val="6B6C14EB"/>
    <w:rsid w:val="6B7042E4"/>
    <w:rsid w:val="6B784602"/>
    <w:rsid w:val="6B7860F1"/>
    <w:rsid w:val="6B825AF7"/>
    <w:rsid w:val="6B8B0AC3"/>
    <w:rsid w:val="6B8C3B1A"/>
    <w:rsid w:val="6B8E1B69"/>
    <w:rsid w:val="6BB24DD5"/>
    <w:rsid w:val="6BCE0BA2"/>
    <w:rsid w:val="6BD0119C"/>
    <w:rsid w:val="6BD63AFA"/>
    <w:rsid w:val="6BDA3F22"/>
    <w:rsid w:val="6BE2231A"/>
    <w:rsid w:val="6BEB1E03"/>
    <w:rsid w:val="6BEF663A"/>
    <w:rsid w:val="6BF21586"/>
    <w:rsid w:val="6BF77E5A"/>
    <w:rsid w:val="6C03089F"/>
    <w:rsid w:val="6C035220"/>
    <w:rsid w:val="6C093F19"/>
    <w:rsid w:val="6C114468"/>
    <w:rsid w:val="6C120FA4"/>
    <w:rsid w:val="6C122706"/>
    <w:rsid w:val="6C1A4382"/>
    <w:rsid w:val="6C3D49FB"/>
    <w:rsid w:val="6C414AA0"/>
    <w:rsid w:val="6C49165B"/>
    <w:rsid w:val="6C511E95"/>
    <w:rsid w:val="6C530E0A"/>
    <w:rsid w:val="6C5B0130"/>
    <w:rsid w:val="6C64390E"/>
    <w:rsid w:val="6C661A2E"/>
    <w:rsid w:val="6C697AA2"/>
    <w:rsid w:val="6C6F0F6B"/>
    <w:rsid w:val="6C7B3502"/>
    <w:rsid w:val="6C840060"/>
    <w:rsid w:val="6C8E7954"/>
    <w:rsid w:val="6C914D40"/>
    <w:rsid w:val="6C9E77FE"/>
    <w:rsid w:val="6C9F1C9E"/>
    <w:rsid w:val="6C9F2AFF"/>
    <w:rsid w:val="6CA710D4"/>
    <w:rsid w:val="6CC1295B"/>
    <w:rsid w:val="6CC40FE4"/>
    <w:rsid w:val="6CC6267F"/>
    <w:rsid w:val="6CCE4143"/>
    <w:rsid w:val="6CD06C3C"/>
    <w:rsid w:val="6CD95D22"/>
    <w:rsid w:val="6CE12804"/>
    <w:rsid w:val="6CE428BD"/>
    <w:rsid w:val="6D0F16C1"/>
    <w:rsid w:val="6D121B3C"/>
    <w:rsid w:val="6D170530"/>
    <w:rsid w:val="6D273C81"/>
    <w:rsid w:val="6D29502E"/>
    <w:rsid w:val="6D3B24F7"/>
    <w:rsid w:val="6D3C3D66"/>
    <w:rsid w:val="6D3C453E"/>
    <w:rsid w:val="6D432172"/>
    <w:rsid w:val="6D45493A"/>
    <w:rsid w:val="6D5D5D85"/>
    <w:rsid w:val="6D691087"/>
    <w:rsid w:val="6D761133"/>
    <w:rsid w:val="6D7B5AD4"/>
    <w:rsid w:val="6D7B7020"/>
    <w:rsid w:val="6D800C22"/>
    <w:rsid w:val="6D8106D5"/>
    <w:rsid w:val="6D8C11F3"/>
    <w:rsid w:val="6D8F7D01"/>
    <w:rsid w:val="6D9570A8"/>
    <w:rsid w:val="6DA008B4"/>
    <w:rsid w:val="6DA64A31"/>
    <w:rsid w:val="6DA87476"/>
    <w:rsid w:val="6DAC397C"/>
    <w:rsid w:val="6DB03C31"/>
    <w:rsid w:val="6DB2004C"/>
    <w:rsid w:val="6DBC09CC"/>
    <w:rsid w:val="6DC86D39"/>
    <w:rsid w:val="6DCE08CE"/>
    <w:rsid w:val="6DD24FB7"/>
    <w:rsid w:val="6DD30D84"/>
    <w:rsid w:val="6DD9716A"/>
    <w:rsid w:val="6DD976D1"/>
    <w:rsid w:val="6DDD78A6"/>
    <w:rsid w:val="6DDF2384"/>
    <w:rsid w:val="6DE20E9A"/>
    <w:rsid w:val="6DF04DAF"/>
    <w:rsid w:val="6DF07171"/>
    <w:rsid w:val="6DF7101D"/>
    <w:rsid w:val="6DFA086A"/>
    <w:rsid w:val="6DFE4573"/>
    <w:rsid w:val="6E0164C9"/>
    <w:rsid w:val="6E04749E"/>
    <w:rsid w:val="6E047835"/>
    <w:rsid w:val="6E047FC0"/>
    <w:rsid w:val="6E0879C4"/>
    <w:rsid w:val="6E19375B"/>
    <w:rsid w:val="6E1A339D"/>
    <w:rsid w:val="6E1B0211"/>
    <w:rsid w:val="6E2E1A08"/>
    <w:rsid w:val="6E3E428D"/>
    <w:rsid w:val="6E472572"/>
    <w:rsid w:val="6E4E257A"/>
    <w:rsid w:val="6E513F10"/>
    <w:rsid w:val="6E520344"/>
    <w:rsid w:val="6E536949"/>
    <w:rsid w:val="6E541FAD"/>
    <w:rsid w:val="6E6A3063"/>
    <w:rsid w:val="6E6E4FC2"/>
    <w:rsid w:val="6E706743"/>
    <w:rsid w:val="6E9044CF"/>
    <w:rsid w:val="6E935446"/>
    <w:rsid w:val="6E986A29"/>
    <w:rsid w:val="6E9C19FD"/>
    <w:rsid w:val="6E9E6AEE"/>
    <w:rsid w:val="6EA64CD7"/>
    <w:rsid w:val="6EB7237C"/>
    <w:rsid w:val="6EC960AF"/>
    <w:rsid w:val="6EE91D0C"/>
    <w:rsid w:val="6EF96641"/>
    <w:rsid w:val="6EFD3368"/>
    <w:rsid w:val="6EFE399D"/>
    <w:rsid w:val="6F011EF9"/>
    <w:rsid w:val="6F0356B9"/>
    <w:rsid w:val="6F0D1757"/>
    <w:rsid w:val="6F0F01FB"/>
    <w:rsid w:val="6F145EDA"/>
    <w:rsid w:val="6F1540E9"/>
    <w:rsid w:val="6F174206"/>
    <w:rsid w:val="6F1F12A1"/>
    <w:rsid w:val="6F23103D"/>
    <w:rsid w:val="6F2B20AB"/>
    <w:rsid w:val="6F2E0D6D"/>
    <w:rsid w:val="6F2F3CA9"/>
    <w:rsid w:val="6F33106B"/>
    <w:rsid w:val="6F357DCC"/>
    <w:rsid w:val="6F4929DD"/>
    <w:rsid w:val="6F493E3C"/>
    <w:rsid w:val="6F5074B3"/>
    <w:rsid w:val="6F6B0977"/>
    <w:rsid w:val="6F6F5198"/>
    <w:rsid w:val="6F75314E"/>
    <w:rsid w:val="6F784E50"/>
    <w:rsid w:val="6F7F472A"/>
    <w:rsid w:val="6F8217E1"/>
    <w:rsid w:val="6F831E94"/>
    <w:rsid w:val="6F8C17F4"/>
    <w:rsid w:val="6F925C05"/>
    <w:rsid w:val="6F9A7CFF"/>
    <w:rsid w:val="6FA31DDE"/>
    <w:rsid w:val="6FAF6C50"/>
    <w:rsid w:val="6FB002A6"/>
    <w:rsid w:val="6FB4066B"/>
    <w:rsid w:val="6FBA5955"/>
    <w:rsid w:val="6FBE77DA"/>
    <w:rsid w:val="6FC35FEB"/>
    <w:rsid w:val="6FC80540"/>
    <w:rsid w:val="6FD12E7C"/>
    <w:rsid w:val="6FD23EA0"/>
    <w:rsid w:val="6FD5229C"/>
    <w:rsid w:val="6FD92EBD"/>
    <w:rsid w:val="6FE24FC8"/>
    <w:rsid w:val="6FF07ED7"/>
    <w:rsid w:val="6FF31B60"/>
    <w:rsid w:val="6FFE4717"/>
    <w:rsid w:val="70081B58"/>
    <w:rsid w:val="700F1D66"/>
    <w:rsid w:val="70151B2B"/>
    <w:rsid w:val="701708F2"/>
    <w:rsid w:val="701741FC"/>
    <w:rsid w:val="701B1C94"/>
    <w:rsid w:val="70223BC5"/>
    <w:rsid w:val="70430691"/>
    <w:rsid w:val="70490BDB"/>
    <w:rsid w:val="705B180A"/>
    <w:rsid w:val="70641BA7"/>
    <w:rsid w:val="706745C5"/>
    <w:rsid w:val="7071416D"/>
    <w:rsid w:val="707633B5"/>
    <w:rsid w:val="70764C1D"/>
    <w:rsid w:val="70784A7F"/>
    <w:rsid w:val="70835E58"/>
    <w:rsid w:val="70873313"/>
    <w:rsid w:val="708A7035"/>
    <w:rsid w:val="708F08E6"/>
    <w:rsid w:val="709B547E"/>
    <w:rsid w:val="70B108ED"/>
    <w:rsid w:val="70B15900"/>
    <w:rsid w:val="70B507EF"/>
    <w:rsid w:val="70B55425"/>
    <w:rsid w:val="70BC162C"/>
    <w:rsid w:val="70C233DC"/>
    <w:rsid w:val="70D14772"/>
    <w:rsid w:val="70E20E15"/>
    <w:rsid w:val="70EA0256"/>
    <w:rsid w:val="7100572F"/>
    <w:rsid w:val="71013C84"/>
    <w:rsid w:val="71022DA5"/>
    <w:rsid w:val="71067507"/>
    <w:rsid w:val="71074294"/>
    <w:rsid w:val="71075755"/>
    <w:rsid w:val="710C547E"/>
    <w:rsid w:val="710C6143"/>
    <w:rsid w:val="710E74E2"/>
    <w:rsid w:val="71103938"/>
    <w:rsid w:val="71131EED"/>
    <w:rsid w:val="71264C15"/>
    <w:rsid w:val="712A4802"/>
    <w:rsid w:val="712A4F83"/>
    <w:rsid w:val="712D778A"/>
    <w:rsid w:val="713300B4"/>
    <w:rsid w:val="71351CD5"/>
    <w:rsid w:val="713674F7"/>
    <w:rsid w:val="713F3D20"/>
    <w:rsid w:val="71560F55"/>
    <w:rsid w:val="717052D5"/>
    <w:rsid w:val="71731534"/>
    <w:rsid w:val="717F4777"/>
    <w:rsid w:val="7180575A"/>
    <w:rsid w:val="71815AA0"/>
    <w:rsid w:val="7182609B"/>
    <w:rsid w:val="71852E53"/>
    <w:rsid w:val="718B5626"/>
    <w:rsid w:val="719A2339"/>
    <w:rsid w:val="71AA5CE3"/>
    <w:rsid w:val="71AC700C"/>
    <w:rsid w:val="71BA2B69"/>
    <w:rsid w:val="71BE49CB"/>
    <w:rsid w:val="71C667FC"/>
    <w:rsid w:val="71C66FA3"/>
    <w:rsid w:val="71D003A4"/>
    <w:rsid w:val="71D350CA"/>
    <w:rsid w:val="71D835CB"/>
    <w:rsid w:val="71E55715"/>
    <w:rsid w:val="71E562CD"/>
    <w:rsid w:val="71EC52F6"/>
    <w:rsid w:val="71EE5004"/>
    <w:rsid w:val="71F8334B"/>
    <w:rsid w:val="72040E27"/>
    <w:rsid w:val="72053170"/>
    <w:rsid w:val="72115304"/>
    <w:rsid w:val="722D669A"/>
    <w:rsid w:val="72312569"/>
    <w:rsid w:val="72363D25"/>
    <w:rsid w:val="723C0393"/>
    <w:rsid w:val="724818E9"/>
    <w:rsid w:val="72582749"/>
    <w:rsid w:val="725F0D7A"/>
    <w:rsid w:val="726933C2"/>
    <w:rsid w:val="726D0581"/>
    <w:rsid w:val="72710EFD"/>
    <w:rsid w:val="72815A3D"/>
    <w:rsid w:val="72905C4D"/>
    <w:rsid w:val="72917B49"/>
    <w:rsid w:val="72A10BF4"/>
    <w:rsid w:val="72AD794A"/>
    <w:rsid w:val="72B2174D"/>
    <w:rsid w:val="72BE614D"/>
    <w:rsid w:val="72C22C50"/>
    <w:rsid w:val="72C93539"/>
    <w:rsid w:val="72CE590F"/>
    <w:rsid w:val="72D17CE1"/>
    <w:rsid w:val="72D245A4"/>
    <w:rsid w:val="72D577B5"/>
    <w:rsid w:val="72E549B1"/>
    <w:rsid w:val="72F23ADF"/>
    <w:rsid w:val="72FD03EA"/>
    <w:rsid w:val="731251C3"/>
    <w:rsid w:val="731D17E1"/>
    <w:rsid w:val="732A7C84"/>
    <w:rsid w:val="73302634"/>
    <w:rsid w:val="73474FE0"/>
    <w:rsid w:val="73536B55"/>
    <w:rsid w:val="735522F0"/>
    <w:rsid w:val="735D18AC"/>
    <w:rsid w:val="73661BF3"/>
    <w:rsid w:val="736C6EE4"/>
    <w:rsid w:val="73744A23"/>
    <w:rsid w:val="73A42418"/>
    <w:rsid w:val="73BD49FE"/>
    <w:rsid w:val="73BF152E"/>
    <w:rsid w:val="73C15424"/>
    <w:rsid w:val="73C74F67"/>
    <w:rsid w:val="73D61FC3"/>
    <w:rsid w:val="73DB5A88"/>
    <w:rsid w:val="73E620C3"/>
    <w:rsid w:val="73F3087B"/>
    <w:rsid w:val="73F66695"/>
    <w:rsid w:val="73FB5AE7"/>
    <w:rsid w:val="7406049E"/>
    <w:rsid w:val="7408305B"/>
    <w:rsid w:val="741401C0"/>
    <w:rsid w:val="74151D5F"/>
    <w:rsid w:val="741D0AD8"/>
    <w:rsid w:val="74221C86"/>
    <w:rsid w:val="742D198B"/>
    <w:rsid w:val="74387F1C"/>
    <w:rsid w:val="74396D46"/>
    <w:rsid w:val="74405B97"/>
    <w:rsid w:val="74411114"/>
    <w:rsid w:val="74434A7E"/>
    <w:rsid w:val="7445045F"/>
    <w:rsid w:val="744B736C"/>
    <w:rsid w:val="74575772"/>
    <w:rsid w:val="74591270"/>
    <w:rsid w:val="745E5C6C"/>
    <w:rsid w:val="745F085E"/>
    <w:rsid w:val="747102A3"/>
    <w:rsid w:val="74715F53"/>
    <w:rsid w:val="74792D1B"/>
    <w:rsid w:val="747A6324"/>
    <w:rsid w:val="7486187B"/>
    <w:rsid w:val="748E4A7C"/>
    <w:rsid w:val="74994AD5"/>
    <w:rsid w:val="749E4D54"/>
    <w:rsid w:val="74A13FEB"/>
    <w:rsid w:val="74A14DAD"/>
    <w:rsid w:val="74A848C0"/>
    <w:rsid w:val="74A86284"/>
    <w:rsid w:val="74B4483A"/>
    <w:rsid w:val="74BB0C84"/>
    <w:rsid w:val="74C037F9"/>
    <w:rsid w:val="74C4426D"/>
    <w:rsid w:val="74C51B1F"/>
    <w:rsid w:val="74C801CE"/>
    <w:rsid w:val="74CE735E"/>
    <w:rsid w:val="74D449BB"/>
    <w:rsid w:val="74DB5E79"/>
    <w:rsid w:val="74DC0181"/>
    <w:rsid w:val="74EC4D50"/>
    <w:rsid w:val="74EF74EF"/>
    <w:rsid w:val="74F77CB1"/>
    <w:rsid w:val="74FE4857"/>
    <w:rsid w:val="75126D06"/>
    <w:rsid w:val="75182A94"/>
    <w:rsid w:val="751B17A7"/>
    <w:rsid w:val="751D63B8"/>
    <w:rsid w:val="751E1C92"/>
    <w:rsid w:val="752318DE"/>
    <w:rsid w:val="752732D9"/>
    <w:rsid w:val="75296E33"/>
    <w:rsid w:val="75340EA9"/>
    <w:rsid w:val="75363792"/>
    <w:rsid w:val="75384B98"/>
    <w:rsid w:val="753D450E"/>
    <w:rsid w:val="7541247D"/>
    <w:rsid w:val="7542562C"/>
    <w:rsid w:val="75460F8E"/>
    <w:rsid w:val="75463D32"/>
    <w:rsid w:val="75584506"/>
    <w:rsid w:val="75595DDF"/>
    <w:rsid w:val="755A6300"/>
    <w:rsid w:val="755C0182"/>
    <w:rsid w:val="75724C5B"/>
    <w:rsid w:val="759454FD"/>
    <w:rsid w:val="759666FD"/>
    <w:rsid w:val="75996BD2"/>
    <w:rsid w:val="759E10D4"/>
    <w:rsid w:val="759F6B65"/>
    <w:rsid w:val="75AD53F3"/>
    <w:rsid w:val="75AF7975"/>
    <w:rsid w:val="75B45157"/>
    <w:rsid w:val="75B86F33"/>
    <w:rsid w:val="75C111D3"/>
    <w:rsid w:val="75CE5C4D"/>
    <w:rsid w:val="75D528F4"/>
    <w:rsid w:val="75DC2061"/>
    <w:rsid w:val="75E67F29"/>
    <w:rsid w:val="75F16D97"/>
    <w:rsid w:val="75F2319C"/>
    <w:rsid w:val="760C5086"/>
    <w:rsid w:val="7621299D"/>
    <w:rsid w:val="762C7418"/>
    <w:rsid w:val="763021FB"/>
    <w:rsid w:val="76396AC6"/>
    <w:rsid w:val="76612D7D"/>
    <w:rsid w:val="76631886"/>
    <w:rsid w:val="7665341D"/>
    <w:rsid w:val="767749EC"/>
    <w:rsid w:val="768364FC"/>
    <w:rsid w:val="769E7492"/>
    <w:rsid w:val="769F3E5C"/>
    <w:rsid w:val="76B04EC2"/>
    <w:rsid w:val="76B1125A"/>
    <w:rsid w:val="76B87806"/>
    <w:rsid w:val="76B94D4E"/>
    <w:rsid w:val="76BE4F2A"/>
    <w:rsid w:val="76CB5A2F"/>
    <w:rsid w:val="76D145FF"/>
    <w:rsid w:val="76D26404"/>
    <w:rsid w:val="76DC6AB5"/>
    <w:rsid w:val="77082D16"/>
    <w:rsid w:val="77100A61"/>
    <w:rsid w:val="77142DDD"/>
    <w:rsid w:val="77172385"/>
    <w:rsid w:val="77177888"/>
    <w:rsid w:val="77212CC3"/>
    <w:rsid w:val="7723204B"/>
    <w:rsid w:val="77256E5F"/>
    <w:rsid w:val="773222C5"/>
    <w:rsid w:val="773229F7"/>
    <w:rsid w:val="77446247"/>
    <w:rsid w:val="77464271"/>
    <w:rsid w:val="774B14C5"/>
    <w:rsid w:val="77613A54"/>
    <w:rsid w:val="777154B0"/>
    <w:rsid w:val="7775769C"/>
    <w:rsid w:val="778900E1"/>
    <w:rsid w:val="779270DB"/>
    <w:rsid w:val="779458AD"/>
    <w:rsid w:val="779D2714"/>
    <w:rsid w:val="77A04B8C"/>
    <w:rsid w:val="77B13480"/>
    <w:rsid w:val="77B676C3"/>
    <w:rsid w:val="77B81E6C"/>
    <w:rsid w:val="77C42183"/>
    <w:rsid w:val="77C75082"/>
    <w:rsid w:val="77CB6D1C"/>
    <w:rsid w:val="77D86D36"/>
    <w:rsid w:val="77DB2BD0"/>
    <w:rsid w:val="77DF5258"/>
    <w:rsid w:val="77E93C77"/>
    <w:rsid w:val="77FD0778"/>
    <w:rsid w:val="780209D4"/>
    <w:rsid w:val="780A4A5F"/>
    <w:rsid w:val="780E21B6"/>
    <w:rsid w:val="78142417"/>
    <w:rsid w:val="7826607A"/>
    <w:rsid w:val="782D400F"/>
    <w:rsid w:val="78320C4D"/>
    <w:rsid w:val="783518D6"/>
    <w:rsid w:val="78382611"/>
    <w:rsid w:val="786E1978"/>
    <w:rsid w:val="786E367B"/>
    <w:rsid w:val="78860E82"/>
    <w:rsid w:val="788B3876"/>
    <w:rsid w:val="7892554B"/>
    <w:rsid w:val="7892577E"/>
    <w:rsid w:val="78A31605"/>
    <w:rsid w:val="78C435FA"/>
    <w:rsid w:val="78CD1034"/>
    <w:rsid w:val="78D56953"/>
    <w:rsid w:val="78E025FB"/>
    <w:rsid w:val="78F07F22"/>
    <w:rsid w:val="79056713"/>
    <w:rsid w:val="790F1152"/>
    <w:rsid w:val="79162137"/>
    <w:rsid w:val="79176223"/>
    <w:rsid w:val="791A1ABE"/>
    <w:rsid w:val="791B12D6"/>
    <w:rsid w:val="791D30D9"/>
    <w:rsid w:val="79283C5F"/>
    <w:rsid w:val="792C29B3"/>
    <w:rsid w:val="792F2416"/>
    <w:rsid w:val="792F5689"/>
    <w:rsid w:val="79330103"/>
    <w:rsid w:val="79393665"/>
    <w:rsid w:val="793D2F2F"/>
    <w:rsid w:val="794D4948"/>
    <w:rsid w:val="795A5F4F"/>
    <w:rsid w:val="796235D6"/>
    <w:rsid w:val="79623AB7"/>
    <w:rsid w:val="79666649"/>
    <w:rsid w:val="79771BE5"/>
    <w:rsid w:val="798600EF"/>
    <w:rsid w:val="7987321B"/>
    <w:rsid w:val="79886EED"/>
    <w:rsid w:val="798F0AD5"/>
    <w:rsid w:val="79923C12"/>
    <w:rsid w:val="799278C9"/>
    <w:rsid w:val="79A6007D"/>
    <w:rsid w:val="79AF7213"/>
    <w:rsid w:val="79C94264"/>
    <w:rsid w:val="79D24092"/>
    <w:rsid w:val="79DF73F2"/>
    <w:rsid w:val="79E475D3"/>
    <w:rsid w:val="79F2239B"/>
    <w:rsid w:val="79F9682E"/>
    <w:rsid w:val="7A070858"/>
    <w:rsid w:val="7A0A0887"/>
    <w:rsid w:val="7A181B4D"/>
    <w:rsid w:val="7A1B729B"/>
    <w:rsid w:val="7A28281D"/>
    <w:rsid w:val="7A2B5569"/>
    <w:rsid w:val="7A2C3464"/>
    <w:rsid w:val="7A355E4C"/>
    <w:rsid w:val="7A3D7BCF"/>
    <w:rsid w:val="7A4157CD"/>
    <w:rsid w:val="7A4A258A"/>
    <w:rsid w:val="7A4B237F"/>
    <w:rsid w:val="7A4D1D6E"/>
    <w:rsid w:val="7A564D6D"/>
    <w:rsid w:val="7A5D39B8"/>
    <w:rsid w:val="7A711D19"/>
    <w:rsid w:val="7A747A2D"/>
    <w:rsid w:val="7A8A36E1"/>
    <w:rsid w:val="7A8F4C1D"/>
    <w:rsid w:val="7A933262"/>
    <w:rsid w:val="7A951927"/>
    <w:rsid w:val="7A9C651E"/>
    <w:rsid w:val="7AA253F5"/>
    <w:rsid w:val="7AA3596C"/>
    <w:rsid w:val="7AA953F3"/>
    <w:rsid w:val="7AB27E69"/>
    <w:rsid w:val="7AB5757C"/>
    <w:rsid w:val="7ABF10AA"/>
    <w:rsid w:val="7AC37DBC"/>
    <w:rsid w:val="7ACD3BB0"/>
    <w:rsid w:val="7ACD7DB2"/>
    <w:rsid w:val="7AE72BED"/>
    <w:rsid w:val="7AEB1CCC"/>
    <w:rsid w:val="7AF15D38"/>
    <w:rsid w:val="7B004D0C"/>
    <w:rsid w:val="7B027B04"/>
    <w:rsid w:val="7B1214F1"/>
    <w:rsid w:val="7B4347C3"/>
    <w:rsid w:val="7B4E1569"/>
    <w:rsid w:val="7B4F60F7"/>
    <w:rsid w:val="7B523EA1"/>
    <w:rsid w:val="7B646489"/>
    <w:rsid w:val="7B672C19"/>
    <w:rsid w:val="7B6F5147"/>
    <w:rsid w:val="7B754502"/>
    <w:rsid w:val="7B762F7D"/>
    <w:rsid w:val="7B7B6B21"/>
    <w:rsid w:val="7B7E05E5"/>
    <w:rsid w:val="7B891479"/>
    <w:rsid w:val="7B8E016B"/>
    <w:rsid w:val="7BA76A0E"/>
    <w:rsid w:val="7BAA4917"/>
    <w:rsid w:val="7BAD1DEA"/>
    <w:rsid w:val="7BBE1448"/>
    <w:rsid w:val="7BC47033"/>
    <w:rsid w:val="7BD21020"/>
    <w:rsid w:val="7BE716D7"/>
    <w:rsid w:val="7BE827C4"/>
    <w:rsid w:val="7BF164FB"/>
    <w:rsid w:val="7BF22958"/>
    <w:rsid w:val="7BF6108D"/>
    <w:rsid w:val="7BF773A6"/>
    <w:rsid w:val="7BF924DA"/>
    <w:rsid w:val="7C034D17"/>
    <w:rsid w:val="7C144F1D"/>
    <w:rsid w:val="7C176A06"/>
    <w:rsid w:val="7C193B62"/>
    <w:rsid w:val="7C242879"/>
    <w:rsid w:val="7C2569EC"/>
    <w:rsid w:val="7C263306"/>
    <w:rsid w:val="7C2B3C92"/>
    <w:rsid w:val="7C2F03D4"/>
    <w:rsid w:val="7C337922"/>
    <w:rsid w:val="7C5230ED"/>
    <w:rsid w:val="7C5D12F9"/>
    <w:rsid w:val="7C6A6148"/>
    <w:rsid w:val="7C7842D5"/>
    <w:rsid w:val="7C791D0C"/>
    <w:rsid w:val="7C7E49BD"/>
    <w:rsid w:val="7C85743E"/>
    <w:rsid w:val="7C863000"/>
    <w:rsid w:val="7C912A47"/>
    <w:rsid w:val="7C984B80"/>
    <w:rsid w:val="7CA02DAF"/>
    <w:rsid w:val="7CA33F68"/>
    <w:rsid w:val="7CA978BB"/>
    <w:rsid w:val="7CBC209B"/>
    <w:rsid w:val="7CC71262"/>
    <w:rsid w:val="7CCB2579"/>
    <w:rsid w:val="7CCF4BA3"/>
    <w:rsid w:val="7CD63BD3"/>
    <w:rsid w:val="7CDD7C5C"/>
    <w:rsid w:val="7CDF7F4E"/>
    <w:rsid w:val="7CE61C19"/>
    <w:rsid w:val="7CED002C"/>
    <w:rsid w:val="7D0F5F72"/>
    <w:rsid w:val="7D0F7FCC"/>
    <w:rsid w:val="7D154E0C"/>
    <w:rsid w:val="7D1F230E"/>
    <w:rsid w:val="7D1F7205"/>
    <w:rsid w:val="7D3169FE"/>
    <w:rsid w:val="7D3B4AC5"/>
    <w:rsid w:val="7D3D6F43"/>
    <w:rsid w:val="7D471CBA"/>
    <w:rsid w:val="7D4B281B"/>
    <w:rsid w:val="7D4E54BF"/>
    <w:rsid w:val="7D5F467A"/>
    <w:rsid w:val="7D64237C"/>
    <w:rsid w:val="7D6D34E3"/>
    <w:rsid w:val="7D721007"/>
    <w:rsid w:val="7D7732A2"/>
    <w:rsid w:val="7D7D367D"/>
    <w:rsid w:val="7D8F0FF7"/>
    <w:rsid w:val="7D8F36BB"/>
    <w:rsid w:val="7D9669AF"/>
    <w:rsid w:val="7D9921AE"/>
    <w:rsid w:val="7DB82E18"/>
    <w:rsid w:val="7DBC7371"/>
    <w:rsid w:val="7DBD0090"/>
    <w:rsid w:val="7DC2057A"/>
    <w:rsid w:val="7DC9017D"/>
    <w:rsid w:val="7DCA0A08"/>
    <w:rsid w:val="7DD022ED"/>
    <w:rsid w:val="7DD55BAE"/>
    <w:rsid w:val="7DDD6BB0"/>
    <w:rsid w:val="7DDE2992"/>
    <w:rsid w:val="7DE46F43"/>
    <w:rsid w:val="7DE51765"/>
    <w:rsid w:val="7DE82002"/>
    <w:rsid w:val="7DE93D97"/>
    <w:rsid w:val="7DE94F87"/>
    <w:rsid w:val="7DEE41A8"/>
    <w:rsid w:val="7DF5051F"/>
    <w:rsid w:val="7DF85097"/>
    <w:rsid w:val="7E0A2099"/>
    <w:rsid w:val="7E0B4A18"/>
    <w:rsid w:val="7E123DB8"/>
    <w:rsid w:val="7E1A6F65"/>
    <w:rsid w:val="7E1C677A"/>
    <w:rsid w:val="7E1F5431"/>
    <w:rsid w:val="7E233829"/>
    <w:rsid w:val="7E263D20"/>
    <w:rsid w:val="7E2B12D9"/>
    <w:rsid w:val="7E2B5FCC"/>
    <w:rsid w:val="7E2F3743"/>
    <w:rsid w:val="7E313366"/>
    <w:rsid w:val="7E3B4660"/>
    <w:rsid w:val="7E4569FD"/>
    <w:rsid w:val="7E4A6D40"/>
    <w:rsid w:val="7E51387E"/>
    <w:rsid w:val="7E55443D"/>
    <w:rsid w:val="7E5A4C77"/>
    <w:rsid w:val="7E6A3A00"/>
    <w:rsid w:val="7E6E004E"/>
    <w:rsid w:val="7E7368E0"/>
    <w:rsid w:val="7E884225"/>
    <w:rsid w:val="7E8E5CBD"/>
    <w:rsid w:val="7E93003F"/>
    <w:rsid w:val="7EA61BA3"/>
    <w:rsid w:val="7EC41017"/>
    <w:rsid w:val="7ECA0526"/>
    <w:rsid w:val="7ED37796"/>
    <w:rsid w:val="7EDC0320"/>
    <w:rsid w:val="7EF60D13"/>
    <w:rsid w:val="7EFD50CE"/>
    <w:rsid w:val="7F02198D"/>
    <w:rsid w:val="7F062A4F"/>
    <w:rsid w:val="7F406322"/>
    <w:rsid w:val="7F4C1103"/>
    <w:rsid w:val="7F5E03F2"/>
    <w:rsid w:val="7F5F56A0"/>
    <w:rsid w:val="7F635AFF"/>
    <w:rsid w:val="7F6940E3"/>
    <w:rsid w:val="7F6B3E87"/>
    <w:rsid w:val="7F8750A8"/>
    <w:rsid w:val="7F903147"/>
    <w:rsid w:val="7F9432D2"/>
    <w:rsid w:val="7F953DA0"/>
    <w:rsid w:val="7F956022"/>
    <w:rsid w:val="7F9A56D6"/>
    <w:rsid w:val="7FA23F93"/>
    <w:rsid w:val="7FBA232F"/>
    <w:rsid w:val="7FBD60AA"/>
    <w:rsid w:val="7FBE16C2"/>
    <w:rsid w:val="7FCF4610"/>
    <w:rsid w:val="7FD31115"/>
    <w:rsid w:val="7FE02151"/>
    <w:rsid w:val="7FF53020"/>
    <w:rsid w:val="7FF97E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99"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32"/>
      <w:szCs w:val="22"/>
      <w:lang w:val="en-US" w:eastAsia="zh-CN" w:bidi="ar-SA"/>
    </w:rPr>
  </w:style>
  <w:style w:type="paragraph" w:styleId="3">
    <w:name w:val="heading 1"/>
    <w:basedOn w:val="1"/>
    <w:next w:val="1"/>
    <w:qFormat/>
    <w:uiPriority w:val="99"/>
    <w:pPr>
      <w:keepNext/>
      <w:keepLines/>
      <w:spacing w:before="340" w:after="330" w:line="578" w:lineRule="auto"/>
      <w:jc w:val="center"/>
      <w:outlineLvl w:val="0"/>
    </w:pPr>
    <w:rPr>
      <w:rFonts w:eastAsia="黑体" w:cs="Times New Roman"/>
      <w:kern w:val="44"/>
      <w:sz w:val="44"/>
      <w:szCs w:val="20"/>
    </w:rPr>
  </w:style>
  <w:style w:type="paragraph" w:styleId="4">
    <w:name w:val="heading 2"/>
    <w:basedOn w:val="1"/>
    <w:next w:val="1"/>
    <w:qFormat/>
    <w:uiPriority w:val="99"/>
    <w:pPr>
      <w:keepNext/>
      <w:keepLines/>
      <w:spacing w:before="260" w:after="260" w:line="416" w:lineRule="auto"/>
      <w:outlineLvl w:val="1"/>
    </w:pPr>
    <w:rPr>
      <w:rFonts w:ascii="Cambria" w:hAnsi="Cambria" w:eastAsia="宋体" w:cs="Times New Roman"/>
      <w:b/>
      <w:bCs/>
      <w:kern w:val="0"/>
      <w:sz w:val="20"/>
      <w:szCs w:val="20"/>
    </w:rPr>
  </w:style>
  <w:style w:type="paragraph" w:styleId="5">
    <w:name w:val="heading 3"/>
    <w:basedOn w:val="1"/>
    <w:next w:val="1"/>
    <w:qFormat/>
    <w:uiPriority w:val="99"/>
    <w:pPr>
      <w:keepNext/>
      <w:keepLines/>
      <w:spacing w:before="260" w:after="260" w:line="416" w:lineRule="auto"/>
      <w:outlineLvl w:val="2"/>
    </w:pPr>
    <w:rPr>
      <w:rFonts w:cs="Times New Roman"/>
      <w:b/>
      <w:bCs/>
      <w:szCs w:val="32"/>
    </w:rPr>
  </w:style>
  <w:style w:type="character" w:default="1" w:styleId="28">
    <w:name w:val="Default Paragraph Font"/>
    <w:unhideWhenUsed/>
    <w:qFormat/>
    <w:uiPriority w:val="1"/>
  </w:style>
  <w:style w:type="table" w:default="1" w:styleId="26">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after="120"/>
    </w:pPr>
  </w:style>
  <w:style w:type="paragraph" w:styleId="6">
    <w:name w:val="toc 7"/>
    <w:basedOn w:val="1"/>
    <w:next w:val="1"/>
    <w:unhideWhenUsed/>
    <w:qFormat/>
    <w:uiPriority w:val="39"/>
    <w:pPr>
      <w:ind w:left="2520" w:leftChars="1200"/>
    </w:pPr>
    <w:rPr>
      <w:rFonts w:asciiTheme="minorHAnsi" w:hAnsiTheme="minorHAnsi" w:eastAsiaTheme="minorEastAsia"/>
      <w:sz w:val="21"/>
    </w:rPr>
  </w:style>
  <w:style w:type="paragraph" w:styleId="7">
    <w:name w:val="annotation text"/>
    <w:basedOn w:val="1"/>
    <w:link w:val="51"/>
    <w:unhideWhenUsed/>
    <w:qFormat/>
    <w:uiPriority w:val="99"/>
    <w:pPr>
      <w:jc w:val="left"/>
    </w:pPr>
  </w:style>
  <w:style w:type="paragraph" w:styleId="8">
    <w:name w:val="Body Text Indent"/>
    <w:basedOn w:val="1"/>
    <w:unhideWhenUsed/>
    <w:qFormat/>
    <w:uiPriority w:val="0"/>
    <w:pPr>
      <w:spacing w:after="120"/>
      <w:ind w:left="420" w:leftChars="200"/>
    </w:pPr>
  </w:style>
  <w:style w:type="paragraph" w:styleId="9">
    <w:name w:val="toc 5"/>
    <w:basedOn w:val="1"/>
    <w:next w:val="1"/>
    <w:unhideWhenUsed/>
    <w:qFormat/>
    <w:uiPriority w:val="39"/>
    <w:pPr>
      <w:ind w:left="1680" w:leftChars="800"/>
    </w:pPr>
    <w:rPr>
      <w:rFonts w:asciiTheme="minorHAnsi" w:hAnsiTheme="minorHAnsi" w:eastAsiaTheme="minorEastAsia"/>
      <w:sz w:val="21"/>
    </w:r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rPr>
      <w:rFonts w:asciiTheme="minorHAnsi" w:hAnsiTheme="minorHAnsi" w:eastAsiaTheme="minorEastAsia"/>
      <w:sz w:val="21"/>
    </w:rPr>
  </w:style>
  <w:style w:type="paragraph" w:styleId="12">
    <w:name w:val="Body Text Indent 2"/>
    <w:basedOn w:val="1"/>
    <w:next w:val="1"/>
    <w:unhideWhenUsed/>
    <w:qFormat/>
    <w:uiPriority w:val="99"/>
    <w:pPr>
      <w:spacing w:after="120" w:line="480" w:lineRule="auto"/>
      <w:ind w:left="420" w:leftChars="200"/>
    </w:pPr>
    <w:rPr>
      <w:rFonts w:ascii="等线" w:hAnsi="等线" w:eastAsia="等线" w:cs="Arial"/>
    </w:rPr>
  </w:style>
  <w:style w:type="paragraph" w:styleId="13">
    <w:name w:val="Balloon Text"/>
    <w:basedOn w:val="1"/>
    <w:link w:val="40"/>
    <w:unhideWhenUsed/>
    <w:qFormat/>
    <w:uiPriority w:val="99"/>
    <w:rPr>
      <w:sz w:val="18"/>
      <w:szCs w:val="18"/>
    </w:rPr>
  </w:style>
  <w:style w:type="paragraph" w:styleId="14">
    <w:name w:val="footer"/>
    <w:basedOn w:val="1"/>
    <w:link w:val="38"/>
    <w:unhideWhenUsed/>
    <w:qFormat/>
    <w:uiPriority w:val="99"/>
    <w:pPr>
      <w:tabs>
        <w:tab w:val="center" w:pos="4153"/>
        <w:tab w:val="right" w:pos="8306"/>
      </w:tabs>
      <w:snapToGrid w:val="0"/>
      <w:jc w:val="left"/>
    </w:pPr>
    <w:rPr>
      <w:sz w:val="18"/>
      <w:szCs w:val="18"/>
    </w:rPr>
  </w:style>
  <w:style w:type="paragraph" w:styleId="15">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4"/>
    <w:basedOn w:val="1"/>
    <w:next w:val="1"/>
    <w:unhideWhenUsed/>
    <w:qFormat/>
    <w:uiPriority w:val="39"/>
    <w:pPr>
      <w:ind w:left="1260" w:leftChars="600"/>
    </w:pPr>
    <w:rPr>
      <w:rFonts w:asciiTheme="minorHAnsi" w:hAnsiTheme="minorHAnsi" w:eastAsiaTheme="minorEastAsia"/>
      <w:sz w:val="21"/>
    </w:rPr>
  </w:style>
  <w:style w:type="paragraph" w:styleId="18">
    <w:name w:val="footnote text"/>
    <w:basedOn w:val="1"/>
    <w:unhideWhenUsed/>
    <w:qFormat/>
    <w:uiPriority w:val="99"/>
    <w:pPr>
      <w:snapToGrid w:val="0"/>
      <w:spacing w:line="320" w:lineRule="exact"/>
      <w:jc w:val="left"/>
    </w:pPr>
    <w:rPr>
      <w:rFonts w:eastAsia="仿宋"/>
      <w:sz w:val="18"/>
      <w:szCs w:val="24"/>
    </w:rPr>
  </w:style>
  <w:style w:type="paragraph" w:styleId="19">
    <w:name w:val="toc 6"/>
    <w:basedOn w:val="1"/>
    <w:next w:val="1"/>
    <w:unhideWhenUsed/>
    <w:qFormat/>
    <w:uiPriority w:val="39"/>
    <w:pPr>
      <w:ind w:left="2100" w:leftChars="1000"/>
    </w:pPr>
    <w:rPr>
      <w:rFonts w:asciiTheme="minorHAnsi" w:hAnsiTheme="minorHAnsi" w:eastAsiaTheme="minorEastAsia"/>
      <w:sz w:val="21"/>
    </w:rPr>
  </w:style>
  <w:style w:type="paragraph" w:styleId="20">
    <w:name w:val="table of figures"/>
    <w:basedOn w:val="1"/>
    <w:next w:val="1"/>
    <w:qFormat/>
    <w:uiPriority w:val="99"/>
    <w:pPr>
      <w:ind w:left="200" w:leftChars="200" w:hanging="200" w:hangingChars="2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rPr>
      <w:rFonts w:asciiTheme="minorHAnsi" w:hAnsiTheme="minorHAnsi" w:eastAsiaTheme="minorEastAsia"/>
      <w:sz w:val="21"/>
    </w:rPr>
  </w:style>
  <w:style w:type="paragraph" w:styleId="23">
    <w:name w:val="Normal (Web)"/>
    <w:basedOn w:val="1"/>
    <w:qFormat/>
    <w:uiPriority w:val="0"/>
    <w:rPr>
      <w:sz w:val="24"/>
    </w:rPr>
  </w:style>
  <w:style w:type="paragraph" w:styleId="24">
    <w:name w:val="annotation subject"/>
    <w:basedOn w:val="7"/>
    <w:next w:val="7"/>
    <w:link w:val="52"/>
    <w:unhideWhenUsed/>
    <w:qFormat/>
    <w:uiPriority w:val="99"/>
    <w:rPr>
      <w:b/>
      <w:bCs/>
    </w:rPr>
  </w:style>
  <w:style w:type="paragraph" w:styleId="25">
    <w:name w:val="Body Text First Indent 2"/>
    <w:basedOn w:val="8"/>
    <w:next w:val="1"/>
    <w:qFormat/>
    <w:uiPriority w:val="0"/>
    <w:pPr>
      <w:ind w:left="200" w:firstLine="200" w:firstLineChars="200"/>
    </w:pPr>
    <w:rPr>
      <w:rFonts w:ascii="Calibri" w:hAnsi="Calibri" w:cs="Calibri"/>
      <w:szCs w:val="21"/>
    </w:rPr>
  </w:style>
  <w:style w:type="table" w:styleId="27">
    <w:name w:val="Table Grid"/>
    <w:basedOn w:val="26"/>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22"/>
    <w:rPr>
      <w:b/>
    </w:rPr>
  </w:style>
  <w:style w:type="character" w:styleId="30">
    <w:name w:val="Emphasis"/>
    <w:basedOn w:val="28"/>
    <w:qFormat/>
    <w:uiPriority w:val="20"/>
    <w:rPr>
      <w:i/>
    </w:rPr>
  </w:style>
  <w:style w:type="character" w:styleId="31">
    <w:name w:val="Hyperlink"/>
    <w:basedOn w:val="28"/>
    <w:unhideWhenUsed/>
    <w:qFormat/>
    <w:uiPriority w:val="99"/>
    <w:rPr>
      <w:color w:val="0563C1" w:themeColor="hyperlink"/>
      <w:u w:val="single"/>
      <w14:textFill>
        <w14:solidFill>
          <w14:schemeClr w14:val="hlink"/>
        </w14:solidFill>
      </w14:textFill>
    </w:rPr>
  </w:style>
  <w:style w:type="character" w:styleId="32">
    <w:name w:val="annotation reference"/>
    <w:basedOn w:val="28"/>
    <w:unhideWhenUsed/>
    <w:qFormat/>
    <w:uiPriority w:val="99"/>
    <w:rPr>
      <w:sz w:val="21"/>
      <w:szCs w:val="21"/>
    </w:rPr>
  </w:style>
  <w:style w:type="character" w:styleId="33">
    <w:name w:val="footnote reference"/>
    <w:basedOn w:val="28"/>
    <w:unhideWhenUsed/>
    <w:qFormat/>
    <w:uiPriority w:val="99"/>
    <w:rPr>
      <w:vertAlign w:val="superscript"/>
    </w:rPr>
  </w:style>
  <w:style w:type="paragraph" w:customStyle="1" w:styleId="34">
    <w:name w:val="Default"/>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customStyle="1" w:styleId="35">
    <w:name w:val="Heading1"/>
    <w:basedOn w:val="1"/>
    <w:next w:val="1"/>
    <w:qFormat/>
    <w:uiPriority w:val="0"/>
    <w:pPr>
      <w:keepNext/>
      <w:keepLines/>
      <w:spacing w:before="340" w:after="330" w:line="576" w:lineRule="auto"/>
    </w:pPr>
    <w:rPr>
      <w:b/>
      <w:kern w:val="44"/>
      <w:sz w:val="44"/>
    </w:rPr>
  </w:style>
  <w:style w:type="paragraph" w:customStyle="1" w:styleId="36">
    <w:name w:val="Normal Indent1"/>
    <w:basedOn w:val="1"/>
    <w:qFormat/>
    <w:uiPriority w:val="99"/>
    <w:pPr>
      <w:ind w:firstLine="200" w:firstLineChars="200"/>
    </w:pPr>
    <w:rPr>
      <w:rFonts w:eastAsia="楷体_GB2312"/>
    </w:rPr>
  </w:style>
  <w:style w:type="character" w:customStyle="1" w:styleId="37">
    <w:name w:val="页眉 Char"/>
    <w:basedOn w:val="28"/>
    <w:link w:val="15"/>
    <w:qFormat/>
    <w:uiPriority w:val="99"/>
    <w:rPr>
      <w:sz w:val="18"/>
      <w:szCs w:val="18"/>
    </w:rPr>
  </w:style>
  <w:style w:type="character" w:customStyle="1" w:styleId="38">
    <w:name w:val="页脚 Char"/>
    <w:basedOn w:val="28"/>
    <w:link w:val="14"/>
    <w:qFormat/>
    <w:uiPriority w:val="99"/>
    <w:rPr>
      <w:sz w:val="18"/>
      <w:szCs w:val="18"/>
    </w:rPr>
  </w:style>
  <w:style w:type="paragraph" w:customStyle="1" w:styleId="39">
    <w:name w:val="List Paragraph"/>
    <w:basedOn w:val="1"/>
    <w:qFormat/>
    <w:uiPriority w:val="34"/>
    <w:pPr>
      <w:ind w:firstLine="420" w:firstLineChars="200"/>
    </w:pPr>
  </w:style>
  <w:style w:type="character" w:customStyle="1" w:styleId="40">
    <w:name w:val="批注框文本 Char"/>
    <w:basedOn w:val="28"/>
    <w:link w:val="13"/>
    <w:semiHidden/>
    <w:qFormat/>
    <w:uiPriority w:val="99"/>
    <w:rPr>
      <w:sz w:val="18"/>
      <w:szCs w:val="18"/>
    </w:rPr>
  </w:style>
  <w:style w:type="paragraph" w:customStyle="1" w:styleId="41">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color w:val="2F5597" w:themeColor="accent1" w:themeShade="BF"/>
      <w:kern w:val="0"/>
      <w:sz w:val="32"/>
      <w:szCs w:val="32"/>
    </w:rPr>
  </w:style>
  <w:style w:type="character" w:customStyle="1" w:styleId="42">
    <w:name w:val="未处理的提及1"/>
    <w:basedOn w:val="28"/>
    <w:unhideWhenUsed/>
    <w:qFormat/>
    <w:uiPriority w:val="99"/>
    <w:rPr>
      <w:color w:val="605E5C"/>
      <w:shd w:val="clear" w:color="auto" w:fill="E1DFDD"/>
    </w:rPr>
  </w:style>
  <w:style w:type="character" w:customStyle="1" w:styleId="43">
    <w:name w:val="未处理的提及2"/>
    <w:basedOn w:val="28"/>
    <w:unhideWhenUsed/>
    <w:qFormat/>
    <w:uiPriority w:val="99"/>
    <w:rPr>
      <w:color w:val="605E5C"/>
      <w:shd w:val="clear" w:color="auto" w:fill="E1DFDD"/>
    </w:rPr>
  </w:style>
  <w:style w:type="paragraph" w:customStyle="1" w:styleId="44">
    <w:name w:val="Body text|1"/>
    <w:basedOn w:val="1"/>
    <w:qFormat/>
    <w:uiPriority w:val="0"/>
    <w:pPr>
      <w:spacing w:line="410" w:lineRule="auto"/>
      <w:ind w:firstLine="400"/>
    </w:pPr>
    <w:rPr>
      <w:rFonts w:ascii="宋体" w:hAnsi="宋体" w:eastAsia="宋体" w:cs="宋体"/>
      <w:sz w:val="30"/>
      <w:szCs w:val="30"/>
      <w:lang w:val="zh-TW" w:eastAsia="zh-TW" w:bidi="zh-TW"/>
    </w:rPr>
  </w:style>
  <w:style w:type="character" w:customStyle="1" w:styleId="45">
    <w:name w:val="apple-converted-space"/>
    <w:basedOn w:val="28"/>
    <w:qFormat/>
    <w:uiPriority w:val="0"/>
  </w:style>
  <w:style w:type="paragraph" w:customStyle="1" w:styleId="46">
    <w:name w:val="p0"/>
    <w:basedOn w:val="1"/>
    <w:qFormat/>
    <w:uiPriority w:val="0"/>
    <w:pPr>
      <w:widowControl/>
    </w:pPr>
    <w:rPr>
      <w:rFonts w:eastAsia="宋体"/>
      <w:sz w:val="21"/>
      <w:szCs w:val="21"/>
    </w:rPr>
  </w:style>
  <w:style w:type="paragraph" w:customStyle="1" w:styleId="47">
    <w:name w:val="WPSOffice手动目录 1"/>
    <w:qFormat/>
    <w:uiPriority w:val="0"/>
    <w:rPr>
      <w:rFonts w:ascii="Times New Roman" w:hAnsi="Times New Roman" w:eastAsia="宋体" w:cs="Times New Roman"/>
      <w:lang w:val="en-US" w:eastAsia="zh-CN" w:bidi="ar-SA"/>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0">
    <w:name w:val="未处理的提及3"/>
    <w:basedOn w:val="28"/>
    <w:unhideWhenUsed/>
    <w:qFormat/>
    <w:uiPriority w:val="99"/>
    <w:rPr>
      <w:color w:val="605E5C"/>
      <w:shd w:val="clear" w:color="auto" w:fill="E1DFDD"/>
    </w:rPr>
  </w:style>
  <w:style w:type="character" w:customStyle="1" w:styleId="51">
    <w:name w:val="批注文字 Char"/>
    <w:basedOn w:val="28"/>
    <w:link w:val="7"/>
    <w:semiHidden/>
    <w:qFormat/>
    <w:uiPriority w:val="99"/>
    <w:rPr>
      <w:kern w:val="2"/>
      <w:sz w:val="32"/>
      <w:szCs w:val="22"/>
    </w:rPr>
  </w:style>
  <w:style w:type="character" w:customStyle="1" w:styleId="52">
    <w:name w:val="批注主题 Char"/>
    <w:basedOn w:val="51"/>
    <w:link w:val="24"/>
    <w:semiHidden/>
    <w:qFormat/>
    <w:uiPriority w:val="99"/>
    <w:rPr>
      <w:b/>
      <w:bCs/>
      <w:kern w:val="2"/>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8DCD77-5E0E-42E2-B356-E63B0790E07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104</Pages>
  <Words>49216</Words>
  <Characters>50414</Characters>
  <Lines>433</Lines>
  <Paragraphs>122</Paragraphs>
  <TotalTime>40</TotalTime>
  <ScaleCrop>false</ScaleCrop>
  <LinksUpToDate>false</LinksUpToDate>
  <CharactersWithSpaces>57562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2021-01-13T22:45:00Z</dcterms:created>
  <dc:creator>taihou</dc:creator>
  <cp:lastModifiedBy>朱锐</cp:lastModifiedBy>
  <cp:lastPrinted>2021-05-24T08:21:00Z</cp:lastPrinted>
  <dcterms:modified xsi:type="dcterms:W3CDTF">2021-07-30T06:10:52Z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BC5F5A7C551E4DD0997FE235DAFB71A2</vt:lpwstr>
  </property>
</Properties>
</file>