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88" w:rsidRPr="0037685F" w:rsidRDefault="00BE0788" w:rsidP="00BE0788">
      <w:pPr>
        <w:pStyle w:val="afffffc"/>
        <w:framePr w:wrap="around"/>
        <w:rPr>
          <w:rFonts w:eastAsia="宋体"/>
          <w:color w:val="0000FF"/>
        </w:rPr>
      </w:pPr>
    </w:p>
    <w:p w:rsidR="00BE0788" w:rsidRPr="0037685F" w:rsidRDefault="00BE0788" w:rsidP="00BE0788">
      <w:pPr>
        <w:pStyle w:val="afffffc"/>
        <w:framePr w:wrap="around"/>
        <w:rPr>
          <w:color w:val="0000FF"/>
        </w:rPr>
      </w:pPr>
    </w:p>
    <w:p w:rsidR="00BE0788" w:rsidRPr="0037685F" w:rsidRDefault="00BE0788" w:rsidP="00BE0788">
      <w:pPr>
        <w:pStyle w:val="affff9"/>
        <w:framePr w:wrap="around"/>
        <w:rPr>
          <w:color w:val="0000FF"/>
        </w:rPr>
      </w:pPr>
    </w:p>
    <w:p w:rsidR="00BE0788" w:rsidRPr="00CF4BD3" w:rsidRDefault="007A5014" w:rsidP="00BE0788">
      <w:pPr>
        <w:pStyle w:val="affffa"/>
        <w:framePr w:wrap="around"/>
      </w:pPr>
      <w:r w:rsidRPr="00CF4BD3">
        <w:rPr>
          <w:rFonts w:hint="eastAsia"/>
        </w:rPr>
        <w:t>阿坝藏族羌族自治州市场监督管理局2020             年流通领域监督抽查实施细则</w:t>
      </w:r>
      <w:r w:rsidR="00BE0788" w:rsidRPr="00CF4BD3">
        <w:t xml:space="preserve"> </w:t>
      </w:r>
    </w:p>
    <w:p w:rsidR="00BE0788" w:rsidRPr="00CF4BD3" w:rsidRDefault="00BE0788" w:rsidP="00BE0788">
      <w:pPr>
        <w:pStyle w:val="2"/>
        <w:framePr w:wrap="around"/>
        <w:rPr>
          <w:rFonts w:hAnsi="黑体"/>
        </w:rPr>
      </w:pPr>
    </w:p>
    <w:p w:rsidR="00BE0788" w:rsidRPr="00CF4BD3" w:rsidRDefault="00C46DC1" w:rsidP="00BE0788">
      <w:pPr>
        <w:pStyle w:val="afff7"/>
        <w:framePr w:wrap="around"/>
      </w:pPr>
      <w:r>
        <w:rPr>
          <w:rFonts w:hint="eastAsia"/>
        </w:rPr>
        <w:t>热轧型钢</w:t>
      </w:r>
    </w:p>
    <w:p w:rsidR="00BE0788" w:rsidRPr="0037685F" w:rsidRDefault="00BE0788" w:rsidP="00BE0788">
      <w:pPr>
        <w:pStyle w:val="afff8"/>
        <w:framePr w:wrap="around"/>
        <w:rPr>
          <w:color w:val="0000FF"/>
        </w:rPr>
      </w:pPr>
    </w:p>
    <w:p w:rsidR="00BE0788" w:rsidRPr="0037685F" w:rsidRDefault="00BE0788" w:rsidP="00BE0788">
      <w:pPr>
        <w:pStyle w:val="afff9"/>
        <w:framePr w:wrap="around"/>
        <w:jc w:val="both"/>
        <w:rPr>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BE0788" w:rsidRPr="0037685F">
        <w:tc>
          <w:tcPr>
            <w:tcW w:w="9855" w:type="dxa"/>
            <w:tcBorders>
              <w:top w:val="nil"/>
              <w:left w:val="nil"/>
              <w:bottom w:val="nil"/>
              <w:right w:val="nil"/>
            </w:tcBorders>
            <w:shd w:val="clear" w:color="auto" w:fill="auto"/>
          </w:tcPr>
          <w:p w:rsidR="00BE0788" w:rsidRPr="0037685F" w:rsidRDefault="00861242" w:rsidP="00BE0788">
            <w:pPr>
              <w:pStyle w:val="afffa"/>
              <w:framePr w:wrap="around"/>
              <w:rPr>
                <w:color w:val="0000FF"/>
              </w:rPr>
            </w:pPr>
            <w:r>
              <w:rPr>
                <w:noProof/>
                <w:color w:val="0000FF"/>
              </w:rPr>
              <w:pict>
                <v:rect id="RQ" o:spid="_x0000_s1038" style="position:absolute;left:0;text-align:left;margin-left:173.3pt;margin-top:337.15pt;width:150pt;height:20pt;z-index:-251656704" stroked="f">
                  <w10:anchorlock/>
                </v:rect>
              </w:pict>
            </w:r>
          </w:p>
        </w:tc>
      </w:tr>
      <w:tr w:rsidR="00BE0788" w:rsidRPr="0037685F">
        <w:tc>
          <w:tcPr>
            <w:tcW w:w="9855" w:type="dxa"/>
            <w:tcBorders>
              <w:top w:val="nil"/>
              <w:left w:val="nil"/>
              <w:bottom w:val="nil"/>
              <w:right w:val="nil"/>
            </w:tcBorders>
            <w:shd w:val="clear" w:color="auto" w:fill="auto"/>
          </w:tcPr>
          <w:p w:rsidR="00BE0788" w:rsidRPr="0037685F" w:rsidRDefault="00BE0788" w:rsidP="00BE0788">
            <w:pPr>
              <w:pStyle w:val="afffb"/>
              <w:framePr w:wrap="around"/>
              <w:rPr>
                <w:color w:val="0000FF"/>
              </w:rPr>
            </w:pPr>
          </w:p>
        </w:tc>
      </w:tr>
    </w:tbl>
    <w:p w:rsidR="00BE0788" w:rsidRPr="00CC61DD" w:rsidRDefault="00CC61DD" w:rsidP="00CC61DD">
      <w:pPr>
        <w:pStyle w:val="affffff5"/>
        <w:framePr w:wrap="around" w:hAnchor="page" w:x="1141" w:y="14071"/>
      </w:pPr>
      <w:r w:rsidRPr="00CC61DD">
        <w:rPr>
          <w:rFonts w:ascii="黑体" w:hint="eastAsia"/>
        </w:rPr>
        <w:t>2020</w:t>
      </w:r>
      <w:r w:rsidR="00BE0788" w:rsidRPr="00CC61DD">
        <w:t xml:space="preserve"> </w:t>
      </w:r>
      <w:r w:rsidR="00BE0788" w:rsidRPr="00CC61DD">
        <w:rPr>
          <w:rFonts w:ascii="黑体"/>
        </w:rPr>
        <w:t>-</w:t>
      </w:r>
      <w:r w:rsidRPr="00CC61DD">
        <w:rPr>
          <w:rFonts w:ascii="黑体" w:hint="eastAsia"/>
        </w:rPr>
        <w:t>05-28</w:t>
      </w:r>
      <w:r w:rsidR="00BE0788" w:rsidRPr="00CC61DD">
        <w:rPr>
          <w:rFonts w:hint="eastAsia"/>
        </w:rPr>
        <w:t>发布</w:t>
      </w:r>
      <w:r w:rsidR="00861242">
        <w:pict>
          <v:line id="_x0000_s1034" style="position:absolute;z-index:251655680;mso-position-horizontal-relative:text;mso-position-vertical-relative:page" from="-.05pt,728.5pt" to="481.85pt,728.5pt">
            <w10:wrap anchory="page"/>
            <w10:anchorlock/>
          </v:line>
        </w:pict>
      </w:r>
    </w:p>
    <w:p w:rsidR="00BE0788" w:rsidRPr="00CC61DD" w:rsidRDefault="00CC61DD" w:rsidP="00CC61DD">
      <w:pPr>
        <w:pStyle w:val="affffff6"/>
        <w:framePr w:wrap="around" w:hAnchor="page" w:x="6661" w:y="14131"/>
      </w:pPr>
      <w:r w:rsidRPr="00CC61DD">
        <w:rPr>
          <w:rFonts w:ascii="黑体" w:hint="eastAsia"/>
        </w:rPr>
        <w:t>2020-05-28</w:t>
      </w:r>
      <w:r w:rsidR="00BE0788" w:rsidRPr="00CC61DD">
        <w:rPr>
          <w:rFonts w:hint="eastAsia"/>
        </w:rPr>
        <w:t>实施</w:t>
      </w:r>
    </w:p>
    <w:p w:rsidR="00BE0788" w:rsidRPr="00CC61DD" w:rsidRDefault="00861242" w:rsidP="00BE0788">
      <w:pPr>
        <w:pStyle w:val="affffb"/>
        <w:framePr w:wrap="around"/>
      </w:pPr>
      <w:bookmarkStart w:id="0" w:name="fm"/>
      <w:r>
        <w:rPr>
          <w:noProof/>
          <w:w w:val="100"/>
        </w:rPr>
        <w:pict>
          <v:rect id="LB" o:spid="_x0000_s1037" style="position:absolute;left:0;text-align:left;margin-left:142.55pt;margin-top:-310.45pt;width:100pt;height:24pt;z-index:-251657728" stroked="f"/>
        </w:pict>
      </w:r>
      <w:r>
        <w:rPr>
          <w:noProof/>
          <w:w w:val="100"/>
        </w:rPr>
        <w:pict>
          <v:rect id="DT" o:spid="_x0000_s1036" style="position:absolute;left:0;text-align:left;margin-left:347.55pt;margin-top:-585.45pt;width:90pt;height:18pt;z-index:-251658752" stroked="f"/>
        </w:pict>
      </w:r>
      <w:r>
        <w:rPr>
          <w:noProof/>
          <w:w w:val="100"/>
        </w:rPr>
        <w:pict>
          <v:line id="_x0000_s1035" style="position:absolute;left:0;text-align:left;z-index:251656704" from="-36.6pt,-552.85pt" to="445.3pt,-552.85pt"/>
        </w:pict>
      </w:r>
      <w:bookmarkEnd w:id="0"/>
      <w:r w:rsidR="00CC61DD" w:rsidRPr="00CC61DD">
        <w:rPr>
          <w:rFonts w:hint="eastAsia"/>
        </w:rPr>
        <w:t>阿坝藏族羌族自治州市场监督管理局</w:t>
      </w:r>
      <w:r w:rsidR="00BE0788" w:rsidRPr="00CC61DD">
        <w:rPr>
          <w:rFonts w:hAnsi="黑体"/>
        </w:rPr>
        <w:t> </w:t>
      </w:r>
      <w:r w:rsidR="00BE0788" w:rsidRPr="00CC61DD">
        <w:rPr>
          <w:rStyle w:val="afff3"/>
          <w:rFonts w:hint="eastAsia"/>
        </w:rPr>
        <w:t>发布</w:t>
      </w:r>
    </w:p>
    <w:p w:rsidR="00BE0788" w:rsidRPr="0037685F" w:rsidRDefault="00BE0788" w:rsidP="00BE0788">
      <w:pPr>
        <w:pStyle w:val="afe"/>
        <w:rPr>
          <w:color w:val="0000FF"/>
        </w:rPr>
        <w:sectPr w:rsidR="00BE0788" w:rsidRPr="0037685F" w:rsidSect="00BE0788">
          <w:pgSz w:w="11906" w:h="16838" w:code="9"/>
          <w:pgMar w:top="567" w:right="850" w:bottom="1134" w:left="1418" w:header="0" w:footer="0" w:gutter="0"/>
          <w:pgNumType w:start="1"/>
          <w:cols w:space="425"/>
          <w:docGrid w:type="lines" w:linePitch="312"/>
        </w:sectPr>
      </w:pPr>
    </w:p>
    <w:p w:rsidR="0058135A" w:rsidRPr="0037685F" w:rsidRDefault="0058135A" w:rsidP="0058135A">
      <w:pPr>
        <w:pStyle w:val="aff1"/>
        <w:rPr>
          <w:color w:val="0000FF"/>
        </w:rPr>
      </w:pPr>
      <w:r w:rsidRPr="0037685F">
        <w:rPr>
          <w:rFonts w:hint="eastAsia"/>
          <w:color w:val="0000FF"/>
        </w:rPr>
        <w:lastRenderedPageBreak/>
        <w:t>目</w:t>
      </w:r>
      <w:bookmarkStart w:id="1" w:name="BKML"/>
      <w:r w:rsidRPr="0037685F">
        <w:rPr>
          <w:rFonts w:hAnsi="黑体"/>
          <w:color w:val="0000FF"/>
        </w:rPr>
        <w:t> </w:t>
      </w:r>
      <w:r w:rsidRPr="0037685F">
        <w:rPr>
          <w:rFonts w:hAnsi="黑体"/>
          <w:color w:val="0000FF"/>
        </w:rPr>
        <w:t> </w:t>
      </w:r>
      <w:r w:rsidRPr="0037685F">
        <w:rPr>
          <w:rFonts w:hint="eastAsia"/>
          <w:color w:val="0000FF"/>
        </w:rPr>
        <w:t>次</w:t>
      </w:r>
      <w:bookmarkEnd w:id="1"/>
    </w:p>
    <w:p w:rsidR="0058135A" w:rsidRPr="0037685F" w:rsidRDefault="00861242" w:rsidP="0058135A">
      <w:pPr>
        <w:pStyle w:val="11"/>
        <w:spacing w:before="78" w:after="78"/>
        <w:rPr>
          <w:rFonts w:ascii="Times New Roman"/>
          <w:noProof/>
          <w:color w:val="0000FF"/>
          <w:szCs w:val="24"/>
        </w:rPr>
      </w:pPr>
      <w:r w:rsidRPr="00861242">
        <w:rPr>
          <w:color w:val="0000FF"/>
        </w:rPr>
        <w:fldChar w:fldCharType="begin" w:fldLock="1"/>
      </w:r>
      <w:r w:rsidR="0058135A" w:rsidRPr="0037685F">
        <w:rPr>
          <w:color w:val="0000FF"/>
        </w:rPr>
        <w:instrText xml:space="preserve"> TOC \h \z \t"前言、引言标题,1,参考文献、索引标题,1,章标题,1,参考文献,1,附录标识,1" \* MERGEFORMAT </w:instrText>
      </w:r>
      <w:r w:rsidRPr="00861242">
        <w:rPr>
          <w:color w:val="0000FF"/>
        </w:rPr>
        <w:fldChar w:fldCharType="separate"/>
      </w:r>
      <w:hyperlink w:anchor="_Toc482003953" w:history="1">
        <w:r w:rsidR="0058135A" w:rsidRPr="0037685F">
          <w:rPr>
            <w:rStyle w:val="afff2"/>
          </w:rPr>
          <w:t>1</w:t>
        </w:r>
        <w:r w:rsidR="0058135A" w:rsidRPr="0037685F">
          <w:rPr>
            <w:rStyle w:val="afff2"/>
            <w:rFonts w:hint="eastAsia"/>
          </w:rPr>
          <w:t xml:space="preserve">　范围</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_Toc482003953 \h </w:instrText>
        </w:r>
        <w:r w:rsidRPr="0037685F">
          <w:rPr>
            <w:noProof/>
            <w:webHidden/>
            <w:color w:val="0000FF"/>
          </w:rPr>
        </w:r>
        <w:r w:rsidRPr="0037685F">
          <w:rPr>
            <w:noProof/>
            <w:webHidden/>
            <w:color w:val="0000FF"/>
          </w:rPr>
          <w:fldChar w:fldCharType="separate"/>
        </w:r>
        <w:r w:rsidR="0058135A" w:rsidRPr="0037685F">
          <w:rPr>
            <w:noProof/>
            <w:webHidden/>
            <w:color w:val="0000FF"/>
          </w:rPr>
          <w:t>1</w:t>
        </w:r>
        <w:r w:rsidRPr="0037685F">
          <w:rPr>
            <w:noProof/>
            <w:webHidden/>
            <w:color w:val="0000FF"/>
          </w:rPr>
          <w:fldChar w:fldCharType="end"/>
        </w:r>
      </w:hyperlink>
    </w:p>
    <w:p w:rsidR="0058135A" w:rsidRPr="0037685F" w:rsidRDefault="00861242" w:rsidP="0058135A">
      <w:pPr>
        <w:pStyle w:val="11"/>
        <w:spacing w:before="78" w:after="78"/>
        <w:rPr>
          <w:rFonts w:ascii="Times New Roman"/>
          <w:noProof/>
          <w:color w:val="0000FF"/>
          <w:szCs w:val="24"/>
        </w:rPr>
      </w:pPr>
      <w:hyperlink w:anchor="_Toc482003954" w:history="1">
        <w:r w:rsidR="0058135A" w:rsidRPr="0037685F">
          <w:rPr>
            <w:rStyle w:val="afff2"/>
          </w:rPr>
          <w:t>2</w:t>
        </w:r>
        <w:r w:rsidR="0058135A" w:rsidRPr="0037685F">
          <w:rPr>
            <w:rStyle w:val="afff2"/>
            <w:rFonts w:hint="eastAsia"/>
          </w:rPr>
          <w:t xml:space="preserve">　产品分类</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_Toc482003954 \h </w:instrText>
        </w:r>
        <w:r w:rsidRPr="0037685F">
          <w:rPr>
            <w:noProof/>
            <w:webHidden/>
            <w:color w:val="0000FF"/>
          </w:rPr>
        </w:r>
        <w:r w:rsidRPr="0037685F">
          <w:rPr>
            <w:noProof/>
            <w:webHidden/>
            <w:color w:val="0000FF"/>
          </w:rPr>
          <w:fldChar w:fldCharType="separate"/>
        </w:r>
        <w:r w:rsidR="0058135A" w:rsidRPr="0037685F">
          <w:rPr>
            <w:noProof/>
            <w:webHidden/>
            <w:color w:val="0000FF"/>
          </w:rPr>
          <w:t>1</w:t>
        </w:r>
        <w:r w:rsidRPr="0037685F">
          <w:rPr>
            <w:noProof/>
            <w:webHidden/>
            <w:color w:val="0000FF"/>
          </w:rPr>
          <w:fldChar w:fldCharType="end"/>
        </w:r>
      </w:hyperlink>
    </w:p>
    <w:p w:rsidR="0058135A" w:rsidRPr="0037685F" w:rsidRDefault="00861242" w:rsidP="0058135A">
      <w:pPr>
        <w:pStyle w:val="11"/>
        <w:spacing w:before="78" w:after="78"/>
        <w:rPr>
          <w:rFonts w:ascii="Times New Roman"/>
          <w:noProof/>
          <w:color w:val="0000FF"/>
          <w:szCs w:val="24"/>
        </w:rPr>
      </w:pPr>
      <w:hyperlink w:anchor="_Toc482003955" w:history="1">
        <w:r w:rsidR="0058135A" w:rsidRPr="0037685F">
          <w:rPr>
            <w:rStyle w:val="afff2"/>
          </w:rPr>
          <w:t>3</w:t>
        </w:r>
        <w:r w:rsidR="0058135A" w:rsidRPr="0037685F">
          <w:rPr>
            <w:rStyle w:val="afff2"/>
            <w:rFonts w:hint="eastAsia"/>
          </w:rPr>
          <w:t xml:space="preserve">　术语和定义</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_Toc482003955 \h </w:instrText>
        </w:r>
        <w:r w:rsidRPr="0037685F">
          <w:rPr>
            <w:noProof/>
            <w:webHidden/>
            <w:color w:val="0000FF"/>
          </w:rPr>
        </w:r>
        <w:r w:rsidRPr="0037685F">
          <w:rPr>
            <w:noProof/>
            <w:webHidden/>
            <w:color w:val="0000FF"/>
          </w:rPr>
          <w:fldChar w:fldCharType="separate"/>
        </w:r>
        <w:r w:rsidR="0058135A" w:rsidRPr="0037685F">
          <w:rPr>
            <w:noProof/>
            <w:webHidden/>
            <w:color w:val="0000FF"/>
          </w:rPr>
          <w:t>1</w:t>
        </w:r>
        <w:r w:rsidRPr="0037685F">
          <w:rPr>
            <w:noProof/>
            <w:webHidden/>
            <w:color w:val="0000FF"/>
          </w:rPr>
          <w:fldChar w:fldCharType="end"/>
        </w:r>
      </w:hyperlink>
    </w:p>
    <w:p w:rsidR="0058135A" w:rsidRPr="0037685F" w:rsidRDefault="00861242" w:rsidP="0058135A">
      <w:pPr>
        <w:pStyle w:val="11"/>
        <w:spacing w:before="78" w:after="78"/>
        <w:rPr>
          <w:rFonts w:ascii="Times New Roman"/>
          <w:noProof/>
          <w:color w:val="0000FF"/>
          <w:szCs w:val="24"/>
        </w:rPr>
      </w:pPr>
      <w:hyperlink w:anchor="_Toc482003956" w:history="1">
        <w:r w:rsidR="0058135A" w:rsidRPr="0037685F">
          <w:rPr>
            <w:rStyle w:val="afff2"/>
          </w:rPr>
          <w:t>4</w:t>
        </w:r>
        <w:r w:rsidR="00672455">
          <w:rPr>
            <w:rStyle w:val="afff2"/>
            <w:rFonts w:hint="eastAsia"/>
          </w:rPr>
          <w:t xml:space="preserve">　</w:t>
        </w:r>
        <w:r w:rsidR="009E10C0" w:rsidRPr="009E10C0">
          <w:rPr>
            <w:rStyle w:val="afff2"/>
            <w:rFonts w:hint="eastAsia"/>
          </w:rPr>
          <w:t>检验依据</w:t>
        </w:r>
        <w:r w:rsidR="0058135A" w:rsidRPr="0037685F">
          <w:rPr>
            <w:noProof/>
            <w:webHidden/>
            <w:color w:val="0000FF"/>
          </w:rPr>
          <w:tab/>
        </w:r>
        <w:r w:rsidR="009E10C0">
          <w:rPr>
            <w:rFonts w:hint="eastAsia"/>
            <w:noProof/>
            <w:webHidden/>
            <w:color w:val="0000FF"/>
          </w:rPr>
          <w:t>2</w:t>
        </w:r>
      </w:hyperlink>
    </w:p>
    <w:p w:rsidR="0058135A" w:rsidRPr="0037685F" w:rsidRDefault="00861242" w:rsidP="0058135A">
      <w:pPr>
        <w:pStyle w:val="11"/>
        <w:spacing w:before="78" w:after="78"/>
        <w:rPr>
          <w:rFonts w:ascii="Times New Roman"/>
          <w:noProof/>
          <w:color w:val="0000FF"/>
          <w:szCs w:val="24"/>
        </w:rPr>
      </w:pPr>
      <w:hyperlink w:anchor="_Toc482003957" w:history="1">
        <w:r w:rsidR="0058135A" w:rsidRPr="0037685F">
          <w:rPr>
            <w:rStyle w:val="afff2"/>
          </w:rPr>
          <w:t>5</w:t>
        </w:r>
        <w:r w:rsidR="0058135A" w:rsidRPr="0037685F">
          <w:rPr>
            <w:rStyle w:val="afff2"/>
            <w:rFonts w:hint="eastAsia"/>
          </w:rPr>
          <w:t xml:space="preserve">　</w:t>
        </w:r>
        <w:r w:rsidR="009E10C0" w:rsidRPr="009E10C0">
          <w:rPr>
            <w:rStyle w:val="afff2"/>
            <w:rFonts w:hint="eastAsia"/>
          </w:rPr>
          <w:t>抽样</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_Toc482003957 \h </w:instrText>
        </w:r>
        <w:r w:rsidRPr="0037685F">
          <w:rPr>
            <w:noProof/>
            <w:webHidden/>
            <w:color w:val="0000FF"/>
          </w:rPr>
        </w:r>
        <w:r w:rsidRPr="0037685F">
          <w:rPr>
            <w:noProof/>
            <w:webHidden/>
            <w:color w:val="0000FF"/>
          </w:rPr>
          <w:fldChar w:fldCharType="separate"/>
        </w:r>
        <w:r w:rsidR="0058135A" w:rsidRPr="0037685F">
          <w:rPr>
            <w:noProof/>
            <w:webHidden/>
            <w:color w:val="0000FF"/>
          </w:rPr>
          <w:t>2</w:t>
        </w:r>
        <w:r w:rsidRPr="0037685F">
          <w:rPr>
            <w:noProof/>
            <w:webHidden/>
            <w:color w:val="0000FF"/>
          </w:rPr>
          <w:fldChar w:fldCharType="end"/>
        </w:r>
      </w:hyperlink>
    </w:p>
    <w:p w:rsidR="0058135A" w:rsidRPr="0037685F" w:rsidRDefault="00861242" w:rsidP="0058135A">
      <w:pPr>
        <w:pStyle w:val="11"/>
        <w:spacing w:before="78" w:after="78"/>
        <w:rPr>
          <w:rFonts w:ascii="Times New Roman"/>
          <w:noProof/>
          <w:color w:val="0000FF"/>
          <w:szCs w:val="24"/>
        </w:rPr>
      </w:pPr>
      <w:hyperlink w:anchor="_Toc482003958" w:history="1">
        <w:r w:rsidR="0058135A" w:rsidRPr="0037685F">
          <w:rPr>
            <w:rStyle w:val="afff2"/>
          </w:rPr>
          <w:t>6</w:t>
        </w:r>
        <w:r w:rsidR="0058135A" w:rsidRPr="0037685F">
          <w:rPr>
            <w:rStyle w:val="afff2"/>
            <w:rFonts w:hint="eastAsia"/>
          </w:rPr>
          <w:t xml:space="preserve">　抽样</w:t>
        </w:r>
        <w:r w:rsidR="0058135A" w:rsidRPr="0037685F">
          <w:rPr>
            <w:noProof/>
            <w:webHidden/>
            <w:color w:val="0000FF"/>
          </w:rPr>
          <w:tab/>
        </w:r>
        <w:r w:rsidR="009E10C0">
          <w:rPr>
            <w:rFonts w:hint="eastAsia"/>
            <w:noProof/>
            <w:webHidden/>
            <w:color w:val="0000FF"/>
          </w:rPr>
          <w:t>3</w:t>
        </w:r>
      </w:hyperlink>
    </w:p>
    <w:p w:rsidR="0058135A" w:rsidRPr="0037685F" w:rsidRDefault="00861242" w:rsidP="0058135A">
      <w:pPr>
        <w:pStyle w:val="11"/>
        <w:spacing w:before="78" w:after="78"/>
        <w:rPr>
          <w:rFonts w:ascii="Times New Roman"/>
          <w:noProof/>
          <w:color w:val="0000FF"/>
          <w:szCs w:val="24"/>
        </w:rPr>
      </w:pPr>
      <w:hyperlink w:anchor="_Toc482003959" w:history="1">
        <w:r w:rsidR="0058135A" w:rsidRPr="0037685F">
          <w:rPr>
            <w:rStyle w:val="afff2"/>
          </w:rPr>
          <w:t>7</w:t>
        </w:r>
        <w:r w:rsidR="0058135A" w:rsidRPr="0037685F">
          <w:rPr>
            <w:rStyle w:val="afff2"/>
            <w:rFonts w:hint="eastAsia"/>
          </w:rPr>
          <w:t xml:space="preserve">　检验要求</w:t>
        </w:r>
        <w:r w:rsidR="0058135A" w:rsidRPr="0037685F">
          <w:rPr>
            <w:noProof/>
            <w:webHidden/>
            <w:color w:val="0000FF"/>
          </w:rPr>
          <w:tab/>
        </w:r>
        <w:r w:rsidR="009E10C0">
          <w:rPr>
            <w:rFonts w:hint="eastAsia"/>
            <w:noProof/>
            <w:webHidden/>
            <w:color w:val="0000FF"/>
          </w:rPr>
          <w:t>5</w:t>
        </w:r>
      </w:hyperlink>
    </w:p>
    <w:p w:rsidR="0058135A" w:rsidRPr="0037685F" w:rsidRDefault="00861242" w:rsidP="0058135A">
      <w:pPr>
        <w:pStyle w:val="11"/>
        <w:spacing w:before="78" w:after="78"/>
        <w:rPr>
          <w:rFonts w:ascii="Times New Roman"/>
          <w:noProof/>
          <w:color w:val="0000FF"/>
          <w:szCs w:val="24"/>
        </w:rPr>
      </w:pPr>
      <w:hyperlink w:anchor="_Toc482003960" w:history="1">
        <w:r w:rsidR="0058135A" w:rsidRPr="0037685F">
          <w:rPr>
            <w:rStyle w:val="afff2"/>
          </w:rPr>
          <w:t>8</w:t>
        </w:r>
        <w:r w:rsidR="0058135A" w:rsidRPr="0037685F">
          <w:rPr>
            <w:rStyle w:val="afff2"/>
            <w:rFonts w:hint="eastAsia"/>
          </w:rPr>
          <w:t xml:space="preserve">　判定原则</w:t>
        </w:r>
        <w:r w:rsidR="0058135A" w:rsidRPr="0037685F">
          <w:rPr>
            <w:noProof/>
            <w:webHidden/>
            <w:color w:val="0000FF"/>
          </w:rPr>
          <w:tab/>
        </w:r>
        <w:r w:rsidR="009E10C0">
          <w:rPr>
            <w:rFonts w:hint="eastAsia"/>
            <w:noProof/>
            <w:webHidden/>
            <w:color w:val="0000FF"/>
          </w:rPr>
          <w:t>5</w:t>
        </w:r>
      </w:hyperlink>
    </w:p>
    <w:p w:rsidR="0058135A" w:rsidRPr="0037685F" w:rsidRDefault="00861242" w:rsidP="0058135A">
      <w:pPr>
        <w:pStyle w:val="11"/>
        <w:spacing w:before="78" w:after="78"/>
        <w:rPr>
          <w:rFonts w:ascii="Times New Roman"/>
          <w:noProof/>
          <w:color w:val="0000FF"/>
          <w:szCs w:val="24"/>
        </w:rPr>
      </w:pPr>
      <w:hyperlink w:anchor="_Toc482003961" w:history="1">
        <w:r w:rsidR="0058135A" w:rsidRPr="0037685F">
          <w:rPr>
            <w:rStyle w:val="afff2"/>
          </w:rPr>
          <w:t>9</w:t>
        </w:r>
        <w:r w:rsidR="0058135A" w:rsidRPr="0037685F">
          <w:rPr>
            <w:rStyle w:val="afff2"/>
            <w:rFonts w:hint="eastAsia"/>
          </w:rPr>
          <w:t xml:space="preserve">　异议处理</w:t>
        </w:r>
        <w:r w:rsidR="0058135A" w:rsidRPr="0037685F">
          <w:rPr>
            <w:noProof/>
            <w:webHidden/>
            <w:color w:val="0000FF"/>
          </w:rPr>
          <w:tab/>
        </w:r>
        <w:r w:rsidR="009E10C0">
          <w:rPr>
            <w:rFonts w:hint="eastAsia"/>
            <w:noProof/>
            <w:webHidden/>
            <w:color w:val="0000FF"/>
          </w:rPr>
          <w:t>5</w:t>
        </w:r>
      </w:hyperlink>
    </w:p>
    <w:p w:rsidR="0058135A" w:rsidRPr="0037685F" w:rsidRDefault="00861242" w:rsidP="0058135A">
      <w:pPr>
        <w:pStyle w:val="11"/>
        <w:spacing w:before="78" w:after="78"/>
        <w:rPr>
          <w:rFonts w:ascii="Times New Roman"/>
          <w:noProof/>
          <w:color w:val="0000FF"/>
          <w:szCs w:val="24"/>
        </w:rPr>
      </w:pPr>
      <w:hyperlink w:anchor="_Toc482003962" w:history="1">
        <w:r w:rsidR="0058135A" w:rsidRPr="0037685F">
          <w:rPr>
            <w:rStyle w:val="afff2"/>
          </w:rPr>
          <w:t>10</w:t>
        </w:r>
        <w:r w:rsidR="0058135A" w:rsidRPr="0037685F">
          <w:rPr>
            <w:rStyle w:val="afff2"/>
            <w:rFonts w:hint="eastAsia"/>
          </w:rPr>
          <w:t xml:space="preserve">　附则</w:t>
        </w:r>
        <w:r w:rsidR="0058135A" w:rsidRPr="0037685F">
          <w:rPr>
            <w:noProof/>
            <w:webHidden/>
            <w:color w:val="0000FF"/>
          </w:rPr>
          <w:tab/>
        </w:r>
        <w:r w:rsidR="009E10C0">
          <w:rPr>
            <w:rFonts w:hint="eastAsia"/>
            <w:noProof/>
            <w:webHidden/>
            <w:color w:val="0000FF"/>
          </w:rPr>
          <w:t>6</w:t>
        </w:r>
      </w:hyperlink>
    </w:p>
    <w:p w:rsidR="0058135A" w:rsidRPr="0037685F" w:rsidRDefault="00861242" w:rsidP="0058135A">
      <w:pPr>
        <w:pStyle w:val="afe"/>
        <w:rPr>
          <w:color w:val="0000FF"/>
        </w:rPr>
        <w:sectPr w:rsidR="0058135A" w:rsidRPr="0037685F" w:rsidSect="0058135A">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sidRPr="0037685F">
        <w:rPr>
          <w:color w:val="0000FF"/>
        </w:rPr>
        <w:fldChar w:fldCharType="end"/>
      </w:r>
    </w:p>
    <w:p w:rsidR="00A621A5" w:rsidRPr="00C46DC1" w:rsidRDefault="00C46DC1" w:rsidP="00A621A5">
      <w:pPr>
        <w:pStyle w:val="a0"/>
        <w:numPr>
          <w:ilvl w:val="0"/>
          <w:numId w:val="0"/>
        </w:numPr>
        <w:spacing w:before="312" w:after="312"/>
        <w:jc w:val="center"/>
        <w:rPr>
          <w:rFonts w:hAnsi="黑体"/>
          <w:kern w:val="2"/>
          <w:sz w:val="32"/>
          <w:szCs w:val="32"/>
        </w:rPr>
      </w:pPr>
      <w:r w:rsidRPr="00C46DC1">
        <w:rPr>
          <w:rFonts w:hAnsi="黑体" w:hint="eastAsia"/>
          <w:kern w:val="2"/>
          <w:sz w:val="32"/>
          <w:szCs w:val="32"/>
        </w:rPr>
        <w:lastRenderedPageBreak/>
        <w:t>热轧型钢</w:t>
      </w:r>
    </w:p>
    <w:p w:rsidR="00A621A5" w:rsidRDefault="00A621A5" w:rsidP="00A621A5">
      <w:pPr>
        <w:pStyle w:val="a0"/>
        <w:spacing w:before="312" w:after="312"/>
      </w:pPr>
      <w:r>
        <w:rPr>
          <w:rFonts w:hint="eastAsia"/>
        </w:rPr>
        <w:t>范围</w:t>
      </w:r>
    </w:p>
    <w:p w:rsidR="00A621A5" w:rsidRDefault="00A621A5" w:rsidP="00A621A5">
      <w:pPr>
        <w:snapToGrid w:val="0"/>
        <w:ind w:firstLineChars="200" w:firstLine="420"/>
        <w:rPr>
          <w:rFonts w:ascii="宋体" w:hAnsi="宋体"/>
          <w:szCs w:val="21"/>
        </w:rPr>
      </w:pPr>
      <w:bookmarkStart w:id="2" w:name="_Toc25227523"/>
      <w:bookmarkStart w:id="3" w:name="_Toc25227597"/>
      <w:bookmarkStart w:id="4" w:name="_Toc482282793"/>
      <w:r>
        <w:rPr>
          <w:rFonts w:ascii="宋体" w:hAnsi="宋体" w:hint="eastAsia"/>
          <w:szCs w:val="21"/>
        </w:rPr>
        <w:t>本细则适用于阿坝藏族羌族自治州流通领域热轧型钢产品质量监督抽查。区县级市场监督管理部门组织的监督抽查可参照执行。</w:t>
      </w:r>
      <w:bookmarkEnd w:id="2"/>
      <w:bookmarkEnd w:id="3"/>
    </w:p>
    <w:p w:rsidR="00A621A5" w:rsidRDefault="00A621A5" w:rsidP="00A621A5">
      <w:pPr>
        <w:autoSpaceDE w:val="0"/>
        <w:autoSpaceDN w:val="0"/>
        <w:adjustRightInd w:val="0"/>
        <w:ind w:firstLineChars="200" w:firstLine="420"/>
        <w:jc w:val="left"/>
        <w:rPr>
          <w:rFonts w:ascii="宋体" w:hAnsi="宋体"/>
          <w:szCs w:val="21"/>
        </w:rPr>
      </w:pPr>
      <w:bookmarkStart w:id="5" w:name="_Toc25227524"/>
      <w:bookmarkStart w:id="6" w:name="_Toc25227598"/>
      <w:r>
        <w:rPr>
          <w:rFonts w:ascii="宋体" w:hAnsi="宋体" w:hint="eastAsia"/>
          <w:szCs w:val="21"/>
        </w:rPr>
        <w:t>监督抽查产品范围包括：</w:t>
      </w:r>
      <w:r>
        <w:rPr>
          <w:rFonts w:hint="eastAsia"/>
          <w:color w:val="000000"/>
        </w:rPr>
        <w:t>热轧工字钢、热轧槽钢、热轧等边角钢、热轧不等边角钢。</w:t>
      </w:r>
    </w:p>
    <w:p w:rsidR="00A621A5" w:rsidRDefault="00A621A5" w:rsidP="00A621A5">
      <w:pPr>
        <w:snapToGrid w:val="0"/>
        <w:ind w:firstLineChars="200" w:firstLine="420"/>
        <w:rPr>
          <w:rFonts w:ascii="宋体" w:hAnsi="宋体"/>
          <w:szCs w:val="21"/>
        </w:rPr>
      </w:pPr>
      <w:bookmarkStart w:id="7" w:name="_Toc25227525"/>
      <w:bookmarkStart w:id="8" w:name="_Toc25227599"/>
      <w:bookmarkEnd w:id="5"/>
      <w:bookmarkEnd w:id="6"/>
      <w:r>
        <w:rPr>
          <w:rFonts w:ascii="宋体" w:hAnsi="宋体" w:hint="eastAsia"/>
          <w:szCs w:val="21"/>
        </w:rPr>
        <w:t>本细则内容包括产品分类、术语和定义、检验依据、抽样、检验、判定规则、检验结论</w:t>
      </w:r>
      <w:r>
        <w:rPr>
          <w:rFonts w:ascii="宋体" w:hAnsi="宋体"/>
          <w:szCs w:val="21"/>
        </w:rPr>
        <w:t>、</w:t>
      </w:r>
      <w:r>
        <w:rPr>
          <w:rFonts w:ascii="宋体" w:hAnsi="宋体" w:hint="eastAsia"/>
          <w:szCs w:val="21"/>
        </w:rPr>
        <w:t>异议处理、</w:t>
      </w:r>
      <w:r>
        <w:rPr>
          <w:rFonts w:ascii="宋体" w:hAnsi="宋体"/>
          <w:szCs w:val="21"/>
        </w:rPr>
        <w:t>附则</w:t>
      </w:r>
      <w:r>
        <w:rPr>
          <w:rFonts w:ascii="宋体" w:hAnsi="宋体" w:hint="eastAsia"/>
          <w:szCs w:val="21"/>
        </w:rPr>
        <w:t>。</w:t>
      </w:r>
      <w:bookmarkEnd w:id="7"/>
      <w:bookmarkEnd w:id="8"/>
    </w:p>
    <w:p w:rsidR="00A621A5" w:rsidRDefault="00A621A5" w:rsidP="00A621A5">
      <w:pPr>
        <w:pStyle w:val="a0"/>
        <w:spacing w:before="312" w:after="312"/>
      </w:pPr>
      <w:r>
        <w:rPr>
          <w:rFonts w:hint="eastAsia"/>
        </w:rPr>
        <w:t>产品分类</w:t>
      </w:r>
      <w:bookmarkEnd w:id="4"/>
    </w:p>
    <w:p w:rsidR="00A621A5" w:rsidRPr="006D4F68" w:rsidRDefault="00A621A5" w:rsidP="00A621A5">
      <w:pPr>
        <w:snapToGrid w:val="0"/>
        <w:ind w:firstLineChars="200" w:firstLine="420"/>
        <w:rPr>
          <w:rFonts w:ascii="宋体" w:hAnsi="宋体"/>
          <w:szCs w:val="21"/>
        </w:rPr>
      </w:pPr>
      <w:r w:rsidRPr="006D4F68">
        <w:rPr>
          <w:rFonts w:ascii="宋体" w:hAnsi="宋体" w:hint="eastAsia"/>
          <w:szCs w:val="21"/>
        </w:rPr>
        <w:t xml:space="preserve"> </w:t>
      </w:r>
      <w:r>
        <w:rPr>
          <w:rFonts w:ascii="宋体" w:hAnsi="宋体" w:hint="eastAsia"/>
          <w:szCs w:val="21"/>
        </w:rPr>
        <w:t>根据GB/T 706产品标准将该产品分为4个种类：</w:t>
      </w:r>
      <w:r w:rsidRPr="006D4F68">
        <w:rPr>
          <w:rFonts w:ascii="宋体" w:hAnsi="宋体" w:hint="eastAsia"/>
          <w:szCs w:val="21"/>
        </w:rPr>
        <w:t>热轧等边角钢、热轧不等边角钢及腿部内侧有斜度的热轧工字钢和热轧槽钢。</w:t>
      </w:r>
    </w:p>
    <w:p w:rsidR="00A621A5" w:rsidRDefault="00A621A5" w:rsidP="00A621A5">
      <w:pPr>
        <w:pStyle w:val="a0"/>
        <w:spacing w:before="312" w:after="312"/>
      </w:pPr>
      <w:bookmarkStart w:id="9" w:name="_Toc482282794"/>
      <w:r>
        <w:rPr>
          <w:rFonts w:hint="eastAsia"/>
        </w:rPr>
        <w:t>术语和定义</w:t>
      </w:r>
      <w:bookmarkEnd w:id="9"/>
    </w:p>
    <w:p w:rsidR="00A621A5" w:rsidRPr="004161FD" w:rsidRDefault="00A621A5" w:rsidP="00A621A5">
      <w:pPr>
        <w:pStyle w:val="afe"/>
      </w:pPr>
      <w:bookmarkStart w:id="10" w:name="_Toc482282795"/>
      <w:r>
        <w:rPr>
          <w:rFonts w:hint="eastAsia"/>
        </w:rPr>
        <w:t>以下术语和定义适用于本文件。</w:t>
      </w:r>
    </w:p>
    <w:p w:rsidR="00A621A5" w:rsidRPr="004161FD" w:rsidRDefault="00A621A5" w:rsidP="00A621A5">
      <w:pPr>
        <w:pStyle w:val="a1"/>
        <w:spacing w:before="156" w:after="156"/>
        <w:ind w:left="284" w:firstLineChars="200" w:firstLine="420"/>
      </w:pPr>
      <w:r>
        <w:rPr>
          <w:rFonts w:hint="eastAsia"/>
        </w:rPr>
        <w:t>热机械轧制</w:t>
      </w:r>
    </w:p>
    <w:p w:rsidR="00A621A5" w:rsidRPr="00B5765F" w:rsidRDefault="00A621A5" w:rsidP="00A621A5">
      <w:pPr>
        <w:ind w:firstLine="405"/>
        <w:rPr>
          <w:rFonts w:ascii="宋体"/>
        </w:rPr>
      </w:pPr>
      <w:r>
        <w:rPr>
          <w:rFonts w:ascii="宋体" w:hint="eastAsia"/>
        </w:rPr>
        <w:t>最终变形在某一温度范围内进行，使材料获得仅仅依靠热处理不能获得的特定性能的轧制工艺。</w:t>
      </w:r>
    </w:p>
    <w:p w:rsidR="00A621A5" w:rsidRPr="004161FD" w:rsidRDefault="00A621A5" w:rsidP="00A621A5">
      <w:pPr>
        <w:pStyle w:val="a1"/>
        <w:spacing w:before="156" w:after="156"/>
        <w:ind w:left="284" w:firstLineChars="200" w:firstLine="420"/>
      </w:pPr>
      <w:r>
        <w:rPr>
          <w:rFonts w:hint="eastAsia"/>
        </w:rPr>
        <w:t>正火轧制</w:t>
      </w:r>
    </w:p>
    <w:p w:rsidR="00A621A5" w:rsidRPr="00233766" w:rsidRDefault="00A621A5" w:rsidP="00A621A5">
      <w:pPr>
        <w:ind w:firstLine="405"/>
        <w:rPr>
          <w:rFonts w:ascii="宋体"/>
        </w:rPr>
      </w:pPr>
      <w:r>
        <w:rPr>
          <w:rFonts w:ascii="宋体" w:hint="eastAsia"/>
        </w:rPr>
        <w:t>最终变形在某一温度范围内进行，使材料获得与正火后性能相当的轧制工艺。</w:t>
      </w:r>
    </w:p>
    <w:bookmarkEnd w:id="10"/>
    <w:p w:rsidR="00A621A5" w:rsidRDefault="00A621A5" w:rsidP="00A621A5">
      <w:pPr>
        <w:pStyle w:val="a0"/>
        <w:spacing w:before="312" w:after="312"/>
      </w:pPr>
      <w:r>
        <w:rPr>
          <w:rFonts w:hint="eastAsia"/>
        </w:rPr>
        <w:t>检验依据</w:t>
      </w:r>
    </w:p>
    <w:p w:rsidR="00A621A5" w:rsidRDefault="00A621A5" w:rsidP="00A621A5">
      <w:pPr>
        <w:ind w:firstLine="480"/>
        <w:jc w:val="left"/>
        <w:rPr>
          <w:rFonts w:ascii="宋体" w:hAnsi="宋体"/>
          <w:szCs w:val="21"/>
        </w:rPr>
      </w:pPr>
      <w:r>
        <w:rPr>
          <w:rFonts w:ascii="宋体" w:hAnsi="宋体" w:hint="eastAsia"/>
          <w:szCs w:val="21"/>
        </w:rPr>
        <w:t>凡是注日期的文件，其随后所有的修改单(不包括勘误的内容）或修订版不适用于本</w:t>
      </w:r>
      <w:r>
        <w:rPr>
          <w:rFonts w:hint="eastAsia"/>
        </w:rPr>
        <w:t>细则</w:t>
      </w:r>
      <w:r>
        <w:rPr>
          <w:rFonts w:ascii="宋体" w:hAnsi="宋体" w:hint="eastAsia"/>
          <w:szCs w:val="21"/>
        </w:rPr>
        <w:t>。凡是不注日期的文件，其最新版本适用于本</w:t>
      </w:r>
      <w:r>
        <w:rPr>
          <w:rFonts w:hint="eastAsia"/>
        </w:rPr>
        <w:t>细则</w:t>
      </w:r>
      <w:r>
        <w:rPr>
          <w:rFonts w:ascii="宋体" w:hAnsi="宋体" w:hint="eastAsia"/>
          <w:szCs w:val="21"/>
        </w:rPr>
        <w:t>。</w:t>
      </w:r>
    </w:p>
    <w:p w:rsidR="00A621A5" w:rsidRPr="00CF465A" w:rsidRDefault="00A621A5" w:rsidP="00A621A5">
      <w:pPr>
        <w:snapToGrid w:val="0"/>
        <w:ind w:firstLineChars="222" w:firstLine="466"/>
        <w:rPr>
          <w:rFonts w:ascii="宋体" w:hAnsi="宋体" w:cs="宋体"/>
        </w:rPr>
      </w:pPr>
      <w:r w:rsidRPr="00CF465A">
        <w:rPr>
          <w:rFonts w:ascii="宋体" w:hAnsi="宋体" w:cs="宋体"/>
        </w:rPr>
        <w:t>GB</w:t>
      </w:r>
      <w:r w:rsidRPr="00CF465A">
        <w:rPr>
          <w:rFonts w:ascii="宋体" w:hAnsi="宋体" w:cs="宋体" w:hint="eastAsia"/>
        </w:rPr>
        <w:t>/T</w:t>
      </w:r>
      <w:r w:rsidRPr="00CF465A">
        <w:rPr>
          <w:rFonts w:ascii="宋体" w:hAnsi="宋体" w:cs="宋体"/>
        </w:rPr>
        <w:t xml:space="preserve"> </w:t>
      </w:r>
      <w:r>
        <w:rPr>
          <w:rFonts w:ascii="宋体" w:hAnsi="宋体" w:cs="宋体" w:hint="eastAsia"/>
        </w:rPr>
        <w:t>228.1 金属材料 拉伸试验 第1部分：室温试验方法</w:t>
      </w:r>
    </w:p>
    <w:p w:rsidR="00A621A5" w:rsidRPr="00CF465A" w:rsidRDefault="00A621A5" w:rsidP="00A621A5">
      <w:pPr>
        <w:tabs>
          <w:tab w:val="left" w:pos="360"/>
        </w:tabs>
        <w:snapToGrid w:val="0"/>
        <w:ind w:firstLineChars="222" w:firstLine="466"/>
        <w:rPr>
          <w:rFonts w:ascii="宋体" w:hAnsi="宋体" w:cs="宋体"/>
        </w:rPr>
      </w:pPr>
      <w:r w:rsidRPr="00CF465A">
        <w:rPr>
          <w:rFonts w:ascii="宋体" w:hAnsi="宋体" w:cs="宋体" w:hint="eastAsia"/>
        </w:rPr>
        <w:t xml:space="preserve">GB/T </w:t>
      </w:r>
      <w:r>
        <w:rPr>
          <w:rFonts w:ascii="宋体" w:hAnsi="宋体" w:cs="宋体" w:hint="eastAsia"/>
        </w:rPr>
        <w:t xml:space="preserve">232 金属材料 </w:t>
      </w:r>
      <w:r w:rsidR="00895F4E">
        <w:rPr>
          <w:rFonts w:ascii="宋体" w:hAnsi="宋体" w:cs="宋体" w:hint="eastAsia"/>
        </w:rPr>
        <w:t>弯曲</w:t>
      </w:r>
      <w:r>
        <w:rPr>
          <w:rFonts w:ascii="宋体" w:hAnsi="宋体" w:cs="宋体" w:hint="eastAsia"/>
        </w:rPr>
        <w:t>试验方法</w:t>
      </w:r>
    </w:p>
    <w:p w:rsidR="00A621A5" w:rsidRDefault="00A621A5" w:rsidP="00A621A5">
      <w:pPr>
        <w:snapToGrid w:val="0"/>
        <w:ind w:firstLineChars="222" w:firstLine="466"/>
        <w:rPr>
          <w:rFonts w:ascii="宋体" w:hAnsi="宋体" w:cs="宋体"/>
        </w:rPr>
      </w:pPr>
      <w:r w:rsidRPr="00715FC3">
        <w:rPr>
          <w:rFonts w:ascii="宋体" w:hAnsi="宋体" w:cs="宋体"/>
        </w:rPr>
        <w:t>GB/T</w:t>
      </w:r>
      <w:r>
        <w:rPr>
          <w:rFonts w:ascii="宋体" w:hAnsi="宋体" w:cs="宋体" w:hint="eastAsia"/>
        </w:rPr>
        <w:t xml:space="preserve"> 700 碳素结构钢</w:t>
      </w:r>
    </w:p>
    <w:p w:rsidR="00A621A5" w:rsidRDefault="00A621A5" w:rsidP="00A621A5">
      <w:pPr>
        <w:snapToGrid w:val="0"/>
        <w:ind w:firstLineChars="222" w:firstLine="466"/>
        <w:rPr>
          <w:rFonts w:ascii="宋体" w:hAnsi="宋体" w:cs="宋体"/>
        </w:rPr>
      </w:pPr>
      <w:r w:rsidRPr="00715FC3">
        <w:rPr>
          <w:rFonts w:ascii="宋体" w:hAnsi="宋体" w:cs="宋体"/>
        </w:rPr>
        <w:t>GB/T</w:t>
      </w:r>
      <w:r>
        <w:rPr>
          <w:rFonts w:ascii="宋体" w:hAnsi="宋体" w:cs="宋体" w:hint="eastAsia"/>
        </w:rPr>
        <w:t xml:space="preserve"> 1591 低合金高强度结构钢</w:t>
      </w:r>
    </w:p>
    <w:p w:rsidR="00A621A5" w:rsidRPr="00715FC3" w:rsidRDefault="00A621A5" w:rsidP="00A621A5">
      <w:pPr>
        <w:snapToGrid w:val="0"/>
        <w:ind w:firstLineChars="222" w:firstLine="466"/>
        <w:rPr>
          <w:rFonts w:ascii="宋体" w:hAnsi="宋体" w:cs="宋体"/>
        </w:rPr>
      </w:pPr>
      <w:r w:rsidRPr="00715FC3">
        <w:rPr>
          <w:rFonts w:ascii="宋体" w:hAnsi="宋体" w:cs="宋体"/>
        </w:rPr>
        <w:t>GB/T</w:t>
      </w:r>
      <w:r>
        <w:rPr>
          <w:rFonts w:ascii="宋体" w:hAnsi="宋体" w:cs="宋体" w:hint="eastAsia"/>
        </w:rPr>
        <w:t xml:space="preserve"> </w:t>
      </w:r>
      <w:r w:rsidRPr="00715FC3">
        <w:rPr>
          <w:rFonts w:ascii="宋体" w:hAnsi="宋体" w:cs="宋体"/>
        </w:rPr>
        <w:t xml:space="preserve">2101 </w:t>
      </w:r>
      <w:r w:rsidRPr="00715FC3">
        <w:rPr>
          <w:rFonts w:ascii="宋体" w:hAnsi="宋体" w:cs="宋体" w:hint="eastAsia"/>
        </w:rPr>
        <w:t>型钢验收、包装、标志及质量证明书的一般规定</w:t>
      </w:r>
    </w:p>
    <w:p w:rsidR="00A621A5" w:rsidRDefault="00A621A5" w:rsidP="00A621A5">
      <w:pPr>
        <w:snapToGrid w:val="0"/>
        <w:ind w:firstLineChars="222" w:firstLine="466"/>
        <w:rPr>
          <w:rFonts w:ascii="宋体" w:hAnsi="宋体" w:cs="宋体"/>
        </w:rPr>
      </w:pPr>
      <w:r w:rsidRPr="00715FC3">
        <w:rPr>
          <w:rFonts w:ascii="宋体" w:hAnsi="宋体" w:cs="宋体"/>
        </w:rPr>
        <w:t>GB/T</w:t>
      </w:r>
      <w:r>
        <w:rPr>
          <w:rFonts w:ascii="宋体" w:hAnsi="宋体" w:cs="宋体" w:hint="eastAsia"/>
        </w:rPr>
        <w:t xml:space="preserve"> 2975 钢及钢产品 力学性能试验取样位置及试样制备</w:t>
      </w:r>
    </w:p>
    <w:p w:rsidR="00A621A5" w:rsidRDefault="00A621A5" w:rsidP="00A621A5">
      <w:pPr>
        <w:pStyle w:val="afe"/>
        <w:rPr>
          <w:color w:val="000000"/>
        </w:rPr>
      </w:pPr>
      <w:r>
        <w:rPr>
          <w:rFonts w:hint="eastAsia"/>
          <w:color w:val="000000"/>
        </w:rPr>
        <w:t>相关的法律法规、部门规章和规范</w:t>
      </w:r>
    </w:p>
    <w:p w:rsidR="00A621A5" w:rsidRDefault="00A621A5" w:rsidP="00A621A5">
      <w:pPr>
        <w:ind w:firstLine="480"/>
        <w:jc w:val="left"/>
        <w:rPr>
          <w:color w:val="000000"/>
        </w:rPr>
      </w:pPr>
      <w:r>
        <w:rPr>
          <w:rFonts w:ascii="宋体" w:hAnsi="宋体" w:hint="eastAsia"/>
          <w:szCs w:val="21"/>
        </w:rPr>
        <w:t>经</w:t>
      </w:r>
      <w:r>
        <w:rPr>
          <w:rFonts w:ascii="宋体" w:hAnsi="宋体"/>
          <w:szCs w:val="21"/>
        </w:rPr>
        <w:t>中国国家标准化管理委员会</w:t>
      </w:r>
      <w:r>
        <w:rPr>
          <w:rFonts w:ascii="宋体" w:hAnsi="宋体" w:hint="eastAsia"/>
          <w:szCs w:val="21"/>
        </w:rPr>
        <w:t>的企业标准信息公共服务平台公示现行有效的企业标准和产品明示质量要求</w:t>
      </w:r>
    </w:p>
    <w:p w:rsidR="00A621A5" w:rsidRDefault="00A621A5" w:rsidP="00A621A5">
      <w:pPr>
        <w:pStyle w:val="a0"/>
        <w:spacing w:before="312" w:after="312"/>
      </w:pPr>
      <w:bookmarkStart w:id="11" w:name="_Toc482282797"/>
      <w:r>
        <w:rPr>
          <w:rFonts w:hint="eastAsia"/>
        </w:rPr>
        <w:t>抽样</w:t>
      </w:r>
      <w:bookmarkEnd w:id="11"/>
    </w:p>
    <w:p w:rsidR="00A621A5" w:rsidRDefault="00A621A5" w:rsidP="00A621A5">
      <w:pPr>
        <w:pStyle w:val="a1"/>
        <w:tabs>
          <w:tab w:val="left" w:pos="142"/>
        </w:tabs>
        <w:spacing w:before="156" w:after="156"/>
      </w:pPr>
      <w:bookmarkStart w:id="12" w:name="_Toc482282798"/>
      <w:r>
        <w:rPr>
          <w:rFonts w:hint="eastAsia"/>
        </w:rPr>
        <w:t>抽样</w:t>
      </w:r>
      <w:r>
        <w:t>型号或规格</w:t>
      </w:r>
    </w:p>
    <w:p w:rsidR="00A621A5" w:rsidRDefault="00A621A5" w:rsidP="00A621A5">
      <w:pPr>
        <w:pStyle w:val="afe"/>
      </w:pPr>
      <w:r>
        <w:rPr>
          <w:rFonts w:hint="eastAsia"/>
        </w:rPr>
        <w:lastRenderedPageBreak/>
        <w:t>抽取样品应为同一生产者按照同一标准生产的同一商标、同一型号规格的产品。</w:t>
      </w:r>
    </w:p>
    <w:p w:rsidR="00A621A5" w:rsidRDefault="00A621A5" w:rsidP="00A621A5">
      <w:pPr>
        <w:pStyle w:val="a1"/>
        <w:spacing w:before="156" w:after="156"/>
      </w:pPr>
      <w:r>
        <w:rPr>
          <w:rFonts w:hint="eastAsia"/>
        </w:rPr>
        <w:t>抽样方法</w:t>
      </w:r>
    </w:p>
    <w:p w:rsidR="00A621A5" w:rsidRDefault="00A621A5" w:rsidP="00A621A5">
      <w:pPr>
        <w:pStyle w:val="afe"/>
      </w:pPr>
      <w:r>
        <w:rPr>
          <w:rFonts w:hint="eastAsia"/>
        </w:rPr>
        <w:t>①在生产者的成品库中随机抽取有产品质量检验合格证明或者以其他形式表明合格的6个月内生产并在国内销售的产品（特殊情况除外）。</w:t>
      </w:r>
    </w:p>
    <w:p w:rsidR="00A621A5" w:rsidRDefault="00A621A5" w:rsidP="00A621A5">
      <w:pPr>
        <w:pStyle w:val="afe"/>
      </w:pPr>
      <w:r>
        <w:rPr>
          <w:rFonts w:hint="eastAsia"/>
        </w:rPr>
        <w:t>②在销售者的展厅或库房中随机抽取经企业检验合格或以任何方式表明已检验合格并在国内销售的待销产品。</w:t>
      </w:r>
    </w:p>
    <w:p w:rsidR="00A621A5" w:rsidRDefault="00A621A5" w:rsidP="00A621A5">
      <w:pPr>
        <w:pStyle w:val="afe"/>
      </w:pPr>
      <w:r>
        <w:rPr>
          <w:rFonts w:hint="eastAsia"/>
        </w:rPr>
        <w:t>③抽样时应同时抽取产品使用说明（包括包装、标识、使用说明书等）。</w:t>
      </w:r>
    </w:p>
    <w:p w:rsidR="00A621A5" w:rsidRDefault="00A621A5" w:rsidP="00A621A5">
      <w:pPr>
        <w:pStyle w:val="afe"/>
      </w:pPr>
      <w:r>
        <w:rPr>
          <w:rFonts w:hint="eastAsia"/>
        </w:rPr>
        <w:t>④随机数一般可使用随机数表，骰子或扑克牌等方法产生。</w:t>
      </w:r>
    </w:p>
    <w:p w:rsidR="00A621A5" w:rsidRDefault="00A621A5" w:rsidP="00A621A5">
      <w:pPr>
        <w:pStyle w:val="a1"/>
        <w:spacing w:before="156" w:after="156"/>
      </w:pPr>
      <w:r>
        <w:rPr>
          <w:rFonts w:hint="eastAsia"/>
        </w:rPr>
        <w:t>抽样基数</w:t>
      </w:r>
    </w:p>
    <w:p w:rsidR="00A621A5" w:rsidRDefault="00A621A5" w:rsidP="00A621A5">
      <w:pPr>
        <w:pStyle w:val="afe"/>
      </w:pPr>
      <w:r w:rsidRPr="001B4802">
        <w:rPr>
          <w:rFonts w:hint="eastAsia"/>
        </w:rPr>
        <w:t>每批应由同一牌号、同一规格、同一品种、同一质量等级、同一交货状态的热轧型钢组成，最小基数以满足抽样（检验）数量即可，最大基数每批的重量不得超过60t。</w:t>
      </w:r>
    </w:p>
    <w:p w:rsidR="00A621A5" w:rsidRDefault="00A621A5" w:rsidP="00A621A5">
      <w:pPr>
        <w:pStyle w:val="afe"/>
      </w:pPr>
    </w:p>
    <w:p w:rsidR="00A621A5" w:rsidRDefault="00A621A5" w:rsidP="00A621A5">
      <w:pPr>
        <w:pStyle w:val="afe"/>
        <w:ind w:firstLineChars="0" w:firstLine="0"/>
        <w:rPr>
          <w:rFonts w:ascii="黑体" w:eastAsia="黑体" w:hAnsi="黑体"/>
        </w:rPr>
      </w:pPr>
      <w:r w:rsidRPr="003E7587">
        <w:rPr>
          <w:rFonts w:ascii="黑体" w:eastAsia="黑体" w:hAnsi="黑体" w:hint="eastAsia"/>
        </w:rPr>
        <w:t>5.4  抽样数量</w:t>
      </w:r>
    </w:p>
    <w:p w:rsidR="00A621A5" w:rsidRPr="003E7587" w:rsidRDefault="00A621A5" w:rsidP="00A621A5">
      <w:pPr>
        <w:pStyle w:val="afe"/>
      </w:pPr>
    </w:p>
    <w:p w:rsidR="00A621A5" w:rsidRPr="00691C66" w:rsidRDefault="00A621A5" w:rsidP="00A621A5">
      <w:pPr>
        <w:pStyle w:val="afe"/>
      </w:pPr>
      <w:r>
        <w:rPr>
          <w:rFonts w:hAnsi="宋体" w:cs="宋体" w:hint="eastAsia"/>
        </w:rPr>
        <w:t xml:space="preserve">  </w:t>
      </w:r>
      <w:r w:rsidRPr="00691C66">
        <w:rPr>
          <w:rFonts w:hint="eastAsia"/>
        </w:rPr>
        <w:t xml:space="preserve"> 在生产单位或市场待销产品中随机抽取有产品质量检验合格证明或者以其他形式表明合格的产品。从被抽查产品中随机抽取3根样品，每根截取2支长度为600mm的样品，2支样品均应编号标记,并一一对应（如1-a，1-b）。标记a的</w:t>
      </w:r>
      <w:r>
        <w:rPr>
          <w:rFonts w:hint="eastAsia"/>
        </w:rPr>
        <w:t>3支</w:t>
      </w:r>
      <w:r w:rsidRPr="00691C66">
        <w:rPr>
          <w:rFonts w:hint="eastAsia"/>
        </w:rPr>
        <w:t>样品为检验样品</w:t>
      </w:r>
      <w:r>
        <w:rPr>
          <w:rFonts w:hint="eastAsia"/>
        </w:rPr>
        <w:t>（其中1支为检验样品，2支为复验样品）</w:t>
      </w:r>
      <w:r w:rsidRPr="00691C66">
        <w:rPr>
          <w:rFonts w:hint="eastAsia"/>
        </w:rPr>
        <w:t>，标记b的</w:t>
      </w:r>
      <w:r>
        <w:rPr>
          <w:rFonts w:hint="eastAsia"/>
        </w:rPr>
        <w:t>3支</w:t>
      </w:r>
      <w:r w:rsidRPr="00691C66">
        <w:rPr>
          <w:rFonts w:hint="eastAsia"/>
        </w:rPr>
        <w:t>样品为备用样品。</w:t>
      </w:r>
      <w:r w:rsidR="00BD063E">
        <w:rPr>
          <w:rFonts w:hint="eastAsia"/>
        </w:rPr>
        <w:t>备用样品备于承检机构。</w:t>
      </w:r>
    </w:p>
    <w:p w:rsidR="00A621A5" w:rsidRPr="00691C66" w:rsidRDefault="00A621A5" w:rsidP="00A621A5">
      <w:pPr>
        <w:outlineLvl w:val="2"/>
        <w:rPr>
          <w:rFonts w:ascii="宋体" w:hAnsi="宋体" w:cs="宋体"/>
        </w:rPr>
      </w:pPr>
    </w:p>
    <w:p w:rsidR="00A621A5" w:rsidRPr="00826DA9" w:rsidRDefault="00A621A5" w:rsidP="00A621A5">
      <w:pPr>
        <w:rPr>
          <w:rFonts w:ascii="黑体" w:eastAsia="黑体" w:hAnsi="黑体"/>
        </w:rPr>
      </w:pPr>
      <w:r w:rsidRPr="00826DA9">
        <w:rPr>
          <w:rFonts w:ascii="黑体" w:eastAsia="黑体" w:hAnsi="黑体" w:cs="宋体" w:hint="eastAsia"/>
        </w:rPr>
        <w:t>5.5</w:t>
      </w:r>
      <w:r w:rsidRPr="00826DA9">
        <w:rPr>
          <w:rFonts w:ascii="黑体" w:eastAsia="黑体" w:hAnsi="黑体" w:hint="eastAsia"/>
        </w:rPr>
        <w:t>样品</w:t>
      </w:r>
      <w:r w:rsidRPr="00826DA9">
        <w:rPr>
          <w:rFonts w:ascii="黑体" w:eastAsia="黑体" w:hAnsi="黑体"/>
        </w:rPr>
        <w:t>处置</w:t>
      </w:r>
    </w:p>
    <w:p w:rsidR="00A621A5" w:rsidRPr="00826DA9" w:rsidRDefault="00A621A5" w:rsidP="00A621A5">
      <w:pPr>
        <w:rPr>
          <w:rFonts w:ascii="宋体"/>
        </w:rPr>
      </w:pPr>
    </w:p>
    <w:p w:rsidR="003A1264" w:rsidRDefault="00A621A5" w:rsidP="003A1264">
      <w:pPr>
        <w:pStyle w:val="afe"/>
      </w:pPr>
      <w:r>
        <w:rPr>
          <w:rFonts w:hint="eastAsia"/>
        </w:rPr>
        <w:t>检验样品和备用样品应分别封样，并由抽样人员和被抽样生产者、销售者签字确认，封条的粘贴应采取有效的防拆封措施，封样完成后通过拍照拍照或者录像的方式留存证据。运输、存储过程中应平整堆放，防止污损、撞击，不得受潮、雨淋和曝晒。对于易碎品等对运输、贮存过程有特殊要求的样品，应当采取有效措施，保证样品的运输、贮存过程符合国家有关规定，不发生影响检验结论的变化。</w:t>
      </w:r>
      <w:r w:rsidR="003A1264" w:rsidRPr="003A1264">
        <w:rPr>
          <w:rFonts w:hint="eastAsia"/>
        </w:rPr>
        <w:t>备用样品备于承检机构。</w:t>
      </w:r>
    </w:p>
    <w:p w:rsidR="00A621A5" w:rsidRDefault="00A621A5" w:rsidP="003A1264">
      <w:pPr>
        <w:pStyle w:val="afe"/>
      </w:pPr>
      <w:r>
        <w:rPr>
          <w:rFonts w:hint="eastAsia"/>
        </w:rPr>
        <w:t>被抽样生产者、销售者对检验结论提出异议申请且具备检验条件的，由组织监督抽查的市场监督管理部门安排对检验样品或备用样品进行复检。</w:t>
      </w:r>
    </w:p>
    <w:p w:rsidR="00A621A5" w:rsidRDefault="00A621A5" w:rsidP="00A621A5">
      <w:pPr>
        <w:pStyle w:val="a1"/>
        <w:numPr>
          <w:ilvl w:val="0"/>
          <w:numId w:val="0"/>
        </w:numPr>
        <w:spacing w:before="156" w:after="156"/>
      </w:pPr>
      <w:r>
        <w:rPr>
          <w:rFonts w:hint="eastAsia"/>
        </w:rPr>
        <w:t>5.6抽样单</w:t>
      </w:r>
    </w:p>
    <w:p w:rsidR="00A621A5" w:rsidRDefault="00A621A5" w:rsidP="00A621A5">
      <w:pPr>
        <w:pStyle w:val="afe"/>
      </w:pPr>
      <w:r>
        <w:rPr>
          <w:rFonts w:hint="eastAsia"/>
        </w:rPr>
        <w:t xml:space="preserve"> 抽样人员应按有关规定填写抽样单，并记录被抽查产品及被抽样生产者、销售者相关信息。</w:t>
      </w:r>
    </w:p>
    <w:p w:rsidR="00A621A5" w:rsidRDefault="00A621A5" w:rsidP="00A621A5">
      <w:pPr>
        <w:pStyle w:val="afe"/>
      </w:pPr>
      <w:r>
        <w:rPr>
          <w:rFonts w:hint="eastAsia"/>
        </w:rPr>
        <w:t>抽样单上的产品名称、商标、规格型号、牌号应依次按照产品标志、合格证等标注信息核实填写，应同时注明产品的“牌号”和“规格型号”。</w:t>
      </w:r>
    </w:p>
    <w:p w:rsidR="00A621A5" w:rsidRDefault="00A621A5" w:rsidP="00A621A5">
      <w:pPr>
        <w:pStyle w:val="afe"/>
      </w:pPr>
      <w:r>
        <w:rPr>
          <w:rFonts w:hint="eastAsia"/>
        </w:rPr>
        <w:t>生产日期</w:t>
      </w:r>
      <w:r>
        <w:t>/</w:t>
      </w:r>
      <w:r>
        <w:rPr>
          <w:rFonts w:hint="eastAsia"/>
        </w:rPr>
        <w:t>批号的填写首先以产品标志上的生产日期为准。当产品标志未反映生产日期，则依次以合格证、说明书上的生产日期填写。同时有批号及生产日期时，优先填写批号。经核查，产品及相关资料上既无生产日期又无批号时，则填写“不详”。</w:t>
      </w:r>
    </w:p>
    <w:p w:rsidR="00A621A5" w:rsidRPr="004161FD" w:rsidRDefault="00A621A5" w:rsidP="00A621A5">
      <w:pPr>
        <w:pStyle w:val="afe"/>
      </w:pPr>
      <w:r>
        <w:rPr>
          <w:rFonts w:hint="eastAsia"/>
        </w:rPr>
        <w:t>产品规定有明示质量指标时，应在抽样单上注明。若产品明示的执行标准为</w:t>
      </w:r>
      <w:r>
        <w:rPr>
          <w:rFonts w:hAnsi="宋体"/>
          <w:szCs w:val="21"/>
        </w:rPr>
        <w:t>中国国家标准化管理委员会</w:t>
      </w:r>
      <w:r>
        <w:rPr>
          <w:rFonts w:hAnsi="宋体" w:hint="eastAsia"/>
          <w:szCs w:val="21"/>
        </w:rPr>
        <w:t>的企业标准信息公共服务平台公示现行有效的企业标准</w:t>
      </w:r>
      <w:r>
        <w:rPr>
          <w:rFonts w:hint="eastAsia"/>
        </w:rPr>
        <w:t>，则视其为明示质量指标，并要求企业提供其现行有效的企业标准文本。</w:t>
      </w:r>
    </w:p>
    <w:p w:rsidR="00A621A5" w:rsidRDefault="00A621A5" w:rsidP="00A621A5">
      <w:pPr>
        <w:pStyle w:val="a0"/>
        <w:spacing w:before="312" w:after="312"/>
      </w:pPr>
      <w:r>
        <w:rPr>
          <w:rFonts w:hint="eastAsia"/>
        </w:rPr>
        <w:t>检验</w:t>
      </w:r>
      <w:bookmarkEnd w:id="12"/>
    </w:p>
    <w:p w:rsidR="00A621A5" w:rsidRDefault="00A621A5" w:rsidP="00A621A5">
      <w:pPr>
        <w:pStyle w:val="a1"/>
        <w:spacing w:before="156" w:after="156"/>
        <w:ind w:left="284"/>
      </w:pPr>
      <w:r>
        <w:rPr>
          <w:rFonts w:hint="eastAsia"/>
        </w:rPr>
        <w:lastRenderedPageBreak/>
        <w:t>检验项目及检验方法</w:t>
      </w:r>
    </w:p>
    <w:p w:rsidR="00A621A5" w:rsidRPr="00CF349F" w:rsidRDefault="00A621A5" w:rsidP="00A621A5">
      <w:pPr>
        <w:pStyle w:val="affffff1"/>
        <w:tabs>
          <w:tab w:val="clear" w:pos="360"/>
        </w:tabs>
        <w:spacing w:before="156" w:after="156"/>
        <w:ind w:left="2694"/>
        <w:jc w:val="both"/>
      </w:pPr>
      <w:bookmarkStart w:id="13" w:name="_Toc25227541"/>
      <w:bookmarkStart w:id="14" w:name="_Toc25227615"/>
      <w:r w:rsidRPr="00CF349F">
        <w:rPr>
          <w:rFonts w:hint="eastAsia"/>
        </w:rPr>
        <w:t>表1 热轧型钢检测项目及重要程度分类</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9"/>
        <w:gridCol w:w="1701"/>
        <w:gridCol w:w="1388"/>
        <w:gridCol w:w="1389"/>
        <w:gridCol w:w="1388"/>
        <w:gridCol w:w="1363"/>
      </w:tblGrid>
      <w:tr w:rsidR="00A621A5" w:rsidRPr="000239C2" w:rsidTr="00356345">
        <w:trPr>
          <w:cantSplit/>
          <w:trHeight w:val="340"/>
          <w:tblHeader/>
        </w:trPr>
        <w:tc>
          <w:tcPr>
            <w:tcW w:w="498"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序号</w:t>
            </w:r>
          </w:p>
        </w:tc>
        <w:tc>
          <w:tcPr>
            <w:tcW w:w="2410" w:type="dxa"/>
            <w:gridSpan w:val="2"/>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检验项目</w:t>
            </w:r>
          </w:p>
        </w:tc>
        <w:tc>
          <w:tcPr>
            <w:tcW w:w="1388"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依据标准</w:t>
            </w:r>
          </w:p>
        </w:tc>
        <w:tc>
          <w:tcPr>
            <w:tcW w:w="1389"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检测方法</w:t>
            </w:r>
          </w:p>
        </w:tc>
        <w:tc>
          <w:tcPr>
            <w:tcW w:w="1388"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复检样品</w:t>
            </w:r>
          </w:p>
        </w:tc>
        <w:tc>
          <w:tcPr>
            <w:tcW w:w="1363"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复检项目</w:t>
            </w:r>
          </w:p>
        </w:tc>
      </w:tr>
      <w:tr w:rsidR="00A621A5" w:rsidRPr="000239C2" w:rsidTr="00356345">
        <w:trPr>
          <w:cantSplit/>
          <w:trHeight w:val="340"/>
          <w:tblHeader/>
        </w:trPr>
        <w:tc>
          <w:tcPr>
            <w:tcW w:w="498" w:type="dxa"/>
            <w:vMerge/>
            <w:vAlign w:val="center"/>
          </w:tcPr>
          <w:p w:rsidR="00A621A5" w:rsidRPr="006953DC" w:rsidRDefault="00A621A5" w:rsidP="00356345">
            <w:pPr>
              <w:jc w:val="center"/>
              <w:rPr>
                <w:rFonts w:ascii="宋体" w:hAnsi="宋体"/>
                <w:sz w:val="18"/>
                <w:szCs w:val="18"/>
              </w:rPr>
            </w:pPr>
          </w:p>
        </w:tc>
        <w:tc>
          <w:tcPr>
            <w:tcW w:w="2410" w:type="dxa"/>
            <w:gridSpan w:val="2"/>
            <w:vMerge/>
            <w:vAlign w:val="center"/>
          </w:tcPr>
          <w:p w:rsidR="00A621A5" w:rsidRPr="006953DC" w:rsidRDefault="00A621A5" w:rsidP="00356345">
            <w:pPr>
              <w:jc w:val="center"/>
              <w:rPr>
                <w:rFonts w:ascii="宋体" w:hAnsi="宋体"/>
                <w:sz w:val="18"/>
                <w:szCs w:val="18"/>
              </w:rPr>
            </w:pPr>
          </w:p>
        </w:tc>
        <w:tc>
          <w:tcPr>
            <w:tcW w:w="1388" w:type="dxa"/>
            <w:vMerge/>
            <w:vAlign w:val="center"/>
          </w:tcPr>
          <w:p w:rsidR="00A621A5" w:rsidRPr="006953DC" w:rsidRDefault="00A621A5" w:rsidP="00356345">
            <w:pPr>
              <w:jc w:val="center"/>
              <w:rPr>
                <w:rFonts w:ascii="宋体" w:hAnsi="宋体"/>
                <w:sz w:val="18"/>
                <w:szCs w:val="18"/>
              </w:rPr>
            </w:pPr>
          </w:p>
        </w:tc>
        <w:tc>
          <w:tcPr>
            <w:tcW w:w="1389" w:type="dxa"/>
            <w:vMerge/>
            <w:vAlign w:val="center"/>
          </w:tcPr>
          <w:p w:rsidR="00A621A5" w:rsidRPr="006953DC" w:rsidRDefault="00A621A5" w:rsidP="00356345">
            <w:pPr>
              <w:jc w:val="center"/>
              <w:rPr>
                <w:rFonts w:ascii="宋体" w:hAnsi="宋体"/>
                <w:sz w:val="18"/>
                <w:szCs w:val="18"/>
              </w:rPr>
            </w:pPr>
          </w:p>
        </w:tc>
        <w:tc>
          <w:tcPr>
            <w:tcW w:w="1388" w:type="dxa"/>
            <w:vMerge/>
            <w:vAlign w:val="center"/>
          </w:tcPr>
          <w:p w:rsidR="00A621A5" w:rsidRPr="006953DC" w:rsidRDefault="00A621A5" w:rsidP="00356345">
            <w:pPr>
              <w:jc w:val="center"/>
              <w:rPr>
                <w:rFonts w:ascii="宋体" w:hAnsi="宋体"/>
                <w:sz w:val="18"/>
                <w:szCs w:val="18"/>
              </w:rPr>
            </w:pPr>
          </w:p>
        </w:tc>
        <w:tc>
          <w:tcPr>
            <w:tcW w:w="1363" w:type="dxa"/>
            <w:vMerge/>
            <w:vAlign w:val="center"/>
          </w:tcPr>
          <w:p w:rsidR="00A621A5" w:rsidRPr="006953DC" w:rsidRDefault="00A621A5" w:rsidP="00356345">
            <w:pPr>
              <w:jc w:val="center"/>
              <w:rPr>
                <w:rFonts w:ascii="宋体" w:hAnsi="宋体"/>
                <w:sz w:val="18"/>
                <w:szCs w:val="18"/>
              </w:rPr>
            </w:pPr>
          </w:p>
        </w:tc>
      </w:tr>
      <w:tr w:rsidR="00A621A5" w:rsidRPr="000239C2" w:rsidTr="00356345">
        <w:trPr>
          <w:cantSplit/>
          <w:trHeight w:val="340"/>
        </w:trPr>
        <w:tc>
          <w:tcPr>
            <w:tcW w:w="498"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1</w:t>
            </w:r>
          </w:p>
        </w:tc>
        <w:tc>
          <w:tcPr>
            <w:tcW w:w="709"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力学性能</w:t>
            </w:r>
          </w:p>
        </w:tc>
        <w:tc>
          <w:tcPr>
            <w:tcW w:w="1701" w:type="dxa"/>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屈服强度ReH</w:t>
            </w:r>
          </w:p>
        </w:tc>
        <w:tc>
          <w:tcPr>
            <w:tcW w:w="1388"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sz w:val="18"/>
                <w:szCs w:val="18"/>
              </w:rPr>
              <w:t>GB</w:t>
            </w:r>
            <w:r w:rsidRPr="006953DC">
              <w:rPr>
                <w:rFonts w:ascii="宋体" w:hAnsi="宋体" w:hint="eastAsia"/>
                <w:sz w:val="18"/>
                <w:szCs w:val="18"/>
              </w:rPr>
              <w:t>/T</w:t>
            </w:r>
            <w:r w:rsidRPr="006953DC">
              <w:rPr>
                <w:rFonts w:ascii="宋体" w:hAnsi="宋体"/>
                <w:sz w:val="18"/>
                <w:szCs w:val="18"/>
              </w:rPr>
              <w:t xml:space="preserve"> </w:t>
            </w:r>
            <w:r w:rsidRPr="006953DC">
              <w:rPr>
                <w:rFonts w:ascii="宋体" w:hAnsi="宋体" w:hint="eastAsia"/>
                <w:sz w:val="18"/>
                <w:szCs w:val="18"/>
              </w:rPr>
              <w:t>700</w:t>
            </w:r>
          </w:p>
          <w:p w:rsidR="00A621A5" w:rsidRPr="006953DC" w:rsidRDefault="00A621A5" w:rsidP="00356345">
            <w:pPr>
              <w:jc w:val="center"/>
              <w:rPr>
                <w:rFonts w:ascii="宋体" w:hAnsi="宋体"/>
                <w:sz w:val="18"/>
                <w:szCs w:val="18"/>
              </w:rPr>
            </w:pPr>
            <w:r w:rsidRPr="006953DC">
              <w:rPr>
                <w:rFonts w:ascii="宋体" w:hAnsi="宋体" w:hint="eastAsia"/>
                <w:sz w:val="18"/>
                <w:szCs w:val="18"/>
              </w:rPr>
              <w:t>GB/T 1591</w:t>
            </w:r>
          </w:p>
        </w:tc>
        <w:tc>
          <w:tcPr>
            <w:tcW w:w="1389"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GB/T 228.1</w:t>
            </w:r>
          </w:p>
        </w:tc>
        <w:tc>
          <w:tcPr>
            <w:tcW w:w="1388" w:type="dxa"/>
            <w:vMerge w:val="restart"/>
            <w:vAlign w:val="center"/>
          </w:tcPr>
          <w:p w:rsidR="00A621A5" w:rsidRPr="006953DC" w:rsidRDefault="00A621A5" w:rsidP="00356345">
            <w:pPr>
              <w:jc w:val="center"/>
              <w:rPr>
                <w:rFonts w:ascii="宋体" w:hAnsi="宋体"/>
                <w:sz w:val="18"/>
                <w:szCs w:val="18"/>
              </w:rPr>
            </w:pPr>
            <w:r>
              <w:rPr>
                <w:rFonts w:ascii="宋体" w:hAnsi="宋体" w:hint="eastAsia"/>
                <w:sz w:val="18"/>
                <w:szCs w:val="18"/>
              </w:rPr>
              <w:t>备用样品</w:t>
            </w:r>
          </w:p>
        </w:tc>
        <w:tc>
          <w:tcPr>
            <w:tcW w:w="1363" w:type="dxa"/>
            <w:vMerge w:val="restart"/>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屈服强度ReH</w:t>
            </w:r>
          </w:p>
          <w:p w:rsidR="00A621A5" w:rsidRPr="006953DC" w:rsidRDefault="00A621A5" w:rsidP="00356345">
            <w:pPr>
              <w:jc w:val="center"/>
              <w:rPr>
                <w:rFonts w:ascii="宋体" w:hAnsi="宋体"/>
                <w:sz w:val="18"/>
                <w:szCs w:val="18"/>
              </w:rPr>
            </w:pPr>
            <w:r w:rsidRPr="006953DC">
              <w:rPr>
                <w:rFonts w:ascii="宋体" w:hAnsi="宋体" w:hint="eastAsia"/>
                <w:sz w:val="18"/>
                <w:szCs w:val="18"/>
              </w:rPr>
              <w:t>抗拉强度Rm</w:t>
            </w:r>
          </w:p>
          <w:p w:rsidR="00A621A5" w:rsidRPr="006953DC" w:rsidRDefault="00A621A5" w:rsidP="00356345">
            <w:pPr>
              <w:jc w:val="center"/>
              <w:rPr>
                <w:rFonts w:ascii="宋体" w:hAnsi="宋体"/>
                <w:sz w:val="18"/>
                <w:szCs w:val="18"/>
              </w:rPr>
            </w:pPr>
            <w:r w:rsidRPr="006953DC">
              <w:rPr>
                <w:rFonts w:ascii="宋体" w:hAnsi="宋体" w:hint="eastAsia"/>
                <w:sz w:val="18"/>
                <w:szCs w:val="18"/>
              </w:rPr>
              <w:t>断后伸长率A</w:t>
            </w:r>
          </w:p>
        </w:tc>
      </w:tr>
      <w:tr w:rsidR="00A621A5" w:rsidRPr="000239C2" w:rsidTr="00356345">
        <w:trPr>
          <w:cantSplit/>
          <w:trHeight w:val="340"/>
        </w:trPr>
        <w:tc>
          <w:tcPr>
            <w:tcW w:w="498" w:type="dxa"/>
            <w:vMerge/>
            <w:vAlign w:val="center"/>
          </w:tcPr>
          <w:p w:rsidR="00A621A5" w:rsidRPr="006953DC" w:rsidRDefault="00A621A5" w:rsidP="00356345">
            <w:pPr>
              <w:jc w:val="center"/>
              <w:rPr>
                <w:rFonts w:ascii="宋体" w:hAnsi="宋体"/>
                <w:sz w:val="18"/>
                <w:szCs w:val="18"/>
              </w:rPr>
            </w:pPr>
          </w:p>
        </w:tc>
        <w:tc>
          <w:tcPr>
            <w:tcW w:w="709" w:type="dxa"/>
            <w:vMerge/>
            <w:vAlign w:val="center"/>
          </w:tcPr>
          <w:p w:rsidR="00A621A5" w:rsidRPr="006953DC" w:rsidRDefault="00A621A5" w:rsidP="00356345">
            <w:pPr>
              <w:jc w:val="center"/>
              <w:rPr>
                <w:rFonts w:ascii="宋体" w:hAnsi="宋体"/>
                <w:sz w:val="18"/>
                <w:szCs w:val="18"/>
              </w:rPr>
            </w:pPr>
          </w:p>
        </w:tc>
        <w:tc>
          <w:tcPr>
            <w:tcW w:w="1701" w:type="dxa"/>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抗拉强度Rm</w:t>
            </w:r>
          </w:p>
        </w:tc>
        <w:tc>
          <w:tcPr>
            <w:tcW w:w="1388" w:type="dxa"/>
            <w:vMerge/>
            <w:vAlign w:val="center"/>
          </w:tcPr>
          <w:p w:rsidR="00A621A5" w:rsidRPr="006953DC" w:rsidRDefault="00A621A5" w:rsidP="00356345">
            <w:pPr>
              <w:jc w:val="center"/>
              <w:rPr>
                <w:rFonts w:ascii="宋体" w:hAnsi="宋体"/>
                <w:sz w:val="18"/>
                <w:szCs w:val="18"/>
              </w:rPr>
            </w:pPr>
          </w:p>
        </w:tc>
        <w:tc>
          <w:tcPr>
            <w:tcW w:w="1389" w:type="dxa"/>
            <w:vMerge/>
            <w:vAlign w:val="center"/>
          </w:tcPr>
          <w:p w:rsidR="00A621A5" w:rsidRPr="006953DC" w:rsidRDefault="00A621A5" w:rsidP="00356345">
            <w:pPr>
              <w:ind w:left="-108"/>
              <w:jc w:val="center"/>
              <w:rPr>
                <w:rFonts w:ascii="宋体" w:hAnsi="宋体"/>
                <w:sz w:val="18"/>
                <w:szCs w:val="18"/>
              </w:rPr>
            </w:pPr>
          </w:p>
        </w:tc>
        <w:tc>
          <w:tcPr>
            <w:tcW w:w="1388" w:type="dxa"/>
            <w:vMerge/>
            <w:vAlign w:val="center"/>
          </w:tcPr>
          <w:p w:rsidR="00A621A5" w:rsidRPr="006953DC" w:rsidRDefault="00A621A5" w:rsidP="00356345">
            <w:pPr>
              <w:ind w:left="-108"/>
              <w:jc w:val="center"/>
              <w:rPr>
                <w:rFonts w:ascii="宋体" w:hAnsi="宋体"/>
                <w:sz w:val="18"/>
                <w:szCs w:val="18"/>
              </w:rPr>
            </w:pPr>
          </w:p>
        </w:tc>
        <w:tc>
          <w:tcPr>
            <w:tcW w:w="1363" w:type="dxa"/>
            <w:vMerge/>
            <w:vAlign w:val="center"/>
          </w:tcPr>
          <w:p w:rsidR="00A621A5" w:rsidRPr="006953DC" w:rsidRDefault="00A621A5" w:rsidP="00356345">
            <w:pPr>
              <w:ind w:left="-108"/>
              <w:jc w:val="center"/>
              <w:rPr>
                <w:rFonts w:ascii="宋体" w:hAnsi="宋体"/>
                <w:sz w:val="18"/>
                <w:szCs w:val="18"/>
              </w:rPr>
            </w:pPr>
          </w:p>
        </w:tc>
      </w:tr>
      <w:tr w:rsidR="00A621A5" w:rsidRPr="000239C2" w:rsidTr="00356345">
        <w:trPr>
          <w:cantSplit/>
          <w:trHeight w:val="340"/>
        </w:trPr>
        <w:tc>
          <w:tcPr>
            <w:tcW w:w="498" w:type="dxa"/>
            <w:vMerge/>
            <w:vAlign w:val="center"/>
          </w:tcPr>
          <w:p w:rsidR="00A621A5" w:rsidRPr="006953DC" w:rsidRDefault="00A621A5" w:rsidP="00356345">
            <w:pPr>
              <w:jc w:val="center"/>
              <w:rPr>
                <w:rFonts w:ascii="宋体" w:hAnsi="宋体"/>
                <w:sz w:val="18"/>
                <w:szCs w:val="18"/>
              </w:rPr>
            </w:pPr>
          </w:p>
        </w:tc>
        <w:tc>
          <w:tcPr>
            <w:tcW w:w="709" w:type="dxa"/>
            <w:vMerge/>
            <w:vAlign w:val="center"/>
          </w:tcPr>
          <w:p w:rsidR="00A621A5" w:rsidRPr="006953DC" w:rsidRDefault="00A621A5" w:rsidP="00356345">
            <w:pPr>
              <w:jc w:val="center"/>
              <w:rPr>
                <w:rFonts w:ascii="宋体" w:hAnsi="宋体"/>
                <w:sz w:val="18"/>
                <w:szCs w:val="18"/>
              </w:rPr>
            </w:pPr>
          </w:p>
        </w:tc>
        <w:tc>
          <w:tcPr>
            <w:tcW w:w="1701" w:type="dxa"/>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断后伸长率A</w:t>
            </w:r>
          </w:p>
        </w:tc>
        <w:tc>
          <w:tcPr>
            <w:tcW w:w="1388" w:type="dxa"/>
            <w:vMerge/>
            <w:vAlign w:val="center"/>
          </w:tcPr>
          <w:p w:rsidR="00A621A5" w:rsidRPr="006953DC" w:rsidRDefault="00A621A5" w:rsidP="00356345">
            <w:pPr>
              <w:jc w:val="center"/>
              <w:rPr>
                <w:rFonts w:ascii="宋体" w:hAnsi="宋体"/>
                <w:sz w:val="18"/>
                <w:szCs w:val="18"/>
              </w:rPr>
            </w:pPr>
          </w:p>
        </w:tc>
        <w:tc>
          <w:tcPr>
            <w:tcW w:w="1389" w:type="dxa"/>
            <w:vMerge/>
            <w:vAlign w:val="center"/>
          </w:tcPr>
          <w:p w:rsidR="00A621A5" w:rsidRPr="006953DC" w:rsidRDefault="00A621A5" w:rsidP="00356345">
            <w:pPr>
              <w:ind w:left="-108"/>
              <w:jc w:val="center"/>
              <w:rPr>
                <w:rFonts w:ascii="宋体" w:hAnsi="宋体"/>
                <w:sz w:val="18"/>
                <w:szCs w:val="18"/>
              </w:rPr>
            </w:pPr>
          </w:p>
        </w:tc>
        <w:tc>
          <w:tcPr>
            <w:tcW w:w="1388" w:type="dxa"/>
            <w:vMerge/>
            <w:vAlign w:val="center"/>
          </w:tcPr>
          <w:p w:rsidR="00A621A5" w:rsidRPr="006953DC" w:rsidRDefault="00A621A5" w:rsidP="00356345">
            <w:pPr>
              <w:ind w:left="-108"/>
              <w:jc w:val="center"/>
              <w:rPr>
                <w:rFonts w:ascii="宋体" w:hAnsi="宋体"/>
                <w:sz w:val="18"/>
                <w:szCs w:val="18"/>
              </w:rPr>
            </w:pPr>
          </w:p>
        </w:tc>
        <w:tc>
          <w:tcPr>
            <w:tcW w:w="1363" w:type="dxa"/>
            <w:vMerge/>
            <w:vAlign w:val="center"/>
          </w:tcPr>
          <w:p w:rsidR="00A621A5" w:rsidRPr="006953DC" w:rsidRDefault="00A621A5" w:rsidP="00356345">
            <w:pPr>
              <w:ind w:left="-108"/>
              <w:jc w:val="center"/>
              <w:rPr>
                <w:rFonts w:ascii="宋体" w:hAnsi="宋体"/>
                <w:sz w:val="18"/>
                <w:szCs w:val="18"/>
              </w:rPr>
            </w:pPr>
          </w:p>
        </w:tc>
      </w:tr>
      <w:tr w:rsidR="00A621A5" w:rsidRPr="000239C2" w:rsidTr="00356345">
        <w:trPr>
          <w:cantSplit/>
          <w:trHeight w:val="340"/>
        </w:trPr>
        <w:tc>
          <w:tcPr>
            <w:tcW w:w="498" w:type="dxa"/>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2</w:t>
            </w:r>
          </w:p>
        </w:tc>
        <w:tc>
          <w:tcPr>
            <w:tcW w:w="709" w:type="dxa"/>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工艺性能</w:t>
            </w:r>
          </w:p>
        </w:tc>
        <w:tc>
          <w:tcPr>
            <w:tcW w:w="1701" w:type="dxa"/>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弯曲试验</w:t>
            </w:r>
          </w:p>
        </w:tc>
        <w:tc>
          <w:tcPr>
            <w:tcW w:w="1388" w:type="dxa"/>
            <w:vAlign w:val="center"/>
          </w:tcPr>
          <w:p w:rsidR="00A621A5" w:rsidRPr="006953DC" w:rsidRDefault="00A621A5" w:rsidP="00356345">
            <w:pPr>
              <w:jc w:val="center"/>
              <w:rPr>
                <w:rFonts w:ascii="宋体" w:hAnsi="宋体"/>
                <w:sz w:val="18"/>
                <w:szCs w:val="18"/>
              </w:rPr>
            </w:pPr>
            <w:r w:rsidRPr="006953DC">
              <w:rPr>
                <w:rFonts w:ascii="宋体" w:hAnsi="宋体"/>
                <w:sz w:val="18"/>
                <w:szCs w:val="18"/>
              </w:rPr>
              <w:t>GB</w:t>
            </w:r>
            <w:r w:rsidRPr="006953DC">
              <w:rPr>
                <w:rFonts w:ascii="宋体" w:hAnsi="宋体" w:hint="eastAsia"/>
                <w:sz w:val="18"/>
                <w:szCs w:val="18"/>
              </w:rPr>
              <w:t>/T</w:t>
            </w:r>
            <w:r w:rsidRPr="006953DC">
              <w:rPr>
                <w:rFonts w:ascii="宋体" w:hAnsi="宋体"/>
                <w:sz w:val="18"/>
                <w:szCs w:val="18"/>
              </w:rPr>
              <w:t xml:space="preserve"> </w:t>
            </w:r>
            <w:r w:rsidRPr="006953DC">
              <w:rPr>
                <w:rFonts w:ascii="宋体" w:hAnsi="宋体" w:hint="eastAsia"/>
                <w:sz w:val="18"/>
                <w:szCs w:val="18"/>
              </w:rPr>
              <w:t>700</w:t>
            </w:r>
          </w:p>
          <w:p w:rsidR="00A621A5" w:rsidRPr="006953DC" w:rsidRDefault="00A621A5" w:rsidP="00356345">
            <w:pPr>
              <w:jc w:val="center"/>
              <w:rPr>
                <w:rFonts w:ascii="宋体" w:hAnsi="宋体"/>
                <w:sz w:val="18"/>
                <w:szCs w:val="18"/>
              </w:rPr>
            </w:pPr>
            <w:r w:rsidRPr="006953DC">
              <w:rPr>
                <w:rFonts w:ascii="宋体" w:hAnsi="宋体" w:hint="eastAsia"/>
                <w:sz w:val="18"/>
                <w:szCs w:val="18"/>
              </w:rPr>
              <w:t>GB/T 1591</w:t>
            </w:r>
          </w:p>
        </w:tc>
        <w:tc>
          <w:tcPr>
            <w:tcW w:w="1389" w:type="dxa"/>
            <w:vAlign w:val="center"/>
          </w:tcPr>
          <w:p w:rsidR="00A621A5" w:rsidRPr="006953DC" w:rsidRDefault="00A621A5" w:rsidP="00356345">
            <w:pPr>
              <w:jc w:val="center"/>
              <w:rPr>
                <w:rFonts w:ascii="宋体" w:hAnsi="宋体"/>
                <w:sz w:val="18"/>
                <w:szCs w:val="18"/>
              </w:rPr>
            </w:pPr>
            <w:r w:rsidRPr="006953DC">
              <w:rPr>
                <w:rFonts w:ascii="宋体" w:hAnsi="宋体"/>
                <w:sz w:val="18"/>
                <w:szCs w:val="18"/>
              </w:rPr>
              <w:t>GB</w:t>
            </w:r>
            <w:r w:rsidRPr="006953DC">
              <w:rPr>
                <w:rFonts w:ascii="宋体" w:hAnsi="宋体" w:hint="eastAsia"/>
                <w:sz w:val="18"/>
                <w:szCs w:val="18"/>
              </w:rPr>
              <w:t>/T</w:t>
            </w:r>
            <w:r w:rsidRPr="006953DC">
              <w:rPr>
                <w:rFonts w:ascii="宋体" w:hAnsi="宋体"/>
                <w:sz w:val="18"/>
                <w:szCs w:val="18"/>
              </w:rPr>
              <w:t xml:space="preserve"> </w:t>
            </w:r>
            <w:r w:rsidRPr="006953DC">
              <w:rPr>
                <w:rFonts w:ascii="宋体" w:hAnsi="宋体" w:hint="eastAsia"/>
                <w:sz w:val="18"/>
                <w:szCs w:val="18"/>
              </w:rPr>
              <w:t>232</w:t>
            </w:r>
          </w:p>
        </w:tc>
        <w:tc>
          <w:tcPr>
            <w:tcW w:w="1388" w:type="dxa"/>
            <w:vAlign w:val="center"/>
          </w:tcPr>
          <w:p w:rsidR="00A621A5" w:rsidRPr="006953DC" w:rsidRDefault="00A621A5" w:rsidP="00356345">
            <w:pPr>
              <w:jc w:val="center"/>
              <w:rPr>
                <w:rFonts w:ascii="宋体" w:hAnsi="宋体"/>
                <w:sz w:val="18"/>
                <w:szCs w:val="18"/>
              </w:rPr>
            </w:pPr>
            <w:r>
              <w:rPr>
                <w:rFonts w:ascii="宋体" w:hAnsi="宋体" w:hint="eastAsia"/>
                <w:sz w:val="18"/>
                <w:szCs w:val="18"/>
              </w:rPr>
              <w:t>备用样品</w:t>
            </w:r>
          </w:p>
        </w:tc>
        <w:tc>
          <w:tcPr>
            <w:tcW w:w="1363" w:type="dxa"/>
            <w:vAlign w:val="center"/>
          </w:tcPr>
          <w:p w:rsidR="00A621A5" w:rsidRPr="006953DC" w:rsidRDefault="00A621A5" w:rsidP="00356345">
            <w:pPr>
              <w:jc w:val="center"/>
              <w:rPr>
                <w:rFonts w:ascii="宋体" w:hAnsi="宋体"/>
                <w:sz w:val="18"/>
                <w:szCs w:val="18"/>
              </w:rPr>
            </w:pPr>
            <w:r w:rsidRPr="006953DC">
              <w:rPr>
                <w:rFonts w:ascii="宋体" w:hAnsi="宋体" w:hint="eastAsia"/>
                <w:sz w:val="18"/>
                <w:szCs w:val="18"/>
              </w:rPr>
              <w:t>弯曲试验</w:t>
            </w:r>
          </w:p>
        </w:tc>
      </w:tr>
    </w:tbl>
    <w:p w:rsidR="00A621A5" w:rsidRPr="00C86903" w:rsidRDefault="00A621A5" w:rsidP="00A621A5">
      <w:pPr>
        <w:pStyle w:val="a"/>
        <w:numPr>
          <w:ilvl w:val="0"/>
          <w:numId w:val="0"/>
        </w:numPr>
      </w:pPr>
    </w:p>
    <w:p w:rsidR="00A621A5" w:rsidRDefault="00A621A5" w:rsidP="00A621A5">
      <w:pPr>
        <w:pStyle w:val="a1"/>
        <w:spacing w:before="156" w:after="156"/>
        <w:ind w:left="284"/>
        <w:rPr>
          <w:color w:val="000000"/>
        </w:rPr>
      </w:pPr>
      <w:r>
        <w:rPr>
          <w:rFonts w:hint="eastAsia"/>
          <w:color w:val="000000"/>
        </w:rPr>
        <w:t>检验</w:t>
      </w:r>
      <w:r>
        <w:rPr>
          <w:color w:val="000000"/>
        </w:rPr>
        <w:t>应注意的问题</w:t>
      </w:r>
      <w:bookmarkEnd w:id="13"/>
      <w:bookmarkEnd w:id="14"/>
    </w:p>
    <w:p w:rsidR="00A621A5" w:rsidRDefault="00A621A5" w:rsidP="00A621A5">
      <w:pPr>
        <w:pStyle w:val="a2"/>
        <w:spacing w:before="156" w:after="156"/>
        <w:ind w:left="284"/>
        <w:rPr>
          <w:color w:val="000000"/>
        </w:rPr>
      </w:pPr>
      <w:r>
        <w:rPr>
          <w:rFonts w:hint="eastAsia"/>
          <w:color w:val="000000"/>
        </w:rPr>
        <w:t>产品有明示质量要求的判定原则</w:t>
      </w:r>
    </w:p>
    <w:p w:rsidR="00A621A5" w:rsidRDefault="00A621A5" w:rsidP="00A621A5">
      <w:pPr>
        <w:pStyle w:val="afe"/>
      </w:pPr>
      <w:r>
        <w:rPr>
          <w:rFonts w:hint="eastAsia"/>
        </w:rPr>
        <w:t>若被检产品明示的质量要求高于本细则中检验项目依据的标准要求时，应按被检产品明示的质量要求判定。</w:t>
      </w:r>
    </w:p>
    <w:p w:rsidR="00A621A5" w:rsidRDefault="00A621A5" w:rsidP="00A621A5">
      <w:pPr>
        <w:pStyle w:val="afe"/>
      </w:pPr>
      <w:r>
        <w:rPr>
          <w:rFonts w:hint="eastAsia"/>
        </w:rPr>
        <w:t>若被检产品明示的质量要求低于本细则中检验项目依据的强制性标准要求时，应按照强制性标准要求判定。</w:t>
      </w:r>
    </w:p>
    <w:p w:rsidR="00A621A5" w:rsidRDefault="00A621A5" w:rsidP="00A621A5">
      <w:pPr>
        <w:pStyle w:val="afe"/>
      </w:pPr>
      <w:r>
        <w:rPr>
          <w:rFonts w:hint="eastAsia"/>
        </w:rPr>
        <w:t>若被检产品明示的质量要求缺少本细则中检验项目依据的强制性标准要求时，应按照强制性标准要求判定。</w:t>
      </w:r>
    </w:p>
    <w:p w:rsidR="00A621A5" w:rsidRDefault="00A621A5" w:rsidP="00A621A5">
      <w:pPr>
        <w:pStyle w:val="a2"/>
        <w:spacing w:before="156" w:after="156"/>
        <w:ind w:left="284"/>
        <w:rPr>
          <w:color w:val="000000"/>
        </w:rPr>
      </w:pPr>
      <w:r>
        <w:rPr>
          <w:rFonts w:hint="eastAsia"/>
          <w:color w:val="000000"/>
        </w:rPr>
        <w:t>检验过程</w:t>
      </w:r>
    </w:p>
    <w:p w:rsidR="00A621A5" w:rsidRDefault="00A621A5" w:rsidP="00A621A5">
      <w:pPr>
        <w:pStyle w:val="afe"/>
      </w:pPr>
      <w:r>
        <w:rPr>
          <w:rFonts w:hint="eastAsia"/>
        </w:rPr>
        <w:t>检验人员收到样品后，应当通过拍照或者录像的方式检查记录样品的外观、状态、封条有无破损以及其他可能对检验结论产生影响的情形，并核对样品与抽样文书的记录是否相符。</w:t>
      </w:r>
    </w:p>
    <w:p w:rsidR="00A621A5" w:rsidRDefault="00A621A5" w:rsidP="00A621A5">
      <w:pPr>
        <w:pStyle w:val="afe"/>
      </w:pPr>
      <w:r>
        <w:rPr>
          <w:rFonts w:hint="eastAsia"/>
        </w:rPr>
        <w:t>对于抽样不规范的样品，检验人员应当拒绝接收并书面说明理由，同时向组织监督抽查的市场监督管理部门报告。</w:t>
      </w:r>
    </w:p>
    <w:p w:rsidR="00A621A5" w:rsidRDefault="00A621A5" w:rsidP="00A621A5">
      <w:pPr>
        <w:pStyle w:val="afe"/>
      </w:pPr>
      <w:r>
        <w:rPr>
          <w:rFonts w:hint="eastAsia"/>
        </w:rPr>
        <w:t>检验人员发现样品的生产者涉嫌存在无证无照等无需检验即可判定违法的情形的，应当终止检验，立即报告组织监督抽查的市场监督管理部门，并同时报告涉嫌违法的样品的生产者所在地县级市场监督管理部门。</w:t>
      </w:r>
    </w:p>
    <w:p w:rsidR="00A621A5" w:rsidRDefault="00A621A5" w:rsidP="00A621A5">
      <w:pPr>
        <w:pStyle w:val="afe"/>
      </w:pPr>
      <w:r>
        <w:rPr>
          <w:rFonts w:hint="eastAsia"/>
        </w:rPr>
        <w:t>检验人员应当按照监督抽查实施细则所规定的检验项目、检验方法、判定规则等进行检验。</w:t>
      </w:r>
    </w:p>
    <w:p w:rsidR="00A621A5" w:rsidRDefault="00A621A5" w:rsidP="00A621A5">
      <w:pPr>
        <w:pStyle w:val="afe"/>
      </w:pPr>
      <w:r>
        <w:rPr>
          <w:rFonts w:hint="eastAsia"/>
        </w:rPr>
        <w:t>检验中发现因样品失效或者其他原因致使检验无法进行的，检验人员应当如实记录，并提供相关证明材料，报送组织监督抽查的市场监督管理部门。</w:t>
      </w:r>
    </w:p>
    <w:p w:rsidR="00A621A5" w:rsidRDefault="00A621A5" w:rsidP="00A621A5">
      <w:pPr>
        <w:pStyle w:val="a0"/>
        <w:spacing w:before="312" w:after="312"/>
      </w:pPr>
      <w:bookmarkStart w:id="15" w:name="_Toc482282799"/>
      <w:r>
        <w:rPr>
          <w:rFonts w:hint="eastAsia"/>
        </w:rPr>
        <w:t>判定</w:t>
      </w:r>
      <w:bookmarkEnd w:id="15"/>
      <w:r>
        <w:rPr>
          <w:rFonts w:hint="eastAsia"/>
        </w:rPr>
        <w:t>规则</w:t>
      </w:r>
    </w:p>
    <w:p w:rsidR="00A621A5" w:rsidRDefault="00A621A5" w:rsidP="00A621A5">
      <w:pPr>
        <w:ind w:firstLine="480"/>
        <w:jc w:val="left"/>
        <w:rPr>
          <w:rFonts w:ascii="宋体" w:hAnsi="宋体"/>
          <w:szCs w:val="21"/>
        </w:rPr>
      </w:pPr>
      <w:r>
        <w:t>若某一项目不合格，则取双倍数量样品对不合格项目进行复验。若复验样品全部合格，判定为被抽查产品合格，若仍出现一件及以上不合格，判定为被抽查产品不合格。</w:t>
      </w:r>
    </w:p>
    <w:p w:rsidR="00A621A5" w:rsidRPr="00EB5013" w:rsidRDefault="00A621A5" w:rsidP="00A621A5">
      <w:pPr>
        <w:pStyle w:val="a0"/>
        <w:numPr>
          <w:ilvl w:val="0"/>
          <w:numId w:val="0"/>
        </w:numPr>
        <w:spacing w:before="312" w:after="312"/>
      </w:pPr>
      <w:r w:rsidRPr="00EB5013">
        <w:rPr>
          <w:rFonts w:hint="eastAsia"/>
        </w:rPr>
        <w:t>8 检验结论</w:t>
      </w:r>
    </w:p>
    <w:p w:rsidR="00A621A5" w:rsidRDefault="00A621A5" w:rsidP="00A621A5">
      <w:pPr>
        <w:ind w:firstLine="480"/>
        <w:jc w:val="left"/>
        <w:rPr>
          <w:rFonts w:ascii="宋体" w:hAnsi="宋体"/>
          <w:szCs w:val="21"/>
        </w:rPr>
      </w:pPr>
      <w:r>
        <w:rPr>
          <w:rFonts w:ascii="宋体" w:hAnsi="宋体" w:hint="eastAsia"/>
          <w:szCs w:val="21"/>
        </w:rPr>
        <w:t>合格：经抽样检验，所检项目符合××标准，依据</w:t>
      </w:r>
      <w:r>
        <w:rPr>
          <w:rFonts w:ascii="宋体" w:hAnsi="宋体" w:hint="eastAsia"/>
          <w:iCs/>
          <w:szCs w:val="21"/>
        </w:rPr>
        <w:t>××</w:t>
      </w:r>
      <w:r>
        <w:rPr>
          <w:rFonts w:ascii="宋体" w:hAnsi="宋体" w:hint="eastAsia"/>
          <w:szCs w:val="21"/>
        </w:rPr>
        <w:t>实施细则，判定为合格。</w:t>
      </w:r>
    </w:p>
    <w:p w:rsidR="00A621A5" w:rsidRDefault="00A621A5" w:rsidP="00A621A5">
      <w:pPr>
        <w:ind w:firstLine="480"/>
        <w:jc w:val="left"/>
        <w:rPr>
          <w:rFonts w:ascii="宋体" w:hAnsi="宋体"/>
          <w:szCs w:val="21"/>
        </w:rPr>
      </w:pPr>
      <w:r>
        <w:rPr>
          <w:rFonts w:ascii="宋体" w:hAnsi="宋体" w:hint="eastAsia"/>
          <w:szCs w:val="21"/>
        </w:rPr>
        <w:lastRenderedPageBreak/>
        <w:t>不合格：经抽样检验，××项目不符合××标准，依据</w:t>
      </w:r>
      <w:r>
        <w:rPr>
          <w:rFonts w:ascii="宋体" w:hAnsi="宋体" w:hint="eastAsia"/>
          <w:iCs/>
          <w:szCs w:val="21"/>
        </w:rPr>
        <w:t>××</w:t>
      </w:r>
      <w:r>
        <w:rPr>
          <w:rFonts w:ascii="宋体" w:hAnsi="宋体" w:hint="eastAsia"/>
          <w:szCs w:val="21"/>
        </w:rPr>
        <w:t>实施细则，判定为不合格。</w:t>
      </w:r>
    </w:p>
    <w:p w:rsidR="00A621A5" w:rsidRDefault="00A621A5" w:rsidP="00A621A5">
      <w:pPr>
        <w:pStyle w:val="a0"/>
        <w:numPr>
          <w:ilvl w:val="0"/>
          <w:numId w:val="0"/>
        </w:numPr>
        <w:spacing w:before="312" w:after="312"/>
        <w:rPr>
          <w:rFonts w:ascii="宋体" w:hAnsi="宋体"/>
        </w:rPr>
      </w:pPr>
      <w:bookmarkStart w:id="16" w:name="_Toc482282800"/>
      <w:r>
        <w:rPr>
          <w:rFonts w:hint="eastAsia"/>
        </w:rPr>
        <w:t>9  异议处理</w:t>
      </w:r>
      <w:bookmarkEnd w:id="16"/>
    </w:p>
    <w:p w:rsidR="00A621A5" w:rsidRDefault="00A621A5" w:rsidP="00A621A5">
      <w:pPr>
        <w:pStyle w:val="110"/>
        <w:spacing w:line="240" w:lineRule="auto"/>
        <w:ind w:firstLine="420"/>
      </w:pPr>
      <w:bookmarkStart w:id="17" w:name="_Toc482282801"/>
      <w:r>
        <w:rPr>
          <w:rFonts w:hint="eastAsia"/>
        </w:rPr>
        <w:t>被抽查生产者、销售者对检验结果有异议时，应自收到检验结论书面告知之日起十五日内向组织监督抽查的市场监督管理部门提出书面异议申请，并提交相关材料。</w:t>
      </w:r>
    </w:p>
    <w:p w:rsidR="00A621A5" w:rsidRDefault="00A621A5" w:rsidP="00A621A5">
      <w:pPr>
        <w:pStyle w:val="110"/>
        <w:spacing w:line="240" w:lineRule="auto"/>
        <w:ind w:firstLine="420"/>
      </w:pPr>
      <w:r>
        <w:rPr>
          <w:rFonts w:hint="eastAsia"/>
        </w:rPr>
        <w:t>对判定不合格产品进行异议处理时，按以下方式进行：</w:t>
      </w:r>
    </w:p>
    <w:p w:rsidR="00A621A5" w:rsidRDefault="002D6238" w:rsidP="002D6238">
      <w:pPr>
        <w:pStyle w:val="affffff"/>
        <w:numPr>
          <w:ilvl w:val="0"/>
          <w:numId w:val="0"/>
        </w:numPr>
        <w:ind w:left="283"/>
        <w:rPr>
          <w:rFonts w:hAnsi="宋体"/>
          <w:kern w:val="2"/>
        </w:rPr>
      </w:pPr>
      <w:r>
        <w:rPr>
          <w:rFonts w:hAnsi="宋体" w:hint="eastAsia"/>
          <w:iCs/>
          <w:kern w:val="2"/>
        </w:rPr>
        <w:t>9.1</w:t>
      </w:r>
      <w:r w:rsidR="00A621A5">
        <w:rPr>
          <w:rFonts w:hAnsi="宋体" w:hint="eastAsia"/>
          <w:iCs/>
          <w:kern w:val="2"/>
        </w:rPr>
        <w:t>复检</w:t>
      </w:r>
      <w:r w:rsidR="00A621A5">
        <w:rPr>
          <w:rFonts w:hAnsi="宋体"/>
          <w:iCs/>
          <w:kern w:val="2"/>
        </w:rPr>
        <w:t>机构</w:t>
      </w:r>
      <w:r w:rsidR="00A621A5">
        <w:rPr>
          <w:rFonts w:hAnsi="宋体" w:hint="eastAsia"/>
          <w:iCs/>
          <w:kern w:val="2"/>
        </w:rPr>
        <w:t>接到</w:t>
      </w:r>
      <w:r w:rsidR="00A621A5">
        <w:rPr>
          <w:rFonts w:hint="eastAsia"/>
        </w:rPr>
        <w:t>组织复检的市场监督管理部门</w:t>
      </w:r>
      <w:r w:rsidR="00A621A5">
        <w:rPr>
          <w:rFonts w:hAnsi="宋体" w:hint="eastAsia"/>
          <w:iCs/>
          <w:kern w:val="2"/>
        </w:rPr>
        <w:t>的复检通知后，</w:t>
      </w:r>
      <w:r w:rsidR="00A621A5">
        <w:rPr>
          <w:rFonts w:hAnsi="宋体"/>
          <w:iCs/>
          <w:kern w:val="2"/>
        </w:rPr>
        <w:t>应当按</w:t>
      </w:r>
      <w:r w:rsidR="00A621A5">
        <w:rPr>
          <w:rFonts w:hAnsi="宋体" w:hint="eastAsia"/>
          <w:iCs/>
          <w:kern w:val="2"/>
        </w:rPr>
        <w:t>本监督抽查实施细则，</w:t>
      </w:r>
      <w:r w:rsidR="00A621A5">
        <w:rPr>
          <w:rFonts w:hAnsi="宋体" w:hint="eastAsia"/>
          <w:kern w:val="2"/>
        </w:rPr>
        <w:t>核查不合格项目相关证据，能够以记录（纸质记录或电子记录或影像记录）或与不合格项目相关联的其它质量数据等检验证据证明，</w:t>
      </w:r>
      <w:r w:rsidR="00A621A5">
        <w:rPr>
          <w:rFonts w:hAnsi="宋体" w:hint="eastAsia"/>
          <w:iCs/>
          <w:kern w:val="2"/>
        </w:rPr>
        <w:t>做出维持原检验结果的结论。</w:t>
      </w:r>
    </w:p>
    <w:p w:rsidR="00A621A5" w:rsidRDefault="002D6238" w:rsidP="002D6238">
      <w:pPr>
        <w:pStyle w:val="affffff"/>
        <w:numPr>
          <w:ilvl w:val="0"/>
          <w:numId w:val="0"/>
        </w:numPr>
        <w:ind w:left="283"/>
      </w:pPr>
      <w:r>
        <w:rPr>
          <w:rFonts w:hint="eastAsia"/>
        </w:rPr>
        <w:t>9.2</w:t>
      </w:r>
      <w:r w:rsidR="00A621A5">
        <w:t>对需要复检并具备检验条件的，应当按</w:t>
      </w:r>
      <w:r w:rsidR="00A621A5">
        <w:rPr>
          <w:rFonts w:hint="eastAsia"/>
          <w:iCs/>
        </w:rPr>
        <w:t>6</w:t>
      </w:r>
      <w:r w:rsidR="00A621A5">
        <w:rPr>
          <w:iCs/>
        </w:rPr>
        <w:t>.1</w:t>
      </w:r>
      <w:r w:rsidR="00A621A5">
        <w:rPr>
          <w:rFonts w:hint="eastAsia"/>
          <w:iCs/>
        </w:rPr>
        <w:t>选择复检样品，</w:t>
      </w:r>
      <w:r w:rsidR="00A621A5">
        <w:rPr>
          <w:rFonts w:hint="eastAsia"/>
        </w:rPr>
        <w:t>按照本监督抽查实施细则所规定的检验方法、判定规则等对与异议相关的检验项目进行复检，并将复检结论及时报送组织复检的市场监督管理部门，由组织复检的市场监督管理部门书面告知复检申请人。</w:t>
      </w:r>
      <w:r w:rsidR="00A621A5">
        <w:t>复检结论为最终结论。</w:t>
      </w:r>
    </w:p>
    <w:p w:rsidR="00A621A5" w:rsidRDefault="002D6238" w:rsidP="002D6238">
      <w:pPr>
        <w:ind w:left="283"/>
        <w:rPr>
          <w:rFonts w:ascii="宋体"/>
          <w:kern w:val="0"/>
          <w:szCs w:val="21"/>
        </w:rPr>
      </w:pPr>
      <w:r>
        <w:rPr>
          <w:rFonts w:hint="eastAsia"/>
        </w:rPr>
        <w:t>9.3</w:t>
      </w:r>
      <w:r w:rsidR="00A621A5">
        <w:t>采用</w:t>
      </w:r>
      <w:r w:rsidR="00A621A5">
        <w:rPr>
          <w:rFonts w:hint="eastAsia"/>
        </w:rPr>
        <w:t>备用</w:t>
      </w:r>
      <w:r w:rsidR="00A621A5">
        <w:t>样品复</w:t>
      </w:r>
      <w:r w:rsidR="00A621A5">
        <w:rPr>
          <w:rFonts w:hint="eastAsia"/>
        </w:rPr>
        <w:t>检</w:t>
      </w:r>
      <w:r w:rsidR="00A621A5">
        <w:t>时，</w:t>
      </w:r>
      <w:r w:rsidR="00A621A5">
        <w:rPr>
          <w:rFonts w:hint="eastAsia"/>
        </w:rPr>
        <w:t>复检机构应当通过拍照或者录像的方式检查记录备用样品的外观、状态、封条有无破损以及其他可能对检验结论产生影响的情形，并核对备用样品与抽样文书的记录是否相符。被抽样生产者、销售者隐匿、转移、变卖、损毁备用样品的，应当终止复检，并以初检结论为最终结论。</w:t>
      </w:r>
    </w:p>
    <w:p w:rsidR="00A621A5" w:rsidRDefault="002D6238" w:rsidP="002D6238">
      <w:pPr>
        <w:ind w:left="283"/>
        <w:rPr>
          <w:rFonts w:ascii="宋体"/>
          <w:kern w:val="0"/>
          <w:szCs w:val="21"/>
        </w:rPr>
      </w:pPr>
      <w:r>
        <w:rPr>
          <w:rFonts w:hint="eastAsia"/>
        </w:rPr>
        <w:t>9.4</w:t>
      </w:r>
      <w:r w:rsidR="00A621A5">
        <w:rPr>
          <w:rFonts w:hint="eastAsia"/>
        </w:rPr>
        <w:t>除不以破坏性试验方式进行检验，并且不会对样品质量造成实质性影响的外，组织复检的市场监督管理部门应当向被抽样生产者、销售者支付备用样品费用。</w:t>
      </w:r>
    </w:p>
    <w:p w:rsidR="00A621A5" w:rsidRDefault="002D6238" w:rsidP="002D6238">
      <w:pPr>
        <w:ind w:left="283"/>
        <w:rPr>
          <w:rFonts w:ascii="宋体"/>
          <w:kern w:val="0"/>
          <w:szCs w:val="21"/>
        </w:rPr>
      </w:pPr>
      <w:r>
        <w:rPr>
          <w:rFonts w:ascii="宋体" w:hint="eastAsia"/>
          <w:kern w:val="0"/>
          <w:szCs w:val="21"/>
        </w:rPr>
        <w:t>9.5</w:t>
      </w:r>
      <w:r w:rsidR="00A621A5">
        <w:rPr>
          <w:rFonts w:ascii="宋体" w:hint="eastAsia"/>
          <w:kern w:val="0"/>
          <w:szCs w:val="21"/>
        </w:rPr>
        <w:t>复检费用由申请人向复检机构先行支付。复检结论与初检结论一致的，复检费用由申请人承担；与初检结论不一致的，复检费用由组织监督抽查的市场监督管理部门承担。</w:t>
      </w:r>
    </w:p>
    <w:p w:rsidR="00A621A5" w:rsidRDefault="00A621A5" w:rsidP="00A621A5">
      <w:pPr>
        <w:pStyle w:val="a0"/>
        <w:numPr>
          <w:ilvl w:val="0"/>
          <w:numId w:val="0"/>
        </w:numPr>
        <w:spacing w:before="312" w:after="312"/>
      </w:pPr>
      <w:r>
        <w:rPr>
          <w:rFonts w:hint="eastAsia"/>
        </w:rPr>
        <w:t>10  附则</w:t>
      </w:r>
      <w:bookmarkEnd w:id="17"/>
    </w:p>
    <w:p w:rsidR="00A621A5" w:rsidRDefault="00A621A5" w:rsidP="00A621A5">
      <w:pPr>
        <w:pStyle w:val="110"/>
        <w:spacing w:line="240" w:lineRule="auto"/>
        <w:ind w:firstLine="420"/>
      </w:pPr>
      <w:r>
        <w:rPr>
          <w:rFonts w:hint="eastAsia"/>
        </w:rPr>
        <w:t>整改复查</w:t>
      </w:r>
      <w:r>
        <w:t>应当按</w:t>
      </w:r>
      <w:r>
        <w:rPr>
          <w:rFonts w:hint="eastAsia"/>
        </w:rPr>
        <w:t>本</w:t>
      </w:r>
      <w:r>
        <w:t>监督抽查</w:t>
      </w:r>
      <w:r>
        <w:rPr>
          <w:rFonts w:hint="eastAsia"/>
        </w:rPr>
        <w:t>实施细则组织抽样以及检验。</w:t>
      </w:r>
    </w:p>
    <w:p w:rsidR="00A621A5" w:rsidRDefault="00A621A5" w:rsidP="00A621A5">
      <w:pPr>
        <w:pStyle w:val="110"/>
        <w:spacing w:line="240" w:lineRule="auto"/>
        <w:ind w:firstLine="420"/>
      </w:pPr>
      <w:r>
        <w:rPr>
          <w:rFonts w:hint="eastAsia"/>
        </w:rPr>
        <w:t>本细则由成都产品质量</w:t>
      </w:r>
      <w:r w:rsidR="00EB1A4A">
        <w:rPr>
          <w:rFonts w:hint="eastAsia"/>
        </w:rPr>
        <w:t>检验研究院有限责任公司</w:t>
      </w:r>
      <w:r>
        <w:rPr>
          <w:rFonts w:hint="eastAsia"/>
        </w:rPr>
        <w:t>编写。</w:t>
      </w:r>
    </w:p>
    <w:p w:rsidR="00A621A5" w:rsidRDefault="00A621A5" w:rsidP="00A621A5">
      <w:pPr>
        <w:pStyle w:val="110"/>
        <w:spacing w:line="240" w:lineRule="auto"/>
        <w:ind w:firstLine="420"/>
      </w:pPr>
      <w:r>
        <w:rPr>
          <w:rFonts w:hint="eastAsia"/>
        </w:rPr>
        <w:t>本细则由</w:t>
      </w:r>
      <w:r w:rsidR="00311947" w:rsidRPr="00CC61DD">
        <w:rPr>
          <w:rFonts w:hint="eastAsia"/>
        </w:rPr>
        <w:t>阿坝藏族羌族自治州市场监督管理局</w:t>
      </w:r>
      <w:r>
        <w:t>管理</w:t>
      </w:r>
      <w:r>
        <w:rPr>
          <w:rFonts w:hint="eastAsia"/>
        </w:rPr>
        <w:t>。</w:t>
      </w:r>
    </w:p>
    <w:p w:rsidR="00A621A5" w:rsidRDefault="00A621A5" w:rsidP="00A621A5">
      <w:pPr>
        <w:pStyle w:val="110"/>
        <w:spacing w:line="240" w:lineRule="auto"/>
        <w:ind w:firstLine="420"/>
      </w:pPr>
    </w:p>
    <w:p w:rsidR="005F6BB0" w:rsidRDefault="005F6BB0" w:rsidP="00A621A5">
      <w:pPr>
        <w:pStyle w:val="affffff4"/>
        <w:framePr w:hSpace="0" w:vSpace="0" w:wrap="auto" w:vAnchor="margin" w:hAnchor="text" w:xAlign="left" w:yAlign="inline"/>
        <w:jc w:val="center"/>
      </w:pPr>
    </w:p>
    <w:p w:rsidR="00A621A5" w:rsidRDefault="00A621A5" w:rsidP="00A621A5">
      <w:pPr>
        <w:pStyle w:val="affffff4"/>
        <w:framePr w:hSpace="0" w:vSpace="0" w:wrap="auto" w:vAnchor="margin" w:hAnchor="text" w:xAlign="left" w:yAlign="inline"/>
        <w:jc w:val="center"/>
      </w:pPr>
      <w:r>
        <w:t>_________________________________</w:t>
      </w:r>
    </w:p>
    <w:p w:rsidR="00F34B99" w:rsidRPr="0037685F" w:rsidRDefault="00F34B99" w:rsidP="00184465">
      <w:pPr>
        <w:pStyle w:val="affffff4"/>
        <w:framePr w:wrap="around"/>
        <w:rPr>
          <w:color w:val="0000FF"/>
        </w:rPr>
      </w:pPr>
    </w:p>
    <w:sectPr w:rsidR="00F34B99" w:rsidRPr="0037685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51" w:rsidRDefault="00751251">
      <w:r>
        <w:separator/>
      </w:r>
    </w:p>
  </w:endnote>
  <w:endnote w:type="continuationSeparator" w:id="1">
    <w:p w:rsidR="00751251" w:rsidRDefault="0075125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5A" w:rsidRDefault="00861242" w:rsidP="00BE0788">
    <w:pPr>
      <w:pStyle w:val="aff"/>
    </w:pPr>
    <w:r>
      <w:fldChar w:fldCharType="begin"/>
    </w:r>
    <w:r w:rsidR="0058135A">
      <w:instrText xml:space="preserve"> PAGE  \* MERGEFORMAT </w:instrText>
    </w:r>
    <w:r>
      <w:fldChar w:fldCharType="separate"/>
    </w:r>
    <w:r w:rsidR="00A67A5F">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51" w:rsidRDefault="00751251">
      <w:r>
        <w:separator/>
      </w:r>
    </w:p>
  </w:footnote>
  <w:footnote w:type="continuationSeparator" w:id="1">
    <w:p w:rsidR="00751251" w:rsidRDefault="00751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5A" w:rsidRDefault="0058135A" w:rsidP="00F34B99">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283"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925"/>
    <w:rsid w:val="0005536E"/>
    <w:rsid w:val="00067CDF"/>
    <w:rsid w:val="00074FBE"/>
    <w:rsid w:val="000820B4"/>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84465"/>
    <w:rsid w:val="001900F8"/>
    <w:rsid w:val="00191258"/>
    <w:rsid w:val="00192680"/>
    <w:rsid w:val="00193037"/>
    <w:rsid w:val="00193A2C"/>
    <w:rsid w:val="001A288E"/>
    <w:rsid w:val="001B453F"/>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14DF"/>
    <w:rsid w:val="0028269A"/>
    <w:rsid w:val="00283590"/>
    <w:rsid w:val="00286973"/>
    <w:rsid w:val="00294E70"/>
    <w:rsid w:val="002A1924"/>
    <w:rsid w:val="002A7420"/>
    <w:rsid w:val="002B0F12"/>
    <w:rsid w:val="002B1308"/>
    <w:rsid w:val="002B4554"/>
    <w:rsid w:val="002C72D8"/>
    <w:rsid w:val="002D11FA"/>
    <w:rsid w:val="002D6238"/>
    <w:rsid w:val="002E0DDF"/>
    <w:rsid w:val="002E2906"/>
    <w:rsid w:val="002E5635"/>
    <w:rsid w:val="002E64C3"/>
    <w:rsid w:val="002E6A2C"/>
    <w:rsid w:val="002F1D8C"/>
    <w:rsid w:val="002F21DA"/>
    <w:rsid w:val="00301F39"/>
    <w:rsid w:val="00311947"/>
    <w:rsid w:val="00325926"/>
    <w:rsid w:val="00327A8A"/>
    <w:rsid w:val="00336610"/>
    <w:rsid w:val="00336A9C"/>
    <w:rsid w:val="00343F73"/>
    <w:rsid w:val="00345060"/>
    <w:rsid w:val="0034527D"/>
    <w:rsid w:val="0035323B"/>
    <w:rsid w:val="003609D2"/>
    <w:rsid w:val="00363F22"/>
    <w:rsid w:val="00375564"/>
    <w:rsid w:val="0037685F"/>
    <w:rsid w:val="00383191"/>
    <w:rsid w:val="00386DED"/>
    <w:rsid w:val="003912E7"/>
    <w:rsid w:val="00393947"/>
    <w:rsid w:val="003A1264"/>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03812"/>
    <w:rsid w:val="00425082"/>
    <w:rsid w:val="00431DEB"/>
    <w:rsid w:val="00446454"/>
    <w:rsid w:val="00446B29"/>
    <w:rsid w:val="00453F9A"/>
    <w:rsid w:val="00471E91"/>
    <w:rsid w:val="00474675"/>
    <w:rsid w:val="0047470C"/>
    <w:rsid w:val="00483CF8"/>
    <w:rsid w:val="00486F23"/>
    <w:rsid w:val="004A35F9"/>
    <w:rsid w:val="004B24C1"/>
    <w:rsid w:val="004C292F"/>
    <w:rsid w:val="004D69A0"/>
    <w:rsid w:val="00510280"/>
    <w:rsid w:val="00513D73"/>
    <w:rsid w:val="00514A43"/>
    <w:rsid w:val="00515E95"/>
    <w:rsid w:val="005174E5"/>
    <w:rsid w:val="00522393"/>
    <w:rsid w:val="00522620"/>
    <w:rsid w:val="00525656"/>
    <w:rsid w:val="00534C02"/>
    <w:rsid w:val="00541D43"/>
    <w:rsid w:val="0054264B"/>
    <w:rsid w:val="00543786"/>
    <w:rsid w:val="005533D7"/>
    <w:rsid w:val="005703DE"/>
    <w:rsid w:val="0058135A"/>
    <w:rsid w:val="0058464E"/>
    <w:rsid w:val="005A01CB"/>
    <w:rsid w:val="005A58FF"/>
    <w:rsid w:val="005A5EAF"/>
    <w:rsid w:val="005A64C0"/>
    <w:rsid w:val="005B3C11"/>
    <w:rsid w:val="005C1C28"/>
    <w:rsid w:val="005C6DB5"/>
    <w:rsid w:val="005E19E7"/>
    <w:rsid w:val="005F6BB0"/>
    <w:rsid w:val="0061716C"/>
    <w:rsid w:val="006243A1"/>
    <w:rsid w:val="00632E56"/>
    <w:rsid w:val="00635CBA"/>
    <w:rsid w:val="0064338B"/>
    <w:rsid w:val="00646542"/>
    <w:rsid w:val="006504F4"/>
    <w:rsid w:val="00654BC9"/>
    <w:rsid w:val="006552FD"/>
    <w:rsid w:val="00663AF3"/>
    <w:rsid w:val="00666B6C"/>
    <w:rsid w:val="00672455"/>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2327"/>
    <w:rsid w:val="006E3675"/>
    <w:rsid w:val="006E4A7F"/>
    <w:rsid w:val="00704DF6"/>
    <w:rsid w:val="0070651C"/>
    <w:rsid w:val="007132A3"/>
    <w:rsid w:val="00716421"/>
    <w:rsid w:val="00724EFB"/>
    <w:rsid w:val="007419C3"/>
    <w:rsid w:val="007467A7"/>
    <w:rsid w:val="007469DD"/>
    <w:rsid w:val="0074741B"/>
    <w:rsid w:val="0074759E"/>
    <w:rsid w:val="007478EA"/>
    <w:rsid w:val="00750D50"/>
    <w:rsid w:val="00751251"/>
    <w:rsid w:val="0075415C"/>
    <w:rsid w:val="00763502"/>
    <w:rsid w:val="007913AB"/>
    <w:rsid w:val="007914F7"/>
    <w:rsid w:val="007A5014"/>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61242"/>
    <w:rsid w:val="0087198C"/>
    <w:rsid w:val="00872C1F"/>
    <w:rsid w:val="00873B42"/>
    <w:rsid w:val="008856D8"/>
    <w:rsid w:val="00892E82"/>
    <w:rsid w:val="00895F4E"/>
    <w:rsid w:val="008C1B58"/>
    <w:rsid w:val="008C39AE"/>
    <w:rsid w:val="008C590D"/>
    <w:rsid w:val="008E031B"/>
    <w:rsid w:val="008E7029"/>
    <w:rsid w:val="008E7EF6"/>
    <w:rsid w:val="008F1F98"/>
    <w:rsid w:val="008F6758"/>
    <w:rsid w:val="009040DD"/>
    <w:rsid w:val="00905B47"/>
    <w:rsid w:val="0091331C"/>
    <w:rsid w:val="009145F0"/>
    <w:rsid w:val="009279DE"/>
    <w:rsid w:val="00930116"/>
    <w:rsid w:val="0094212C"/>
    <w:rsid w:val="00954689"/>
    <w:rsid w:val="009617C9"/>
    <w:rsid w:val="00961C93"/>
    <w:rsid w:val="00965324"/>
    <w:rsid w:val="0097091E"/>
    <w:rsid w:val="009760D3"/>
    <w:rsid w:val="00977132"/>
    <w:rsid w:val="00981A4B"/>
    <w:rsid w:val="00982501"/>
    <w:rsid w:val="009877D3"/>
    <w:rsid w:val="009900E1"/>
    <w:rsid w:val="00994E8F"/>
    <w:rsid w:val="009951DC"/>
    <w:rsid w:val="009959BB"/>
    <w:rsid w:val="00997158"/>
    <w:rsid w:val="009A3A7C"/>
    <w:rsid w:val="009B2ADB"/>
    <w:rsid w:val="009B603A"/>
    <w:rsid w:val="009C2D0E"/>
    <w:rsid w:val="009C3DAC"/>
    <w:rsid w:val="009C42E0"/>
    <w:rsid w:val="009C5BD2"/>
    <w:rsid w:val="009D5362"/>
    <w:rsid w:val="009E10C0"/>
    <w:rsid w:val="009E1415"/>
    <w:rsid w:val="009E6116"/>
    <w:rsid w:val="00A02E43"/>
    <w:rsid w:val="00A065F9"/>
    <w:rsid w:val="00A07F34"/>
    <w:rsid w:val="00A22154"/>
    <w:rsid w:val="00A25C38"/>
    <w:rsid w:val="00A345DA"/>
    <w:rsid w:val="00A36BBE"/>
    <w:rsid w:val="00A4307A"/>
    <w:rsid w:val="00A47EBB"/>
    <w:rsid w:val="00A51CDD"/>
    <w:rsid w:val="00A621A5"/>
    <w:rsid w:val="00A6730D"/>
    <w:rsid w:val="00A67A5F"/>
    <w:rsid w:val="00A71625"/>
    <w:rsid w:val="00A71B9B"/>
    <w:rsid w:val="00A751C7"/>
    <w:rsid w:val="00A87277"/>
    <w:rsid w:val="00A87844"/>
    <w:rsid w:val="00AA038C"/>
    <w:rsid w:val="00AA7A09"/>
    <w:rsid w:val="00AB3B50"/>
    <w:rsid w:val="00AC05B1"/>
    <w:rsid w:val="00AD356C"/>
    <w:rsid w:val="00AD515D"/>
    <w:rsid w:val="00AE2914"/>
    <w:rsid w:val="00AE6D15"/>
    <w:rsid w:val="00B04182"/>
    <w:rsid w:val="00B07AE3"/>
    <w:rsid w:val="00B11430"/>
    <w:rsid w:val="00B353EB"/>
    <w:rsid w:val="00B439C4"/>
    <w:rsid w:val="00B4535E"/>
    <w:rsid w:val="00B52A8C"/>
    <w:rsid w:val="00B636A8"/>
    <w:rsid w:val="00B665C6"/>
    <w:rsid w:val="00B805AF"/>
    <w:rsid w:val="00B842B9"/>
    <w:rsid w:val="00B869EC"/>
    <w:rsid w:val="00B9397A"/>
    <w:rsid w:val="00B9633D"/>
    <w:rsid w:val="00BA2EBE"/>
    <w:rsid w:val="00BB0F28"/>
    <w:rsid w:val="00BB458A"/>
    <w:rsid w:val="00BD00D3"/>
    <w:rsid w:val="00BD063E"/>
    <w:rsid w:val="00BD1659"/>
    <w:rsid w:val="00BD3AA9"/>
    <w:rsid w:val="00BD4A18"/>
    <w:rsid w:val="00BD6DB2"/>
    <w:rsid w:val="00BE0788"/>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46DC1"/>
    <w:rsid w:val="00C601D2"/>
    <w:rsid w:val="00C65BCC"/>
    <w:rsid w:val="00C66970"/>
    <w:rsid w:val="00C8691C"/>
    <w:rsid w:val="00CA168A"/>
    <w:rsid w:val="00CA357E"/>
    <w:rsid w:val="00CA44F9"/>
    <w:rsid w:val="00CA4A69"/>
    <w:rsid w:val="00CC3E0C"/>
    <w:rsid w:val="00CC58D3"/>
    <w:rsid w:val="00CC61DD"/>
    <w:rsid w:val="00CC784D"/>
    <w:rsid w:val="00CD21D4"/>
    <w:rsid w:val="00CF4BD3"/>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541F1"/>
    <w:rsid w:val="00E82344"/>
    <w:rsid w:val="00E84C82"/>
    <w:rsid w:val="00E84D64"/>
    <w:rsid w:val="00E87408"/>
    <w:rsid w:val="00E914C4"/>
    <w:rsid w:val="00E934F5"/>
    <w:rsid w:val="00E96961"/>
    <w:rsid w:val="00EA4D65"/>
    <w:rsid w:val="00EA72EC"/>
    <w:rsid w:val="00EB11CB"/>
    <w:rsid w:val="00EB1A4A"/>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AF6"/>
    <w:rsid w:val="00F91C4D"/>
    <w:rsid w:val="00F92FD9"/>
    <w:rsid w:val="00FA6684"/>
    <w:rsid w:val="00FA731E"/>
    <w:rsid w:val="00FB2B38"/>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ind w:left="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2"/>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affffff7">
    <w:name w:val="Balloon Text"/>
    <w:basedOn w:val="afa"/>
    <w:link w:val="Char2"/>
    <w:semiHidden/>
    <w:rsid w:val="0058135A"/>
    <w:rPr>
      <w:rFonts w:ascii="Calibri" w:hAnsi="Calibri"/>
      <w:kern w:val="0"/>
      <w:sz w:val="18"/>
      <w:szCs w:val="18"/>
    </w:rPr>
  </w:style>
  <w:style w:type="paragraph" w:styleId="11">
    <w:name w:val="toc 1"/>
    <w:basedOn w:val="afa"/>
    <w:next w:val="afa"/>
    <w:autoRedefine/>
    <w:semiHidden/>
    <w:rsid w:val="00961C93"/>
    <w:pPr>
      <w:tabs>
        <w:tab w:val="right" w:leader="dot" w:pos="9241"/>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1"/>
      </w:tabs>
    </w:pPr>
    <w:rPr>
      <w:rFonts w:ascii="宋体"/>
      <w:szCs w:val="21"/>
    </w:rPr>
  </w:style>
  <w:style w:type="character" w:customStyle="1" w:styleId="Char2">
    <w:name w:val="批注框文本 Char"/>
    <w:link w:val="affffff7"/>
    <w:semiHidden/>
    <w:locked/>
    <w:rsid w:val="0058135A"/>
    <w:rPr>
      <w:rFonts w:ascii="Calibri" w:eastAsia="宋体" w:hAnsi="Calibri"/>
      <w:sz w:val="18"/>
      <w:szCs w:val="18"/>
      <w:lang w:bidi="ar-SA"/>
    </w:rPr>
  </w:style>
  <w:style w:type="paragraph" w:customStyle="1" w:styleId="110">
    <w:name w:val="正文11"/>
    <w:basedOn w:val="afa"/>
    <w:link w:val="11Char"/>
    <w:qFormat/>
    <w:rsid w:val="0058135A"/>
    <w:pPr>
      <w:spacing w:line="440" w:lineRule="exact"/>
      <w:ind w:firstLineChars="200" w:firstLine="200"/>
      <w:jc w:val="left"/>
    </w:pPr>
    <w:rPr>
      <w:rFonts w:ascii="宋体" w:hAnsi="宋体"/>
      <w:szCs w:val="21"/>
    </w:rPr>
  </w:style>
  <w:style w:type="character" w:customStyle="1" w:styleId="11Char">
    <w:name w:val="正文11 Char"/>
    <w:link w:val="110"/>
    <w:rsid w:val="0058135A"/>
    <w:rPr>
      <w:rFonts w:ascii="宋体" w:eastAsia="宋体" w:hAnsi="宋体"/>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602</Words>
  <Characters>3436</Characters>
  <Application>Microsoft Office Word</Application>
  <DocSecurity>0</DocSecurity>
  <Lines>28</Lines>
  <Paragraphs>8</Paragraphs>
  <ScaleCrop>false</ScaleCrop>
  <Company>zle</Company>
  <LinksUpToDate>false</LinksUpToDate>
  <CharactersWithSpaces>4030</CharactersWithSpaces>
  <SharedDoc>false</SharedDoc>
  <HLinks>
    <vt:vector size="60" baseType="variant">
      <vt:variant>
        <vt:i4>1703999</vt:i4>
      </vt:variant>
      <vt:variant>
        <vt:i4>86</vt:i4>
      </vt:variant>
      <vt:variant>
        <vt:i4>0</vt:i4>
      </vt:variant>
      <vt:variant>
        <vt:i4>5</vt:i4>
      </vt:variant>
      <vt:variant>
        <vt:lpwstr/>
      </vt:variant>
      <vt:variant>
        <vt:lpwstr>_Toc482003962</vt:lpwstr>
      </vt:variant>
      <vt:variant>
        <vt:i4>1703999</vt:i4>
      </vt:variant>
      <vt:variant>
        <vt:i4>80</vt:i4>
      </vt:variant>
      <vt:variant>
        <vt:i4>0</vt:i4>
      </vt:variant>
      <vt:variant>
        <vt:i4>5</vt:i4>
      </vt:variant>
      <vt:variant>
        <vt:lpwstr/>
      </vt:variant>
      <vt:variant>
        <vt:lpwstr>_Toc482003961</vt:lpwstr>
      </vt:variant>
      <vt:variant>
        <vt:i4>1703999</vt:i4>
      </vt:variant>
      <vt:variant>
        <vt:i4>74</vt:i4>
      </vt:variant>
      <vt:variant>
        <vt:i4>0</vt:i4>
      </vt:variant>
      <vt:variant>
        <vt:i4>5</vt:i4>
      </vt:variant>
      <vt:variant>
        <vt:lpwstr/>
      </vt:variant>
      <vt:variant>
        <vt:lpwstr>_Toc482003960</vt:lpwstr>
      </vt:variant>
      <vt:variant>
        <vt:i4>1638463</vt:i4>
      </vt:variant>
      <vt:variant>
        <vt:i4>68</vt:i4>
      </vt:variant>
      <vt:variant>
        <vt:i4>0</vt:i4>
      </vt:variant>
      <vt:variant>
        <vt:i4>5</vt:i4>
      </vt:variant>
      <vt:variant>
        <vt:lpwstr/>
      </vt:variant>
      <vt:variant>
        <vt:lpwstr>_Toc482003959</vt:lpwstr>
      </vt:variant>
      <vt:variant>
        <vt:i4>1638463</vt:i4>
      </vt:variant>
      <vt:variant>
        <vt:i4>62</vt:i4>
      </vt:variant>
      <vt:variant>
        <vt:i4>0</vt:i4>
      </vt:variant>
      <vt:variant>
        <vt:i4>5</vt:i4>
      </vt:variant>
      <vt:variant>
        <vt:lpwstr/>
      </vt:variant>
      <vt:variant>
        <vt:lpwstr>_Toc482003958</vt:lpwstr>
      </vt:variant>
      <vt:variant>
        <vt:i4>1638463</vt:i4>
      </vt:variant>
      <vt:variant>
        <vt:i4>56</vt:i4>
      </vt:variant>
      <vt:variant>
        <vt:i4>0</vt:i4>
      </vt:variant>
      <vt:variant>
        <vt:i4>5</vt:i4>
      </vt:variant>
      <vt:variant>
        <vt:lpwstr/>
      </vt:variant>
      <vt:variant>
        <vt:lpwstr>_Toc482003957</vt:lpwstr>
      </vt:variant>
      <vt:variant>
        <vt:i4>1638463</vt:i4>
      </vt:variant>
      <vt:variant>
        <vt:i4>50</vt:i4>
      </vt:variant>
      <vt:variant>
        <vt:i4>0</vt:i4>
      </vt:variant>
      <vt:variant>
        <vt:i4>5</vt:i4>
      </vt:variant>
      <vt:variant>
        <vt:lpwstr/>
      </vt:variant>
      <vt:variant>
        <vt:lpwstr>_Toc482003956</vt:lpwstr>
      </vt:variant>
      <vt:variant>
        <vt:i4>1638463</vt:i4>
      </vt:variant>
      <vt:variant>
        <vt:i4>44</vt:i4>
      </vt:variant>
      <vt:variant>
        <vt:i4>0</vt:i4>
      </vt:variant>
      <vt:variant>
        <vt:i4>5</vt:i4>
      </vt:variant>
      <vt:variant>
        <vt:lpwstr/>
      </vt:variant>
      <vt:variant>
        <vt:lpwstr>_Toc482003955</vt:lpwstr>
      </vt:variant>
      <vt:variant>
        <vt:i4>1638463</vt:i4>
      </vt:variant>
      <vt:variant>
        <vt:i4>38</vt:i4>
      </vt:variant>
      <vt:variant>
        <vt:i4>0</vt:i4>
      </vt:variant>
      <vt:variant>
        <vt:i4>5</vt:i4>
      </vt:variant>
      <vt:variant>
        <vt:lpwstr/>
      </vt:variant>
      <vt:variant>
        <vt:lpwstr>_Toc482003954</vt:lpwstr>
      </vt:variant>
      <vt:variant>
        <vt:i4>1638463</vt:i4>
      </vt:variant>
      <vt:variant>
        <vt:i4>32</vt:i4>
      </vt:variant>
      <vt:variant>
        <vt:i4>0</vt:i4>
      </vt:variant>
      <vt:variant>
        <vt:i4>5</vt:i4>
      </vt:variant>
      <vt:variant>
        <vt:lpwstr/>
      </vt:variant>
      <vt:variant>
        <vt:lpwstr>_Toc482003953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张韶辉</cp:lastModifiedBy>
  <cp:revision>2</cp:revision>
  <dcterms:created xsi:type="dcterms:W3CDTF">2020-06-01T02:03:00Z</dcterms:created>
  <dcterms:modified xsi:type="dcterms:W3CDTF">2020-06-01T02:03:00Z</dcterms:modified>
</cp:coreProperties>
</file>