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阿坝州新华书店</w:t>
      </w: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jc w:val="center"/>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1</w:t>
      </w:r>
      <w:r>
        <w:rPr>
          <w:rFonts w:hint="default" w:ascii="Times New Roman" w:hAnsi="Times New Roman" w:eastAsia="方正小标宋_GBK" w:cs="Times New Roman"/>
          <w:sz w:val="44"/>
          <w:szCs w:val="44"/>
        </w:rPr>
        <w:t>年部门预算</w:t>
      </w: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576" w:lineRule="exact"/>
        <w:ind w:right="0"/>
        <w:jc w:val="center"/>
        <w:textAlignment w:val="auto"/>
        <w:rPr>
          <w:rFonts w:hint="default" w:ascii="Times New Roman" w:hAnsi="Times New Roman" w:eastAsia="黑体" w:cs="Times New Roman"/>
          <w:sz w:val="32"/>
          <w:szCs w:val="32"/>
        </w:rPr>
        <w:sectPr>
          <w:pgSz w:w="11906" w:h="16838"/>
          <w:pgMar w:top="2098" w:right="1474" w:bottom="1984" w:left="1587"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Autospacing="0" w:afterAutospacing="0" w:line="576" w:lineRule="exact"/>
        <w:ind w:right="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76" w:lineRule="exact"/>
        <w:ind w:righ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 录</w:t>
      </w: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firstLine="3080" w:firstLineChars="700"/>
        <w:textAlignment w:val="auto"/>
        <w:rPr>
          <w:rFonts w:hint="default" w:ascii="Times New Roman" w:hAnsi="Times New Roman" w:eastAsia="黑体" w:cs="Times New Roman"/>
          <w:sz w:val="44"/>
          <w:szCs w:val="44"/>
        </w:rPr>
      </w:pPr>
    </w:p>
    <w:p>
      <w:pPr>
        <w:bidi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基本职能及主要工作</w:t>
      </w: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（一）部门职能简介</w:t>
      </w: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（二）2020年重点工作</w:t>
      </w: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一）收入预算情况</w:t>
      </w: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（二）支出预算情况</w:t>
      </w: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（一）一般公共预算当年拨款规模变化情况</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（二）一般公共预算当年拨款结构情况</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（三）一般公共预算当年拨款具体使用情况</w:t>
      </w:r>
      <w:r>
        <w:rPr>
          <w:rFonts w:hint="default" w:ascii="Times New Roman" w:hAnsi="Times New Roman" w:eastAsia="宋体" w:cs="Times New Roman"/>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pPr>
        <w:keepNext w:val="0"/>
        <w:keepLines w:val="0"/>
        <w:pageBreakBefore w:val="0"/>
        <w:kinsoku/>
        <w:wordWrap/>
        <w:overflowPunct/>
        <w:topLinePunct w:val="0"/>
        <w:autoSpaceDE/>
        <w:autoSpaceDN/>
        <w:bidi w:val="0"/>
        <w:adjustRightInd/>
        <w:snapToGrid/>
        <w:spacing w:beforeAutospacing="0" w:afterAutospacing="0" w:line="576" w:lineRule="exact"/>
        <w:ind w:left="0" w:right="0"/>
        <w:textAlignment w:val="auto"/>
        <w:rPr>
          <w:rFonts w:hint="default" w:ascii="Times New Roman" w:hAnsi="Times New Roman" w:eastAsia="黑体" w:cs="Times New Roman"/>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kern w:val="0"/>
          <w:sz w:val="12"/>
          <w:szCs w:val="12"/>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（一）部门职能简介</w:t>
      </w:r>
    </w:p>
    <w:p>
      <w:pPr>
        <w:pStyle w:val="9"/>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主要负责马尔康地区中小学教材教辅、一般图书、藏文图书等出版物的征订发行；负责全州新华书店教材教辅、一般图书的中转运输；负责全州新华书店主营业务的业务指导工作。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w:t>
      </w:r>
      <w:r>
        <w:rPr>
          <w:rFonts w:hint="eastAsia" w:ascii="Times New Roman" w:hAnsi="Times New Roman" w:eastAsia="楷体_GB2312" w:cs="Times New Roman"/>
          <w:b/>
          <w:bCs/>
          <w:sz w:val="32"/>
          <w:szCs w:val="32"/>
          <w:lang w:eastAsia="zh-CN"/>
        </w:rPr>
        <w:t>阿坝州新华书店</w:t>
      </w:r>
      <w:r>
        <w:rPr>
          <w:rFonts w:hint="default" w:ascii="Times New Roman" w:hAnsi="Times New Roman" w:eastAsia="楷体_GB2312" w:cs="Times New Roman"/>
          <w:b/>
          <w:bCs/>
          <w:sz w:val="32"/>
          <w:szCs w:val="32"/>
        </w:rPr>
        <w:t>202</w:t>
      </w:r>
      <w:r>
        <w:rPr>
          <w:rFonts w:hint="default"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rPr>
        <w:t>年重点工作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继续扎实做好春秋“两季”教材教辅的征订发行工作。对全州各县店两季教材教辅征订发行工作做好业务指导和培训。完成文轩公司相关活动，积极配合协调相关部门，起好桥梁作用。继续加强新业务拓展，推进师培项目的宣传力度。</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color w:val="000000"/>
          <w:sz w:val="32"/>
          <w:szCs w:val="32"/>
        </w:rPr>
        <w:t>加强一般图书、文体用品、纺织品、文创产品的进、销、存、调、退、运、结算管理工作，规范文体用品和纺织品的经营管理。</w:t>
      </w:r>
      <w:r>
        <w:rPr>
          <w:rFonts w:hint="default" w:ascii="Times New Roman" w:hAnsi="Times New Roman" w:eastAsia="仿宋_GB2312" w:cs="Times New Roman"/>
          <w:b w:val="0"/>
          <w:bCs w:val="0"/>
          <w:sz w:val="32"/>
          <w:szCs w:val="32"/>
        </w:rPr>
        <w:t>强化业务培训，</w:t>
      </w:r>
      <w:r>
        <w:rPr>
          <w:rFonts w:hint="default" w:ascii="Times New Roman" w:hAnsi="Times New Roman" w:eastAsia="仿宋_GB2312" w:cs="Times New Roman"/>
          <w:b w:val="0"/>
          <w:bCs w:val="0"/>
          <w:color w:val="000000"/>
          <w:sz w:val="32"/>
          <w:szCs w:val="32"/>
        </w:rPr>
        <w:t>做好政治读物、重点图书的征订发行工作</w:t>
      </w:r>
      <w:r>
        <w:rPr>
          <w:rFonts w:hint="default" w:ascii="Times New Roman" w:hAnsi="Times New Roman" w:eastAsia="仿宋_GB2312" w:cs="Times New Roman"/>
          <w:b w:val="0"/>
          <w:bCs w:val="0"/>
          <w:sz w:val="32"/>
          <w:szCs w:val="32"/>
        </w:rPr>
        <w:t>。强化对全州12县门店业务工作的指导。做好水吧等业态的联营工作。结合重要</w:t>
      </w:r>
      <w:r>
        <w:rPr>
          <w:rFonts w:hint="eastAsia" w:ascii="Times New Roman" w:hAnsi="Times New Roman" w:eastAsia="仿宋_GB2312" w:cs="Times New Roman"/>
          <w:b w:val="0"/>
          <w:bCs w:val="0"/>
          <w:sz w:val="32"/>
          <w:szCs w:val="32"/>
          <w:lang w:val="en-US" w:eastAsia="zh-CN"/>
        </w:rPr>
        <w:t>时间</w:t>
      </w:r>
      <w:r>
        <w:rPr>
          <w:rFonts w:hint="default" w:ascii="Times New Roman" w:hAnsi="Times New Roman" w:eastAsia="仿宋_GB2312" w:cs="Times New Roman"/>
          <w:b w:val="0"/>
          <w:bCs w:val="0"/>
          <w:sz w:val="32"/>
          <w:szCs w:val="32"/>
        </w:rPr>
        <w:t>节点开展图书展示展销活动。探索增加门市新业态。</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加强中转站建设和监管工作。一是根据与都江堰市仙鹤村签订的补充合同约定，拟对仙鹤村教材中转库房进行维修建设。二是强化对中转站干部职工的学习教育，完善监管方式。继续做好全州新华书店图书、教材教辅等的收发货、退货及中转运输包件工作。做好都江堰中转室库房、办公室、租赁资产的管理等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．认真做好“十四五”规划工作及社会效益评价工作。一是积极配合</w:t>
      </w:r>
      <w:r>
        <w:rPr>
          <w:rFonts w:hint="default" w:ascii="Times New Roman" w:hAnsi="Times New Roman" w:eastAsia="仿宋_GB2312" w:cs="Times New Roman"/>
          <w:b w:val="0"/>
          <w:bCs w:val="0"/>
          <w:color w:val="auto"/>
          <w:sz w:val="32"/>
          <w:szCs w:val="32"/>
        </w:rPr>
        <w:t>州文体旅局、州发改委等部门认真做好“藏羌文化超市”项目前期申报工作</w:t>
      </w:r>
      <w:r>
        <w:rPr>
          <w:rFonts w:hint="default" w:ascii="Times New Roman" w:hAnsi="Times New Roman" w:eastAsia="仿宋_GB2312" w:cs="Times New Roman"/>
          <w:b w:val="0"/>
          <w:bCs w:val="0"/>
          <w:sz w:val="32"/>
          <w:szCs w:val="32"/>
        </w:rPr>
        <w:t>。二是利用节假日开展2021年下乡流动售书活动。三是完成2021年度寺庙书屋图书配送工作。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．加强支部工作</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以党建带群团，认真落实党内政治组织生活，强化党员教育管理。落实党风廉政建设责任制，与各科室签订《党风廉政责任书》，加强对各经营环节的监管，继续落实学习型单位要求。</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．加强单位内部财务管理工作，完善内控制度，强化对各经营部门的财务监管工作，做好货款的回收工作。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．继续抓好精神文明建设、安全生产、人事、老干部管理、节能减排、综合治理等</w:t>
      </w:r>
      <w:r>
        <w:rPr>
          <w:rFonts w:hint="default" w:ascii="Times New Roman" w:hAnsi="Times New Roman" w:eastAsia="仿宋_GB2312" w:cs="Times New Roman"/>
          <w:b w:val="0"/>
          <w:bCs w:val="0"/>
          <w:spacing w:val="15"/>
          <w:kern w:val="0"/>
          <w:sz w:val="32"/>
          <w:szCs w:val="32"/>
        </w:rPr>
        <w:t>日常工作。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阿坝州新华书店</w:t>
      </w:r>
      <w:r>
        <w:rPr>
          <w:rFonts w:hint="default" w:ascii="Times New Roman" w:hAnsi="Times New Roman" w:eastAsia="仿宋_GB2312" w:cs="Times New Roman"/>
          <w:b w:val="0"/>
          <w:bCs w:val="0"/>
          <w:sz w:val="32"/>
          <w:szCs w:val="32"/>
        </w:rPr>
        <w:t>属二级预算单位，下属二级预算单位0个，其中：行政单位0个；参照公务员法管理的事业单位0个；其他事业单位1个。</w:t>
      </w:r>
      <w:r>
        <w:rPr>
          <w:rFonts w:hint="default" w:ascii="Times New Roman" w:hAnsi="Times New Roman" w:eastAsia="仿宋_GB2312" w:cs="Times New Roman"/>
          <w:b w:val="0"/>
          <w:bCs w:val="0"/>
          <w:sz w:val="32"/>
          <w:szCs w:val="32"/>
          <w:lang w:val="en-US" w:eastAsia="zh-CN"/>
        </w:rPr>
        <w:t>其为</w:t>
      </w:r>
      <w:r>
        <w:rPr>
          <w:rFonts w:hint="default" w:ascii="Times New Roman" w:hAnsi="Times New Roman" w:eastAsia="仿宋_GB2312" w:cs="Times New Roman"/>
          <w:b w:val="0"/>
          <w:bCs w:val="0"/>
          <w:sz w:val="32"/>
          <w:szCs w:val="32"/>
        </w:rPr>
        <w:t>：公益二类事业单位。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按照综合预算的原则，</w:t>
      </w:r>
      <w:r>
        <w:rPr>
          <w:rFonts w:hint="eastAsia" w:ascii="Times New Roman" w:hAnsi="Times New Roman" w:eastAsia="仿宋_GB2312" w:cs="Times New Roman"/>
          <w:b w:val="0"/>
          <w:bCs w:val="0"/>
          <w:sz w:val="32"/>
          <w:szCs w:val="32"/>
          <w:lang w:eastAsia="zh-CN"/>
        </w:rPr>
        <w:t>阿坝州新华书店</w:t>
      </w:r>
      <w:r>
        <w:rPr>
          <w:rFonts w:hint="default" w:ascii="Times New Roman" w:hAnsi="Times New Roman" w:eastAsia="仿宋_GB2312" w:cs="Times New Roman"/>
          <w:b w:val="0"/>
          <w:bCs w:val="0"/>
          <w:sz w:val="32"/>
          <w:szCs w:val="32"/>
        </w:rPr>
        <w:t>所有收入和支出均纳入部门预算管理。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收入包括：一般公共预算拨款收入</w:t>
      </w:r>
      <w:r>
        <w:rPr>
          <w:rFonts w:hint="default" w:ascii="Times New Roman" w:hAnsi="Times New Roman" w:eastAsia="仿宋_GB2312" w:cs="Times New Roman"/>
          <w:b w:val="0"/>
          <w:bCs w:val="0"/>
          <w:sz w:val="32"/>
          <w:szCs w:val="32"/>
          <w:lang w:val="en-US" w:eastAsia="zh-CN"/>
        </w:rPr>
        <w:t>260.97</w:t>
      </w:r>
      <w:r>
        <w:rPr>
          <w:rFonts w:hint="default" w:ascii="Times New Roman" w:hAnsi="Times New Roman" w:eastAsia="仿宋_GB2312" w:cs="Times New Roman"/>
          <w:b w:val="0"/>
          <w:bCs w:val="0"/>
          <w:sz w:val="32"/>
          <w:szCs w:val="32"/>
        </w:rPr>
        <w:t>万元，事业收入</w:t>
      </w:r>
      <w:r>
        <w:rPr>
          <w:rFonts w:hint="default" w:ascii="Times New Roman" w:hAnsi="Times New Roman" w:eastAsia="仿宋_GB2312" w:cs="Times New Roman"/>
          <w:b w:val="0"/>
          <w:bCs w:val="0"/>
          <w:sz w:val="32"/>
          <w:szCs w:val="32"/>
          <w:lang w:val="en-US" w:eastAsia="zh-CN"/>
        </w:rPr>
        <w:t>243.55</w:t>
      </w:r>
      <w:r>
        <w:rPr>
          <w:rFonts w:hint="default" w:ascii="Times New Roman" w:hAnsi="Times New Roman" w:eastAsia="仿宋_GB2312" w:cs="Times New Roman"/>
          <w:b w:val="0"/>
          <w:bCs w:val="0"/>
          <w:sz w:val="32"/>
          <w:szCs w:val="32"/>
        </w:rPr>
        <w:t>万元，其他收入0万元，上年结转0万元</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支出包括：一般公共服务支出0万元，教育支出0万元，文化体育与传媒支出</w:t>
      </w:r>
      <w:r>
        <w:rPr>
          <w:rFonts w:hint="default" w:ascii="Times New Roman" w:hAnsi="Times New Roman" w:eastAsia="仿宋_GB2312" w:cs="Times New Roman"/>
          <w:b w:val="0"/>
          <w:bCs w:val="0"/>
          <w:sz w:val="32"/>
          <w:szCs w:val="32"/>
          <w:lang w:val="en-US" w:eastAsia="zh-CN"/>
        </w:rPr>
        <w:t>404.06</w:t>
      </w:r>
      <w:r>
        <w:rPr>
          <w:rFonts w:hint="default" w:ascii="Times New Roman" w:hAnsi="Times New Roman" w:eastAsia="仿宋_GB2312" w:cs="Times New Roman"/>
          <w:b w:val="0"/>
          <w:bCs w:val="0"/>
          <w:sz w:val="32"/>
          <w:szCs w:val="32"/>
        </w:rPr>
        <w:t>万元，社会保障和就业支出49.82万元，医疗卫生与计划生育支出</w:t>
      </w:r>
      <w:r>
        <w:rPr>
          <w:rFonts w:hint="default" w:ascii="Times New Roman" w:hAnsi="Times New Roman" w:eastAsia="仿宋_GB2312" w:cs="Times New Roman"/>
          <w:b w:val="0"/>
          <w:bCs w:val="0"/>
          <w:sz w:val="32"/>
          <w:szCs w:val="32"/>
          <w:lang w:val="en-US" w:eastAsia="zh-CN"/>
        </w:rPr>
        <w:t>18.26</w:t>
      </w:r>
      <w:r>
        <w:rPr>
          <w:rFonts w:hint="default" w:ascii="Times New Roman" w:hAnsi="Times New Roman" w:eastAsia="仿宋_GB2312" w:cs="Times New Roman"/>
          <w:b w:val="0"/>
          <w:bCs w:val="0"/>
          <w:sz w:val="32"/>
          <w:szCs w:val="32"/>
        </w:rPr>
        <w:t>万元，住房保障支出</w:t>
      </w:r>
      <w:r>
        <w:rPr>
          <w:rFonts w:hint="default" w:ascii="Times New Roman" w:hAnsi="Times New Roman" w:eastAsia="仿宋_GB2312" w:cs="Times New Roman"/>
          <w:b w:val="0"/>
          <w:bCs w:val="0"/>
          <w:sz w:val="32"/>
          <w:szCs w:val="32"/>
          <w:lang w:val="en-US" w:eastAsia="zh-CN"/>
        </w:rPr>
        <w:t>32.38</w:t>
      </w:r>
      <w:r>
        <w:rPr>
          <w:rFonts w:hint="default" w:ascii="Times New Roman" w:hAnsi="Times New Roman" w:eastAsia="仿宋_GB2312" w:cs="Times New Roman"/>
          <w:b w:val="0"/>
          <w:bCs w:val="0"/>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阿坝州新华书店</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年收支总预算</w:t>
      </w:r>
      <w:r>
        <w:rPr>
          <w:rFonts w:hint="default" w:ascii="Times New Roman" w:hAnsi="Times New Roman" w:eastAsia="仿宋_GB2312" w:cs="Times New Roman"/>
          <w:b w:val="0"/>
          <w:bCs w:val="0"/>
          <w:sz w:val="32"/>
          <w:szCs w:val="32"/>
          <w:lang w:val="en-US" w:eastAsia="zh-CN"/>
        </w:rPr>
        <w:t>504.52</w:t>
      </w:r>
      <w:r>
        <w:rPr>
          <w:rFonts w:hint="default" w:ascii="Times New Roman" w:hAnsi="Times New Roman" w:eastAsia="仿宋_GB2312" w:cs="Times New Roman"/>
          <w:b w:val="0"/>
          <w:bCs w:val="0"/>
          <w:sz w:val="32"/>
          <w:szCs w:val="32"/>
        </w:rPr>
        <w:t>万元，比20</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年收支预算总数增加</w:t>
      </w:r>
      <w:r>
        <w:rPr>
          <w:rFonts w:hint="default" w:ascii="Times New Roman" w:hAnsi="Times New Roman" w:eastAsia="仿宋_GB2312" w:cs="Times New Roman"/>
          <w:b w:val="0"/>
          <w:bCs w:val="0"/>
          <w:sz w:val="32"/>
          <w:szCs w:val="32"/>
          <w:lang w:val="en-US" w:eastAsia="zh-CN"/>
        </w:rPr>
        <w:t>11.54</w:t>
      </w:r>
      <w:r>
        <w:rPr>
          <w:rFonts w:hint="default" w:ascii="Times New Roman" w:hAnsi="Times New Roman" w:eastAsia="仿宋_GB2312" w:cs="Times New Roman"/>
          <w:b w:val="0"/>
          <w:bCs w:val="0"/>
          <w:sz w:val="32"/>
          <w:szCs w:val="32"/>
        </w:rPr>
        <w:t>万元，主要原因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工资及日常支付增加。</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（一）收入预算情况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阿坝州新华书店</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年收入预算</w:t>
      </w:r>
      <w:r>
        <w:rPr>
          <w:rFonts w:hint="default" w:ascii="Times New Roman" w:hAnsi="Times New Roman" w:eastAsia="仿宋_GB2312" w:cs="Times New Roman"/>
          <w:b w:val="0"/>
          <w:bCs w:val="0"/>
          <w:sz w:val="32"/>
          <w:szCs w:val="32"/>
          <w:lang w:val="en-US" w:eastAsia="zh-CN"/>
        </w:rPr>
        <w:t>504.52</w:t>
      </w:r>
      <w:r>
        <w:rPr>
          <w:rFonts w:hint="default" w:ascii="Times New Roman" w:hAnsi="Times New Roman" w:eastAsia="仿宋_GB2312" w:cs="Times New Roman"/>
          <w:b w:val="0"/>
          <w:bCs w:val="0"/>
          <w:sz w:val="32"/>
          <w:szCs w:val="32"/>
        </w:rPr>
        <w:t>万元，其中：上年结转0万元，占0%；一般公共预算拨款收入</w:t>
      </w:r>
      <w:r>
        <w:rPr>
          <w:rFonts w:hint="default" w:ascii="Times New Roman" w:hAnsi="Times New Roman" w:eastAsia="仿宋_GB2312" w:cs="Times New Roman"/>
          <w:b w:val="0"/>
          <w:bCs w:val="0"/>
          <w:sz w:val="32"/>
          <w:szCs w:val="32"/>
          <w:lang w:val="en-US" w:eastAsia="zh-CN"/>
        </w:rPr>
        <w:t>260.97</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51.73</w:t>
      </w:r>
      <w:r>
        <w:rPr>
          <w:rFonts w:hint="default" w:ascii="Times New Roman" w:hAnsi="Times New Roman" w:eastAsia="仿宋_GB2312" w:cs="Times New Roman"/>
          <w:b w:val="0"/>
          <w:bCs w:val="0"/>
          <w:sz w:val="32"/>
          <w:szCs w:val="32"/>
        </w:rPr>
        <w:t>%；事业收入</w:t>
      </w:r>
      <w:r>
        <w:rPr>
          <w:rFonts w:hint="default" w:ascii="Times New Roman" w:hAnsi="Times New Roman" w:eastAsia="仿宋_GB2312" w:cs="Times New Roman"/>
          <w:b w:val="0"/>
          <w:bCs w:val="0"/>
          <w:sz w:val="32"/>
          <w:szCs w:val="32"/>
          <w:lang w:val="en-US" w:eastAsia="zh-CN"/>
        </w:rPr>
        <w:t>243.55</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48.27</w:t>
      </w:r>
      <w:r>
        <w:rPr>
          <w:rFonts w:hint="default" w:ascii="Times New Roman" w:hAnsi="Times New Roman" w:eastAsia="仿宋_GB2312" w:cs="Times New Roman"/>
          <w:b w:val="0"/>
          <w:bCs w:val="0"/>
          <w:sz w:val="32"/>
          <w:szCs w:val="32"/>
        </w:rPr>
        <w:t>%；其他收入0万元，占0%。</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（二）支出预算情况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阿坝州新华书店</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年支出预算</w:t>
      </w:r>
      <w:r>
        <w:rPr>
          <w:rFonts w:hint="default" w:ascii="Times New Roman" w:hAnsi="Times New Roman" w:eastAsia="仿宋_GB2312" w:cs="Times New Roman"/>
          <w:b w:val="0"/>
          <w:bCs w:val="0"/>
          <w:sz w:val="32"/>
          <w:szCs w:val="32"/>
          <w:lang w:val="en-US" w:eastAsia="zh-CN"/>
        </w:rPr>
        <w:t>504.52</w:t>
      </w:r>
      <w:r>
        <w:rPr>
          <w:rFonts w:hint="default" w:ascii="Times New Roman" w:hAnsi="Times New Roman" w:eastAsia="仿宋_GB2312" w:cs="Times New Roman"/>
          <w:b w:val="0"/>
          <w:bCs w:val="0"/>
          <w:sz w:val="32"/>
          <w:szCs w:val="32"/>
        </w:rPr>
        <w:t>万元，其中：基本支出</w:t>
      </w:r>
      <w:r>
        <w:rPr>
          <w:rFonts w:hint="default" w:ascii="Times New Roman" w:hAnsi="Times New Roman" w:eastAsia="仿宋_GB2312" w:cs="Times New Roman"/>
          <w:b w:val="0"/>
          <w:bCs w:val="0"/>
          <w:sz w:val="32"/>
          <w:szCs w:val="32"/>
          <w:lang w:val="en-US" w:eastAsia="zh-CN"/>
        </w:rPr>
        <w:t>319.52</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63.33</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项目支出</w:t>
      </w:r>
      <w:r>
        <w:rPr>
          <w:rFonts w:hint="default" w:ascii="Times New Roman" w:hAnsi="Times New Roman" w:eastAsia="仿宋_GB2312" w:cs="Times New Roman"/>
          <w:b w:val="0"/>
          <w:bCs w:val="0"/>
          <w:sz w:val="32"/>
          <w:szCs w:val="32"/>
          <w:lang w:val="en-US" w:eastAsia="zh-CN"/>
        </w:rPr>
        <w:t>185</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36.67</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阿坝州新华书店</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年财政拨款收支总预算</w:t>
      </w:r>
      <w:r>
        <w:rPr>
          <w:rFonts w:hint="default" w:ascii="Times New Roman" w:hAnsi="Times New Roman" w:eastAsia="仿宋_GB2312" w:cs="Times New Roman"/>
          <w:b w:val="0"/>
          <w:bCs w:val="0"/>
          <w:sz w:val="32"/>
          <w:szCs w:val="32"/>
          <w:lang w:val="en-US" w:eastAsia="zh-CN"/>
        </w:rPr>
        <w:t>504.52</w:t>
      </w:r>
      <w:r>
        <w:rPr>
          <w:rFonts w:hint="default" w:ascii="Times New Roman" w:hAnsi="Times New Roman" w:eastAsia="仿宋_GB2312" w:cs="Times New Roman"/>
          <w:b w:val="0"/>
          <w:bCs w:val="0"/>
          <w:sz w:val="32"/>
          <w:szCs w:val="32"/>
        </w:rPr>
        <w:t>万元,比20</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年财政拨款收支总预算增加</w:t>
      </w:r>
      <w:r>
        <w:rPr>
          <w:rFonts w:hint="default" w:ascii="Times New Roman" w:hAnsi="Times New Roman" w:eastAsia="仿宋_GB2312" w:cs="Times New Roman"/>
          <w:b w:val="0"/>
          <w:bCs w:val="0"/>
          <w:sz w:val="32"/>
          <w:szCs w:val="32"/>
          <w:lang w:val="en-US" w:eastAsia="zh-CN"/>
        </w:rPr>
        <w:t>11.54</w:t>
      </w:r>
      <w:r>
        <w:rPr>
          <w:rFonts w:hint="default" w:ascii="Times New Roman" w:hAnsi="Times New Roman" w:eastAsia="仿宋_GB2312" w:cs="Times New Roman"/>
          <w:b w:val="0"/>
          <w:bCs w:val="0"/>
          <w:sz w:val="32"/>
          <w:szCs w:val="32"/>
        </w:rPr>
        <w:t>万元，主要原因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增加工资及日常支付</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支出包括</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一般公共服务支出0万元，教育支出0万元，文化体育与传媒支出</w:t>
      </w:r>
      <w:r>
        <w:rPr>
          <w:rFonts w:hint="default" w:ascii="Times New Roman" w:hAnsi="Times New Roman" w:eastAsia="仿宋_GB2312" w:cs="Times New Roman"/>
          <w:b w:val="0"/>
          <w:bCs w:val="0"/>
          <w:sz w:val="32"/>
          <w:szCs w:val="32"/>
          <w:lang w:val="en-US" w:eastAsia="zh-CN"/>
        </w:rPr>
        <w:t>404.06</w:t>
      </w:r>
      <w:r>
        <w:rPr>
          <w:rFonts w:hint="default" w:ascii="Times New Roman" w:hAnsi="Times New Roman" w:eastAsia="仿宋_GB2312" w:cs="Times New Roman"/>
          <w:b w:val="0"/>
          <w:bCs w:val="0"/>
          <w:sz w:val="32"/>
          <w:szCs w:val="32"/>
        </w:rPr>
        <w:t>万元，社会保障和就业支出49.82万元，医疗卫生与计划生育支出</w:t>
      </w:r>
      <w:r>
        <w:rPr>
          <w:rFonts w:hint="default" w:ascii="Times New Roman" w:hAnsi="Times New Roman" w:eastAsia="仿宋_GB2312" w:cs="Times New Roman"/>
          <w:b w:val="0"/>
          <w:bCs w:val="0"/>
          <w:sz w:val="32"/>
          <w:szCs w:val="32"/>
          <w:lang w:val="en-US" w:eastAsia="zh-CN"/>
        </w:rPr>
        <w:t>18.26</w:t>
      </w:r>
      <w:r>
        <w:rPr>
          <w:rFonts w:hint="default" w:ascii="Times New Roman" w:hAnsi="Times New Roman" w:eastAsia="仿宋_GB2312" w:cs="Times New Roman"/>
          <w:b w:val="0"/>
          <w:bCs w:val="0"/>
          <w:sz w:val="32"/>
          <w:szCs w:val="32"/>
        </w:rPr>
        <w:t>万元，住房保障支出</w:t>
      </w:r>
      <w:r>
        <w:rPr>
          <w:rFonts w:hint="default" w:ascii="Times New Roman" w:hAnsi="Times New Roman" w:eastAsia="仿宋_GB2312" w:cs="Times New Roman"/>
          <w:b w:val="0"/>
          <w:bCs w:val="0"/>
          <w:sz w:val="32"/>
          <w:szCs w:val="32"/>
          <w:lang w:val="en-US" w:eastAsia="zh-CN"/>
        </w:rPr>
        <w:t>32.38</w:t>
      </w:r>
      <w:r>
        <w:rPr>
          <w:rFonts w:hint="default" w:ascii="Times New Roman" w:hAnsi="Times New Roman" w:eastAsia="仿宋_GB2312" w:cs="Times New Roman"/>
          <w:b w:val="0"/>
          <w:bCs w:val="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rPr>
        <w:t>一般公共预算当年拨款情况说明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（一）一般公共预算当年拨款规模变化情况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阿坝州新华书店</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年一般公共预算当年拨款</w:t>
      </w:r>
      <w:r>
        <w:rPr>
          <w:rFonts w:hint="eastAsia" w:ascii="Times New Roman" w:hAnsi="Times New Roman" w:eastAsia="仿宋_GB2312" w:cs="Times New Roman"/>
          <w:b w:val="0"/>
          <w:bCs w:val="0"/>
          <w:sz w:val="32"/>
          <w:szCs w:val="32"/>
          <w:lang w:val="en-US" w:eastAsia="zh-CN"/>
        </w:rPr>
        <w:t>260.97</w:t>
      </w:r>
      <w:r>
        <w:rPr>
          <w:rFonts w:hint="default" w:ascii="Times New Roman" w:hAnsi="Times New Roman" w:eastAsia="仿宋_GB2312" w:cs="Times New Roman"/>
          <w:b w:val="0"/>
          <w:bCs w:val="0"/>
          <w:sz w:val="32"/>
          <w:szCs w:val="32"/>
        </w:rPr>
        <w:t>万元，比2020年预算数增加</w:t>
      </w:r>
      <w:r>
        <w:rPr>
          <w:rFonts w:hint="eastAsia" w:ascii="Times New Roman" w:hAnsi="Times New Roman" w:eastAsia="仿宋_GB2312" w:cs="Times New Roman"/>
          <w:b w:val="0"/>
          <w:bCs w:val="0"/>
          <w:sz w:val="32"/>
          <w:szCs w:val="32"/>
          <w:lang w:val="en-US" w:eastAsia="zh-CN"/>
        </w:rPr>
        <w:t>7.35</w:t>
      </w:r>
      <w:r>
        <w:rPr>
          <w:rFonts w:hint="default" w:ascii="Times New Roman" w:hAnsi="Times New Roman" w:eastAsia="仿宋_GB2312" w:cs="Times New Roman"/>
          <w:b w:val="0"/>
          <w:bCs w:val="0"/>
          <w:sz w:val="32"/>
          <w:szCs w:val="32"/>
        </w:rPr>
        <w:t>万元，主要原因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工资及日常支付增加。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一般公共预算当年拨款结构情况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一般公共服务支出0万元，占0%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教育支出0万元，占0%；文化体育与传媒支出</w:t>
      </w:r>
      <w:r>
        <w:rPr>
          <w:rFonts w:hint="eastAsia" w:ascii="Times New Roman" w:hAnsi="Times New Roman" w:eastAsia="仿宋_GB2312" w:cs="Times New Roman"/>
          <w:b w:val="0"/>
          <w:bCs w:val="0"/>
          <w:sz w:val="32"/>
          <w:szCs w:val="32"/>
          <w:lang w:val="en-US" w:eastAsia="zh-CN"/>
        </w:rPr>
        <w:t>180.61</w:t>
      </w:r>
      <w:r>
        <w:rPr>
          <w:rFonts w:hint="default" w:ascii="Times New Roman" w:hAnsi="Times New Roman" w:eastAsia="仿宋_GB2312" w:cs="Times New Roman"/>
          <w:b w:val="0"/>
          <w:bCs w:val="0"/>
          <w:sz w:val="32"/>
          <w:szCs w:val="32"/>
        </w:rPr>
        <w:t>万元，占</w:t>
      </w:r>
      <w:r>
        <w:rPr>
          <w:rFonts w:hint="eastAsia" w:ascii="Times New Roman" w:hAnsi="Times New Roman" w:eastAsia="仿宋_GB2312" w:cs="Times New Roman"/>
          <w:b w:val="0"/>
          <w:bCs w:val="0"/>
          <w:sz w:val="32"/>
          <w:szCs w:val="32"/>
          <w:lang w:val="en-US" w:eastAsia="zh-CN"/>
        </w:rPr>
        <w:t>69.21</w:t>
      </w:r>
      <w:r>
        <w:rPr>
          <w:rFonts w:hint="default" w:ascii="Times New Roman" w:hAnsi="Times New Roman" w:eastAsia="仿宋_GB2312" w:cs="Times New Roman"/>
          <w:b w:val="0"/>
          <w:bCs w:val="0"/>
          <w:sz w:val="32"/>
          <w:szCs w:val="32"/>
        </w:rPr>
        <w:t>%；社会保障和就业支出</w:t>
      </w:r>
      <w:r>
        <w:rPr>
          <w:rFonts w:hint="eastAsia" w:ascii="Times New Roman" w:hAnsi="Times New Roman" w:eastAsia="仿宋_GB2312" w:cs="Times New Roman"/>
          <w:b w:val="0"/>
          <w:bCs w:val="0"/>
          <w:sz w:val="32"/>
          <w:szCs w:val="32"/>
          <w:lang w:val="en-US" w:eastAsia="zh-CN"/>
        </w:rPr>
        <w:t>39.86</w:t>
      </w:r>
      <w:r>
        <w:rPr>
          <w:rFonts w:hint="default" w:ascii="Times New Roman" w:hAnsi="Times New Roman" w:eastAsia="仿宋_GB2312" w:cs="Times New Roman"/>
          <w:b w:val="0"/>
          <w:bCs w:val="0"/>
          <w:sz w:val="32"/>
          <w:szCs w:val="32"/>
        </w:rPr>
        <w:t>万元，占</w:t>
      </w:r>
      <w:r>
        <w:rPr>
          <w:rFonts w:hint="eastAsia" w:ascii="Times New Roman" w:hAnsi="Times New Roman" w:eastAsia="仿宋_GB2312" w:cs="Times New Roman"/>
          <w:b w:val="0"/>
          <w:bCs w:val="0"/>
          <w:sz w:val="32"/>
          <w:szCs w:val="32"/>
          <w:lang w:val="en-US" w:eastAsia="zh-CN"/>
        </w:rPr>
        <w:t>15.27</w:t>
      </w:r>
      <w:r>
        <w:rPr>
          <w:rFonts w:hint="default" w:ascii="Times New Roman" w:hAnsi="Times New Roman" w:eastAsia="仿宋_GB2312" w:cs="Times New Roman"/>
          <w:b w:val="0"/>
          <w:bCs w:val="0"/>
          <w:sz w:val="32"/>
          <w:szCs w:val="32"/>
        </w:rPr>
        <w:t>%；医疗卫生与计划生育支出</w:t>
      </w:r>
      <w:r>
        <w:rPr>
          <w:rFonts w:hint="eastAsia" w:ascii="Times New Roman" w:hAnsi="Times New Roman" w:eastAsia="仿宋_GB2312" w:cs="Times New Roman"/>
          <w:b w:val="0"/>
          <w:bCs w:val="0"/>
          <w:sz w:val="32"/>
          <w:szCs w:val="32"/>
          <w:lang w:val="en-US" w:eastAsia="zh-CN"/>
        </w:rPr>
        <w:t>14.60</w:t>
      </w:r>
      <w:r>
        <w:rPr>
          <w:rFonts w:hint="default" w:ascii="Times New Roman" w:hAnsi="Times New Roman" w:eastAsia="仿宋_GB2312" w:cs="Times New Roman"/>
          <w:b w:val="0"/>
          <w:bCs w:val="0"/>
          <w:sz w:val="32"/>
          <w:szCs w:val="32"/>
        </w:rPr>
        <w:t>万元，占</w:t>
      </w:r>
      <w:r>
        <w:rPr>
          <w:rFonts w:hint="eastAsia" w:ascii="Times New Roman" w:hAnsi="Times New Roman" w:eastAsia="仿宋_GB2312" w:cs="Times New Roman"/>
          <w:b w:val="0"/>
          <w:bCs w:val="0"/>
          <w:sz w:val="32"/>
          <w:szCs w:val="32"/>
          <w:lang w:val="en-US" w:eastAsia="zh-CN"/>
        </w:rPr>
        <w:t>5.59</w:t>
      </w:r>
      <w:r>
        <w:rPr>
          <w:rFonts w:hint="default" w:ascii="Times New Roman" w:hAnsi="Times New Roman" w:eastAsia="仿宋_GB2312" w:cs="Times New Roman"/>
          <w:b w:val="0"/>
          <w:bCs w:val="0"/>
          <w:sz w:val="32"/>
          <w:szCs w:val="32"/>
        </w:rPr>
        <w:t>%；住房保障支出</w:t>
      </w:r>
      <w:r>
        <w:rPr>
          <w:rFonts w:hint="eastAsia" w:ascii="Times New Roman" w:hAnsi="Times New Roman" w:eastAsia="仿宋_GB2312" w:cs="Times New Roman"/>
          <w:b w:val="0"/>
          <w:bCs w:val="0"/>
          <w:sz w:val="32"/>
          <w:szCs w:val="32"/>
          <w:lang w:val="en-US" w:eastAsia="zh-CN"/>
        </w:rPr>
        <w:t>25.90</w:t>
      </w:r>
      <w:r>
        <w:rPr>
          <w:rFonts w:hint="default" w:ascii="Times New Roman" w:hAnsi="Times New Roman" w:eastAsia="仿宋_GB2312" w:cs="Times New Roman"/>
          <w:b w:val="0"/>
          <w:bCs w:val="0"/>
          <w:sz w:val="32"/>
          <w:szCs w:val="32"/>
        </w:rPr>
        <w:t>万元，占</w:t>
      </w:r>
      <w:r>
        <w:rPr>
          <w:rFonts w:hint="eastAsia" w:ascii="Times New Roman" w:hAnsi="Times New Roman" w:eastAsia="仿宋_GB2312" w:cs="Times New Roman"/>
          <w:b w:val="0"/>
          <w:bCs w:val="0"/>
          <w:sz w:val="32"/>
          <w:szCs w:val="32"/>
          <w:lang w:val="en-US" w:eastAsia="zh-CN"/>
        </w:rPr>
        <w:t>9.93</w:t>
      </w:r>
      <w:r>
        <w:rPr>
          <w:rFonts w:hint="default" w:ascii="Times New Roman" w:hAnsi="Times New Roman" w:eastAsia="仿宋_GB2312" w:cs="Times New Roman"/>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一般公共预算当年拨款具体使用情况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．一般公共服务（207）</w:t>
      </w:r>
      <w:r>
        <w:rPr>
          <w:rFonts w:hint="default" w:ascii="Times New Roman" w:hAnsi="Times New Roman" w:eastAsia="仿宋_GB2312" w:cs="Times New Roman"/>
          <w:b w:val="0"/>
          <w:bCs w:val="0"/>
          <w:kern w:val="0"/>
          <w:sz w:val="32"/>
          <w:szCs w:val="32"/>
        </w:rPr>
        <w:t>文化旅游体育与传媒支出</w:t>
      </w:r>
      <w:r>
        <w:rPr>
          <w:rFonts w:hint="default" w:ascii="Times New Roman" w:hAnsi="Times New Roman" w:eastAsia="仿宋_GB2312" w:cs="Times New Roman"/>
          <w:b w:val="0"/>
          <w:bCs w:val="0"/>
          <w:sz w:val="32"/>
          <w:szCs w:val="32"/>
        </w:rPr>
        <w:t>（06）出版发行（05）202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年预算数为</w:t>
      </w:r>
      <w:r>
        <w:rPr>
          <w:rFonts w:hint="default" w:ascii="Times New Roman" w:hAnsi="Times New Roman" w:eastAsia="仿宋_GB2312" w:cs="Times New Roman"/>
          <w:b w:val="0"/>
          <w:bCs w:val="0"/>
          <w:sz w:val="32"/>
          <w:szCs w:val="32"/>
          <w:lang w:val="en-US" w:eastAsia="zh-CN"/>
        </w:rPr>
        <w:t>180.61</w:t>
      </w:r>
      <w:r>
        <w:rPr>
          <w:rFonts w:hint="default" w:ascii="Times New Roman" w:hAnsi="Times New Roman" w:eastAsia="仿宋_GB2312" w:cs="Times New Roman"/>
          <w:b w:val="0"/>
          <w:bCs w:val="0"/>
          <w:sz w:val="32"/>
          <w:szCs w:val="32"/>
        </w:rPr>
        <w:t>万元，主要用于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基本工资、津贴补贴、绩效工资、其他工资福利支出</w:t>
      </w:r>
      <w:bookmarkStart w:id="0" w:name="_GoBack"/>
      <w:bookmarkEnd w:id="0"/>
      <w:r>
        <w:rPr>
          <w:rFonts w:hint="default" w:ascii="Times New Roman" w:hAnsi="Times New Roman" w:eastAsia="仿宋_GB2312" w:cs="Times New Roman"/>
          <w:b w:val="0"/>
          <w:bCs w:val="0"/>
          <w:sz w:val="32"/>
          <w:szCs w:val="32"/>
        </w:rPr>
        <w:t>、离休费、奖励金、其他对个人和家庭的补助支出、办公费、印刷费、手续费、水费、电费、邮电费、差旅费、维修（护）费、租赁费、会议费、培训费、劳务费、工会经费、福利费、其他交通工具运行维护费、其他商品和服务支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Times New Roman" w:hAnsi="Times New Roman" w:eastAsia="仿宋_GB2312" w:cs="Times New Roman"/>
          <w:b w:val="0"/>
          <w:bCs w:val="0"/>
          <w:color w:val="363636"/>
          <w:kern w:val="0"/>
          <w:sz w:val="32"/>
          <w:szCs w:val="32"/>
        </w:rPr>
      </w:pPr>
      <w:r>
        <w:rPr>
          <w:rFonts w:hint="default" w:ascii="Times New Roman" w:hAnsi="Times New Roman" w:eastAsia="仿宋_GB2312" w:cs="Times New Roman"/>
          <w:b w:val="0"/>
          <w:bCs w:val="0"/>
          <w:sz w:val="32"/>
          <w:szCs w:val="32"/>
        </w:rPr>
        <w:t>2．社会保障和就业支出社会保障和就业支出（208）行政事业单位离退休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05</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机关事业单位基本养老保险缴费支出（05）202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年预算数为</w:t>
      </w:r>
      <w:r>
        <w:rPr>
          <w:rFonts w:hint="default" w:ascii="Times New Roman" w:hAnsi="Times New Roman" w:eastAsia="仿宋_GB2312" w:cs="Times New Roman"/>
          <w:b w:val="0"/>
          <w:bCs w:val="0"/>
          <w:sz w:val="32"/>
          <w:szCs w:val="32"/>
          <w:lang w:val="en-US" w:eastAsia="zh-CN"/>
        </w:rPr>
        <w:t>28.47</w:t>
      </w:r>
      <w:r>
        <w:rPr>
          <w:rFonts w:hint="default" w:ascii="Times New Roman" w:hAnsi="Times New Roman" w:eastAsia="仿宋_GB2312" w:cs="Times New Roman"/>
          <w:b w:val="0"/>
          <w:bCs w:val="0"/>
          <w:sz w:val="32"/>
          <w:szCs w:val="32"/>
        </w:rPr>
        <w:t>万元，主要用于：机关事业单位基本养老保险缴费。</w:t>
      </w:r>
    </w:p>
    <w:p>
      <w:pPr>
        <w:pStyle w:val="9"/>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3．社会保障和就业支出（208）行政事业单位离退休</w:t>
      </w:r>
      <w:r>
        <w:rPr>
          <w:rFonts w:hint="default"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05</w:t>
      </w:r>
      <w:r>
        <w:rPr>
          <w:rFonts w:hint="default"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机关事业单位职业年金缴费支出（06）202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年预算数为</w:t>
      </w:r>
      <w:r>
        <w:rPr>
          <w:rFonts w:hint="default" w:ascii="Times New Roman" w:hAnsi="Times New Roman" w:eastAsia="仿宋_GB2312" w:cs="Times New Roman"/>
          <w:b w:val="0"/>
          <w:bCs w:val="0"/>
          <w:sz w:val="32"/>
          <w:szCs w:val="32"/>
          <w:lang w:val="en-US" w:eastAsia="zh-CN"/>
        </w:rPr>
        <w:t>11.39</w:t>
      </w:r>
      <w:r>
        <w:rPr>
          <w:rFonts w:hint="default" w:ascii="Times New Roman" w:hAnsi="Times New Roman" w:eastAsia="仿宋_GB2312" w:cs="Times New Roman"/>
          <w:b w:val="0"/>
          <w:bCs w:val="0"/>
          <w:sz w:val="32"/>
          <w:szCs w:val="32"/>
        </w:rPr>
        <w:t>万元，主要用于：职业年金缴费。</w:t>
      </w:r>
    </w:p>
    <w:p>
      <w:pPr>
        <w:pStyle w:val="9"/>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4．医疗卫生与计划生育支出（210）行政事业单位医疗（11）事业单位医疗（02）202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年预算数为</w:t>
      </w:r>
      <w:r>
        <w:rPr>
          <w:rFonts w:hint="default" w:ascii="Times New Roman" w:hAnsi="Times New Roman" w:eastAsia="仿宋_GB2312" w:cs="Times New Roman"/>
          <w:b w:val="0"/>
          <w:bCs w:val="0"/>
          <w:sz w:val="32"/>
          <w:szCs w:val="32"/>
          <w:lang w:val="en-US" w:eastAsia="zh-CN"/>
        </w:rPr>
        <w:t>9.63</w:t>
      </w:r>
      <w:r>
        <w:rPr>
          <w:rFonts w:hint="default" w:ascii="Times New Roman" w:hAnsi="Times New Roman" w:eastAsia="仿宋_GB2312" w:cs="Times New Roman"/>
          <w:b w:val="0"/>
          <w:bCs w:val="0"/>
          <w:sz w:val="32"/>
          <w:szCs w:val="32"/>
        </w:rPr>
        <w:t>万元，主要用于：</w:t>
      </w:r>
      <w:r>
        <w:rPr>
          <w:rFonts w:hint="default" w:ascii="Times New Roman" w:hAnsi="Times New Roman" w:eastAsia="仿宋_GB2312" w:cs="Times New Roman"/>
          <w:b w:val="0"/>
          <w:bCs w:val="0"/>
          <w:sz w:val="32"/>
          <w:szCs w:val="32"/>
          <w:lang w:val="en-US" w:eastAsia="zh-CN"/>
        </w:rPr>
        <w:t>基本医疗保障缴费、</w:t>
      </w:r>
      <w:r>
        <w:rPr>
          <w:rFonts w:hint="default" w:ascii="Times New Roman" w:hAnsi="Times New Roman" w:eastAsia="仿宋_GB2312" w:cs="Times New Roman"/>
          <w:b w:val="0"/>
          <w:bCs w:val="0"/>
          <w:sz w:val="32"/>
          <w:szCs w:val="32"/>
        </w:rPr>
        <w:t>其他社会保障缴费。</w:t>
      </w:r>
    </w:p>
    <w:p>
      <w:pPr>
        <w:pStyle w:val="9"/>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5．医疗卫生与计划生育支出（210）行政事业单位医疗（11）事业单位医疗（99）2020年预算数为</w:t>
      </w:r>
      <w:r>
        <w:rPr>
          <w:rFonts w:hint="default" w:ascii="Times New Roman" w:hAnsi="Times New Roman" w:eastAsia="仿宋_GB2312" w:cs="Times New Roman"/>
          <w:b w:val="0"/>
          <w:bCs w:val="0"/>
          <w:sz w:val="32"/>
          <w:szCs w:val="32"/>
          <w:lang w:val="en-US" w:eastAsia="zh-CN"/>
        </w:rPr>
        <w:t>4.97</w:t>
      </w:r>
      <w:r>
        <w:rPr>
          <w:rFonts w:hint="default" w:ascii="Times New Roman" w:hAnsi="Times New Roman" w:eastAsia="仿宋_GB2312" w:cs="Times New Roman"/>
          <w:b w:val="0"/>
          <w:bCs w:val="0"/>
          <w:sz w:val="32"/>
          <w:szCs w:val="32"/>
        </w:rPr>
        <w:t>万元，主要用于：其他社会保障缴费。</w:t>
      </w:r>
    </w:p>
    <w:p>
      <w:pPr>
        <w:pStyle w:val="9"/>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6．住房保障支出（221）住房改革支出（02）住房公积金（01）20</w:t>
      </w:r>
      <w:r>
        <w:rPr>
          <w:rFonts w:hint="default" w:ascii="Times New Roman" w:hAnsi="Times New Roman" w:eastAsia="仿宋_GB2312" w:cs="Times New Roman"/>
          <w:b w:val="0"/>
          <w:bCs w:val="0"/>
          <w:sz w:val="32"/>
          <w:szCs w:val="32"/>
          <w:lang w:val="en-US" w:eastAsia="zh-CN"/>
        </w:rPr>
        <w:t>21</w:t>
      </w:r>
      <w:r>
        <w:rPr>
          <w:rFonts w:hint="default" w:ascii="Times New Roman" w:hAnsi="Times New Roman" w:eastAsia="仿宋_GB2312" w:cs="Times New Roman"/>
          <w:b w:val="0"/>
          <w:bCs w:val="0"/>
          <w:sz w:val="32"/>
          <w:szCs w:val="32"/>
        </w:rPr>
        <w:t>年预算数为</w:t>
      </w:r>
      <w:r>
        <w:rPr>
          <w:rFonts w:hint="default" w:ascii="Times New Roman" w:hAnsi="Times New Roman" w:eastAsia="仿宋_GB2312" w:cs="Times New Roman"/>
          <w:b w:val="0"/>
          <w:bCs w:val="0"/>
          <w:sz w:val="32"/>
          <w:szCs w:val="32"/>
          <w:lang w:val="en-US" w:eastAsia="zh-CN"/>
        </w:rPr>
        <w:t>25.90</w:t>
      </w:r>
      <w:r>
        <w:rPr>
          <w:rFonts w:hint="default" w:ascii="Times New Roman" w:hAnsi="Times New Roman" w:eastAsia="仿宋_GB2312" w:cs="Times New Roman"/>
          <w:b w:val="0"/>
          <w:bCs w:val="0"/>
          <w:sz w:val="32"/>
          <w:szCs w:val="32"/>
        </w:rPr>
        <w:t>万元，主要用于：住房公积金</w:t>
      </w:r>
      <w:r>
        <w:rPr>
          <w:rFonts w:hint="default" w:ascii="Times New Roman" w:hAnsi="Times New Roman" w:cs="Times New Roman"/>
          <w:b w:val="0"/>
          <w:bCs w:val="0"/>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六、一般公共预算基本支出情况说明</w:t>
      </w:r>
    </w:p>
    <w:p>
      <w:pPr>
        <w:pStyle w:val="9"/>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cs="Times New Roman"/>
          <w:b w:val="0"/>
          <w:bCs w:val="0"/>
          <w:sz w:val="32"/>
          <w:szCs w:val="32"/>
          <w:lang w:eastAsia="zh-CN"/>
        </w:rPr>
        <w:t>阿坝州新华书店</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年一般公共预算基本支出</w:t>
      </w:r>
      <w:r>
        <w:rPr>
          <w:rFonts w:hint="default" w:ascii="Times New Roman" w:hAnsi="Times New Roman" w:eastAsia="仿宋_GB2312" w:cs="Times New Roman"/>
          <w:b w:val="0"/>
          <w:bCs w:val="0"/>
          <w:sz w:val="32"/>
          <w:szCs w:val="32"/>
          <w:lang w:val="en-US" w:eastAsia="zh-CN"/>
        </w:rPr>
        <w:t>255.97</w:t>
      </w:r>
      <w:r>
        <w:rPr>
          <w:rFonts w:hint="default" w:ascii="Times New Roman" w:hAnsi="Times New Roman" w:eastAsia="仿宋_GB2312" w:cs="Times New Roman"/>
          <w:b w:val="0"/>
          <w:bCs w:val="0"/>
          <w:sz w:val="32"/>
          <w:szCs w:val="32"/>
        </w:rPr>
        <w:t>万元，其中：人员经费</w:t>
      </w:r>
      <w:r>
        <w:rPr>
          <w:rFonts w:hint="default" w:ascii="Times New Roman" w:hAnsi="Times New Roman" w:eastAsia="仿宋_GB2312" w:cs="Times New Roman"/>
          <w:b w:val="0"/>
          <w:bCs w:val="0"/>
          <w:sz w:val="32"/>
          <w:szCs w:val="32"/>
          <w:lang w:val="en-US" w:eastAsia="zh-CN"/>
        </w:rPr>
        <w:t>227.50</w:t>
      </w:r>
      <w:r>
        <w:rPr>
          <w:rFonts w:hint="default" w:ascii="Times New Roman" w:hAnsi="Times New Roman" w:eastAsia="仿宋_GB2312" w:cs="Times New Roman"/>
          <w:b w:val="0"/>
          <w:bCs w:val="0"/>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default" w:ascii="Times New Roman" w:hAnsi="Times New Roman" w:eastAsia="仿宋_GB2312" w:cs="Times New Roman"/>
          <w:b w:val="0"/>
          <w:bCs w:val="0"/>
          <w:sz w:val="32"/>
          <w:szCs w:val="32"/>
          <w:lang w:val="en-US" w:eastAsia="zh-CN"/>
        </w:rPr>
        <w:t>28.47</w:t>
      </w:r>
      <w:r>
        <w:rPr>
          <w:rFonts w:hint="default" w:ascii="Times New Roman" w:hAnsi="Times New Roman" w:eastAsia="仿宋_GB2312" w:cs="Times New Roman"/>
          <w:b w:val="0"/>
          <w:bCs w:val="0"/>
          <w:sz w:val="32"/>
          <w:szCs w:val="32"/>
        </w:rPr>
        <w:t>万元，主要包括：办公费、印刷费、手续费、水费、电费、邮电费、差旅费、维修（护）费、租赁费、会议费、培训费、劳务费、工会经费、福利费、其他交通工具运行维护费、其他商品和服务支出。</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七、</w:t>
      </w:r>
      <w:r>
        <w:rPr>
          <w:rFonts w:hint="default" w:ascii="Times New Roman" w:hAnsi="Times New Roman" w:eastAsia="黑体" w:cs="Times New Roman"/>
          <w:b w:val="0"/>
          <w:bCs w:val="0"/>
          <w:sz w:val="32"/>
          <w:szCs w:val="32"/>
        </w:rPr>
        <w:t>“三公”经费财政拨款预算安排情况说明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cs="Times New Roman"/>
          <w:b w:val="0"/>
          <w:bCs w:val="0"/>
          <w:sz w:val="32"/>
          <w:szCs w:val="32"/>
          <w:lang w:eastAsia="zh-CN"/>
        </w:rPr>
        <w:t>阿坝州新华书店</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w:t>
      </w:r>
      <w:r>
        <w:rPr>
          <w:rFonts w:hint="default"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三公</w:t>
      </w:r>
      <w:r>
        <w:rPr>
          <w:rFonts w:hint="default"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经费财政拨款预算数</w:t>
      </w:r>
      <w:r>
        <w:rPr>
          <w:rFonts w:hint="eastAsia" w:ascii="Times New Roman" w:hAnsi="Times New Roman" w:cs="Times New Roman"/>
          <w:b w:val="0"/>
          <w:bCs w:val="0"/>
          <w:sz w:val="32"/>
          <w:szCs w:val="32"/>
          <w:lang w:val="en-US" w:eastAsia="zh-CN"/>
        </w:rPr>
        <w:t>4.46</w:t>
      </w:r>
      <w:r>
        <w:rPr>
          <w:rFonts w:hint="default" w:ascii="Times New Roman" w:hAnsi="Times New Roman" w:eastAsia="仿宋_GB2312" w:cs="Times New Roman"/>
          <w:b w:val="0"/>
          <w:bCs w:val="0"/>
          <w:sz w:val="32"/>
          <w:szCs w:val="32"/>
        </w:rPr>
        <w:t>万元，其中：因公出国（境）经费0万元，公务接待费0.43万元，公务用车购置及运行维护费4.03万元。</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年因公出国（境）经费0万元。较20</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 xml:space="preserve">年预算经费0万元增长0%，主要原因是：无 </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（二）202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年公务接待费0.43万元。较20</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年预算经费</w:t>
      </w:r>
      <w:r>
        <w:rPr>
          <w:rFonts w:hint="default" w:ascii="Times New Roman" w:hAnsi="Times New Roman" w:eastAsia="仿宋_GB2312" w:cs="Times New Roman"/>
          <w:b w:val="0"/>
          <w:bCs w:val="0"/>
          <w:sz w:val="32"/>
          <w:szCs w:val="32"/>
          <w:lang w:val="en-US" w:eastAsia="zh-CN"/>
        </w:rPr>
        <w:t>0.43</w:t>
      </w:r>
      <w:r>
        <w:rPr>
          <w:rFonts w:hint="default" w:ascii="Times New Roman" w:hAnsi="Times New Roman" w:eastAsia="仿宋_GB2312" w:cs="Times New Roman"/>
          <w:b w:val="0"/>
          <w:bCs w:val="0"/>
          <w:sz w:val="32"/>
          <w:szCs w:val="32"/>
        </w:rPr>
        <w:t>万元</w:t>
      </w:r>
      <w:r>
        <w:rPr>
          <w:rFonts w:hint="default" w:ascii="Times New Roman" w:hAnsi="Times New Roman" w:eastAsia="仿宋_GB2312" w:cs="Times New Roman"/>
          <w:b w:val="0"/>
          <w:bCs w:val="0"/>
          <w:sz w:val="32"/>
          <w:szCs w:val="32"/>
          <w:lang w:val="en-US" w:eastAsia="zh-CN"/>
        </w:rPr>
        <w:t>增长0</w:t>
      </w:r>
      <w:r>
        <w:rPr>
          <w:rFonts w:hint="default" w:ascii="Times New Roman" w:hAnsi="Times New Roman" w:eastAsia="仿宋_GB2312" w:cs="Times New Roman"/>
          <w:b w:val="0"/>
          <w:bCs w:val="0"/>
          <w:sz w:val="32"/>
          <w:szCs w:val="32"/>
        </w:rPr>
        <w:t>%，主要原因是：</w:t>
      </w:r>
      <w:r>
        <w:rPr>
          <w:rFonts w:hint="default" w:ascii="Times New Roman" w:hAnsi="Times New Roman" w:eastAsia="仿宋_GB2312" w:cs="Times New Roman"/>
          <w:b w:val="0"/>
          <w:bCs w:val="0"/>
          <w:sz w:val="32"/>
          <w:szCs w:val="32"/>
          <w:lang w:val="en-US" w:eastAsia="zh-CN"/>
        </w:rPr>
        <w:t>无</w:t>
      </w:r>
    </w:p>
    <w:p>
      <w:pPr>
        <w:pStyle w:val="9"/>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（三）202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年公务用车购置及运行维护费4.03万元。较2020年预算经费</w:t>
      </w:r>
      <w:r>
        <w:rPr>
          <w:rFonts w:hint="default" w:ascii="Times New Roman" w:hAnsi="Times New Roman" w:eastAsia="仿宋_GB2312" w:cs="Times New Roman"/>
          <w:b w:val="0"/>
          <w:bCs w:val="0"/>
          <w:sz w:val="32"/>
          <w:szCs w:val="32"/>
          <w:lang w:val="en-US" w:eastAsia="zh-CN"/>
        </w:rPr>
        <w:t>4.03</w:t>
      </w:r>
      <w:r>
        <w:rPr>
          <w:rFonts w:hint="default" w:ascii="Times New Roman" w:hAnsi="Times New Roman" w:eastAsia="仿宋_GB2312" w:cs="Times New Roman"/>
          <w:b w:val="0"/>
          <w:bCs w:val="0"/>
          <w:sz w:val="32"/>
          <w:szCs w:val="32"/>
        </w:rPr>
        <w:t>万元</w:t>
      </w:r>
      <w:r>
        <w:rPr>
          <w:rFonts w:hint="default" w:ascii="Times New Roman" w:hAnsi="Times New Roman" w:eastAsia="仿宋_GB2312" w:cs="Times New Roman"/>
          <w:b w:val="0"/>
          <w:bCs w:val="0"/>
          <w:sz w:val="32"/>
          <w:szCs w:val="32"/>
          <w:lang w:val="en-US" w:eastAsia="zh-CN"/>
        </w:rPr>
        <w:t>增长0</w:t>
      </w:r>
      <w:r>
        <w:rPr>
          <w:rFonts w:hint="default" w:ascii="Times New Roman" w:hAnsi="Times New Roman" w:eastAsia="仿宋_GB2312" w:cs="Times New Roman"/>
          <w:b w:val="0"/>
          <w:bCs w:val="0"/>
          <w:sz w:val="32"/>
          <w:szCs w:val="32"/>
        </w:rPr>
        <w:t>%，主要原因：</w:t>
      </w:r>
      <w:r>
        <w:rPr>
          <w:rFonts w:hint="default" w:ascii="Times New Roman" w:hAnsi="Times New Roman" w:eastAsia="仿宋_GB2312" w:cs="Times New Roman"/>
          <w:b w:val="0"/>
          <w:bCs w:val="0"/>
          <w:sz w:val="32"/>
          <w:szCs w:val="32"/>
          <w:lang w:val="en-US" w:eastAsia="zh-CN"/>
        </w:rPr>
        <w:t>无</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八、</w:t>
      </w:r>
      <w:r>
        <w:rPr>
          <w:rFonts w:hint="default" w:ascii="Times New Roman" w:hAnsi="Times New Roman" w:eastAsia="黑体" w:cs="Times New Roman"/>
          <w:b w:val="0"/>
          <w:bCs w:val="0"/>
          <w:sz w:val="32"/>
          <w:szCs w:val="32"/>
        </w:rPr>
        <w:t>政府性基金预算支出情况说明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cs="Times New Roman"/>
          <w:b w:val="0"/>
          <w:bCs w:val="0"/>
          <w:sz w:val="32"/>
          <w:szCs w:val="32"/>
          <w:lang w:eastAsia="zh-CN"/>
        </w:rPr>
        <w:t>阿坝州新华书店</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年政府性基金预算拨款安排的支出0万元。较20</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年预算经费0万元增长0%，主要原因是：无</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九、</w:t>
      </w:r>
      <w:r>
        <w:rPr>
          <w:rFonts w:hint="default" w:ascii="Times New Roman" w:hAnsi="Times New Roman" w:eastAsia="黑体" w:cs="Times New Roman"/>
          <w:b w:val="0"/>
          <w:bCs w:val="0"/>
          <w:sz w:val="32"/>
          <w:szCs w:val="32"/>
        </w:rPr>
        <w:t>其他重要事项的情况说明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机关运行经费</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cs="Times New Roman"/>
          <w:b w:val="0"/>
          <w:bCs w:val="0"/>
          <w:sz w:val="32"/>
          <w:szCs w:val="32"/>
          <w:lang w:eastAsia="zh-CN"/>
        </w:rPr>
        <w:t>阿坝州新华书店</w:t>
      </w:r>
      <w:r>
        <w:rPr>
          <w:rFonts w:hint="default" w:ascii="Times New Roman" w:hAnsi="Times New Roman" w:eastAsia="仿宋_GB2312" w:cs="Times New Roman"/>
          <w:b w:val="0"/>
          <w:bCs w:val="0"/>
          <w:sz w:val="32"/>
          <w:szCs w:val="32"/>
        </w:rPr>
        <w:t>2020年机关运行经费财政拨款预算为</w:t>
      </w:r>
      <w:r>
        <w:rPr>
          <w:rFonts w:hint="default" w:ascii="Times New Roman" w:hAnsi="Times New Roman" w:eastAsia="仿宋_GB2312" w:cs="Times New Roman"/>
          <w:b w:val="0"/>
          <w:bCs w:val="0"/>
          <w:sz w:val="32"/>
          <w:szCs w:val="32"/>
          <w:lang w:val="en-US" w:eastAsia="zh-CN"/>
        </w:rPr>
        <w:t>504.52</w:t>
      </w:r>
      <w:r>
        <w:rPr>
          <w:rFonts w:hint="default" w:ascii="Times New Roman" w:hAnsi="Times New Roman" w:eastAsia="仿宋_GB2312" w:cs="Times New Roman"/>
          <w:b w:val="0"/>
          <w:bCs w:val="0"/>
          <w:sz w:val="32"/>
          <w:szCs w:val="32"/>
        </w:rPr>
        <w:t>万元，比20</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年预算增加</w:t>
      </w:r>
      <w:r>
        <w:rPr>
          <w:rFonts w:hint="default" w:ascii="Times New Roman" w:hAnsi="Times New Roman" w:eastAsia="仿宋_GB2312" w:cs="Times New Roman"/>
          <w:b w:val="0"/>
          <w:bCs w:val="0"/>
          <w:sz w:val="32"/>
          <w:szCs w:val="32"/>
          <w:lang w:val="en-US" w:eastAsia="zh-CN"/>
        </w:rPr>
        <w:t>11.54</w:t>
      </w:r>
      <w:r>
        <w:rPr>
          <w:rFonts w:hint="default" w:ascii="Times New Roman" w:hAnsi="Times New Roman" w:eastAsia="仿宋_GB2312" w:cs="Times New Roman"/>
          <w:b w:val="0"/>
          <w:bCs w:val="0"/>
          <w:sz w:val="32"/>
          <w:szCs w:val="32"/>
        </w:rPr>
        <w:t>元，增加</w:t>
      </w:r>
      <w:r>
        <w:rPr>
          <w:rFonts w:hint="default" w:ascii="Times New Roman" w:hAnsi="Times New Roman" w:eastAsia="仿宋_GB2312" w:cs="Times New Roman"/>
          <w:b w:val="0"/>
          <w:bCs w:val="0"/>
          <w:sz w:val="32"/>
          <w:szCs w:val="32"/>
          <w:lang w:val="en-US" w:eastAsia="zh-CN"/>
        </w:rPr>
        <w:t>2.34</w:t>
      </w:r>
      <w:r>
        <w:rPr>
          <w:rFonts w:hint="default" w:ascii="Times New Roman" w:hAnsi="Times New Roman" w:eastAsia="仿宋_GB2312" w:cs="Times New Roman"/>
          <w:b w:val="0"/>
          <w:bCs w:val="0"/>
          <w:sz w:val="32"/>
          <w:szCs w:val="32"/>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政府采购情况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leftChars="0"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w:t>
      </w:r>
      <w:r>
        <w:rPr>
          <w:rFonts w:hint="eastAsia" w:ascii="Times New Roman" w:hAnsi="Times New Roman" w:cs="Times New Roman"/>
          <w:b w:val="0"/>
          <w:bCs w:val="0"/>
          <w:sz w:val="32"/>
          <w:szCs w:val="32"/>
          <w:lang w:eastAsia="zh-CN"/>
        </w:rPr>
        <w:t>阿坝州新华书店</w:t>
      </w:r>
      <w:r>
        <w:rPr>
          <w:rFonts w:hint="default" w:ascii="Times New Roman" w:hAnsi="Times New Roman" w:eastAsia="仿宋_GB2312" w:cs="Times New Roman"/>
          <w:b w:val="0"/>
          <w:bCs w:val="0"/>
          <w:sz w:val="32"/>
          <w:szCs w:val="32"/>
        </w:rPr>
        <w:t>安排政府采购预算0万元，主要用于：无</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leftChars="0" w:right="0" w:righ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sz w:val="32"/>
          <w:szCs w:val="32"/>
        </w:rPr>
        <w:t>（三）国有资产占有使用情况</w:t>
      </w:r>
    </w:p>
    <w:p>
      <w:pPr>
        <w:pStyle w:val="9"/>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阿坝州新华书店202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年无国有资产占有使用情况。</w:t>
      </w:r>
    </w:p>
    <w:p>
      <w:pPr>
        <w:pStyle w:val="9"/>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righ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sz w:val="32"/>
          <w:szCs w:val="32"/>
        </w:rPr>
        <w:t>（四）绩效目标设置情况　</w:t>
      </w:r>
    </w:p>
    <w:p>
      <w:pPr>
        <w:pStyle w:val="9"/>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w:t>
      </w:r>
      <w:r>
        <w:rPr>
          <w:rFonts w:hint="eastAsia" w:ascii="Times New Roman" w:hAnsi="Times New Roman" w:cs="Times New Roman"/>
          <w:b w:val="0"/>
          <w:bCs w:val="0"/>
          <w:sz w:val="32"/>
          <w:szCs w:val="32"/>
          <w:lang w:eastAsia="zh-CN"/>
        </w:rPr>
        <w:t>阿坝州新华书店</w:t>
      </w:r>
      <w:r>
        <w:rPr>
          <w:rFonts w:hint="default" w:ascii="Times New Roman" w:hAnsi="Times New Roman" w:eastAsia="仿宋_GB2312" w:cs="Times New Roman"/>
          <w:b w:val="0"/>
          <w:bCs w:val="0"/>
          <w:sz w:val="32"/>
          <w:szCs w:val="32"/>
        </w:rPr>
        <w:t>通用项目和专用项目均按要求实行绩效目标管理，涉0</w:t>
      </w:r>
      <w:r>
        <w:rPr>
          <w:rFonts w:hint="eastAsia" w:ascii="Times New Roman" w:hAnsi="Times New Roman" w:cs="Times New Roman"/>
          <w:b w:val="0"/>
          <w:bCs w:val="0"/>
          <w:sz w:val="32"/>
          <w:szCs w:val="32"/>
          <w:lang w:val="en-US" w:eastAsia="zh-CN"/>
        </w:rPr>
        <w:t>万元；一</w:t>
      </w:r>
      <w:r>
        <w:rPr>
          <w:rFonts w:hint="default" w:ascii="Times New Roman" w:hAnsi="Times New Roman" w:eastAsia="仿宋_GB2312" w:cs="Times New Roman"/>
          <w:b w:val="0"/>
          <w:bCs w:val="0"/>
          <w:sz w:val="32"/>
          <w:szCs w:val="32"/>
        </w:rPr>
        <w:t>般公共预算当年拨款0万元。</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十、</w:t>
      </w:r>
      <w:r>
        <w:rPr>
          <w:rFonts w:hint="default" w:ascii="Times New Roman" w:hAnsi="Times New Roman" w:eastAsia="黑体" w:cs="Times New Roman"/>
          <w:b w:val="0"/>
          <w:bCs w:val="0"/>
          <w:sz w:val="32"/>
          <w:szCs w:val="32"/>
        </w:rPr>
        <w:t>名词解释</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一</w:t>
      </w:r>
      <w:r>
        <w:rPr>
          <w:rFonts w:hint="default"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财政拨款收入：</w:t>
      </w:r>
      <w:r>
        <w:rPr>
          <w:rFonts w:hint="default" w:ascii="Times New Roman" w:hAnsi="Times New Roman" w:eastAsia="仿宋_GB2312" w:cs="Times New Roman"/>
          <w:b w:val="0"/>
          <w:bCs w:val="0"/>
          <w:sz w:val="32"/>
          <w:szCs w:val="32"/>
        </w:rPr>
        <w:t>指由财政拨款形成的部门收入。按现行管理制度，部门预算中反映的财政拨款仅包括一般公共预算拨款和政府性基金预算拨款。</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二</w:t>
      </w:r>
      <w:r>
        <w:rPr>
          <w:rFonts w:hint="default"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事业收入：</w:t>
      </w:r>
      <w:r>
        <w:rPr>
          <w:rFonts w:hint="default" w:ascii="Times New Roman" w:hAnsi="Times New Roman" w:eastAsia="仿宋_GB2312" w:cs="Times New Roman"/>
          <w:b w:val="0"/>
          <w:bCs w:val="0"/>
          <w:sz w:val="32"/>
          <w:szCs w:val="32"/>
        </w:rPr>
        <w:t>指所属事业单位开展专业业务活动及辅助活动所取得的收入。</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三</w:t>
      </w:r>
      <w:r>
        <w:rPr>
          <w:rFonts w:hint="default"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事业单位经营收入：</w:t>
      </w:r>
      <w:r>
        <w:rPr>
          <w:rFonts w:hint="default" w:ascii="Times New Roman" w:hAnsi="Times New Roman" w:eastAsia="仿宋_GB2312" w:cs="Times New Roman"/>
          <w:b w:val="0"/>
          <w:bCs w:val="0"/>
          <w:sz w:val="32"/>
          <w:szCs w:val="32"/>
        </w:rPr>
        <w:t>指所属事业单位在专业业务活动及其辅助活动之外开展非独立核算经营活动取得的收入。</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四</w:t>
      </w:r>
      <w:r>
        <w:rPr>
          <w:rFonts w:hint="default"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其他收入：</w:t>
      </w:r>
      <w:r>
        <w:rPr>
          <w:rFonts w:hint="default" w:ascii="Times New Roman" w:hAnsi="Times New Roman" w:eastAsia="仿宋_GB2312" w:cs="Times New Roman"/>
          <w:b w:val="0"/>
          <w:bCs w:val="0"/>
          <w:sz w:val="32"/>
          <w:szCs w:val="32"/>
        </w:rPr>
        <w:t>指除上述</w:t>
      </w:r>
      <w:r>
        <w:rPr>
          <w:rFonts w:hint="default"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财政拨款收入</w:t>
      </w:r>
      <w:r>
        <w:rPr>
          <w:rFonts w:hint="default"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事业收入</w:t>
      </w:r>
      <w:r>
        <w:rPr>
          <w:rFonts w:hint="default"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事业单位经营收入</w:t>
      </w:r>
      <w:r>
        <w:rPr>
          <w:rFonts w:hint="default"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等以外的收入，主要是所属行政事业单位按规定动用的售房收入、存款利息收入等。</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right="0" w:righ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五</w:t>
      </w:r>
      <w:r>
        <w:rPr>
          <w:rFonts w:hint="default"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用事业基金弥补收支差额：</w:t>
      </w:r>
      <w:r>
        <w:rPr>
          <w:rFonts w:hint="default" w:ascii="Times New Roman" w:hAnsi="Times New Roman" w:eastAsia="仿宋_GB2312" w:cs="Times New Roman"/>
          <w:b w:val="0"/>
          <w:bCs w:val="0"/>
          <w:sz w:val="32"/>
          <w:szCs w:val="32"/>
        </w:rPr>
        <w:t>指所属事业单位在预计用当年的“财政拨款收入”“事业收入”“事业单位经营收入”“其他收入”不足以安排当年支出的情况下，使用以前年度积累的事业基金弥补本年度收支缺口的资金。</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76" w:lineRule="exact"/>
        <w:ind w:leftChars="0" w:right="0" w:righ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（六）上年结转：</w:t>
      </w:r>
      <w:r>
        <w:rPr>
          <w:rFonts w:hint="default" w:ascii="Times New Roman" w:hAnsi="Times New Roman" w:eastAsia="仿宋_GB2312" w:cs="Times New Roman"/>
          <w:b w:val="0"/>
          <w:bCs w:val="0"/>
          <w:sz w:val="32"/>
          <w:szCs w:val="32"/>
        </w:rPr>
        <w:t>指所属行政事业单位以前年度尚未完成、结转至本年按原规定用途继续使用的资金和以前年度已完成项目剩余资金经批准用于新用途使用的资金。</w:t>
      </w:r>
    </w:p>
    <w:sectPr>
      <w:footerReference r:id="rId3" w:type="default"/>
      <w:pgSz w:w="11906" w:h="16838"/>
      <w:pgMar w:top="2098" w:right="1474" w:bottom="1984" w:left="1587" w:header="850" w:footer="113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52854"/>
    <w:rsid w:val="00025B29"/>
    <w:rsid w:val="00085137"/>
    <w:rsid w:val="000E4AA7"/>
    <w:rsid w:val="000E627F"/>
    <w:rsid w:val="00114CE1"/>
    <w:rsid w:val="00123BE8"/>
    <w:rsid w:val="001538C8"/>
    <w:rsid w:val="00161CD9"/>
    <w:rsid w:val="001855DB"/>
    <w:rsid w:val="00213CE1"/>
    <w:rsid w:val="002613E7"/>
    <w:rsid w:val="00291AF0"/>
    <w:rsid w:val="002B4F83"/>
    <w:rsid w:val="002E60CF"/>
    <w:rsid w:val="00314770"/>
    <w:rsid w:val="00321E50"/>
    <w:rsid w:val="00352854"/>
    <w:rsid w:val="003762A5"/>
    <w:rsid w:val="003D1B4A"/>
    <w:rsid w:val="00424F18"/>
    <w:rsid w:val="004C5E33"/>
    <w:rsid w:val="00514705"/>
    <w:rsid w:val="00522686"/>
    <w:rsid w:val="0053029E"/>
    <w:rsid w:val="0055357D"/>
    <w:rsid w:val="005B75CE"/>
    <w:rsid w:val="005F21C3"/>
    <w:rsid w:val="005F4583"/>
    <w:rsid w:val="00696011"/>
    <w:rsid w:val="006D05AB"/>
    <w:rsid w:val="006F1B25"/>
    <w:rsid w:val="007067DF"/>
    <w:rsid w:val="0074128B"/>
    <w:rsid w:val="0075722F"/>
    <w:rsid w:val="007769DB"/>
    <w:rsid w:val="00795CCF"/>
    <w:rsid w:val="007B3677"/>
    <w:rsid w:val="007D161F"/>
    <w:rsid w:val="0081140F"/>
    <w:rsid w:val="00887A60"/>
    <w:rsid w:val="008B7603"/>
    <w:rsid w:val="008D2495"/>
    <w:rsid w:val="008F63EB"/>
    <w:rsid w:val="009665C9"/>
    <w:rsid w:val="00987B5A"/>
    <w:rsid w:val="009C0988"/>
    <w:rsid w:val="009D185A"/>
    <w:rsid w:val="009D6814"/>
    <w:rsid w:val="009F0E3C"/>
    <w:rsid w:val="00A2499F"/>
    <w:rsid w:val="00A40372"/>
    <w:rsid w:val="00A60456"/>
    <w:rsid w:val="00A64D13"/>
    <w:rsid w:val="00A868A1"/>
    <w:rsid w:val="00B05D0A"/>
    <w:rsid w:val="00B530E2"/>
    <w:rsid w:val="00C203F8"/>
    <w:rsid w:val="00C8183B"/>
    <w:rsid w:val="00C93483"/>
    <w:rsid w:val="00D06D76"/>
    <w:rsid w:val="00D22494"/>
    <w:rsid w:val="00DB6419"/>
    <w:rsid w:val="00DD5010"/>
    <w:rsid w:val="00E054CA"/>
    <w:rsid w:val="00E26B06"/>
    <w:rsid w:val="00E60DBD"/>
    <w:rsid w:val="00EC38FE"/>
    <w:rsid w:val="00F1615E"/>
    <w:rsid w:val="00F267C7"/>
    <w:rsid w:val="00F3108A"/>
    <w:rsid w:val="00F3699D"/>
    <w:rsid w:val="00F40C09"/>
    <w:rsid w:val="00F743F0"/>
    <w:rsid w:val="00F85776"/>
    <w:rsid w:val="00F93434"/>
    <w:rsid w:val="00F96BE5"/>
    <w:rsid w:val="00FE345A"/>
    <w:rsid w:val="00FE5FBE"/>
    <w:rsid w:val="00FF11B9"/>
    <w:rsid w:val="00FF70EC"/>
    <w:rsid w:val="03C66E19"/>
    <w:rsid w:val="03C815CC"/>
    <w:rsid w:val="0490566D"/>
    <w:rsid w:val="04987538"/>
    <w:rsid w:val="04F6612E"/>
    <w:rsid w:val="05CE4E25"/>
    <w:rsid w:val="0645049C"/>
    <w:rsid w:val="08E2799B"/>
    <w:rsid w:val="15B07CE5"/>
    <w:rsid w:val="17FD4C72"/>
    <w:rsid w:val="181B5E2A"/>
    <w:rsid w:val="19776CED"/>
    <w:rsid w:val="1B7606E6"/>
    <w:rsid w:val="1EF87088"/>
    <w:rsid w:val="1F062AD8"/>
    <w:rsid w:val="1F3F2247"/>
    <w:rsid w:val="1F870836"/>
    <w:rsid w:val="1FD42C35"/>
    <w:rsid w:val="21DE3CA7"/>
    <w:rsid w:val="22D542B0"/>
    <w:rsid w:val="231A5035"/>
    <w:rsid w:val="2C9D5BEC"/>
    <w:rsid w:val="2D9B5F9D"/>
    <w:rsid w:val="2E9C184F"/>
    <w:rsid w:val="301E5A51"/>
    <w:rsid w:val="30AA144C"/>
    <w:rsid w:val="313D22AA"/>
    <w:rsid w:val="3285003C"/>
    <w:rsid w:val="339148A3"/>
    <w:rsid w:val="33DF038A"/>
    <w:rsid w:val="38CD17C9"/>
    <w:rsid w:val="3AB65EB2"/>
    <w:rsid w:val="3CC6099F"/>
    <w:rsid w:val="3D3A295C"/>
    <w:rsid w:val="3DC720BF"/>
    <w:rsid w:val="3EC83F7B"/>
    <w:rsid w:val="43330430"/>
    <w:rsid w:val="436534D7"/>
    <w:rsid w:val="438E32B3"/>
    <w:rsid w:val="45642D9A"/>
    <w:rsid w:val="46DE4176"/>
    <w:rsid w:val="47A95FEB"/>
    <w:rsid w:val="47F118D4"/>
    <w:rsid w:val="48D800E1"/>
    <w:rsid w:val="4ED443E0"/>
    <w:rsid w:val="504F6301"/>
    <w:rsid w:val="51D1458F"/>
    <w:rsid w:val="54B53AFC"/>
    <w:rsid w:val="57001858"/>
    <w:rsid w:val="58191E1C"/>
    <w:rsid w:val="5A273792"/>
    <w:rsid w:val="5C794258"/>
    <w:rsid w:val="5D84638B"/>
    <w:rsid w:val="62531108"/>
    <w:rsid w:val="65701A68"/>
    <w:rsid w:val="6793718F"/>
    <w:rsid w:val="6C421AF5"/>
    <w:rsid w:val="6D023A5D"/>
    <w:rsid w:val="6DF61E3D"/>
    <w:rsid w:val="716915C2"/>
    <w:rsid w:val="735515A4"/>
    <w:rsid w:val="74F45AF8"/>
    <w:rsid w:val="79205333"/>
    <w:rsid w:val="7A685DF7"/>
    <w:rsid w:val="7D565598"/>
    <w:rsid w:val="7ECA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style>
  <w:style w:type="character" w:customStyle="1" w:styleId="7">
    <w:name w:val="页眉 Char"/>
    <w:basedOn w:val="5"/>
    <w:link w:val="3"/>
    <w:qFormat/>
    <w:uiPriority w:val="99"/>
    <w:rPr>
      <w:sz w:val="18"/>
      <w:szCs w:val="18"/>
    </w:rPr>
  </w:style>
  <w:style w:type="character" w:customStyle="1" w:styleId="8">
    <w:name w:val="页脚 Char"/>
    <w:basedOn w:val="5"/>
    <w:link w:val="2"/>
    <w:uiPriority w:val="99"/>
    <w:rPr>
      <w:sz w:val="18"/>
      <w:szCs w:val="18"/>
    </w:rPr>
  </w:style>
  <w:style w:type="paragraph" w:customStyle="1" w:styleId="9">
    <w:name w:val="正文文本1"/>
    <w:basedOn w:val="1"/>
    <w:qFormat/>
    <w:uiPriority w:val="0"/>
    <w:pPr>
      <w:spacing w:before="93"/>
    </w:pPr>
    <w:rPr>
      <w:rFonts w:ascii="仿宋_GB2312" w:hAnsi="仿宋_GB2312" w:eastAsia="仿宋_GB2312" w:cs="Times New Roman"/>
      <w:kern w:val="0"/>
      <w:sz w:val="30"/>
      <w:szCs w:val="20"/>
    </w:rPr>
  </w:style>
  <w:style w:type="character" w:customStyle="1" w:styleId="10">
    <w:name w:val="默认段落字体1"/>
    <w:uiPriority w:val="0"/>
    <w:rPr>
      <w:sz w:val="2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528</Words>
  <Characters>3012</Characters>
  <Lines>25</Lines>
  <Paragraphs>7</Paragraphs>
  <TotalTime>103</TotalTime>
  <ScaleCrop>false</ScaleCrop>
  <LinksUpToDate>false</LinksUpToDate>
  <CharactersWithSpaces>3533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2017-12-15T01:50:00Z</dcterms:created>
  <dc:creator>薛永萍</dc:creator>
  <cp:lastModifiedBy>admin</cp:lastModifiedBy>
  <dcterms:modified xsi:type="dcterms:W3CDTF">2021-01-28T01:16:21Z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