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5135B">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方正小标宋_GBK" w:cs="Times New Roman"/>
          <w:sz w:val="48"/>
          <w:szCs w:val="48"/>
        </w:rPr>
      </w:pPr>
    </w:p>
    <w:p w14:paraId="7E946ED5">
      <w:pPr>
        <w:pageBreakBefore w:val="0"/>
        <w:widowControl/>
        <w:kinsoku/>
        <w:wordWrap/>
        <w:overflowPunct/>
        <w:topLinePunct w:val="0"/>
        <w:autoSpaceDE/>
        <w:autoSpaceDN/>
        <w:bidi w:val="0"/>
        <w:spacing w:line="576" w:lineRule="exact"/>
        <w:ind w:left="0" w:leftChars="0"/>
        <w:rPr>
          <w:rFonts w:hint="default" w:ascii="Times New Roman" w:hAnsi="Times New Roman" w:eastAsia="方正小标宋_GBK" w:cs="Times New Roman"/>
          <w:sz w:val="48"/>
          <w:szCs w:val="48"/>
        </w:rPr>
      </w:pPr>
    </w:p>
    <w:p w14:paraId="1F6CED6C">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方正小标宋_GBK" w:cs="Times New Roman"/>
          <w:sz w:val="48"/>
          <w:szCs w:val="48"/>
        </w:rPr>
      </w:pPr>
      <w:r>
        <w:rPr>
          <w:rFonts w:hint="default" w:ascii="Times New Roman" w:hAnsi="Times New Roman" w:eastAsia="方正小标宋_GBK" w:cs="Times New Roman"/>
          <w:sz w:val="48"/>
          <w:szCs w:val="48"/>
        </w:rPr>
        <w:t>202</w:t>
      </w:r>
      <w:r>
        <w:rPr>
          <w:rFonts w:hint="default" w:ascii="Times New Roman" w:hAnsi="Times New Roman" w:eastAsia="方正小标宋_GBK" w:cs="Times New Roman"/>
          <w:sz w:val="48"/>
          <w:szCs w:val="48"/>
          <w:lang w:val="en-US" w:eastAsia="zh-CN"/>
        </w:rPr>
        <w:t>5</w:t>
      </w:r>
      <w:r>
        <w:rPr>
          <w:rFonts w:hint="default" w:ascii="Times New Roman" w:hAnsi="Times New Roman" w:eastAsia="方正小标宋_GBK" w:cs="Times New Roman"/>
          <w:sz w:val="48"/>
          <w:szCs w:val="48"/>
        </w:rPr>
        <w:t>年度</w:t>
      </w:r>
    </w:p>
    <w:p w14:paraId="30DD0E72">
      <w:pPr>
        <w:pStyle w:val="2"/>
        <w:pageBreakBefore w:val="0"/>
        <w:kinsoku/>
        <w:wordWrap/>
        <w:overflowPunct/>
        <w:topLinePunct w:val="0"/>
        <w:autoSpaceDE/>
        <w:autoSpaceDN/>
        <w:bidi w:val="0"/>
        <w:spacing w:line="576" w:lineRule="exact"/>
        <w:ind w:left="0" w:leftChars="0"/>
        <w:jc w:val="center"/>
        <w:rPr>
          <w:rFonts w:hint="default" w:ascii="Times New Roman" w:hAnsi="Times New Roman" w:eastAsia="方正小标宋_GBK" w:cs="Times New Roman"/>
          <w:lang w:eastAsia="zh-CN"/>
        </w:rPr>
      </w:pPr>
      <w:r>
        <w:rPr>
          <w:rFonts w:hint="default" w:ascii="Times New Roman" w:hAnsi="Times New Roman" w:eastAsia="方正小标宋_GBK" w:cs="Times New Roman"/>
          <w:sz w:val="48"/>
          <w:szCs w:val="48"/>
        </w:rPr>
        <w:t>阿坝州电影服务中心单位决算</w:t>
      </w:r>
      <w:r>
        <w:rPr>
          <w:rFonts w:hint="default" w:ascii="Times New Roman" w:hAnsi="Times New Roman" w:eastAsia="方正小标宋_GBK" w:cs="Times New Roman"/>
          <w:sz w:val="48"/>
          <w:szCs w:val="48"/>
          <w:lang w:eastAsia="zh-CN"/>
        </w:rPr>
        <w:t>公开</w:t>
      </w:r>
    </w:p>
    <w:p w14:paraId="2B7FE676">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黑体" w:cs="Times New Roman"/>
          <w:sz w:val="48"/>
          <w:szCs w:val="48"/>
        </w:rPr>
      </w:pPr>
    </w:p>
    <w:p w14:paraId="64B8F570">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黑体" w:cs="Times New Roman"/>
          <w:sz w:val="48"/>
          <w:szCs w:val="48"/>
        </w:rPr>
      </w:pPr>
      <w:r>
        <w:rPr>
          <w:rFonts w:hint="default" w:ascii="Times New Roman" w:hAnsi="Times New Roman" w:eastAsia="黑体" w:cs="Times New Roman"/>
          <w:sz w:val="48"/>
          <w:szCs w:val="48"/>
        </w:rPr>
        <w:object>
          <v:shape id="_x0000_i1025" o:spt="75" type="#_x0000_t75" style="height:17pt;width:17pt;" o:ole="t" filled="f" o:preferrelative="t" stroked="f" coordsize="21600,21600">
            <v:path/>
            <v:fill on="f" focussize="0,0"/>
            <v:stroke on="f" joinstyle="miter"/>
            <v:imagedata r:id="rId10" o:title=""/>
            <o:lock v:ext="edit" aspectratio="t"/>
            <w10:wrap type="none"/>
            <w10:anchorlock/>
          </v:shape>
          <o:OLEObject Type="Embed" ProgID="FoxitReader.Document" ShapeID="_x0000_i1025" DrawAspect="Content" ObjectID="_1468075725" r:id="rId9">
            <o:LockedField>false</o:LockedField>
          </o:OLEObject>
        </w:object>
      </w:r>
    </w:p>
    <w:p w14:paraId="26ACA8D9">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黑体" w:cs="Times New Roman"/>
          <w:sz w:val="48"/>
          <w:szCs w:val="48"/>
        </w:rPr>
      </w:pPr>
    </w:p>
    <w:p w14:paraId="48D65A88">
      <w:pPr>
        <w:pStyle w:val="2"/>
        <w:pageBreakBefore w:val="0"/>
        <w:kinsoku/>
        <w:wordWrap/>
        <w:overflowPunct/>
        <w:topLinePunct w:val="0"/>
        <w:autoSpaceDE/>
        <w:autoSpaceDN/>
        <w:bidi w:val="0"/>
        <w:spacing w:line="576" w:lineRule="exact"/>
        <w:ind w:left="0" w:leftChars="0"/>
        <w:rPr>
          <w:rFonts w:hint="default" w:ascii="Times New Roman" w:hAnsi="Times New Roman" w:eastAsia="黑体" w:cs="Times New Roman"/>
          <w:sz w:val="48"/>
          <w:szCs w:val="48"/>
        </w:rPr>
      </w:pPr>
    </w:p>
    <w:p w14:paraId="625BFB1B">
      <w:pPr>
        <w:pStyle w:val="3"/>
        <w:pageBreakBefore w:val="0"/>
        <w:kinsoku/>
        <w:wordWrap/>
        <w:overflowPunct/>
        <w:topLinePunct w:val="0"/>
        <w:autoSpaceDE/>
        <w:autoSpaceDN/>
        <w:bidi w:val="0"/>
        <w:spacing w:line="576" w:lineRule="exact"/>
        <w:ind w:left="0" w:leftChars="0" w:firstLine="960"/>
        <w:rPr>
          <w:rFonts w:hint="default" w:ascii="Times New Roman" w:hAnsi="Times New Roman" w:eastAsia="黑体" w:cs="Times New Roman"/>
          <w:sz w:val="48"/>
          <w:szCs w:val="48"/>
        </w:rPr>
      </w:pPr>
    </w:p>
    <w:p w14:paraId="7DBD23A1">
      <w:pPr>
        <w:pStyle w:val="3"/>
        <w:pageBreakBefore w:val="0"/>
        <w:kinsoku/>
        <w:wordWrap/>
        <w:overflowPunct/>
        <w:topLinePunct w:val="0"/>
        <w:autoSpaceDE/>
        <w:autoSpaceDN/>
        <w:bidi w:val="0"/>
        <w:spacing w:line="576" w:lineRule="exact"/>
        <w:ind w:left="0" w:leftChars="0" w:firstLine="960"/>
        <w:rPr>
          <w:rFonts w:hint="default" w:ascii="Times New Roman" w:hAnsi="Times New Roman" w:eastAsia="黑体" w:cs="Times New Roman"/>
          <w:sz w:val="48"/>
          <w:szCs w:val="48"/>
        </w:rPr>
      </w:pPr>
    </w:p>
    <w:p w14:paraId="5C0CDC1C">
      <w:pPr>
        <w:pStyle w:val="3"/>
        <w:pageBreakBefore w:val="0"/>
        <w:kinsoku/>
        <w:wordWrap/>
        <w:overflowPunct/>
        <w:topLinePunct w:val="0"/>
        <w:autoSpaceDE/>
        <w:autoSpaceDN/>
        <w:bidi w:val="0"/>
        <w:spacing w:line="576" w:lineRule="exact"/>
        <w:ind w:left="0" w:leftChars="0" w:firstLine="960"/>
        <w:rPr>
          <w:rFonts w:hint="default" w:ascii="Times New Roman" w:hAnsi="Times New Roman" w:eastAsia="黑体" w:cs="Times New Roman"/>
          <w:sz w:val="48"/>
          <w:szCs w:val="48"/>
        </w:rPr>
      </w:pPr>
    </w:p>
    <w:p w14:paraId="745A0F8C">
      <w:pPr>
        <w:pStyle w:val="3"/>
        <w:pageBreakBefore w:val="0"/>
        <w:kinsoku/>
        <w:wordWrap/>
        <w:overflowPunct/>
        <w:topLinePunct w:val="0"/>
        <w:autoSpaceDE/>
        <w:autoSpaceDN/>
        <w:bidi w:val="0"/>
        <w:spacing w:line="576" w:lineRule="exact"/>
        <w:ind w:left="0" w:leftChars="0" w:firstLine="960"/>
        <w:rPr>
          <w:rFonts w:hint="default" w:ascii="Times New Roman" w:hAnsi="Times New Roman" w:eastAsia="黑体" w:cs="Times New Roman"/>
          <w:sz w:val="48"/>
          <w:szCs w:val="48"/>
        </w:rPr>
      </w:pPr>
    </w:p>
    <w:p w14:paraId="14F1FF8F">
      <w:pPr>
        <w:pStyle w:val="3"/>
        <w:pageBreakBefore w:val="0"/>
        <w:kinsoku/>
        <w:wordWrap/>
        <w:overflowPunct/>
        <w:topLinePunct w:val="0"/>
        <w:autoSpaceDE/>
        <w:autoSpaceDN/>
        <w:bidi w:val="0"/>
        <w:spacing w:line="576" w:lineRule="exact"/>
        <w:ind w:left="0" w:leftChars="0" w:firstLine="960"/>
        <w:rPr>
          <w:rFonts w:hint="default" w:ascii="Times New Roman" w:hAnsi="Times New Roman" w:eastAsia="黑体" w:cs="Times New Roman"/>
          <w:sz w:val="48"/>
          <w:szCs w:val="48"/>
        </w:rPr>
      </w:pPr>
    </w:p>
    <w:p w14:paraId="74650B7D">
      <w:pPr>
        <w:pStyle w:val="3"/>
        <w:pageBreakBefore w:val="0"/>
        <w:kinsoku/>
        <w:wordWrap/>
        <w:overflowPunct/>
        <w:topLinePunct w:val="0"/>
        <w:autoSpaceDE/>
        <w:autoSpaceDN/>
        <w:bidi w:val="0"/>
        <w:spacing w:line="576" w:lineRule="exact"/>
        <w:ind w:left="0" w:leftChars="0" w:firstLine="960"/>
        <w:rPr>
          <w:rFonts w:hint="default" w:ascii="Times New Roman" w:hAnsi="Times New Roman" w:eastAsia="黑体" w:cs="Times New Roman"/>
          <w:sz w:val="48"/>
          <w:szCs w:val="48"/>
        </w:rPr>
      </w:pPr>
    </w:p>
    <w:p w14:paraId="6376BB23">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黑体" w:cs="Times New Roman"/>
          <w:sz w:val="48"/>
          <w:szCs w:val="48"/>
        </w:rPr>
      </w:pPr>
    </w:p>
    <w:p w14:paraId="5CF609F3">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黑体" w:cs="Times New Roman"/>
          <w:sz w:val="48"/>
          <w:szCs w:val="48"/>
        </w:rPr>
      </w:pPr>
      <w:r>
        <w:rPr>
          <w:rFonts w:hint="default" w:ascii="Times New Roman" w:hAnsi="Times New Roman" w:eastAsia="黑体" w:cs="Times New Roman"/>
          <w:sz w:val="32"/>
          <w:szCs w:val="32"/>
        </w:rPr>
        <w:t>已经保密审查、内容审定，同意对外公开</w:t>
      </w:r>
    </w:p>
    <w:p w14:paraId="65E8A01E">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黑体" w:cs="Times New Roman"/>
          <w:sz w:val="48"/>
          <w:szCs w:val="48"/>
        </w:rPr>
      </w:pPr>
    </w:p>
    <w:p w14:paraId="5F15876F">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黑体" w:cs="Times New Roman"/>
          <w:sz w:val="48"/>
          <w:szCs w:val="48"/>
        </w:rPr>
      </w:pPr>
    </w:p>
    <w:p w14:paraId="173224B6">
      <w:pPr>
        <w:pageBreakBefore w:val="0"/>
        <w:widowControl/>
        <w:kinsoku/>
        <w:wordWrap/>
        <w:overflowPunct/>
        <w:topLinePunct w:val="0"/>
        <w:autoSpaceDE/>
        <w:autoSpaceDN/>
        <w:bidi w:val="0"/>
        <w:spacing w:line="576" w:lineRule="exact"/>
        <w:ind w:left="0" w:leftChars="0" w:firstLine="3840" w:firstLineChars="800"/>
        <w:rPr>
          <w:rFonts w:hint="default" w:ascii="Times New Roman" w:hAnsi="Times New Roman" w:eastAsia="黑体" w:cs="Times New Roman"/>
          <w:sz w:val="48"/>
          <w:szCs w:val="48"/>
        </w:rPr>
      </w:pPr>
    </w:p>
    <w:p w14:paraId="7520FEC7">
      <w:pPr>
        <w:pageBreakBefore w:val="0"/>
        <w:widowControl/>
        <w:kinsoku/>
        <w:wordWrap/>
        <w:overflowPunct/>
        <w:topLinePunct w:val="0"/>
        <w:autoSpaceDE/>
        <w:autoSpaceDN/>
        <w:bidi w:val="0"/>
        <w:spacing w:line="576" w:lineRule="exact"/>
        <w:ind w:left="0" w:leftChars="0" w:firstLine="3840" w:firstLineChars="800"/>
        <w:rPr>
          <w:rFonts w:hint="default" w:ascii="Times New Roman" w:hAnsi="Times New Roman" w:eastAsia="黑体" w:cs="Times New Roman"/>
          <w:sz w:val="48"/>
          <w:szCs w:val="48"/>
        </w:rPr>
      </w:pPr>
    </w:p>
    <w:p w14:paraId="471F1BCA">
      <w:pPr>
        <w:pageBreakBefore w:val="0"/>
        <w:widowControl/>
        <w:kinsoku/>
        <w:wordWrap/>
        <w:overflowPunct/>
        <w:topLinePunct w:val="0"/>
        <w:autoSpaceDE/>
        <w:autoSpaceDN/>
        <w:bidi w:val="0"/>
        <w:spacing w:line="576" w:lineRule="exact"/>
        <w:ind w:left="0" w:leftChars="0" w:firstLine="3520" w:firstLineChars="800"/>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目 录</w:t>
      </w:r>
    </w:p>
    <w:p w14:paraId="0F7A005C">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黑体" w:cs="Times New Roman"/>
          <w:sz w:val="28"/>
          <w:szCs w:val="28"/>
        </w:rPr>
      </w:pPr>
    </w:p>
    <w:p w14:paraId="566C7315">
      <w:pPr>
        <w:pStyle w:val="14"/>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公开时间：202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年9月 1</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 xml:space="preserve"> 日</w:t>
      </w:r>
    </w:p>
    <w:p w14:paraId="1987C62C">
      <w:pPr>
        <w:pageBreakBefore w:val="0"/>
        <w:kinsoku/>
        <w:wordWrap/>
        <w:overflowPunct/>
        <w:topLinePunct w:val="0"/>
        <w:autoSpaceDE/>
        <w:autoSpaceDN/>
        <w:bidi w:val="0"/>
        <w:spacing w:line="576" w:lineRule="exact"/>
        <w:ind w:left="0" w:leftChars="0"/>
        <w:rPr>
          <w:rFonts w:hint="default" w:ascii="Times New Roman" w:hAnsi="Times New Roman" w:cs="Times New Roman"/>
        </w:rPr>
      </w:pPr>
    </w:p>
    <w:p w14:paraId="08CA3BC9">
      <w:pPr>
        <w:pStyle w:val="14"/>
        <w:pageBreakBefore w:val="0"/>
        <w:tabs>
          <w:tab w:val="left" w:leader="dot" w:pos="7980"/>
        </w:tabs>
        <w:kinsoku/>
        <w:wordWrap/>
        <w:overflowPunct/>
        <w:topLinePunct w:val="0"/>
        <w:autoSpaceDE/>
        <w:autoSpaceDN/>
        <w:bidi w:val="0"/>
        <w:adjustRightInd w:val="0"/>
        <w:snapToGrid w:val="0"/>
        <w:spacing w:before="0" w:line="576" w:lineRule="exact"/>
        <w:ind w:left="0" w:leftChars="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第一部分 部门概况</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t>1</w:t>
      </w:r>
    </w:p>
    <w:p w14:paraId="51645187">
      <w:pPr>
        <w:pStyle w:val="15"/>
        <w:pageBreakBefore w:val="0"/>
        <w:numPr>
          <w:ilvl w:val="0"/>
          <w:numId w:val="0"/>
        </w:numPr>
        <w:tabs>
          <w:tab w:val="left" w:leader="dot" w:pos="7980"/>
        </w:tabs>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kern w:val="2"/>
          <w:sz w:val="32"/>
          <w:szCs w:val="32"/>
          <w:lang w:val="en-US" w:eastAsia="zh-CN" w:bidi="ar-SA"/>
        </w:rPr>
        <w:t>一、</w:t>
      </w:r>
      <w:r>
        <w:rPr>
          <w:rFonts w:hint="default" w:ascii="Times New Roman" w:hAnsi="Times New Roman" w:eastAsia="方正仿宋_GBK" w:cs="Times New Roman"/>
          <w:sz w:val="32"/>
          <w:szCs w:val="32"/>
        </w:rPr>
        <w:t>部门职责</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t>1</w:t>
      </w:r>
    </w:p>
    <w:p w14:paraId="49844131">
      <w:pPr>
        <w:pStyle w:val="15"/>
        <w:pageBreakBefore w:val="0"/>
        <w:numPr>
          <w:ilvl w:val="0"/>
          <w:numId w:val="0"/>
        </w:numPr>
        <w:tabs>
          <w:tab w:val="left" w:leader="dot" w:pos="7980"/>
        </w:tabs>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kern w:val="2"/>
          <w:sz w:val="32"/>
          <w:szCs w:val="32"/>
          <w:lang w:val="en-US" w:eastAsia="zh-CN" w:bidi="ar-SA"/>
        </w:rPr>
        <w:t>二、</w:t>
      </w:r>
      <w:r>
        <w:rPr>
          <w:rFonts w:hint="default" w:ascii="Times New Roman" w:hAnsi="Times New Roman" w:eastAsia="方正仿宋_GBK" w:cs="Times New Roman"/>
          <w:sz w:val="32"/>
          <w:szCs w:val="32"/>
        </w:rPr>
        <w:t>机构设置</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t>1</w:t>
      </w:r>
    </w:p>
    <w:p w14:paraId="71C5C678">
      <w:pPr>
        <w:pStyle w:val="14"/>
        <w:pageBreakBefore w:val="0"/>
        <w:tabs>
          <w:tab w:val="left" w:leader="dot" w:pos="7980"/>
        </w:tabs>
        <w:kinsoku/>
        <w:wordWrap/>
        <w:overflowPunct/>
        <w:topLinePunct w:val="0"/>
        <w:autoSpaceDE/>
        <w:autoSpaceDN/>
        <w:bidi w:val="0"/>
        <w:adjustRightInd w:val="0"/>
        <w:snapToGrid w:val="0"/>
        <w:spacing w:before="0" w:line="576" w:lineRule="exact"/>
        <w:ind w:left="0" w:leftChars="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第二部分 2024年度部门决算情况说明</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t>3</w:t>
      </w:r>
    </w:p>
    <w:p w14:paraId="4B5BE959">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一、收入支出决算总体情况说明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t>3</w:t>
      </w:r>
    </w:p>
    <w:p w14:paraId="2013C9A2">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二、收入决算情况说明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t>3</w:t>
      </w:r>
    </w:p>
    <w:p w14:paraId="322B1E93">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t>4</w:t>
      </w:r>
    </w:p>
    <w:p w14:paraId="3B40B542">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四、财政拨款收入支出决算总体情况说明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t>5</w:t>
      </w:r>
    </w:p>
    <w:p w14:paraId="3C76863C">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五、一般公共预算财政拨款支出决算情况说明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t>5</w:t>
      </w:r>
    </w:p>
    <w:p w14:paraId="2A087CCC">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六、一般公共预算财政拨款基本支出决算情况说明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t>8</w:t>
      </w:r>
    </w:p>
    <w:p w14:paraId="22A85F26">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七、财政拨款“三公”经费支出决算情况说明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t>8</w:t>
      </w:r>
    </w:p>
    <w:p w14:paraId="305701C2">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八、政府性基金预算支出决算情况说明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t>10</w:t>
      </w:r>
    </w:p>
    <w:p w14:paraId="14EB37DC">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九、国有资本经营预算支出决算情况说明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t>10</w:t>
      </w:r>
    </w:p>
    <w:p w14:paraId="1ECAB83C">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十、其他重要事项的情况说明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t>10</w:t>
      </w:r>
    </w:p>
    <w:p w14:paraId="620A89F2">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第三部分 名词解释</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t>1</w:t>
      </w:r>
      <w:r>
        <w:rPr>
          <w:rFonts w:hint="default" w:ascii="Times New Roman" w:hAnsi="Times New Roman" w:eastAsia="黑体" w:cs="Times New Roman"/>
          <w:sz w:val="32"/>
          <w:szCs w:val="32"/>
          <w:lang w:val="en-US" w:eastAsia="zh-CN"/>
        </w:rPr>
        <w:t>1</w:t>
      </w:r>
    </w:p>
    <w:p w14:paraId="495AF2F0">
      <w:pPr>
        <w:pStyle w:val="14"/>
        <w:pageBreakBefore w:val="0"/>
        <w:tabs>
          <w:tab w:val="left" w:leader="dot" w:pos="7980"/>
        </w:tabs>
        <w:kinsoku/>
        <w:wordWrap/>
        <w:overflowPunct/>
        <w:topLinePunct w:val="0"/>
        <w:autoSpaceDE/>
        <w:autoSpaceDN/>
        <w:bidi w:val="0"/>
        <w:adjustRightInd w:val="0"/>
        <w:snapToGrid w:val="0"/>
        <w:spacing w:before="0" w:line="576" w:lineRule="exact"/>
        <w:ind w:left="0" w:leftChars="0"/>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第四部分 附件</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lang w:val="en-US" w:eastAsia="zh-CN"/>
        </w:rPr>
        <w:t>22</w:t>
      </w:r>
    </w:p>
    <w:p w14:paraId="4126BBDA">
      <w:pPr>
        <w:pStyle w:val="14"/>
        <w:pageBreakBefore w:val="0"/>
        <w:tabs>
          <w:tab w:val="left" w:leader="dot" w:pos="7980"/>
        </w:tabs>
        <w:kinsoku/>
        <w:wordWrap/>
        <w:overflowPunct/>
        <w:topLinePunct w:val="0"/>
        <w:autoSpaceDE/>
        <w:autoSpaceDN/>
        <w:bidi w:val="0"/>
        <w:adjustRightInd w:val="0"/>
        <w:snapToGrid w:val="0"/>
        <w:spacing w:before="0" w:line="576" w:lineRule="exact"/>
        <w:ind w:left="0" w:leftChars="0"/>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第五部分 附表</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t>2</w:t>
      </w:r>
      <w:r>
        <w:rPr>
          <w:rFonts w:hint="default" w:ascii="Times New Roman" w:hAnsi="Times New Roman" w:eastAsia="黑体" w:cs="Times New Roman"/>
          <w:sz w:val="32"/>
          <w:szCs w:val="32"/>
          <w:lang w:val="en-US" w:eastAsia="zh-CN"/>
        </w:rPr>
        <w:t>7</w:t>
      </w:r>
    </w:p>
    <w:p w14:paraId="34E040D3">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一、收入支出决算总表</w:t>
      </w:r>
    </w:p>
    <w:p w14:paraId="1A23A204">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二、收入决算表</w:t>
      </w:r>
    </w:p>
    <w:p w14:paraId="640B323E">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三、支出决算表</w:t>
      </w:r>
    </w:p>
    <w:p w14:paraId="1C93569B">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四、财政拨款收入支出决算总表</w:t>
      </w:r>
    </w:p>
    <w:p w14:paraId="5B6E493B">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五、财政拨款支出决算明细表</w:t>
      </w:r>
    </w:p>
    <w:p w14:paraId="30FC3CDE">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六、一般公共预算财政拨款支出决算表</w:t>
      </w:r>
    </w:p>
    <w:p w14:paraId="57B7E1B8">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七、一般公共预算财政拨款支出决算明细表</w:t>
      </w:r>
    </w:p>
    <w:p w14:paraId="445B3E37">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八、一般公共预算财政拨款基本支出决算明细表</w:t>
      </w:r>
    </w:p>
    <w:p w14:paraId="7B6E8CCF">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九、一般公共预算财政拨款项目支出决算表</w:t>
      </w:r>
    </w:p>
    <w:p w14:paraId="5B1CD051">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十、政府性基金预算财政拨款收入支出决算表</w:t>
      </w:r>
    </w:p>
    <w:p w14:paraId="7B709BA6">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十一、国有资本经营预算财政拨款收入支出决算表</w:t>
      </w:r>
    </w:p>
    <w:p w14:paraId="2A10228C">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十二、国有资本经营预算财政拨款支出决算表</w:t>
      </w:r>
    </w:p>
    <w:p w14:paraId="480A166C">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0" w:firstLine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十三、财政拨款“三公”经费支出决算表</w:t>
      </w:r>
    </w:p>
    <w:p w14:paraId="460B049A">
      <w:pPr>
        <w:pStyle w:val="15"/>
        <w:pageBreakBefore w:val="0"/>
        <w:kinsoku/>
        <w:wordWrap/>
        <w:overflowPunct/>
        <w:topLinePunct w:val="0"/>
        <w:autoSpaceDE/>
        <w:autoSpaceDN/>
        <w:bidi w:val="0"/>
        <w:adjustRightInd w:val="0"/>
        <w:snapToGrid w:val="0"/>
        <w:spacing w:line="576" w:lineRule="exact"/>
        <w:ind w:left="0" w:leftChars="0" w:firstLine="643" w:firstLineChars="200"/>
        <w:jc w:val="left"/>
        <w:rPr>
          <w:rFonts w:hint="default" w:ascii="Times New Roman" w:hAnsi="Times New Roman" w:eastAsia="方正仿宋_GBK" w:cs="Times New Roman"/>
          <w:b/>
          <w:bCs/>
          <w:sz w:val="32"/>
          <w:szCs w:val="32"/>
        </w:rPr>
      </w:pPr>
    </w:p>
    <w:p w14:paraId="7F911D2A">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640" w:firstLineChars="200"/>
        <w:jc w:val="left"/>
        <w:rPr>
          <w:rFonts w:hint="default" w:ascii="Times New Roman" w:hAnsi="Times New Roman" w:eastAsia="仿宋_GB2312" w:cs="Times New Roman"/>
          <w:color w:val="FFFFFF" w:themeColor="background1"/>
          <w:sz w:val="32"/>
          <w:szCs w:val="32"/>
          <w14:textFill>
            <w14:solidFill>
              <w14:schemeClr w14:val="bg1"/>
            </w14:solidFill>
          </w14:textFill>
        </w:rPr>
      </w:pPr>
    </w:p>
    <w:p w14:paraId="7D18CCF7">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640" w:firstLineChars="200"/>
        <w:jc w:val="left"/>
        <w:rPr>
          <w:rFonts w:hint="default" w:ascii="Times New Roman" w:hAnsi="Times New Roman" w:eastAsia="仿宋_GB2312" w:cs="Times New Roman"/>
          <w:color w:val="FFFFFF" w:themeColor="background1"/>
          <w:sz w:val="32"/>
          <w:szCs w:val="32"/>
          <w14:textFill>
            <w14:solidFill>
              <w14:schemeClr w14:val="bg1"/>
            </w14:solidFill>
          </w14:textFill>
        </w:rPr>
      </w:pPr>
      <w:r>
        <w:rPr>
          <w:rFonts w:hint="default" w:ascii="Times New Roman" w:hAnsi="Times New Roman" w:eastAsia="仿宋_GB2312" w:cs="Times New Roman"/>
          <w:color w:val="FFFFFF" w:themeColor="background1"/>
          <w:sz w:val="32"/>
          <w:szCs w:val="32"/>
          <w14:textFill>
            <w14:solidFill>
              <w14:schemeClr w14:val="bg1"/>
            </w14:solidFill>
          </w14:textFill>
        </w:rPr>
        <w:t>三、支出决算表</w:t>
      </w:r>
    </w:p>
    <w:p w14:paraId="3B7C118C">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640" w:firstLineChars="200"/>
        <w:jc w:val="left"/>
        <w:rPr>
          <w:rFonts w:hint="default" w:ascii="Times New Roman" w:hAnsi="Times New Roman" w:eastAsia="仿宋_GB2312" w:cs="Times New Roman"/>
          <w:color w:val="FFFFFF" w:themeColor="background1"/>
          <w:sz w:val="32"/>
          <w:szCs w:val="32"/>
          <w14:textFill>
            <w14:solidFill>
              <w14:schemeClr w14:val="bg1"/>
            </w14:solidFill>
          </w14:textFill>
        </w:rPr>
      </w:pPr>
      <w:r>
        <w:rPr>
          <w:rFonts w:hint="default" w:ascii="Times New Roman" w:hAnsi="Times New Roman" w:eastAsia="仿宋_GB2312" w:cs="Times New Roman"/>
          <w:color w:val="FFFFFF" w:themeColor="background1"/>
          <w:sz w:val="32"/>
          <w:szCs w:val="32"/>
          <w14:textFill>
            <w14:solidFill>
              <w14:schemeClr w14:val="bg1"/>
            </w14:solidFill>
          </w14:textFill>
        </w:rPr>
        <w:t>四、财政拨款收入支出决算总表</w:t>
      </w:r>
    </w:p>
    <w:p w14:paraId="21B9FE67">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640" w:firstLineChars="200"/>
        <w:jc w:val="left"/>
        <w:rPr>
          <w:rFonts w:hint="default" w:ascii="Times New Roman" w:hAnsi="Times New Roman" w:eastAsia="仿宋_GB2312" w:cs="Times New Roman"/>
          <w:color w:val="FFFFFF" w:themeColor="background1"/>
          <w:sz w:val="32"/>
          <w:szCs w:val="32"/>
          <w14:textFill>
            <w14:solidFill>
              <w14:schemeClr w14:val="bg1"/>
            </w14:solidFill>
          </w14:textFill>
        </w:rPr>
      </w:pPr>
      <w:r>
        <w:rPr>
          <w:rFonts w:hint="default" w:ascii="Times New Roman" w:hAnsi="Times New Roman" w:eastAsia="仿宋_GB2312" w:cs="Times New Roman"/>
          <w:color w:val="FFFFFF" w:themeColor="background1"/>
          <w:sz w:val="32"/>
          <w:szCs w:val="32"/>
          <w14:textFill>
            <w14:solidFill>
              <w14:schemeClr w14:val="bg1"/>
            </w14:solidFill>
          </w14:textFill>
        </w:rPr>
        <w:t>五、财政拨款支出决算明细表</w:t>
      </w:r>
    </w:p>
    <w:p w14:paraId="77618763">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640" w:firstLineChars="200"/>
        <w:jc w:val="left"/>
        <w:rPr>
          <w:rFonts w:hint="default" w:ascii="Times New Roman" w:hAnsi="Times New Roman" w:eastAsia="仿宋_GB2312" w:cs="Times New Roman"/>
          <w:color w:val="FFFFFF" w:themeColor="background1"/>
          <w:sz w:val="32"/>
          <w:szCs w:val="32"/>
          <w14:textFill>
            <w14:solidFill>
              <w14:schemeClr w14:val="bg1"/>
            </w14:solidFill>
          </w14:textFill>
        </w:rPr>
      </w:pPr>
      <w:r>
        <w:rPr>
          <w:rFonts w:hint="default" w:ascii="Times New Roman" w:hAnsi="Times New Roman" w:eastAsia="仿宋_GB2312" w:cs="Times New Roman"/>
          <w:color w:val="FFFFFF" w:themeColor="background1"/>
          <w:sz w:val="32"/>
          <w:szCs w:val="32"/>
          <w14:textFill>
            <w14:solidFill>
              <w14:schemeClr w14:val="bg1"/>
            </w14:solidFill>
          </w14:textFill>
        </w:rPr>
        <w:t>六、一般公共预算财政拨款支出决算表</w:t>
      </w:r>
    </w:p>
    <w:p w14:paraId="7393D63A">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640" w:firstLineChars="200"/>
        <w:jc w:val="left"/>
        <w:rPr>
          <w:rFonts w:hint="default" w:ascii="Times New Roman" w:hAnsi="Times New Roman" w:eastAsia="仿宋_GB2312" w:cs="Times New Roman"/>
          <w:color w:val="FFFFFF" w:themeColor="background1"/>
          <w:sz w:val="32"/>
          <w:szCs w:val="32"/>
          <w14:textFill>
            <w14:solidFill>
              <w14:schemeClr w14:val="bg1"/>
            </w14:solidFill>
          </w14:textFill>
        </w:rPr>
      </w:pPr>
      <w:r>
        <w:rPr>
          <w:rFonts w:hint="default" w:ascii="Times New Roman" w:hAnsi="Times New Roman" w:eastAsia="仿宋_GB2312" w:cs="Times New Roman"/>
          <w:color w:val="FFFFFF" w:themeColor="background1"/>
          <w:sz w:val="32"/>
          <w:szCs w:val="32"/>
          <w14:textFill>
            <w14:solidFill>
              <w14:schemeClr w14:val="bg1"/>
            </w14:solidFill>
          </w14:textFill>
        </w:rPr>
        <w:t>七、一般公共预算财政拨款支出决算明细表</w:t>
      </w:r>
    </w:p>
    <w:p w14:paraId="098E5341">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640" w:firstLineChars="200"/>
        <w:jc w:val="left"/>
        <w:rPr>
          <w:rFonts w:hint="default" w:ascii="Times New Roman" w:hAnsi="Times New Roman" w:eastAsia="仿宋_GB2312" w:cs="Times New Roman"/>
          <w:color w:val="FFFFFF" w:themeColor="background1"/>
          <w:sz w:val="32"/>
          <w:szCs w:val="32"/>
          <w14:textFill>
            <w14:solidFill>
              <w14:schemeClr w14:val="bg1"/>
            </w14:solidFill>
          </w14:textFill>
        </w:rPr>
      </w:pPr>
      <w:r>
        <w:rPr>
          <w:rFonts w:hint="default" w:ascii="Times New Roman" w:hAnsi="Times New Roman" w:eastAsia="仿宋_GB2312" w:cs="Times New Roman"/>
          <w:color w:val="FFFFFF" w:themeColor="background1"/>
          <w:sz w:val="32"/>
          <w:szCs w:val="32"/>
          <w14:textFill>
            <w14:solidFill>
              <w14:schemeClr w14:val="bg1"/>
            </w14:solidFill>
          </w14:textFill>
        </w:rPr>
        <w:t>八、一般公共预算财政拨款基本支出决算明细表</w:t>
      </w:r>
    </w:p>
    <w:p w14:paraId="472EC599">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640" w:firstLineChars="200"/>
        <w:jc w:val="left"/>
        <w:rPr>
          <w:rFonts w:hint="default" w:ascii="Times New Roman" w:hAnsi="Times New Roman" w:eastAsia="仿宋_GB2312" w:cs="Times New Roman"/>
          <w:color w:val="FFFFFF" w:themeColor="background1"/>
          <w:sz w:val="32"/>
          <w:szCs w:val="32"/>
          <w14:textFill>
            <w14:solidFill>
              <w14:schemeClr w14:val="bg1"/>
            </w14:solidFill>
          </w14:textFill>
        </w:rPr>
      </w:pPr>
      <w:r>
        <w:rPr>
          <w:rFonts w:hint="default" w:ascii="Times New Roman" w:hAnsi="Times New Roman" w:eastAsia="仿宋_GB2312" w:cs="Times New Roman"/>
          <w:color w:val="FFFFFF" w:themeColor="background1"/>
          <w:sz w:val="32"/>
          <w:szCs w:val="32"/>
          <w14:textFill>
            <w14:solidFill>
              <w14:schemeClr w14:val="bg1"/>
            </w14:solidFill>
          </w14:textFill>
        </w:rPr>
        <w:t>拨款收入支出决算表</w:t>
      </w:r>
    </w:p>
    <w:p w14:paraId="685F5605">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640" w:firstLineChars="200"/>
        <w:jc w:val="left"/>
        <w:rPr>
          <w:rFonts w:hint="default" w:ascii="Times New Roman" w:hAnsi="Times New Roman" w:eastAsia="仿宋_GB2312" w:cs="Times New Roman"/>
          <w:color w:val="FFFFFF" w:themeColor="background1"/>
          <w:sz w:val="32"/>
          <w:szCs w:val="32"/>
          <w14:textFill>
            <w14:solidFill>
              <w14:schemeClr w14:val="bg1"/>
            </w14:solidFill>
          </w14:textFill>
        </w:rPr>
      </w:pPr>
      <w:r>
        <w:rPr>
          <w:rFonts w:hint="default" w:ascii="Times New Roman" w:hAnsi="Times New Roman" w:eastAsia="仿宋_GB2312" w:cs="Times New Roman"/>
          <w:color w:val="FFFFFF" w:themeColor="background1"/>
          <w:sz w:val="32"/>
          <w:szCs w:val="32"/>
          <w14:textFill>
            <w14:solidFill>
              <w14:schemeClr w14:val="bg1"/>
            </w14:solidFill>
          </w14:textFill>
        </w:rPr>
        <w:t>十一、国有资本经营预算财政拨款收入支出决算表</w:t>
      </w:r>
    </w:p>
    <w:p w14:paraId="2C73FD0C">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640" w:firstLineChars="200"/>
        <w:jc w:val="left"/>
        <w:rPr>
          <w:rFonts w:hint="default" w:ascii="Times New Roman" w:hAnsi="Times New Roman" w:eastAsia="仿宋_GB2312" w:cs="Times New Roman"/>
          <w:color w:val="FFFFFF" w:themeColor="background1"/>
          <w:sz w:val="32"/>
          <w:szCs w:val="32"/>
          <w14:textFill>
            <w14:solidFill>
              <w14:schemeClr w14:val="bg1"/>
            </w14:solidFill>
          </w14:textFill>
        </w:rPr>
      </w:pPr>
      <w:r>
        <w:rPr>
          <w:rFonts w:hint="default" w:ascii="Times New Roman" w:hAnsi="Times New Roman" w:eastAsia="仿宋_GB2312" w:cs="Times New Roman"/>
          <w:color w:val="FFFFFF" w:themeColor="background1"/>
          <w:sz w:val="32"/>
          <w:szCs w:val="32"/>
          <w14:textFill>
            <w14:solidFill>
              <w14:schemeClr w14:val="bg1"/>
            </w14:solidFill>
          </w14:textFill>
        </w:rPr>
        <w:t>十二、国有资本经营预算财政拨款支出决算表</w:t>
      </w:r>
    </w:p>
    <w:p w14:paraId="42240710">
      <w:pPr>
        <w:pStyle w:val="15"/>
        <w:pageBreakBefore w:val="0"/>
        <w:tabs>
          <w:tab w:val="left" w:leader="dot" w:pos="7980"/>
        </w:tabs>
        <w:kinsoku/>
        <w:wordWrap/>
        <w:overflowPunct/>
        <w:topLinePunct w:val="0"/>
        <w:autoSpaceDE/>
        <w:autoSpaceDN/>
        <w:bidi w:val="0"/>
        <w:adjustRightInd w:val="0"/>
        <w:snapToGrid w:val="0"/>
        <w:spacing w:line="576" w:lineRule="exact"/>
        <w:ind w:left="0" w:leftChars="0" w:firstLine="640" w:firstLineChars="200"/>
        <w:jc w:val="left"/>
        <w:rPr>
          <w:rFonts w:hint="default" w:ascii="Times New Roman" w:hAnsi="Times New Roman" w:eastAsia="仿宋_GB2312" w:cs="Times New Roman"/>
          <w:color w:val="FFFFFF" w:themeColor="background1"/>
          <w:sz w:val="32"/>
          <w:szCs w:val="32"/>
          <w14:textFill>
            <w14:solidFill>
              <w14:schemeClr w14:val="bg1"/>
            </w14:solidFill>
          </w14:textFill>
        </w:rPr>
        <w:sectPr>
          <w:headerReference r:id="rId3" w:type="default"/>
          <w:headerReference r:id="rId4" w:type="even"/>
          <w:footerReference r:id="rId5" w:type="even"/>
          <w:pgSz w:w="11906" w:h="16838"/>
          <w:pgMar w:top="2098" w:right="1531" w:bottom="1984" w:left="1587" w:header="851" w:footer="992" w:gutter="0"/>
          <w:pgNumType w:start="1"/>
          <w:cols w:space="0" w:num="1"/>
          <w:titlePg/>
          <w:docGrid w:type="lines" w:linePitch="312" w:charSpace="0"/>
        </w:sectPr>
      </w:pPr>
      <w:r>
        <w:rPr>
          <w:rFonts w:hint="default" w:ascii="Times New Roman" w:hAnsi="Times New Roman" w:eastAsia="仿宋_GB2312" w:cs="Times New Roman"/>
          <w:color w:val="FFFFFF" w:themeColor="background1"/>
          <w:sz w:val="32"/>
          <w:szCs w:val="32"/>
          <w14:textFill>
            <w14:solidFill>
              <w14:schemeClr w14:val="bg1"/>
            </w14:solidFill>
          </w14:textFill>
        </w:rPr>
        <w:t>十三、财政拨款“三公”经费支出决算表</w:t>
      </w:r>
      <w:bookmarkStart w:id="0" w:name="_Toc15377196"/>
      <w:bookmarkStart w:id="1" w:name="_Toc15396599"/>
    </w:p>
    <w:p w14:paraId="7B2FC3FB">
      <w:pPr>
        <w:pStyle w:val="5"/>
        <w:pageBreakBefore w:val="0"/>
        <w:widowControl w:val="0"/>
        <w:kinsoku/>
        <w:wordWrap/>
        <w:overflowPunct/>
        <w:topLinePunct w:val="0"/>
        <w:autoSpaceDE/>
        <w:autoSpaceDN/>
        <w:bidi w:val="0"/>
        <w:adjustRightInd/>
        <w:snapToGrid/>
        <w:spacing w:before="0" w:after="0" w:line="576" w:lineRule="exact"/>
        <w:ind w:left="0" w:leftChars="0" w:firstLine="2640" w:firstLineChars="600"/>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b w:val="0"/>
          <w:sz w:val="44"/>
          <w:szCs w:val="44"/>
        </w:rPr>
        <w:t>第一部分</w:t>
      </w:r>
      <w:r>
        <w:rPr>
          <w:rStyle w:val="30"/>
          <w:rFonts w:hint="default" w:ascii="Times New Roman" w:hAnsi="Times New Roman" w:eastAsia="方正小标宋_GBK" w:cs="Times New Roman"/>
          <w:b w:val="0"/>
          <w:bCs w:val="0"/>
          <w:sz w:val="44"/>
          <w:szCs w:val="44"/>
        </w:rPr>
        <w:t>部门概况</w:t>
      </w:r>
      <w:bookmarkEnd w:id="0"/>
      <w:bookmarkEnd w:id="1"/>
    </w:p>
    <w:p w14:paraId="73AD0782">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p>
    <w:p w14:paraId="727E65D9">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rPr>
      </w:pPr>
      <w:r>
        <w:rPr>
          <w:rFonts w:hint="default" w:ascii="Times New Roman" w:hAnsi="Times New Roman" w:eastAsia="方正黑体_GBK" w:cs="Times New Roman"/>
          <w:b w:val="0"/>
          <w:bCs/>
          <w:kern w:val="2"/>
          <w:sz w:val="32"/>
          <w:szCs w:val="32"/>
          <w:lang w:val="en-US" w:eastAsia="zh-CN" w:bidi="ar-SA"/>
        </w:rPr>
        <w:t>一、</w:t>
      </w:r>
      <w:r>
        <w:rPr>
          <w:rFonts w:hint="default" w:ascii="Times New Roman" w:hAnsi="Times New Roman" w:eastAsia="方正黑体_GBK" w:cs="Times New Roman"/>
          <w:b w:val="0"/>
        </w:rPr>
        <w:t>部门职责</w:t>
      </w:r>
    </w:p>
    <w:p w14:paraId="761624CC">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我单位现为中共阿坝州委宣传部直属的具有独立法人资格的差额拨款公益性二类正科级事业机构。其职责</w:t>
      </w:r>
      <w:r>
        <w:rPr>
          <w:rFonts w:hint="default" w:ascii="Times New Roman" w:hAnsi="Times New Roman" w:eastAsia="方正仿宋_GBK" w:cs="Times New Roman"/>
          <w:color w:val="000000"/>
          <w:sz w:val="32"/>
          <w:szCs w:val="32"/>
        </w:rPr>
        <w:t>繁荣文化市场，丰富人民群众文化生活；负责全州农村公益电影放映工程的节目下载、影片发行、放映督查、设备巡检、技术指导、业务培训、数据统计上报等工作。协助主管部门指导城市影院建设、经营管理等业务工作；积极开展宣传党的路线、方针、政策放映工作，充分利用农村公益电影放映工作守牢涉藏地区宣传文化意识形态阵地；负责马尔康太平洋电影城经营管理；积极完成州委、州政府及主管部门交办的其他任务。</w:t>
      </w:r>
    </w:p>
    <w:p w14:paraId="4A8EA6C3">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bookmarkStart w:id="2" w:name="_Toc15396601"/>
      <w:bookmarkStart w:id="3" w:name="_Toc15377200"/>
      <w:r>
        <w:rPr>
          <w:rFonts w:hint="default" w:ascii="Times New Roman" w:hAnsi="Times New Roman" w:eastAsia="方正黑体_GBK" w:cs="Times New Roman"/>
          <w:b w:val="0"/>
          <w:bCs/>
          <w:kern w:val="2"/>
          <w:sz w:val="32"/>
          <w:szCs w:val="32"/>
          <w:lang w:val="en-US" w:eastAsia="zh-CN" w:bidi="ar-SA"/>
        </w:rPr>
        <w:t>二、机构设置</w:t>
      </w:r>
    </w:p>
    <w:p w14:paraId="5DA05C08">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阿坝藏族羌族自治州电影服务中心（原阿坝藏族羌族自治州电影发行放映公司）成立于1959年1月，1998年11月，经州政府第八次常务会确定为差额补贴事业单位，2014年1月，经全州事业单位分类改革确定为公益二类事业单位，将原“阿坝藏族羌族自治州电影发行放映公司”更名为“阿坝藏族羌族自治州电影服务中心”，2019年6月，经机构改革调整，划归州委宣传部管理。</w:t>
      </w:r>
    </w:p>
    <w:p w14:paraId="6BF78CE6">
      <w:pPr>
        <w:pStyle w:val="8"/>
        <w:pageBreakBefore w:val="0"/>
        <w:widowControl w:val="0"/>
        <w:kinsoku/>
        <w:wordWrap/>
        <w:overflowPunct/>
        <w:topLinePunct w:val="0"/>
        <w:autoSpaceDE/>
        <w:autoSpaceDN/>
        <w:bidi w:val="0"/>
        <w:adjustRightInd/>
        <w:spacing w:before="93" w:line="576" w:lineRule="exact"/>
        <w:ind w:left="0" w:leftChars="0" w:firstLine="643" w:firstLineChars="200"/>
        <w:contextualSpacing/>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cs="Times New Roman"/>
          <w:b/>
          <w:bCs/>
          <w:sz w:val="32"/>
          <w:szCs w:val="32"/>
        </w:rPr>
        <w:t>内设机构：</w:t>
      </w:r>
      <w:r>
        <w:rPr>
          <w:rFonts w:hint="default" w:ascii="Times New Roman" w:hAnsi="Times New Roman" w:eastAsia="方正仿宋_GBK" w:cs="Times New Roman"/>
          <w:kern w:val="2"/>
          <w:sz w:val="32"/>
          <w:szCs w:val="32"/>
          <w:lang w:val="en-US" w:eastAsia="zh-CN" w:bidi="ar-SA"/>
        </w:rPr>
        <w:t xml:space="preserve">2室、1中心、1院，即：办公室、财务室、农村数字电影中心、马尔康太平洋电影城。 </w:t>
      </w:r>
    </w:p>
    <w:bookmarkEnd w:id="2"/>
    <w:bookmarkEnd w:id="3"/>
    <w:p w14:paraId="08F45CBB">
      <w:pPr>
        <w:pStyle w:val="3"/>
        <w:pageBreakBefore w:val="0"/>
        <w:widowControl w:val="0"/>
        <w:kinsoku/>
        <w:wordWrap/>
        <w:overflowPunct/>
        <w:topLinePunct w:val="0"/>
        <w:autoSpaceDE/>
        <w:autoSpaceDN/>
        <w:bidi w:val="0"/>
        <w:adjustRightInd/>
        <w:spacing w:line="576" w:lineRule="exact"/>
        <w:ind w:left="0" w:leftChars="0" w:firstLine="0" w:firstLineChars="0"/>
        <w:textAlignment w:val="auto"/>
        <w:rPr>
          <w:rFonts w:hint="default" w:ascii="Times New Roman" w:hAnsi="Times New Roman" w:eastAsia="微软雅黑" w:cs="Times New Roman"/>
        </w:rPr>
      </w:pPr>
      <w:bookmarkStart w:id="4" w:name="_Toc15377204"/>
      <w:bookmarkStart w:id="5" w:name="_Toc15396602"/>
    </w:p>
    <w:p w14:paraId="21961CF2">
      <w:pPr>
        <w:pStyle w:val="5"/>
        <w:pageBreakBefore w:val="0"/>
        <w:widowControl w:val="0"/>
        <w:kinsoku/>
        <w:wordWrap/>
        <w:overflowPunct/>
        <w:topLinePunct w:val="0"/>
        <w:autoSpaceDE/>
        <w:autoSpaceDN/>
        <w:bidi w:val="0"/>
        <w:adjustRightInd/>
        <w:snapToGrid/>
        <w:spacing w:before="0" w:after="0" w:line="576" w:lineRule="exact"/>
        <w:jc w:val="center"/>
        <w:textAlignment w:val="auto"/>
        <w:rPr>
          <w:rStyle w:val="30"/>
          <w:rFonts w:hint="default" w:ascii="Times New Roman" w:hAnsi="Times New Roman" w:eastAsia="方正小标宋_GBK" w:cs="Times New Roman"/>
          <w:b w:val="0"/>
          <w:bCs w:val="0"/>
          <w:sz w:val="44"/>
          <w:szCs w:val="44"/>
        </w:rPr>
      </w:pPr>
      <w:r>
        <w:rPr>
          <w:rStyle w:val="30"/>
          <w:rFonts w:hint="default" w:ascii="Times New Roman" w:hAnsi="Times New Roman" w:eastAsia="方正小标宋_GBK" w:cs="Times New Roman"/>
          <w:b w:val="0"/>
          <w:bCs w:val="0"/>
          <w:sz w:val="44"/>
          <w:szCs w:val="44"/>
        </w:rPr>
        <w:t>第二部分202</w:t>
      </w:r>
      <w:r>
        <w:rPr>
          <w:rStyle w:val="30"/>
          <w:rFonts w:hint="default" w:ascii="Times New Roman" w:hAnsi="Times New Roman" w:eastAsia="方正小标宋_GBK" w:cs="Times New Roman"/>
          <w:b w:val="0"/>
          <w:bCs w:val="0"/>
          <w:sz w:val="44"/>
          <w:szCs w:val="44"/>
          <w:lang w:val="en-US" w:eastAsia="zh-CN"/>
        </w:rPr>
        <w:t>5</w:t>
      </w:r>
      <w:r>
        <w:rPr>
          <w:rStyle w:val="30"/>
          <w:rFonts w:hint="default" w:ascii="Times New Roman" w:hAnsi="Times New Roman" w:eastAsia="方正小标宋_GBK" w:cs="Times New Roman"/>
          <w:b w:val="0"/>
          <w:bCs w:val="0"/>
          <w:sz w:val="44"/>
          <w:szCs w:val="44"/>
        </w:rPr>
        <w:t>年度部门决算情况说明</w:t>
      </w:r>
      <w:bookmarkEnd w:id="4"/>
      <w:bookmarkEnd w:id="5"/>
    </w:p>
    <w:p w14:paraId="59BE1B3A">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bookmarkStart w:id="6" w:name="_Toc15396603"/>
      <w:bookmarkStart w:id="7" w:name="_Toc15377205"/>
    </w:p>
    <w:p w14:paraId="16E12D6F">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r>
        <w:rPr>
          <w:rFonts w:hint="default" w:ascii="Times New Roman" w:hAnsi="Times New Roman" w:eastAsia="方正黑体_GBK" w:cs="Times New Roman"/>
          <w:b w:val="0"/>
          <w:bCs/>
          <w:kern w:val="2"/>
          <w:sz w:val="32"/>
          <w:szCs w:val="32"/>
          <w:lang w:val="en-US" w:eastAsia="zh-CN" w:bidi="ar-SA"/>
        </w:rPr>
        <w:t>一、收入支出决算总体情况说明</w:t>
      </w:r>
      <w:bookmarkEnd w:id="6"/>
      <w:bookmarkEnd w:id="7"/>
    </w:p>
    <w:p w14:paraId="5798B3AB">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年度收入、支出总计均为</w:t>
      </w:r>
      <w:r>
        <w:rPr>
          <w:rFonts w:hint="default" w:ascii="Times New Roman" w:hAnsi="Times New Roman" w:eastAsia="方正仿宋_GBK" w:cs="Times New Roman"/>
          <w:sz w:val="32"/>
          <w:szCs w:val="32"/>
          <w:lang w:val="en-US" w:eastAsia="zh-CN"/>
        </w:rPr>
        <w:t>475.62</w:t>
      </w:r>
      <w:r>
        <w:rPr>
          <w:rFonts w:hint="default" w:ascii="Times New Roman" w:hAnsi="Times New Roman" w:eastAsia="方正仿宋_GBK" w:cs="Times New Roman"/>
          <w:sz w:val="32"/>
          <w:szCs w:val="32"/>
        </w:rPr>
        <w:t>万元。与202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年度相比，收入、支出总计各</w:t>
      </w:r>
      <w:r>
        <w:rPr>
          <w:rFonts w:hint="default" w:ascii="Times New Roman" w:hAnsi="Times New Roman" w:eastAsia="方正仿宋_GBK" w:cs="Times New Roman"/>
          <w:sz w:val="32"/>
          <w:szCs w:val="32"/>
          <w:lang w:eastAsia="zh-CN"/>
        </w:rPr>
        <w:t>减少</w:t>
      </w:r>
      <w:r>
        <w:rPr>
          <w:rFonts w:hint="default" w:ascii="Times New Roman" w:hAnsi="Times New Roman" w:eastAsia="方正仿宋_GBK" w:cs="Times New Roman"/>
          <w:sz w:val="32"/>
          <w:szCs w:val="32"/>
          <w:lang w:val="en-US" w:eastAsia="zh-CN"/>
        </w:rPr>
        <w:t>56.35</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减少</w:t>
      </w:r>
      <w:r>
        <w:rPr>
          <w:rFonts w:hint="default" w:ascii="Times New Roman" w:hAnsi="Times New Roman" w:eastAsia="方正仿宋_GBK" w:cs="Times New Roman"/>
          <w:sz w:val="32"/>
          <w:szCs w:val="32"/>
          <w:lang w:val="en-US" w:eastAsia="zh-CN"/>
        </w:rPr>
        <w:t>10.59</w:t>
      </w:r>
      <w:r>
        <w:rPr>
          <w:rFonts w:hint="default" w:ascii="Times New Roman" w:hAnsi="Times New Roman" w:eastAsia="方正仿宋_GBK" w:cs="Times New Roman"/>
          <w:sz w:val="32"/>
          <w:szCs w:val="32"/>
        </w:rPr>
        <w:t>%。主要变动原因是2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eastAsia="zh-CN"/>
        </w:rPr>
        <w:t>减少单位</w:t>
      </w:r>
      <w:r>
        <w:rPr>
          <w:rFonts w:hint="default" w:ascii="Times New Roman" w:hAnsi="Times New Roman" w:eastAsia="方正仿宋_GBK" w:cs="Times New Roman"/>
          <w:sz w:val="32"/>
          <w:szCs w:val="32"/>
        </w:rPr>
        <w:t>项目</w:t>
      </w:r>
    </w:p>
    <w:p w14:paraId="77D351AC">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drawing>
          <wp:anchor distT="0" distB="0" distL="0" distR="0" simplePos="0" relativeHeight="251661312" behindDoc="1" locked="0" layoutInCell="1" allowOverlap="1">
            <wp:simplePos x="0" y="0"/>
            <wp:positionH relativeFrom="column">
              <wp:posOffset>128905</wp:posOffset>
            </wp:positionH>
            <wp:positionV relativeFrom="paragraph">
              <wp:posOffset>194310</wp:posOffset>
            </wp:positionV>
            <wp:extent cx="5274310" cy="3076575"/>
            <wp:effectExtent l="0" t="0" r="2540" b="9525"/>
            <wp:wrapTight wrapText="bothSides">
              <wp:wrapPolygon>
                <wp:start x="0" y="0"/>
                <wp:lineTo x="0" y="21533"/>
                <wp:lineTo x="21532" y="21533"/>
                <wp:lineTo x="21532" y="0"/>
                <wp:lineTo x="0" y="0"/>
              </wp:wrapPolygon>
            </wp:wrapTight>
            <wp:docPr id="26096320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default" w:ascii="Times New Roman" w:hAnsi="Times New Roman" w:eastAsia="方正仿宋_GBK" w:cs="Times New Roman"/>
          <w:sz w:val="32"/>
          <w:szCs w:val="32"/>
        </w:rPr>
        <w:t>（图1：收入、支出决算总计变动情况图）（柱状图）</w:t>
      </w:r>
    </w:p>
    <w:p w14:paraId="00F12D52">
      <w:pPr>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仿宋_GB2312" w:cs="Times New Roman"/>
          <w:sz w:val="32"/>
          <w:szCs w:val="32"/>
        </w:rPr>
      </w:pPr>
    </w:p>
    <w:p w14:paraId="3F6463C1">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bookmarkStart w:id="8" w:name="_Toc15377206"/>
      <w:bookmarkStart w:id="9" w:name="_Toc15396604"/>
      <w:r>
        <w:rPr>
          <w:rFonts w:hint="default" w:ascii="Times New Roman" w:hAnsi="Times New Roman" w:eastAsia="方正黑体_GBK" w:cs="Times New Roman"/>
          <w:b w:val="0"/>
          <w:bCs/>
          <w:kern w:val="2"/>
          <w:sz w:val="32"/>
          <w:szCs w:val="32"/>
          <w:lang w:val="en-US" w:eastAsia="zh-CN" w:bidi="ar-SA"/>
        </w:rPr>
        <w:t>二、收入决算情况说明</w:t>
      </w:r>
      <w:bookmarkEnd w:id="8"/>
      <w:bookmarkEnd w:id="9"/>
    </w:p>
    <w:p w14:paraId="13F43BA4">
      <w:pPr>
        <w:pStyle w:val="29"/>
        <w:pageBreakBefore w:val="0"/>
        <w:widowControl w:val="0"/>
        <w:kinsoku/>
        <w:wordWrap/>
        <w:overflowPunct/>
        <w:topLinePunct w:val="0"/>
        <w:autoSpaceDE/>
        <w:autoSpaceDN/>
        <w:bidi w:val="0"/>
        <w:adjustRightInd/>
        <w:snapToGrid/>
        <w:spacing w:line="576" w:lineRule="exact"/>
        <w:ind w:left="0" w:leftChars="0" w:firstLine="1280" w:firstLineChars="400"/>
        <w:contextualSpacing/>
        <w:textAlignment w:val="auto"/>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年度本年收入合计</w:t>
      </w:r>
      <w:r>
        <w:rPr>
          <w:rFonts w:hint="default" w:ascii="Times New Roman" w:hAnsi="Times New Roman" w:eastAsia="方正仿宋_GBK" w:cs="Times New Roman"/>
          <w:sz w:val="32"/>
          <w:szCs w:val="32"/>
          <w:lang w:val="en-US" w:eastAsia="zh-CN"/>
        </w:rPr>
        <w:t>475.62</w:t>
      </w:r>
      <w:r>
        <w:rPr>
          <w:rFonts w:hint="default" w:ascii="Times New Roman" w:hAnsi="Times New Roman" w:eastAsia="方正仿宋_GBK" w:cs="Times New Roman"/>
          <w:sz w:val="32"/>
          <w:szCs w:val="32"/>
        </w:rPr>
        <w:t>万元，其中：一般公共预算财政拨款收入</w:t>
      </w:r>
      <w:r>
        <w:rPr>
          <w:rFonts w:hint="default" w:ascii="Times New Roman" w:hAnsi="Times New Roman" w:eastAsia="方正仿宋_GBK" w:cs="Times New Roman"/>
          <w:sz w:val="32"/>
          <w:szCs w:val="32"/>
          <w:lang w:val="en-US" w:eastAsia="zh-CN"/>
        </w:rPr>
        <w:t>475.62</w:t>
      </w:r>
      <w:r>
        <w:rPr>
          <w:rFonts w:hint="default" w:ascii="Times New Roman" w:hAnsi="Times New Roman" w:eastAsia="方正仿宋_GBK" w:cs="Times New Roman"/>
          <w:sz w:val="32"/>
          <w:szCs w:val="32"/>
        </w:rPr>
        <w:t>万元，占100%。</w:t>
      </w:r>
    </w:p>
    <w:p w14:paraId="1BA0CFE8">
      <w:pPr>
        <w:pageBreakBefore w:val="0"/>
        <w:widowControl w:val="0"/>
        <w:kinsoku/>
        <w:wordWrap/>
        <w:overflowPunct/>
        <w:topLinePunct w:val="0"/>
        <w:autoSpaceDE/>
        <w:autoSpaceDN/>
        <w:bidi w:val="0"/>
        <w:adjustRightInd/>
        <w:spacing w:line="576" w:lineRule="exact"/>
        <w:ind w:left="0" w:left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anchor distT="0" distB="0" distL="0" distR="0" simplePos="0" relativeHeight="251662336" behindDoc="1" locked="0" layoutInCell="1" allowOverlap="1">
            <wp:simplePos x="0" y="0"/>
            <wp:positionH relativeFrom="column">
              <wp:posOffset>243840</wp:posOffset>
            </wp:positionH>
            <wp:positionV relativeFrom="paragraph">
              <wp:posOffset>222885</wp:posOffset>
            </wp:positionV>
            <wp:extent cx="5274310" cy="2865120"/>
            <wp:effectExtent l="0" t="0" r="2540" b="11430"/>
            <wp:wrapTight wrapText="bothSides">
              <wp:wrapPolygon>
                <wp:start x="0" y="0"/>
                <wp:lineTo x="0" y="21543"/>
                <wp:lineTo x="21532" y="21543"/>
                <wp:lineTo x="21532" y="0"/>
                <wp:lineTo x="0" y="0"/>
              </wp:wrapPolygon>
            </wp:wrapTight>
            <wp:docPr id="199015371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0354BC25">
      <w:pPr>
        <w:pageBreakBefore w:val="0"/>
        <w:widowControl w:val="0"/>
        <w:kinsoku/>
        <w:wordWrap/>
        <w:overflowPunct/>
        <w:topLinePunct w:val="0"/>
        <w:autoSpaceDE/>
        <w:autoSpaceDN/>
        <w:bidi w:val="0"/>
        <w:adjustRightInd/>
        <w:spacing w:line="576" w:lineRule="exact"/>
        <w:ind w:left="0" w:leftChars="0"/>
        <w:textAlignment w:val="auto"/>
        <w:rPr>
          <w:rFonts w:hint="default" w:ascii="Times New Roman" w:hAnsi="Times New Roman" w:eastAsia="仿宋_GB2312" w:cs="Times New Roman"/>
          <w:sz w:val="32"/>
          <w:szCs w:val="32"/>
        </w:rPr>
      </w:pPr>
    </w:p>
    <w:p w14:paraId="64C28825">
      <w:pPr>
        <w:pageBreakBefore w:val="0"/>
        <w:widowControl w:val="0"/>
        <w:kinsoku/>
        <w:wordWrap/>
        <w:overflowPunct/>
        <w:topLinePunct w:val="0"/>
        <w:autoSpaceDE/>
        <w:autoSpaceDN/>
        <w:bidi w:val="0"/>
        <w:adjustRightInd/>
        <w:spacing w:line="576" w:lineRule="exact"/>
        <w:ind w:left="0" w:leftChars="0"/>
        <w:textAlignment w:val="auto"/>
        <w:rPr>
          <w:rFonts w:hint="default" w:ascii="Times New Roman" w:hAnsi="Times New Roman" w:eastAsia="仿宋_GB2312" w:cs="Times New Roman"/>
          <w:sz w:val="32"/>
          <w:szCs w:val="32"/>
        </w:rPr>
      </w:pPr>
    </w:p>
    <w:p w14:paraId="15EDCFD5">
      <w:pPr>
        <w:pageBreakBefore w:val="0"/>
        <w:widowControl w:val="0"/>
        <w:kinsoku/>
        <w:wordWrap/>
        <w:overflowPunct/>
        <w:topLinePunct w:val="0"/>
        <w:autoSpaceDE/>
        <w:autoSpaceDN/>
        <w:bidi w:val="0"/>
        <w:adjustRightInd/>
        <w:spacing w:line="576" w:lineRule="exact"/>
        <w:ind w:left="0" w:leftChars="0"/>
        <w:textAlignment w:val="auto"/>
        <w:rPr>
          <w:rFonts w:hint="default" w:ascii="Times New Roman" w:hAnsi="Times New Roman" w:eastAsia="仿宋_GB2312" w:cs="Times New Roman"/>
          <w:sz w:val="32"/>
          <w:szCs w:val="32"/>
        </w:rPr>
      </w:pPr>
    </w:p>
    <w:p w14:paraId="5F4AE76F">
      <w:pPr>
        <w:pageBreakBefore w:val="0"/>
        <w:widowControl w:val="0"/>
        <w:kinsoku/>
        <w:wordWrap/>
        <w:overflowPunct/>
        <w:topLinePunct w:val="0"/>
        <w:autoSpaceDE/>
        <w:autoSpaceDN/>
        <w:bidi w:val="0"/>
        <w:adjustRightInd/>
        <w:spacing w:line="576" w:lineRule="exact"/>
        <w:ind w:left="0" w:leftChars="0"/>
        <w:textAlignment w:val="auto"/>
        <w:rPr>
          <w:rFonts w:hint="default" w:ascii="Times New Roman" w:hAnsi="Times New Roman" w:eastAsia="仿宋_GB2312" w:cs="Times New Roman"/>
          <w:sz w:val="32"/>
          <w:szCs w:val="32"/>
        </w:rPr>
      </w:pPr>
    </w:p>
    <w:p w14:paraId="579D6AFC">
      <w:pPr>
        <w:pStyle w:val="2"/>
        <w:pageBreakBefore w:val="0"/>
        <w:widowControl w:val="0"/>
        <w:kinsoku/>
        <w:wordWrap/>
        <w:overflowPunct/>
        <w:topLinePunct w:val="0"/>
        <w:autoSpaceDE/>
        <w:autoSpaceDN/>
        <w:bidi w:val="0"/>
        <w:adjustRightInd/>
        <w:spacing w:line="576" w:lineRule="exact"/>
        <w:ind w:left="0" w:leftChars="0"/>
        <w:textAlignment w:val="auto"/>
        <w:rPr>
          <w:rFonts w:hint="default" w:ascii="Times New Roman" w:hAnsi="Times New Roman" w:eastAsia="仿宋_GB2312" w:cs="Times New Roman"/>
          <w:sz w:val="32"/>
          <w:szCs w:val="32"/>
        </w:rPr>
      </w:pPr>
    </w:p>
    <w:p w14:paraId="4D1E2155">
      <w:pPr>
        <w:pStyle w:val="3"/>
        <w:pageBreakBefore w:val="0"/>
        <w:widowControl w:val="0"/>
        <w:kinsoku/>
        <w:wordWrap/>
        <w:overflowPunct/>
        <w:topLinePunct w:val="0"/>
        <w:autoSpaceDE/>
        <w:autoSpaceDN/>
        <w:bidi w:val="0"/>
        <w:adjustRightInd/>
        <w:spacing w:line="576" w:lineRule="exact"/>
        <w:ind w:left="0" w:leftChars="0" w:firstLine="0" w:firstLineChars="0"/>
        <w:textAlignment w:val="auto"/>
        <w:rPr>
          <w:rFonts w:hint="default" w:ascii="Times New Roman" w:hAnsi="Times New Roman" w:eastAsia="仿宋_GB2312" w:cs="Times New Roman"/>
          <w:sz w:val="32"/>
        </w:rPr>
      </w:pPr>
    </w:p>
    <w:p w14:paraId="2CAB09C3">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（图2：收入决算结构图）（饼状图）</w:t>
      </w:r>
    </w:p>
    <w:p w14:paraId="2C76C212">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bookmarkStart w:id="10" w:name="_Toc15377207"/>
      <w:bookmarkStart w:id="11" w:name="_Toc15396605"/>
    </w:p>
    <w:p w14:paraId="38A255CE">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r>
        <w:rPr>
          <w:rFonts w:hint="default" w:ascii="Times New Roman" w:hAnsi="Times New Roman" w:eastAsia="方正黑体_GBK" w:cs="Times New Roman"/>
          <w:b w:val="0"/>
          <w:bCs/>
          <w:kern w:val="2"/>
          <w:sz w:val="32"/>
          <w:szCs w:val="32"/>
          <w:lang w:val="en-US" w:eastAsia="zh-CN" w:bidi="ar-SA"/>
        </w:rPr>
        <w:t>三、支出决算情况说明</w:t>
      </w:r>
      <w:bookmarkEnd w:id="10"/>
      <w:bookmarkEnd w:id="11"/>
    </w:p>
    <w:p w14:paraId="46C2A31E">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年度本年支出合计</w:t>
      </w:r>
      <w:r>
        <w:rPr>
          <w:rFonts w:hint="default" w:ascii="Times New Roman" w:hAnsi="Times New Roman" w:eastAsia="方正仿宋_GBK" w:cs="Times New Roman"/>
          <w:sz w:val="32"/>
          <w:szCs w:val="32"/>
          <w:lang w:val="en-US" w:eastAsia="zh-CN"/>
        </w:rPr>
        <w:t>475.62</w:t>
      </w:r>
      <w:r>
        <w:rPr>
          <w:rFonts w:hint="default" w:ascii="Times New Roman" w:hAnsi="Times New Roman" w:eastAsia="方正仿宋_GBK" w:cs="Times New Roman"/>
          <w:sz w:val="32"/>
          <w:szCs w:val="32"/>
        </w:rPr>
        <w:t>万元，其中：基本支出</w:t>
      </w:r>
      <w:r>
        <w:rPr>
          <w:rFonts w:hint="default" w:ascii="Times New Roman" w:hAnsi="Times New Roman" w:eastAsia="方正仿宋_GBK" w:cs="Times New Roman"/>
          <w:sz w:val="32"/>
          <w:szCs w:val="32"/>
          <w:lang w:val="en-US" w:eastAsia="zh-CN"/>
        </w:rPr>
        <w:t>397.2</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83.51</w:t>
      </w:r>
      <w:r>
        <w:rPr>
          <w:rFonts w:hint="default" w:ascii="Times New Roman" w:hAnsi="Times New Roman" w:eastAsia="方正仿宋_GBK" w:cs="Times New Roman"/>
          <w:sz w:val="32"/>
          <w:szCs w:val="32"/>
        </w:rPr>
        <w:t>%；项目支出</w:t>
      </w:r>
      <w:r>
        <w:rPr>
          <w:rFonts w:hint="default" w:ascii="Times New Roman" w:hAnsi="Times New Roman" w:eastAsia="方正仿宋_GBK" w:cs="Times New Roman"/>
          <w:sz w:val="32"/>
          <w:szCs w:val="32"/>
          <w:lang w:val="en-US" w:eastAsia="zh-CN"/>
        </w:rPr>
        <w:t>78.42</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16.49</w:t>
      </w:r>
      <w:r>
        <w:rPr>
          <w:rFonts w:hint="default" w:ascii="Times New Roman" w:hAnsi="Times New Roman" w:eastAsia="方正仿宋_GBK" w:cs="Times New Roman"/>
          <w:sz w:val="32"/>
          <w:szCs w:val="32"/>
        </w:rPr>
        <w:t>%；</w:t>
      </w:r>
    </w:p>
    <w:p w14:paraId="33F8833A">
      <w:pPr>
        <w:pageBreakBefore w:val="0"/>
        <w:widowControl w:val="0"/>
        <w:kinsoku/>
        <w:wordWrap/>
        <w:overflowPunct/>
        <w:topLinePunct w:val="0"/>
        <w:autoSpaceDE/>
        <w:autoSpaceDN/>
        <w:bidi w:val="0"/>
        <w:adjustRightInd/>
        <w:spacing w:line="576" w:lineRule="exact"/>
        <w:ind w:left="0" w:left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anchor distT="0" distB="0" distL="0" distR="0" simplePos="0" relativeHeight="251663360" behindDoc="1" locked="0" layoutInCell="1" allowOverlap="1">
            <wp:simplePos x="0" y="0"/>
            <wp:positionH relativeFrom="column">
              <wp:posOffset>95885</wp:posOffset>
            </wp:positionH>
            <wp:positionV relativeFrom="paragraph">
              <wp:posOffset>151765</wp:posOffset>
            </wp:positionV>
            <wp:extent cx="5274310" cy="2770505"/>
            <wp:effectExtent l="4445" t="4445" r="17145" b="44450"/>
            <wp:wrapTight wrapText="bothSides">
              <wp:wrapPolygon>
                <wp:start x="-18" y="-35"/>
                <wp:lineTo x="-18" y="21501"/>
                <wp:lineTo x="21514" y="21501"/>
                <wp:lineTo x="21514" y="-35"/>
                <wp:lineTo x="-18" y="-35"/>
              </wp:wrapPolygon>
            </wp:wrapTight>
            <wp:docPr id="23803419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5FCF0CEE">
      <w:pPr>
        <w:pageBreakBefore w:val="0"/>
        <w:widowControl w:val="0"/>
        <w:kinsoku/>
        <w:wordWrap/>
        <w:overflowPunct/>
        <w:topLinePunct w:val="0"/>
        <w:autoSpaceDE/>
        <w:autoSpaceDN/>
        <w:bidi w:val="0"/>
        <w:adjustRightInd/>
        <w:spacing w:line="576" w:lineRule="exact"/>
        <w:ind w:left="0" w:leftChars="0"/>
        <w:textAlignment w:val="auto"/>
        <w:rPr>
          <w:rFonts w:hint="default" w:ascii="Times New Roman" w:hAnsi="Times New Roman" w:eastAsia="仿宋_GB2312" w:cs="Times New Roman"/>
          <w:sz w:val="32"/>
          <w:szCs w:val="32"/>
        </w:rPr>
      </w:pPr>
    </w:p>
    <w:p w14:paraId="4DC579CB">
      <w:pPr>
        <w:pStyle w:val="29"/>
        <w:pageBreakBefore w:val="0"/>
        <w:widowControl w:val="0"/>
        <w:kinsoku/>
        <w:wordWrap/>
        <w:overflowPunct/>
        <w:topLinePunct w:val="0"/>
        <w:autoSpaceDE/>
        <w:autoSpaceDN/>
        <w:bidi w:val="0"/>
        <w:adjustRightInd/>
        <w:snapToGrid/>
        <w:spacing w:line="576" w:lineRule="exact"/>
        <w:ind w:left="0" w:leftChars="0" w:firstLine="320" w:firstLineChars="100"/>
        <w:contextualSpacing/>
        <w:textAlignment w:val="auto"/>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（图3：支出决算结构图）（饼状图）</w:t>
      </w:r>
    </w:p>
    <w:p w14:paraId="68775943">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bookmarkStart w:id="12" w:name="_Toc15377208"/>
      <w:bookmarkStart w:id="13" w:name="_Toc15396606"/>
    </w:p>
    <w:p w14:paraId="2BDE2C80">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r>
        <w:rPr>
          <w:rFonts w:hint="default" w:ascii="Times New Roman" w:hAnsi="Times New Roman" w:eastAsia="方正黑体_GBK" w:cs="Times New Roman"/>
          <w:b w:val="0"/>
          <w:bCs/>
          <w:kern w:val="2"/>
          <w:sz w:val="32"/>
          <w:szCs w:val="32"/>
          <w:lang w:val="en-US" w:eastAsia="zh-CN" w:bidi="ar-SA"/>
        </w:rPr>
        <w:t>四、财政拨款收入支出决算总体情况说明</w:t>
      </w:r>
      <w:bookmarkEnd w:id="12"/>
      <w:bookmarkEnd w:id="13"/>
    </w:p>
    <w:p w14:paraId="055DF67B">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年度财政拨款收入、支出总计均为</w:t>
      </w:r>
      <w:r>
        <w:rPr>
          <w:rFonts w:hint="default" w:ascii="Times New Roman" w:hAnsi="Times New Roman" w:eastAsia="方正仿宋_GBK" w:cs="Times New Roman"/>
          <w:sz w:val="32"/>
          <w:szCs w:val="32"/>
          <w:lang w:val="en-US" w:eastAsia="zh-CN"/>
        </w:rPr>
        <w:t>475.62</w:t>
      </w:r>
      <w:r>
        <w:rPr>
          <w:rFonts w:hint="default" w:ascii="Times New Roman" w:hAnsi="Times New Roman" w:eastAsia="方正仿宋_GBK" w:cs="Times New Roman"/>
          <w:sz w:val="32"/>
          <w:szCs w:val="32"/>
        </w:rPr>
        <w:t>万元。与202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年度相比，财政拨款收入总计、支出总计各</w:t>
      </w:r>
      <w:r>
        <w:rPr>
          <w:rFonts w:hint="default" w:ascii="Times New Roman" w:hAnsi="Times New Roman" w:eastAsia="方正仿宋_GBK" w:cs="Times New Roman"/>
          <w:sz w:val="32"/>
          <w:szCs w:val="32"/>
          <w:lang w:eastAsia="zh-CN"/>
        </w:rPr>
        <w:t>减少</w:t>
      </w:r>
      <w:r>
        <w:rPr>
          <w:rFonts w:hint="default" w:ascii="Times New Roman" w:hAnsi="Times New Roman" w:eastAsia="方正仿宋_GBK" w:cs="Times New Roman"/>
          <w:sz w:val="32"/>
          <w:szCs w:val="32"/>
          <w:lang w:val="en-US" w:eastAsia="zh-CN"/>
        </w:rPr>
        <w:t>56.35</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减少</w:t>
      </w:r>
      <w:r>
        <w:rPr>
          <w:rFonts w:hint="default" w:ascii="Times New Roman" w:hAnsi="Times New Roman" w:eastAsia="方正仿宋_GBK" w:cs="Times New Roman"/>
          <w:sz w:val="32"/>
          <w:szCs w:val="32"/>
          <w:lang w:val="en-US" w:eastAsia="zh-CN"/>
        </w:rPr>
        <w:t>10.59</w:t>
      </w:r>
      <w:r>
        <w:rPr>
          <w:rFonts w:hint="default" w:ascii="Times New Roman" w:hAnsi="Times New Roman" w:eastAsia="方正仿宋_GBK" w:cs="Times New Roman"/>
          <w:sz w:val="32"/>
          <w:szCs w:val="32"/>
        </w:rPr>
        <w:t>%。主要变动原因是2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eastAsia="zh-CN"/>
        </w:rPr>
        <w:t>减少单位</w:t>
      </w:r>
      <w:r>
        <w:rPr>
          <w:rFonts w:hint="default" w:ascii="Times New Roman" w:hAnsi="Times New Roman" w:eastAsia="方正仿宋_GBK" w:cs="Times New Roman"/>
          <w:sz w:val="32"/>
          <w:szCs w:val="32"/>
        </w:rPr>
        <w:t>项目</w:t>
      </w:r>
      <w:r>
        <w:rPr>
          <w:rFonts w:hint="default" w:ascii="Times New Roman" w:hAnsi="Times New Roman" w:eastAsia="方正仿宋_GBK" w:cs="Times New Roman"/>
          <w:sz w:val="32"/>
          <w:szCs w:val="32"/>
          <w:lang w:eastAsia="zh-CN"/>
        </w:rPr>
        <w:t>。</w:t>
      </w:r>
    </w:p>
    <w:p w14:paraId="00C58735">
      <w:pPr>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0" distR="0" simplePos="0" relativeHeight="251660288" behindDoc="1" locked="0" layoutInCell="1" allowOverlap="1">
            <wp:simplePos x="0" y="0"/>
            <wp:positionH relativeFrom="column">
              <wp:posOffset>-21590</wp:posOffset>
            </wp:positionH>
            <wp:positionV relativeFrom="paragraph">
              <wp:posOffset>106680</wp:posOffset>
            </wp:positionV>
            <wp:extent cx="5274310" cy="3076575"/>
            <wp:effectExtent l="0" t="0" r="2540" b="9525"/>
            <wp:wrapNone/>
            <wp:docPr id="107798798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34E0AA69">
      <w:pPr>
        <w:pStyle w:val="2"/>
        <w:pageBreakBefore w:val="0"/>
        <w:kinsoku/>
        <w:wordWrap/>
        <w:overflowPunct/>
        <w:topLinePunct w:val="0"/>
        <w:autoSpaceDE/>
        <w:autoSpaceDN/>
        <w:bidi w:val="0"/>
        <w:spacing w:line="576" w:lineRule="exact"/>
        <w:ind w:left="0" w:leftChars="0"/>
        <w:rPr>
          <w:rFonts w:hint="default" w:ascii="Times New Roman" w:hAnsi="Times New Roman" w:cs="Times New Roman"/>
        </w:rPr>
      </w:pPr>
    </w:p>
    <w:p w14:paraId="29F653CA">
      <w:pPr>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sz w:val="32"/>
          <w:szCs w:val="32"/>
        </w:rPr>
      </w:pPr>
    </w:p>
    <w:p w14:paraId="69F942F6">
      <w:pPr>
        <w:pStyle w:val="2"/>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sz w:val="32"/>
          <w:szCs w:val="32"/>
        </w:rPr>
      </w:pPr>
    </w:p>
    <w:p w14:paraId="1A8AC002">
      <w:pPr>
        <w:pStyle w:val="3"/>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rPr>
      </w:pPr>
    </w:p>
    <w:p w14:paraId="57F4C66C">
      <w:pPr>
        <w:pStyle w:val="3"/>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rPr>
      </w:pPr>
    </w:p>
    <w:p w14:paraId="68057521">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仿宋_GB2312" w:cs="Times New Roman"/>
          <w:sz w:val="32"/>
          <w:szCs w:val="32"/>
        </w:rPr>
      </w:pPr>
    </w:p>
    <w:p w14:paraId="3798C205">
      <w:pPr>
        <w:pStyle w:val="29"/>
        <w:pageBreakBefore w:val="0"/>
        <w:widowControl w:val="0"/>
        <w:kinsoku/>
        <w:wordWrap/>
        <w:overflowPunct/>
        <w:topLinePunct w:val="0"/>
        <w:autoSpaceDE/>
        <w:autoSpaceDN/>
        <w:bidi w:val="0"/>
        <w:adjustRightInd/>
        <w:snapToGrid/>
        <w:spacing w:line="576" w:lineRule="exact"/>
        <w:ind w:left="0" w:leftChars="0" w:firstLine="0" w:firstLineChars="0"/>
        <w:contextualSpacing/>
        <w:textAlignment w:val="auto"/>
        <w:rPr>
          <w:rFonts w:hint="default" w:ascii="Times New Roman" w:hAnsi="Times New Roman" w:eastAsia="仿宋_GB2312" w:cs="Times New Roman"/>
          <w:sz w:val="32"/>
          <w:szCs w:val="32"/>
        </w:rPr>
      </w:pPr>
    </w:p>
    <w:p w14:paraId="0AA4757C">
      <w:pPr>
        <w:pStyle w:val="29"/>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contextualSpacing/>
        <w:textAlignment w:val="auto"/>
        <w:rPr>
          <w:rFonts w:hint="default" w:ascii="Times New Roman" w:hAnsi="Times New Roman" w:eastAsia="仿宋_GB2312" w:cs="Times New Roman"/>
          <w:sz w:val="32"/>
          <w:szCs w:val="32"/>
        </w:rPr>
      </w:pPr>
    </w:p>
    <w:p w14:paraId="0F1FF8C8">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（图4：财政拨款收、支决算总计变动情况）（柱状图）</w:t>
      </w:r>
    </w:p>
    <w:p w14:paraId="4AE4A7AF">
      <w:pPr>
        <w:pStyle w:val="29"/>
        <w:pageBreakBefore w:val="0"/>
        <w:widowControl w:val="0"/>
        <w:kinsoku/>
        <w:wordWrap/>
        <w:overflowPunct/>
        <w:topLinePunct w:val="0"/>
        <w:autoSpaceDE/>
        <w:autoSpaceDN/>
        <w:bidi w:val="0"/>
        <w:adjustRightInd/>
        <w:snapToGrid/>
        <w:spacing w:line="576" w:lineRule="exact"/>
        <w:ind w:left="0" w:leftChars="0" w:firstLine="0" w:firstLineChars="0"/>
        <w:contextualSpacing/>
        <w:textAlignment w:val="auto"/>
        <w:rPr>
          <w:rFonts w:hint="default" w:ascii="Times New Roman" w:hAnsi="Times New Roman" w:eastAsia="黑体" w:cs="Times New Roman"/>
          <w:sz w:val="32"/>
          <w:szCs w:val="32"/>
        </w:rPr>
      </w:pPr>
      <w:bookmarkStart w:id="14" w:name="_Toc15396607"/>
      <w:bookmarkStart w:id="15" w:name="_Toc15377209"/>
    </w:p>
    <w:p w14:paraId="5897C661">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r>
        <w:rPr>
          <w:rFonts w:hint="default" w:ascii="Times New Roman" w:hAnsi="Times New Roman" w:eastAsia="方正黑体_GBK" w:cs="Times New Roman"/>
          <w:b w:val="0"/>
          <w:bCs/>
          <w:kern w:val="2"/>
          <w:sz w:val="32"/>
          <w:szCs w:val="32"/>
          <w:lang w:val="en-US" w:eastAsia="zh-CN" w:bidi="ar-SA"/>
        </w:rPr>
        <w:t>五、一般公共预算财政拨款支出决算情况说明</w:t>
      </w:r>
      <w:bookmarkEnd w:id="14"/>
      <w:bookmarkEnd w:id="15"/>
    </w:p>
    <w:p w14:paraId="51A25A25">
      <w:pPr>
        <w:pageBreakBefore w:val="0"/>
        <w:kinsoku/>
        <w:wordWrap/>
        <w:overflowPunct/>
        <w:topLinePunct w:val="0"/>
        <w:autoSpaceDE/>
        <w:autoSpaceDN/>
        <w:bidi w:val="0"/>
        <w:spacing w:line="576" w:lineRule="exact"/>
        <w:ind w:left="0" w:leftChars="0" w:firstLine="643" w:firstLineChars="200"/>
        <w:outlineLvl w:val="2"/>
        <w:rPr>
          <w:rFonts w:hint="default" w:ascii="Times New Roman" w:hAnsi="Times New Roman" w:eastAsia="方正楷体_GB2312" w:cs="Times New Roman"/>
          <w:b/>
          <w:bCs w:val="0"/>
          <w:sz w:val="32"/>
          <w:szCs w:val="32"/>
        </w:rPr>
      </w:pPr>
      <w:bookmarkStart w:id="16" w:name="_Toc15377210"/>
      <w:r>
        <w:rPr>
          <w:rFonts w:hint="default" w:ascii="Times New Roman" w:hAnsi="Times New Roman" w:eastAsia="方正楷体_GB2312" w:cs="Times New Roman"/>
          <w:b/>
          <w:bCs w:val="0"/>
          <w:sz w:val="32"/>
          <w:szCs w:val="32"/>
        </w:rPr>
        <w:t>（一）一般公共预算财政拨款支出决算总体情况</w:t>
      </w:r>
      <w:bookmarkEnd w:id="16"/>
    </w:p>
    <w:p w14:paraId="5C690E4A">
      <w:pPr>
        <w:pageBreakBefore w:val="0"/>
        <w:kinsoku/>
        <w:wordWrap/>
        <w:overflowPunct/>
        <w:topLinePunct w:val="0"/>
        <w:autoSpaceDE/>
        <w:autoSpaceDN/>
        <w:bidi w:val="0"/>
        <w:spacing w:line="576" w:lineRule="exact"/>
        <w:ind w:left="0" w:leftChars="0" w:firstLine="640"/>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2025年度一般公共预算财政拨款支出475.62万元，占本年支出合计的100%。与2024年度相比，一般公共预算财政拨款支出减少56.46万元，减少10.59%。主要变动原因是25年减少单位项目。</w:t>
      </w:r>
    </w:p>
    <w:p w14:paraId="45560659">
      <w:pPr>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0" distR="0" simplePos="0" relativeHeight="251663360" behindDoc="1" locked="0" layoutInCell="1" allowOverlap="1">
            <wp:simplePos x="0" y="0"/>
            <wp:positionH relativeFrom="column">
              <wp:posOffset>178435</wp:posOffset>
            </wp:positionH>
            <wp:positionV relativeFrom="paragraph">
              <wp:posOffset>179705</wp:posOffset>
            </wp:positionV>
            <wp:extent cx="5274310" cy="3076575"/>
            <wp:effectExtent l="0" t="0" r="2540" b="9525"/>
            <wp:wrapNone/>
            <wp:docPr id="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03E5987">
      <w:pPr>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sz w:val="32"/>
          <w:szCs w:val="32"/>
        </w:rPr>
      </w:pPr>
    </w:p>
    <w:p w14:paraId="42FD57AD">
      <w:pPr>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sz w:val="32"/>
          <w:szCs w:val="32"/>
        </w:rPr>
      </w:pPr>
    </w:p>
    <w:p w14:paraId="0C195434">
      <w:pPr>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sz w:val="32"/>
          <w:szCs w:val="32"/>
        </w:rPr>
      </w:pPr>
    </w:p>
    <w:p w14:paraId="42C005E3">
      <w:pPr>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sz w:val="32"/>
          <w:szCs w:val="32"/>
        </w:rPr>
      </w:pPr>
    </w:p>
    <w:p w14:paraId="5BAEBBBE">
      <w:pPr>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sz w:val="32"/>
          <w:szCs w:val="32"/>
        </w:rPr>
      </w:pPr>
    </w:p>
    <w:p w14:paraId="59653F8A">
      <w:pPr>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sz w:val="32"/>
          <w:szCs w:val="32"/>
        </w:rPr>
      </w:pPr>
    </w:p>
    <w:p w14:paraId="1C4370F8">
      <w:pPr>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sz w:val="32"/>
          <w:szCs w:val="32"/>
        </w:rPr>
      </w:pPr>
    </w:p>
    <w:p w14:paraId="6F8576A1">
      <w:pPr>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sz w:val="32"/>
          <w:szCs w:val="32"/>
        </w:rPr>
      </w:pPr>
    </w:p>
    <w:p w14:paraId="6E24EAAF">
      <w:pPr>
        <w:pStyle w:val="29"/>
        <w:pageBreakBefore w:val="0"/>
        <w:widowControl w:val="0"/>
        <w:kinsoku/>
        <w:wordWrap/>
        <w:overflowPunct/>
        <w:topLinePunct w:val="0"/>
        <w:autoSpaceDE/>
        <w:autoSpaceDN/>
        <w:bidi w:val="0"/>
        <w:adjustRightInd/>
        <w:snapToGrid/>
        <w:spacing w:line="576" w:lineRule="exact"/>
        <w:ind w:left="0" w:leftChars="0" w:firstLine="0" w:firstLineChars="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（图5：一般公共预算财政拨款支出决算变动情况）（柱状图）</w:t>
      </w:r>
    </w:p>
    <w:p w14:paraId="194C2081">
      <w:pPr>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szCs w:val="32"/>
        </w:rPr>
      </w:pPr>
    </w:p>
    <w:p w14:paraId="1887C21E">
      <w:pPr>
        <w:pageBreakBefore w:val="0"/>
        <w:kinsoku/>
        <w:wordWrap/>
        <w:overflowPunct/>
        <w:topLinePunct w:val="0"/>
        <w:autoSpaceDE/>
        <w:autoSpaceDN/>
        <w:bidi w:val="0"/>
        <w:spacing w:line="576" w:lineRule="exact"/>
        <w:ind w:left="0" w:leftChars="0" w:firstLine="643" w:firstLineChars="200"/>
        <w:outlineLvl w:val="2"/>
        <w:rPr>
          <w:rFonts w:hint="default" w:ascii="Times New Roman" w:hAnsi="Times New Roman" w:eastAsia="方正楷体_GB2312" w:cs="Times New Roman"/>
          <w:b/>
          <w:bCs w:val="0"/>
          <w:sz w:val="32"/>
          <w:szCs w:val="32"/>
        </w:rPr>
      </w:pPr>
      <w:bookmarkStart w:id="17" w:name="_Toc15377211"/>
      <w:r>
        <w:rPr>
          <w:rFonts w:hint="default" w:ascii="Times New Roman" w:hAnsi="Times New Roman" w:eastAsia="方正楷体_GB2312" w:cs="Times New Roman"/>
          <w:b/>
          <w:bCs w:val="0"/>
          <w:sz w:val="32"/>
          <w:szCs w:val="32"/>
        </w:rPr>
        <w:t>（二）一般公共预算财政拨款支出决算结构情况</w:t>
      </w:r>
      <w:bookmarkEnd w:id="17"/>
    </w:p>
    <w:p w14:paraId="2B2EB6CA">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2024年度一般公共预算财政拨款支出</w:t>
      </w:r>
      <w:r>
        <w:rPr>
          <w:rFonts w:hint="default" w:ascii="Times New Roman" w:hAnsi="Times New Roman" w:eastAsia="方正仿宋_GBK" w:cs="Times New Roman"/>
          <w:sz w:val="32"/>
          <w:szCs w:val="32"/>
          <w:lang w:val="en-US" w:eastAsia="zh-CN"/>
        </w:rPr>
        <w:t>475.62</w:t>
      </w:r>
      <w:r>
        <w:rPr>
          <w:rFonts w:hint="default" w:ascii="Times New Roman" w:hAnsi="Times New Roman" w:eastAsia="方正仿宋_GBK" w:cs="Times New Roman"/>
          <w:sz w:val="32"/>
          <w:szCs w:val="32"/>
        </w:rPr>
        <w:t>万元，主要用于以下方面：文化旅游体育与传媒支出</w:t>
      </w:r>
      <w:r>
        <w:rPr>
          <w:rFonts w:hint="default" w:ascii="Times New Roman" w:hAnsi="Times New Roman" w:eastAsia="方正仿宋_GBK" w:cs="Times New Roman"/>
          <w:sz w:val="32"/>
          <w:szCs w:val="32"/>
          <w:lang w:val="en-US" w:eastAsia="zh-CN"/>
        </w:rPr>
        <w:t>379.12</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79.71</w:t>
      </w:r>
      <w:r>
        <w:rPr>
          <w:rFonts w:hint="default" w:ascii="Times New Roman" w:hAnsi="Times New Roman" w:eastAsia="方正仿宋_GBK" w:cs="Times New Roman"/>
          <w:sz w:val="32"/>
          <w:szCs w:val="32"/>
        </w:rPr>
        <w:t>%；社会保障和就业支出</w:t>
      </w:r>
      <w:r>
        <w:rPr>
          <w:rFonts w:hint="default" w:ascii="Times New Roman" w:hAnsi="Times New Roman" w:eastAsia="方正仿宋_GBK" w:cs="Times New Roman"/>
          <w:sz w:val="32"/>
          <w:szCs w:val="32"/>
          <w:lang w:val="en-US" w:eastAsia="zh-CN"/>
        </w:rPr>
        <w:t>52.93</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11.13</w:t>
      </w:r>
      <w:r>
        <w:rPr>
          <w:rFonts w:hint="default" w:ascii="Times New Roman" w:hAnsi="Times New Roman" w:eastAsia="方正仿宋_GBK" w:cs="Times New Roman"/>
          <w:sz w:val="32"/>
          <w:szCs w:val="32"/>
        </w:rPr>
        <w:t>%；卫生健康支出2</w:t>
      </w:r>
      <w:r>
        <w:rPr>
          <w:rFonts w:hint="default" w:ascii="Times New Roman" w:hAnsi="Times New Roman" w:eastAsia="方正仿宋_GBK" w:cs="Times New Roman"/>
          <w:sz w:val="32"/>
          <w:szCs w:val="32"/>
          <w:lang w:val="en-US" w:eastAsia="zh-CN"/>
        </w:rPr>
        <w:t>0.63</w:t>
      </w:r>
      <w:r>
        <w:rPr>
          <w:rFonts w:hint="default" w:ascii="Times New Roman" w:hAnsi="Times New Roman" w:eastAsia="方正仿宋_GBK" w:cs="Times New Roman"/>
          <w:sz w:val="32"/>
          <w:szCs w:val="32"/>
        </w:rPr>
        <w:t>万元，占4.</w:t>
      </w:r>
      <w:r>
        <w:rPr>
          <w:rFonts w:hint="default" w:ascii="Times New Roman" w:hAnsi="Times New Roman" w:eastAsia="方正仿宋_GBK" w:cs="Times New Roman"/>
          <w:sz w:val="32"/>
          <w:szCs w:val="32"/>
          <w:lang w:val="en-US" w:eastAsia="zh-CN"/>
        </w:rPr>
        <w:t>34</w:t>
      </w:r>
      <w:r>
        <w:rPr>
          <w:rFonts w:hint="default" w:ascii="Times New Roman" w:hAnsi="Times New Roman" w:eastAsia="方正仿宋_GBK" w:cs="Times New Roman"/>
          <w:sz w:val="32"/>
          <w:szCs w:val="32"/>
        </w:rPr>
        <w:t>%；住房保障支出2</w:t>
      </w:r>
      <w:r>
        <w:rPr>
          <w:rFonts w:hint="default" w:ascii="Times New Roman" w:hAnsi="Times New Roman" w:eastAsia="方正仿宋_GBK" w:cs="Times New Roman"/>
          <w:sz w:val="32"/>
          <w:szCs w:val="32"/>
          <w:lang w:val="en-US" w:eastAsia="zh-CN"/>
        </w:rPr>
        <w:t>2.93</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4.82</w:t>
      </w:r>
      <w:r>
        <w:rPr>
          <w:rFonts w:hint="default" w:ascii="Times New Roman" w:hAnsi="Times New Roman" w:eastAsia="方正仿宋_GBK" w:cs="Times New Roman"/>
          <w:sz w:val="32"/>
          <w:szCs w:val="32"/>
        </w:rPr>
        <w:t>%.</w:t>
      </w:r>
    </w:p>
    <w:p w14:paraId="7E1E995C">
      <w:pPr>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anchor distT="0" distB="0" distL="0" distR="0" simplePos="0" relativeHeight="251659264" behindDoc="1" locked="0" layoutInCell="1" allowOverlap="1">
            <wp:simplePos x="0" y="0"/>
            <wp:positionH relativeFrom="column">
              <wp:posOffset>-38735</wp:posOffset>
            </wp:positionH>
            <wp:positionV relativeFrom="paragraph">
              <wp:posOffset>139700</wp:posOffset>
            </wp:positionV>
            <wp:extent cx="5274310" cy="3076575"/>
            <wp:effectExtent l="5080" t="4445" r="16510" b="5080"/>
            <wp:wrapNone/>
            <wp:docPr id="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76EE5DE0">
      <w:pPr>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szCs w:val="32"/>
        </w:rPr>
      </w:pPr>
    </w:p>
    <w:p w14:paraId="31944A18">
      <w:pPr>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szCs w:val="32"/>
        </w:rPr>
      </w:pPr>
    </w:p>
    <w:p w14:paraId="20EB4DF7">
      <w:pPr>
        <w:pStyle w:val="2"/>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sz w:val="32"/>
          <w:szCs w:val="32"/>
        </w:rPr>
      </w:pPr>
    </w:p>
    <w:p w14:paraId="7E1ACF00">
      <w:pPr>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sz w:val="32"/>
          <w:szCs w:val="32"/>
        </w:rPr>
      </w:pPr>
    </w:p>
    <w:p w14:paraId="2DF7BCD3">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（图6：一般公共预算财政拨款支出决算结构）（饼状图）</w:t>
      </w:r>
    </w:p>
    <w:p w14:paraId="1413A46D">
      <w:pPr>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szCs w:val="32"/>
        </w:rPr>
      </w:pPr>
    </w:p>
    <w:p w14:paraId="50979ECC">
      <w:pPr>
        <w:pageBreakBefore w:val="0"/>
        <w:kinsoku/>
        <w:wordWrap/>
        <w:overflowPunct/>
        <w:topLinePunct w:val="0"/>
        <w:autoSpaceDE/>
        <w:autoSpaceDN/>
        <w:bidi w:val="0"/>
        <w:spacing w:line="576" w:lineRule="exact"/>
        <w:ind w:left="0" w:leftChars="0" w:firstLine="643" w:firstLineChars="200"/>
        <w:outlineLvl w:val="2"/>
        <w:rPr>
          <w:rFonts w:hint="default" w:ascii="Times New Roman" w:hAnsi="Times New Roman" w:eastAsia="方正楷体_GB2312" w:cs="Times New Roman"/>
          <w:b/>
          <w:bCs w:val="0"/>
          <w:sz w:val="32"/>
          <w:szCs w:val="32"/>
        </w:rPr>
      </w:pPr>
      <w:bookmarkStart w:id="18" w:name="_Toc15377212"/>
      <w:r>
        <w:rPr>
          <w:rFonts w:hint="default" w:ascii="Times New Roman" w:hAnsi="Times New Roman" w:eastAsia="方正楷体_GB2312" w:cs="Times New Roman"/>
          <w:b/>
          <w:bCs w:val="0"/>
          <w:sz w:val="32"/>
          <w:szCs w:val="32"/>
        </w:rPr>
        <w:t>（三）一般公共预算财政拨款支出决算具体情况</w:t>
      </w:r>
      <w:bookmarkEnd w:id="18"/>
    </w:p>
    <w:p w14:paraId="63B3D099">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bookmarkStart w:id="19" w:name="_Toc15377444"/>
      <w:bookmarkStart w:id="20" w:name="_Toc15377213"/>
      <w:bookmarkStart w:id="21" w:name="_Toc15378460"/>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年度一般公共预算财政拨款支出决算数为</w:t>
      </w:r>
      <w:r>
        <w:rPr>
          <w:rFonts w:hint="default" w:ascii="Times New Roman" w:hAnsi="Times New Roman" w:eastAsia="方正仿宋_GBK" w:cs="Times New Roman"/>
          <w:sz w:val="32"/>
          <w:szCs w:val="32"/>
          <w:lang w:val="en-US" w:eastAsia="zh-CN"/>
        </w:rPr>
        <w:t>475.62</w:t>
      </w:r>
      <w:r>
        <w:rPr>
          <w:rFonts w:hint="default" w:ascii="Times New Roman" w:hAnsi="Times New Roman" w:eastAsia="方正仿宋_GBK" w:cs="Times New Roman"/>
          <w:sz w:val="32"/>
          <w:szCs w:val="32"/>
        </w:rPr>
        <w:t>万元，完成预算100%。其中：</w:t>
      </w:r>
      <w:bookmarkEnd w:id="19"/>
      <w:bookmarkEnd w:id="20"/>
      <w:bookmarkEnd w:id="21"/>
    </w:p>
    <w:p w14:paraId="04566B48">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1.文化旅游体育与传媒207（类）04（款）06（项）：支出决算为</w:t>
      </w:r>
      <w:r>
        <w:rPr>
          <w:rFonts w:hint="default" w:ascii="Times New Roman" w:hAnsi="Times New Roman" w:eastAsia="方正仿宋_GBK" w:cs="Times New Roman"/>
          <w:sz w:val="32"/>
          <w:szCs w:val="32"/>
          <w:lang w:val="en-US" w:eastAsia="zh-CN"/>
        </w:rPr>
        <w:t>397.12</w:t>
      </w:r>
      <w:r>
        <w:rPr>
          <w:rFonts w:hint="default" w:ascii="Times New Roman" w:hAnsi="Times New Roman" w:eastAsia="方正仿宋_GBK" w:cs="Times New Roman"/>
          <w:sz w:val="32"/>
          <w:szCs w:val="32"/>
        </w:rPr>
        <w:t>万元，完成预算100%，与预算数持平</w:t>
      </w:r>
    </w:p>
    <w:p w14:paraId="025E59A4">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2.社会保障和就业208（类）05（款）06（项）：支出决算为</w:t>
      </w:r>
      <w:r>
        <w:rPr>
          <w:rFonts w:hint="default" w:ascii="Times New Roman" w:hAnsi="Times New Roman" w:eastAsia="方正仿宋_GBK" w:cs="Times New Roman"/>
          <w:sz w:val="32"/>
          <w:szCs w:val="32"/>
          <w:lang w:val="en-US" w:eastAsia="zh-CN"/>
        </w:rPr>
        <w:t>52.93</w:t>
      </w:r>
      <w:r>
        <w:rPr>
          <w:rFonts w:hint="default" w:ascii="Times New Roman" w:hAnsi="Times New Roman" w:eastAsia="方正仿宋_GBK" w:cs="Times New Roman"/>
          <w:sz w:val="32"/>
          <w:szCs w:val="32"/>
        </w:rPr>
        <w:t>万元，完成预算*100%，与预算数持平。</w:t>
      </w:r>
    </w:p>
    <w:p w14:paraId="78A189B1">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3.卫生健康210（类）11（款）02（项）：支出决算为2</w:t>
      </w:r>
      <w:r>
        <w:rPr>
          <w:rFonts w:hint="default" w:ascii="Times New Roman" w:hAnsi="Times New Roman" w:eastAsia="方正仿宋_GBK" w:cs="Times New Roman"/>
          <w:sz w:val="32"/>
          <w:szCs w:val="32"/>
          <w:lang w:val="en-US" w:eastAsia="zh-CN"/>
        </w:rPr>
        <w:t>0.63</w:t>
      </w:r>
      <w:r>
        <w:rPr>
          <w:rFonts w:hint="default" w:ascii="Times New Roman" w:hAnsi="Times New Roman" w:eastAsia="方正仿宋_GBK" w:cs="Times New Roman"/>
          <w:sz w:val="32"/>
          <w:szCs w:val="32"/>
        </w:rPr>
        <w:t>万元，完成预算100%，与预算数持平。</w:t>
      </w:r>
    </w:p>
    <w:p w14:paraId="682C5671">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4．住房性保障221（类）02（款）01（项）:支出决算为</w:t>
      </w:r>
      <w:r>
        <w:rPr>
          <w:rFonts w:hint="default" w:ascii="Times New Roman" w:hAnsi="Times New Roman" w:eastAsia="方正仿宋_GBK" w:cs="Times New Roman"/>
          <w:sz w:val="32"/>
          <w:szCs w:val="32"/>
          <w:lang w:val="en-US" w:eastAsia="zh-CN"/>
        </w:rPr>
        <w:t>22.93</w:t>
      </w:r>
      <w:r>
        <w:rPr>
          <w:rFonts w:hint="default" w:ascii="Times New Roman" w:hAnsi="Times New Roman" w:eastAsia="方正仿宋_GBK" w:cs="Times New Roman"/>
          <w:sz w:val="32"/>
          <w:szCs w:val="32"/>
        </w:rPr>
        <w:t>万元，完成预算100%。与预算数持平</w:t>
      </w:r>
    </w:p>
    <w:p w14:paraId="07FD29A9">
      <w:pPr>
        <w:pageBreakBefore w:val="0"/>
        <w:tabs>
          <w:tab w:val="right" w:pos="8306"/>
        </w:tabs>
        <w:kinsoku/>
        <w:wordWrap/>
        <w:overflowPunct/>
        <w:topLinePunct w:val="0"/>
        <w:autoSpaceDE/>
        <w:autoSpaceDN/>
        <w:bidi w:val="0"/>
        <w:spacing w:line="576" w:lineRule="exact"/>
        <w:ind w:left="0" w:leftChars="0" w:firstLine="640" w:firstLineChars="200"/>
        <w:outlineLvl w:val="1"/>
        <w:rPr>
          <w:rStyle w:val="31"/>
          <w:rFonts w:hint="default" w:ascii="Times New Roman" w:hAnsi="Times New Roman" w:cs="Times New Roman"/>
        </w:rPr>
      </w:pPr>
      <w:bookmarkStart w:id="22" w:name="_Toc15377214"/>
      <w:bookmarkStart w:id="23" w:name="_Toc15396608"/>
      <w:r>
        <w:rPr>
          <w:rFonts w:hint="default" w:ascii="Times New Roman" w:hAnsi="Times New Roman" w:eastAsia="方正黑体_GBK" w:cs="Times New Roman"/>
          <w:b w:val="0"/>
          <w:bCs/>
          <w:kern w:val="2"/>
          <w:sz w:val="32"/>
          <w:szCs w:val="32"/>
          <w:lang w:val="en-US" w:eastAsia="zh-CN" w:bidi="ar-SA"/>
        </w:rPr>
        <w:t>六、一般公共预算财政拨款基本支出决算情况说明</w:t>
      </w:r>
      <w:bookmarkEnd w:id="22"/>
      <w:bookmarkEnd w:id="23"/>
      <w:r>
        <w:rPr>
          <w:rStyle w:val="31"/>
          <w:rFonts w:hint="default" w:ascii="Times New Roman" w:hAnsi="Times New Roman" w:eastAsia="黑体" w:cs="Times New Roman"/>
          <w:b w:val="0"/>
        </w:rPr>
        <w:tab/>
      </w:r>
    </w:p>
    <w:p w14:paraId="1633EE7F">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年度一般公共预算财政拨款基本支出</w:t>
      </w:r>
      <w:r>
        <w:rPr>
          <w:rFonts w:hint="default" w:ascii="Times New Roman" w:hAnsi="Times New Roman" w:eastAsia="方正仿宋_GBK" w:cs="Times New Roman"/>
          <w:sz w:val="32"/>
          <w:szCs w:val="32"/>
          <w:lang w:val="en-US"/>
        </w:rPr>
        <w:t>379.2</w:t>
      </w:r>
      <w:r>
        <w:rPr>
          <w:rFonts w:hint="default" w:ascii="Times New Roman" w:hAnsi="Times New Roman" w:eastAsia="方正仿宋_GBK" w:cs="Times New Roman"/>
          <w:sz w:val="32"/>
          <w:szCs w:val="32"/>
        </w:rPr>
        <w:t>万元，其中：</w:t>
      </w:r>
    </w:p>
    <w:p w14:paraId="61513728">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人员经费</w:t>
      </w:r>
      <w:r>
        <w:rPr>
          <w:rFonts w:hint="default" w:ascii="Times New Roman" w:hAnsi="Times New Roman" w:eastAsia="方正仿宋_GBK" w:cs="Times New Roman"/>
          <w:sz w:val="32"/>
          <w:szCs w:val="32"/>
          <w:lang w:val="en-US"/>
        </w:rPr>
        <w:t>368.67</w:t>
      </w:r>
      <w:r>
        <w:rPr>
          <w:rFonts w:hint="default" w:ascii="Times New Roman" w:hAnsi="Times New Roman" w:eastAsia="方正仿宋_GBK" w:cs="Times New Roman"/>
          <w:sz w:val="32"/>
          <w:szCs w:val="32"/>
        </w:rPr>
        <w:t>万元，主要包括：基本工资</w:t>
      </w:r>
      <w:r>
        <w:rPr>
          <w:rFonts w:hint="default" w:ascii="Times New Roman" w:hAnsi="Times New Roman" w:eastAsia="方正仿宋_GBK" w:cs="Times New Roman"/>
          <w:sz w:val="32"/>
          <w:szCs w:val="32"/>
          <w:lang w:val="en-US"/>
        </w:rPr>
        <w:t>67.17</w:t>
      </w:r>
      <w:r>
        <w:rPr>
          <w:rFonts w:hint="default" w:ascii="Times New Roman" w:hAnsi="Times New Roman" w:eastAsia="方正仿宋_GBK" w:cs="Times New Roman"/>
          <w:sz w:val="32"/>
          <w:szCs w:val="32"/>
        </w:rPr>
        <w:t>万元、津贴补贴</w:t>
      </w:r>
      <w:r>
        <w:rPr>
          <w:rFonts w:hint="default" w:ascii="Times New Roman" w:hAnsi="Times New Roman" w:eastAsia="方正仿宋_GBK" w:cs="Times New Roman"/>
          <w:sz w:val="32"/>
          <w:szCs w:val="32"/>
          <w:lang w:val="en-US"/>
        </w:rPr>
        <w:t>27.94</w:t>
      </w:r>
      <w:r>
        <w:rPr>
          <w:rFonts w:hint="default" w:ascii="Times New Roman" w:hAnsi="Times New Roman" w:eastAsia="方正仿宋_GBK" w:cs="Times New Roman"/>
          <w:sz w:val="32"/>
          <w:szCs w:val="32"/>
        </w:rPr>
        <w:t>万元、奖金</w:t>
      </w:r>
      <w:r>
        <w:rPr>
          <w:rFonts w:hint="default" w:ascii="Times New Roman" w:hAnsi="Times New Roman" w:eastAsia="方正仿宋_GBK" w:cs="Times New Roman"/>
          <w:sz w:val="32"/>
          <w:szCs w:val="32"/>
          <w:lang w:val="en-US"/>
        </w:rPr>
        <w:t>67.07</w:t>
      </w:r>
      <w:r>
        <w:rPr>
          <w:rFonts w:hint="default" w:ascii="Times New Roman" w:hAnsi="Times New Roman" w:eastAsia="方正仿宋_GBK" w:cs="Times New Roman"/>
          <w:sz w:val="32"/>
          <w:szCs w:val="32"/>
        </w:rPr>
        <w:t>万元、伙食补助费</w:t>
      </w:r>
      <w:r>
        <w:rPr>
          <w:rFonts w:hint="default" w:ascii="Times New Roman" w:hAnsi="Times New Roman" w:eastAsia="方正仿宋_GBK" w:cs="Times New Roman"/>
          <w:sz w:val="32"/>
          <w:szCs w:val="32"/>
          <w:lang w:val="en-US"/>
        </w:rPr>
        <w:t>5.65</w:t>
      </w:r>
      <w:r>
        <w:rPr>
          <w:rFonts w:hint="default" w:ascii="Times New Roman" w:hAnsi="Times New Roman" w:eastAsia="方正仿宋_GBK" w:cs="Times New Roman"/>
          <w:sz w:val="32"/>
          <w:szCs w:val="32"/>
        </w:rPr>
        <w:t>万元、绩效工资</w:t>
      </w:r>
      <w:r>
        <w:rPr>
          <w:rFonts w:hint="default" w:ascii="Times New Roman" w:hAnsi="Times New Roman" w:eastAsia="方正仿宋_GBK" w:cs="Times New Roman"/>
          <w:sz w:val="32"/>
          <w:szCs w:val="32"/>
          <w:lang w:val="en-US"/>
        </w:rPr>
        <w:t>46.58</w:t>
      </w:r>
      <w:r>
        <w:rPr>
          <w:rFonts w:hint="default" w:ascii="Times New Roman" w:hAnsi="Times New Roman" w:eastAsia="方正仿宋_GBK" w:cs="Times New Roman"/>
          <w:sz w:val="32"/>
          <w:szCs w:val="32"/>
        </w:rPr>
        <w:t>万元、机关事业单位基本养老保险缴费28.</w:t>
      </w:r>
      <w:r>
        <w:rPr>
          <w:rFonts w:hint="default" w:ascii="Times New Roman" w:hAnsi="Times New Roman" w:eastAsia="方正仿宋_GBK" w:cs="Times New Roman"/>
          <w:sz w:val="32"/>
          <w:szCs w:val="32"/>
          <w:lang w:val="en-US"/>
        </w:rPr>
        <w:t>64</w:t>
      </w:r>
      <w:r>
        <w:rPr>
          <w:rFonts w:hint="default" w:ascii="Times New Roman" w:hAnsi="Times New Roman" w:eastAsia="方正仿宋_GBK" w:cs="Times New Roman"/>
          <w:sz w:val="32"/>
          <w:szCs w:val="32"/>
        </w:rPr>
        <w:t>万元、职业年金缴费14.</w:t>
      </w:r>
      <w:r>
        <w:rPr>
          <w:rFonts w:hint="default" w:ascii="Times New Roman" w:hAnsi="Times New Roman" w:eastAsia="方正仿宋_GBK" w:cs="Times New Roman"/>
          <w:sz w:val="32"/>
          <w:szCs w:val="32"/>
          <w:lang w:val="en-US"/>
        </w:rPr>
        <w:t>32</w:t>
      </w:r>
      <w:r>
        <w:rPr>
          <w:rFonts w:hint="default" w:ascii="Times New Roman" w:hAnsi="Times New Roman" w:eastAsia="方正仿宋_GBK" w:cs="Times New Roman"/>
          <w:sz w:val="32"/>
          <w:szCs w:val="32"/>
        </w:rPr>
        <w:t>万元、职工基本医疗保险缴费14.</w:t>
      </w:r>
      <w:r>
        <w:rPr>
          <w:rFonts w:hint="default" w:ascii="Times New Roman" w:hAnsi="Times New Roman" w:eastAsia="方正仿宋_GBK" w:cs="Times New Roman"/>
          <w:sz w:val="32"/>
          <w:szCs w:val="32"/>
          <w:lang w:val="en-US"/>
        </w:rPr>
        <w:t>67</w:t>
      </w:r>
      <w:r>
        <w:rPr>
          <w:rFonts w:hint="default" w:ascii="Times New Roman" w:hAnsi="Times New Roman" w:eastAsia="方正仿宋_GBK" w:cs="Times New Roman"/>
          <w:sz w:val="32"/>
          <w:szCs w:val="32"/>
        </w:rPr>
        <w:t>万元，其他社会保障缴费</w:t>
      </w:r>
      <w:r>
        <w:rPr>
          <w:rFonts w:hint="default" w:ascii="Times New Roman" w:hAnsi="Times New Roman" w:eastAsia="方正仿宋_GBK" w:cs="Times New Roman"/>
          <w:sz w:val="32"/>
          <w:szCs w:val="32"/>
          <w:lang w:val="en-US"/>
        </w:rPr>
        <w:t>7.36</w:t>
      </w:r>
      <w:r>
        <w:rPr>
          <w:rFonts w:hint="default" w:ascii="Times New Roman" w:hAnsi="Times New Roman" w:eastAsia="方正仿宋_GBK" w:cs="Times New Roman"/>
          <w:sz w:val="32"/>
          <w:szCs w:val="32"/>
        </w:rPr>
        <w:t>万元、生活补助</w:t>
      </w:r>
      <w:r>
        <w:rPr>
          <w:rFonts w:hint="default" w:ascii="Times New Roman" w:hAnsi="Times New Roman" w:eastAsia="方正仿宋_GBK" w:cs="Times New Roman"/>
          <w:sz w:val="32"/>
          <w:szCs w:val="32"/>
          <w:lang w:val="en-US"/>
        </w:rPr>
        <w:t>66.33</w:t>
      </w:r>
      <w:r>
        <w:rPr>
          <w:rFonts w:hint="default" w:ascii="Times New Roman" w:hAnsi="Times New Roman" w:eastAsia="方正仿宋_GBK" w:cs="Times New Roman"/>
          <w:sz w:val="32"/>
          <w:szCs w:val="32"/>
        </w:rPr>
        <w:t>万元、住房公积金2</w:t>
      </w:r>
      <w:r>
        <w:rPr>
          <w:rFonts w:hint="default" w:ascii="Times New Roman" w:hAnsi="Times New Roman" w:eastAsia="方正仿宋_GBK" w:cs="Times New Roman"/>
          <w:sz w:val="32"/>
          <w:szCs w:val="32"/>
          <w:lang w:val="en-US"/>
        </w:rPr>
        <w:t>2.93</w:t>
      </w:r>
      <w:r>
        <w:rPr>
          <w:rFonts w:hint="default" w:ascii="Times New Roman" w:hAnsi="Times New Roman" w:eastAsia="方正仿宋_GBK" w:cs="Times New Roman"/>
          <w:sz w:val="32"/>
          <w:szCs w:val="32"/>
        </w:rPr>
        <w:t>万元等。</w:t>
      </w:r>
      <w:r>
        <w:rPr>
          <w:rFonts w:hint="default" w:ascii="Times New Roman" w:hAnsi="Times New Roman" w:eastAsia="方正仿宋_GBK" w:cs="Times New Roman"/>
          <w:sz w:val="32"/>
          <w:szCs w:val="32"/>
        </w:rPr>
        <w:br w:type="textWrapping"/>
      </w:r>
      <w:r>
        <w:rPr>
          <w:rFonts w:hint="default" w:ascii="Times New Roman" w:hAnsi="Times New Roman" w:eastAsia="方正仿宋_GBK" w:cs="Times New Roman"/>
          <w:sz w:val="32"/>
          <w:szCs w:val="32"/>
        </w:rPr>
        <w:t>　　公用经费</w:t>
      </w:r>
      <w:r>
        <w:rPr>
          <w:rFonts w:hint="default" w:ascii="Times New Roman" w:hAnsi="Times New Roman" w:eastAsia="方正仿宋_GBK" w:cs="Times New Roman"/>
          <w:sz w:val="32"/>
          <w:szCs w:val="32"/>
          <w:lang w:val="en-US"/>
        </w:rPr>
        <w:t>28.53</w:t>
      </w:r>
      <w:r>
        <w:rPr>
          <w:rFonts w:hint="default" w:ascii="Times New Roman" w:hAnsi="Times New Roman" w:eastAsia="方正仿宋_GBK" w:cs="Times New Roman"/>
          <w:sz w:val="32"/>
          <w:szCs w:val="32"/>
        </w:rPr>
        <w:t>万元，主要包括：办公费</w:t>
      </w:r>
      <w:r>
        <w:rPr>
          <w:rFonts w:hint="default" w:ascii="Times New Roman" w:hAnsi="Times New Roman" w:eastAsia="方正仿宋_GBK" w:cs="Times New Roman"/>
          <w:sz w:val="32"/>
          <w:szCs w:val="32"/>
          <w:lang w:val="en-US"/>
        </w:rPr>
        <w:t>3.59</w:t>
      </w:r>
      <w:r>
        <w:rPr>
          <w:rFonts w:hint="default" w:ascii="Times New Roman" w:hAnsi="Times New Roman" w:eastAsia="方正仿宋_GBK" w:cs="Times New Roman"/>
          <w:sz w:val="32"/>
          <w:szCs w:val="32"/>
        </w:rPr>
        <w:t>万元、水费0.</w:t>
      </w:r>
      <w:r>
        <w:rPr>
          <w:rFonts w:hint="default" w:ascii="Times New Roman" w:hAnsi="Times New Roman" w:eastAsia="方正仿宋_GBK" w:cs="Times New Roman"/>
          <w:sz w:val="32"/>
          <w:szCs w:val="32"/>
          <w:lang w:val="en-US"/>
        </w:rPr>
        <w:t>43</w:t>
      </w:r>
      <w:r>
        <w:rPr>
          <w:rFonts w:hint="default" w:ascii="Times New Roman" w:hAnsi="Times New Roman" w:eastAsia="方正仿宋_GBK" w:cs="Times New Roman"/>
          <w:sz w:val="32"/>
          <w:szCs w:val="32"/>
        </w:rPr>
        <w:t>万元、电费0.</w:t>
      </w:r>
      <w:r>
        <w:rPr>
          <w:rFonts w:hint="default" w:ascii="Times New Roman" w:hAnsi="Times New Roman" w:eastAsia="方正仿宋_GBK" w:cs="Times New Roman"/>
          <w:sz w:val="32"/>
          <w:szCs w:val="32"/>
          <w:lang w:val="en-US"/>
        </w:rPr>
        <w:t>38</w:t>
      </w:r>
      <w:r>
        <w:rPr>
          <w:rFonts w:hint="default" w:ascii="Times New Roman" w:hAnsi="Times New Roman" w:eastAsia="方正仿宋_GBK" w:cs="Times New Roman"/>
          <w:sz w:val="32"/>
          <w:szCs w:val="32"/>
        </w:rPr>
        <w:t>万元、邮电费</w:t>
      </w:r>
      <w:r>
        <w:rPr>
          <w:rFonts w:hint="default" w:ascii="Times New Roman" w:hAnsi="Times New Roman" w:eastAsia="方正仿宋_GBK" w:cs="Times New Roman"/>
          <w:sz w:val="32"/>
          <w:szCs w:val="32"/>
          <w:lang w:val="en-US"/>
        </w:rPr>
        <w:t>2.83</w:t>
      </w:r>
      <w:r>
        <w:rPr>
          <w:rFonts w:hint="default" w:ascii="Times New Roman" w:hAnsi="Times New Roman" w:eastAsia="方正仿宋_GBK" w:cs="Times New Roman"/>
          <w:sz w:val="32"/>
          <w:szCs w:val="32"/>
        </w:rPr>
        <w:t>万元、差旅费</w:t>
      </w:r>
      <w:r>
        <w:rPr>
          <w:rFonts w:hint="default" w:ascii="Times New Roman" w:hAnsi="Times New Roman" w:eastAsia="方正仿宋_GBK" w:cs="Times New Roman"/>
          <w:sz w:val="32"/>
          <w:szCs w:val="32"/>
          <w:lang w:val="en-US"/>
        </w:rPr>
        <w:t>2.69</w:t>
      </w:r>
      <w:r>
        <w:rPr>
          <w:rFonts w:hint="default" w:ascii="Times New Roman" w:hAnsi="Times New Roman" w:eastAsia="方正仿宋_GBK" w:cs="Times New Roman"/>
          <w:sz w:val="32"/>
          <w:szCs w:val="32"/>
        </w:rPr>
        <w:t>万元、维修（护）费0.</w:t>
      </w:r>
      <w:r>
        <w:rPr>
          <w:rFonts w:hint="default" w:ascii="Times New Roman" w:hAnsi="Times New Roman" w:eastAsia="方正仿宋_GBK" w:cs="Times New Roman"/>
          <w:sz w:val="32"/>
          <w:szCs w:val="32"/>
          <w:lang w:val="en-US"/>
        </w:rPr>
        <w:t>41</w:t>
      </w:r>
      <w:r>
        <w:rPr>
          <w:rFonts w:hint="default" w:ascii="Times New Roman" w:hAnsi="Times New Roman" w:eastAsia="方正仿宋_GBK" w:cs="Times New Roman"/>
          <w:sz w:val="32"/>
          <w:szCs w:val="32"/>
        </w:rPr>
        <w:t>万元、培训费</w:t>
      </w:r>
      <w:r>
        <w:rPr>
          <w:rFonts w:hint="default" w:ascii="Times New Roman" w:hAnsi="Times New Roman" w:eastAsia="方正仿宋_GBK" w:cs="Times New Roman"/>
          <w:sz w:val="32"/>
          <w:szCs w:val="32"/>
          <w:lang w:val="en-US"/>
        </w:rPr>
        <w:t>1.3</w:t>
      </w:r>
      <w:bookmarkStart w:id="56" w:name="_GoBack"/>
      <w:bookmarkEnd w:id="56"/>
      <w:r>
        <w:rPr>
          <w:rFonts w:hint="default" w:ascii="Times New Roman" w:hAnsi="Times New Roman" w:eastAsia="方正仿宋_GBK" w:cs="Times New Roman"/>
          <w:sz w:val="32"/>
          <w:szCs w:val="32"/>
        </w:rPr>
        <w:t>万元、劳务费2.46万元、</w:t>
      </w:r>
      <w:r>
        <w:rPr>
          <w:rFonts w:hint="default" w:ascii="Times New Roman" w:hAnsi="Times New Roman" w:eastAsia="方正仿宋_GBK" w:cs="Times New Roman"/>
          <w:sz w:val="32"/>
          <w:szCs w:val="32"/>
          <w:lang w:eastAsia="zh-CN"/>
        </w:rPr>
        <w:t>委托业务</w:t>
      </w:r>
      <w:r>
        <w:rPr>
          <w:rFonts w:hint="default" w:ascii="Times New Roman" w:hAnsi="Times New Roman" w:eastAsia="方正仿宋_GBK" w:cs="Times New Roman"/>
          <w:sz w:val="32"/>
          <w:szCs w:val="32"/>
          <w:lang w:val="en-US" w:eastAsia="zh-CN"/>
        </w:rPr>
        <w:t>1.55</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福利费</w:t>
      </w:r>
      <w:r>
        <w:rPr>
          <w:rFonts w:hint="default" w:ascii="Times New Roman" w:hAnsi="Times New Roman" w:eastAsia="方正仿宋_GBK" w:cs="Times New Roman"/>
          <w:sz w:val="32"/>
          <w:szCs w:val="32"/>
          <w:lang w:val="en-US" w:eastAsia="zh-CN"/>
        </w:rPr>
        <w:t>6.02</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公务用车运行维护费2.</w:t>
      </w:r>
      <w:r>
        <w:rPr>
          <w:rFonts w:hint="default" w:ascii="Times New Roman" w:hAnsi="Times New Roman" w:eastAsia="方正仿宋_GBK" w:cs="Times New Roman"/>
          <w:sz w:val="32"/>
          <w:szCs w:val="32"/>
          <w:lang w:val="en-US" w:eastAsia="zh-CN"/>
        </w:rPr>
        <w:t>89</w:t>
      </w:r>
      <w:r>
        <w:rPr>
          <w:rFonts w:hint="default" w:ascii="Times New Roman" w:hAnsi="Times New Roman" w:eastAsia="方正仿宋_GBK" w:cs="Times New Roman"/>
          <w:sz w:val="32"/>
          <w:szCs w:val="32"/>
        </w:rPr>
        <w:t>万元、其他商品和服务支出</w:t>
      </w:r>
      <w:r>
        <w:rPr>
          <w:rFonts w:hint="default" w:ascii="Times New Roman" w:hAnsi="Times New Roman" w:eastAsia="方正仿宋_GBK" w:cs="Times New Roman"/>
          <w:sz w:val="32"/>
          <w:szCs w:val="32"/>
          <w:lang w:val="en-US" w:eastAsia="zh-CN"/>
        </w:rPr>
        <w:t>3.98</w:t>
      </w:r>
      <w:r>
        <w:rPr>
          <w:rFonts w:hint="default" w:ascii="Times New Roman" w:hAnsi="Times New Roman" w:eastAsia="方正仿宋_GBK" w:cs="Times New Roman"/>
          <w:sz w:val="32"/>
          <w:szCs w:val="32"/>
        </w:rPr>
        <w:t>万元等。</w:t>
      </w:r>
    </w:p>
    <w:p w14:paraId="03BDDC24">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bookmarkStart w:id="24" w:name="_Toc15377215"/>
      <w:bookmarkStart w:id="25" w:name="_Toc15396609"/>
      <w:r>
        <w:rPr>
          <w:rFonts w:hint="default" w:ascii="Times New Roman" w:hAnsi="Times New Roman" w:eastAsia="方正黑体_GBK" w:cs="Times New Roman"/>
          <w:b w:val="0"/>
          <w:bCs/>
          <w:kern w:val="2"/>
          <w:sz w:val="32"/>
          <w:szCs w:val="32"/>
          <w:lang w:val="en-US" w:eastAsia="zh-CN" w:bidi="ar-SA"/>
        </w:rPr>
        <w:t>七、财政拨款“三公”经费支出决算情况说明</w:t>
      </w:r>
      <w:bookmarkEnd w:id="24"/>
      <w:bookmarkEnd w:id="25"/>
      <w:bookmarkStart w:id="26" w:name="_Toc15377216"/>
    </w:p>
    <w:p w14:paraId="25B3060E">
      <w:pPr>
        <w:pageBreakBefore w:val="0"/>
        <w:kinsoku/>
        <w:wordWrap/>
        <w:overflowPunct/>
        <w:topLinePunct w:val="0"/>
        <w:autoSpaceDE/>
        <w:autoSpaceDN/>
        <w:bidi w:val="0"/>
        <w:spacing w:line="576" w:lineRule="exact"/>
        <w:ind w:left="0" w:leftChars="0" w:firstLine="643" w:firstLineChars="200"/>
        <w:outlineLvl w:val="2"/>
        <w:rPr>
          <w:rFonts w:hint="default" w:ascii="Times New Roman" w:hAnsi="Times New Roman" w:eastAsia="方正楷体_GB2312" w:cs="Times New Roman"/>
          <w:b/>
          <w:bCs w:val="0"/>
          <w:sz w:val="32"/>
          <w:szCs w:val="32"/>
        </w:rPr>
      </w:pPr>
      <w:r>
        <w:rPr>
          <w:rFonts w:hint="default" w:ascii="Times New Roman" w:hAnsi="Times New Roman" w:eastAsia="方正楷体_GB2312" w:cs="Times New Roman"/>
          <w:b/>
          <w:bCs w:val="0"/>
          <w:sz w:val="32"/>
          <w:szCs w:val="32"/>
        </w:rPr>
        <w:t>（一）财政拨款“三公”经费支出决算总体情况说明</w:t>
      </w:r>
      <w:bookmarkEnd w:id="26"/>
    </w:p>
    <w:p w14:paraId="5FFC0AAB">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年度财政拨款“三公”经费支出决算为2.</w:t>
      </w:r>
      <w:r>
        <w:rPr>
          <w:rFonts w:hint="default" w:ascii="Times New Roman" w:hAnsi="Times New Roman" w:eastAsia="方正仿宋_GBK" w:cs="Times New Roman"/>
          <w:sz w:val="32"/>
          <w:szCs w:val="32"/>
          <w:lang w:val="en-US" w:eastAsia="zh-CN"/>
        </w:rPr>
        <w:t>89</w:t>
      </w:r>
      <w:r>
        <w:rPr>
          <w:rFonts w:hint="default" w:ascii="Times New Roman" w:hAnsi="Times New Roman" w:eastAsia="方正仿宋_GBK" w:cs="Times New Roman"/>
          <w:sz w:val="32"/>
          <w:szCs w:val="32"/>
        </w:rPr>
        <w:t>万元，完成预算</w:t>
      </w:r>
      <w:r>
        <w:rPr>
          <w:rFonts w:hint="default" w:ascii="Times New Roman" w:hAnsi="Times New Roman" w:eastAsia="方正仿宋_GBK" w:cs="Times New Roman"/>
          <w:sz w:val="32"/>
          <w:szCs w:val="32"/>
          <w:lang w:val="en-US" w:eastAsia="zh-CN"/>
        </w:rPr>
        <w:t>100</w:t>
      </w:r>
      <w:r>
        <w:rPr>
          <w:rFonts w:hint="default" w:ascii="Times New Roman" w:hAnsi="Times New Roman" w:eastAsia="方正仿宋_GBK" w:cs="Times New Roman"/>
          <w:sz w:val="32"/>
          <w:szCs w:val="32"/>
        </w:rPr>
        <w:t>%，较上年度</w:t>
      </w:r>
      <w:r>
        <w:rPr>
          <w:rFonts w:hint="default" w:ascii="Times New Roman" w:hAnsi="Times New Roman" w:eastAsia="方正仿宋_GBK" w:cs="Times New Roman"/>
          <w:sz w:val="32"/>
          <w:szCs w:val="32"/>
          <w:lang w:eastAsia="zh-CN"/>
        </w:rPr>
        <w:t>增加</w:t>
      </w:r>
      <w:r>
        <w:rPr>
          <w:rFonts w:hint="default" w:ascii="Times New Roman" w:hAnsi="Times New Roman" w:eastAsia="方正仿宋_GBK" w:cs="Times New Roman"/>
          <w:sz w:val="32"/>
          <w:szCs w:val="32"/>
          <w:lang w:val="en-US" w:eastAsia="zh-CN"/>
        </w:rPr>
        <w:t>0.12</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增长</w:t>
      </w:r>
      <w:r>
        <w:rPr>
          <w:rFonts w:hint="default" w:ascii="Times New Roman" w:hAnsi="Times New Roman" w:eastAsia="方正仿宋_GBK" w:cs="Times New Roman"/>
          <w:sz w:val="32"/>
          <w:szCs w:val="32"/>
          <w:lang w:val="en-US" w:eastAsia="zh-CN"/>
        </w:rPr>
        <w:t>4.51</w:t>
      </w:r>
      <w:r>
        <w:rPr>
          <w:rFonts w:hint="default" w:ascii="Times New Roman" w:hAnsi="Times New Roman" w:eastAsia="方正仿宋_GBK" w:cs="Times New Roman"/>
          <w:sz w:val="32"/>
          <w:szCs w:val="32"/>
        </w:rPr>
        <w:t>%。主要原因是对13县农村电影放映的监管工作</w:t>
      </w:r>
      <w:r>
        <w:rPr>
          <w:rFonts w:hint="default" w:ascii="Times New Roman" w:hAnsi="Times New Roman" w:eastAsia="方正仿宋_GBK" w:cs="Times New Roman"/>
          <w:sz w:val="32"/>
          <w:szCs w:val="32"/>
          <w:lang w:eastAsia="zh-CN"/>
        </w:rPr>
        <w:t>加强。</w:t>
      </w:r>
    </w:p>
    <w:p w14:paraId="63323C2D">
      <w:pPr>
        <w:pageBreakBefore w:val="0"/>
        <w:kinsoku/>
        <w:wordWrap/>
        <w:overflowPunct/>
        <w:topLinePunct w:val="0"/>
        <w:autoSpaceDE/>
        <w:autoSpaceDN/>
        <w:bidi w:val="0"/>
        <w:spacing w:line="576" w:lineRule="exact"/>
        <w:ind w:left="0" w:leftChars="0" w:firstLine="643" w:firstLineChars="200"/>
        <w:outlineLvl w:val="2"/>
        <w:rPr>
          <w:rFonts w:hint="default" w:ascii="Times New Roman" w:hAnsi="Times New Roman" w:eastAsia="方正楷体_GB2312" w:cs="Times New Roman"/>
          <w:b/>
          <w:bCs w:val="0"/>
          <w:sz w:val="32"/>
          <w:szCs w:val="32"/>
        </w:rPr>
      </w:pPr>
      <w:bookmarkStart w:id="27" w:name="_Toc15377217"/>
      <w:r>
        <w:rPr>
          <w:rFonts w:hint="default" w:ascii="Times New Roman" w:hAnsi="Times New Roman" w:eastAsia="方正楷体_GB2312" w:cs="Times New Roman"/>
          <w:b/>
          <w:bCs w:val="0"/>
          <w:sz w:val="32"/>
          <w:szCs w:val="32"/>
        </w:rPr>
        <w:t>（二）财政拨款“三公”经费支出决算具体情况说明</w:t>
      </w:r>
      <w:bookmarkEnd w:id="27"/>
    </w:p>
    <w:p w14:paraId="193B866E">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年度财政拨款“三公”经费支出决算中，因公出国（境）费支出决算0万元，占0%；公务用车购置及运行维护费支出决算2.</w:t>
      </w:r>
      <w:r>
        <w:rPr>
          <w:rFonts w:hint="default" w:ascii="Times New Roman" w:hAnsi="Times New Roman" w:eastAsia="方正仿宋_GBK" w:cs="Times New Roman"/>
          <w:sz w:val="32"/>
          <w:szCs w:val="32"/>
          <w:lang w:val="en-US" w:eastAsia="zh-CN"/>
        </w:rPr>
        <w:t>89</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100</w:t>
      </w:r>
      <w:r>
        <w:rPr>
          <w:rFonts w:hint="default" w:ascii="Times New Roman" w:hAnsi="Times New Roman" w:eastAsia="方正仿宋_GBK" w:cs="Times New Roman"/>
          <w:sz w:val="32"/>
          <w:szCs w:val="32"/>
        </w:rPr>
        <w:t>%；公务接待费支出决算0万元，占0%。具体情况如下：</w:t>
      </w:r>
    </w:p>
    <w:p w14:paraId="60C91A1D">
      <w:pPr>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anchor distT="0" distB="0" distL="114300" distR="114300" simplePos="0" relativeHeight="251666432" behindDoc="1" locked="0" layoutInCell="1" allowOverlap="1">
            <wp:simplePos x="0" y="0"/>
            <wp:positionH relativeFrom="column">
              <wp:posOffset>0</wp:posOffset>
            </wp:positionH>
            <wp:positionV relativeFrom="paragraph">
              <wp:posOffset>4445</wp:posOffset>
            </wp:positionV>
            <wp:extent cx="5360035" cy="3357880"/>
            <wp:effectExtent l="4445" t="4445" r="7620" b="15875"/>
            <wp:wrapNone/>
            <wp:docPr id="963612612" name="图表 9636126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5CB507D3">
      <w:pPr>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szCs w:val="32"/>
        </w:rPr>
      </w:pPr>
    </w:p>
    <w:p w14:paraId="420DB4C6">
      <w:pPr>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szCs w:val="32"/>
        </w:rPr>
      </w:pPr>
    </w:p>
    <w:p w14:paraId="3841A037">
      <w:pPr>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szCs w:val="32"/>
        </w:rPr>
      </w:pPr>
    </w:p>
    <w:p w14:paraId="1053D712">
      <w:pPr>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szCs w:val="32"/>
        </w:rPr>
      </w:pPr>
    </w:p>
    <w:p w14:paraId="59808650">
      <w:pPr>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szCs w:val="32"/>
        </w:rPr>
      </w:pPr>
    </w:p>
    <w:p w14:paraId="48994384">
      <w:pPr>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szCs w:val="32"/>
        </w:rPr>
      </w:pPr>
    </w:p>
    <w:p w14:paraId="73B7FE65">
      <w:pPr>
        <w:pageBreakBefore w:val="0"/>
        <w:kinsoku/>
        <w:wordWrap/>
        <w:overflowPunct/>
        <w:topLinePunct w:val="0"/>
        <w:autoSpaceDE/>
        <w:autoSpaceDN/>
        <w:bidi w:val="0"/>
        <w:spacing w:line="576" w:lineRule="exact"/>
        <w:ind w:left="0" w:leftChars="0" w:firstLine="640"/>
        <w:rPr>
          <w:rFonts w:hint="default" w:ascii="Times New Roman" w:hAnsi="Times New Roman" w:eastAsia="仿宋_GB2312" w:cs="Times New Roman"/>
          <w:sz w:val="32"/>
          <w:szCs w:val="32"/>
        </w:rPr>
      </w:pPr>
    </w:p>
    <w:p w14:paraId="26282C0C">
      <w:pPr>
        <w:pStyle w:val="29"/>
        <w:pageBreakBefore w:val="0"/>
        <w:widowControl w:val="0"/>
        <w:kinsoku/>
        <w:wordWrap/>
        <w:overflowPunct/>
        <w:topLinePunct w:val="0"/>
        <w:autoSpaceDE/>
        <w:autoSpaceDN/>
        <w:bidi w:val="0"/>
        <w:adjustRightInd/>
        <w:snapToGrid/>
        <w:spacing w:line="576" w:lineRule="exact"/>
        <w:ind w:left="0" w:leftChars="0" w:firstLine="0" w:firstLineChars="0"/>
        <w:contextualSpacing/>
        <w:textAlignment w:val="auto"/>
        <w:rPr>
          <w:rFonts w:hint="default" w:ascii="Times New Roman" w:hAnsi="Times New Roman" w:eastAsia="仿宋_GB2312" w:cs="Times New Roman"/>
          <w:sz w:val="32"/>
          <w:szCs w:val="32"/>
        </w:rPr>
      </w:pPr>
    </w:p>
    <w:p w14:paraId="1BA0FC03">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（图7：“三公”经费财政拨款支出结构）（饼状图）</w:t>
      </w:r>
    </w:p>
    <w:p w14:paraId="09F0AE99">
      <w:pPr>
        <w:pageBreakBefore w:val="0"/>
        <w:kinsoku/>
        <w:wordWrap/>
        <w:overflowPunct/>
        <w:topLinePunct w:val="0"/>
        <w:autoSpaceDE/>
        <w:autoSpaceDN/>
        <w:bidi w:val="0"/>
        <w:spacing w:line="576" w:lineRule="exact"/>
        <w:ind w:left="0" w:leftChars="0" w:firstLine="640"/>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b/>
          <w:bCs/>
          <w:sz w:val="32"/>
          <w:szCs w:val="32"/>
        </w:rPr>
        <w:t>1.因公出国（境）经费支出0万元，完成预算0%。</w:t>
      </w:r>
      <w:r>
        <w:rPr>
          <w:rFonts w:hint="default" w:ascii="Times New Roman" w:hAnsi="Times New Roman" w:eastAsia="方正仿宋_GBK" w:cs="Times New Roman"/>
          <w:kern w:val="2"/>
          <w:sz w:val="32"/>
          <w:szCs w:val="32"/>
          <w:lang w:val="en-US" w:eastAsia="zh-CN" w:bidi="ar-SA"/>
        </w:rPr>
        <w:t>全年安排因公出国（境）团组0次，出国（境）0人。因公出国（境）支出决算与2024年持平。</w:t>
      </w:r>
    </w:p>
    <w:p w14:paraId="7ABCAC42">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kern w:val="2"/>
          <w:sz w:val="32"/>
          <w:szCs w:val="32"/>
          <w:lang w:val="en-US" w:eastAsia="zh-CN" w:bidi="ar-SA"/>
        </w:rPr>
        <w:t>2.公务用车购置及运行维护费支出2.89万元，完成预算100%。</w:t>
      </w:r>
      <w:r>
        <w:rPr>
          <w:rFonts w:hint="default" w:ascii="Times New Roman" w:hAnsi="Times New Roman" w:eastAsia="方正仿宋_GBK" w:cs="Times New Roman"/>
          <w:sz w:val="32"/>
          <w:szCs w:val="32"/>
        </w:rPr>
        <w:t>较上年度</w:t>
      </w:r>
      <w:r>
        <w:rPr>
          <w:rFonts w:hint="default" w:ascii="Times New Roman" w:hAnsi="Times New Roman" w:eastAsia="方正仿宋_GBK" w:cs="Times New Roman"/>
          <w:sz w:val="32"/>
          <w:szCs w:val="32"/>
          <w:lang w:eastAsia="zh-CN"/>
        </w:rPr>
        <w:t>增加</w:t>
      </w:r>
      <w:r>
        <w:rPr>
          <w:rFonts w:hint="default" w:ascii="Times New Roman" w:hAnsi="Times New Roman" w:eastAsia="方正仿宋_GBK" w:cs="Times New Roman"/>
          <w:sz w:val="32"/>
          <w:szCs w:val="32"/>
          <w:lang w:val="en-US" w:eastAsia="zh-CN"/>
        </w:rPr>
        <w:t>0.12</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增长</w:t>
      </w:r>
      <w:r>
        <w:rPr>
          <w:rFonts w:hint="default" w:ascii="Times New Roman" w:hAnsi="Times New Roman" w:eastAsia="方正仿宋_GBK" w:cs="Times New Roman"/>
          <w:sz w:val="32"/>
          <w:szCs w:val="32"/>
          <w:lang w:val="en-US" w:eastAsia="zh-CN"/>
        </w:rPr>
        <w:t>4.51</w:t>
      </w:r>
      <w:r>
        <w:rPr>
          <w:rFonts w:hint="default" w:ascii="Times New Roman" w:hAnsi="Times New Roman" w:eastAsia="方正仿宋_GBK" w:cs="Times New Roman"/>
          <w:sz w:val="32"/>
          <w:szCs w:val="32"/>
        </w:rPr>
        <w:t>%。主要原因是对13县农村电影放映的监管工作</w:t>
      </w:r>
      <w:r>
        <w:rPr>
          <w:rFonts w:hint="default" w:ascii="Times New Roman" w:hAnsi="Times New Roman" w:eastAsia="方正仿宋_GBK" w:cs="Times New Roman"/>
          <w:sz w:val="32"/>
          <w:szCs w:val="32"/>
          <w:lang w:eastAsia="zh-CN"/>
        </w:rPr>
        <w:t>加强。</w:t>
      </w:r>
    </w:p>
    <w:p w14:paraId="1240E185">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其中：公务用车购置支出0万元。全年按规定更新购置公务用车0辆，其中：轿车0辆、金额0万元，越野车0辆、金额0万元，载客汽车0辆、金额0万元，主要用于对13县农村电影放映的监管工作，影城工作，中心工作等。截至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年12月31日，单位共有公务用车1辆，其中：轿车0辆，越野车1辆、载客汽车0辆。</w:t>
      </w:r>
    </w:p>
    <w:p w14:paraId="5E1865AF">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公务用车运行维护费支出2.</w:t>
      </w:r>
      <w:r>
        <w:rPr>
          <w:rFonts w:hint="default" w:ascii="Times New Roman" w:hAnsi="Times New Roman" w:eastAsia="方正仿宋_GBK" w:cs="Times New Roman"/>
          <w:sz w:val="32"/>
          <w:szCs w:val="32"/>
          <w:lang w:val="en-US" w:eastAsia="zh-CN"/>
        </w:rPr>
        <w:t>89</w:t>
      </w:r>
      <w:r>
        <w:rPr>
          <w:rFonts w:hint="default" w:ascii="Times New Roman" w:hAnsi="Times New Roman" w:eastAsia="方正仿宋_GBK" w:cs="Times New Roman"/>
          <w:sz w:val="32"/>
          <w:szCs w:val="32"/>
        </w:rPr>
        <w:t>万元。主要用于中心业务工作所需的公务用车燃料费、维修费、过路过桥费、保险费等支出。</w:t>
      </w:r>
    </w:p>
    <w:p w14:paraId="6901D785">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3.公务接待费支出0万元，完成预算0%。</w:t>
      </w:r>
      <w:r>
        <w:rPr>
          <w:rFonts w:hint="default" w:ascii="Times New Roman" w:hAnsi="Times New Roman" w:eastAsia="方正仿宋_GBK" w:cs="Times New Roman"/>
          <w:sz w:val="32"/>
          <w:szCs w:val="32"/>
        </w:rPr>
        <w:t>公务接待费支出决算与202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年度持平。</w:t>
      </w:r>
    </w:p>
    <w:p w14:paraId="06B5E735">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国内公务接待支出0万元，国内公务接待0批次，0人次共计支出0万元。</w:t>
      </w:r>
    </w:p>
    <w:p w14:paraId="0B738039">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外事接待支出0万元，外事接待0批次，0人次（共计支出0万元。</w:t>
      </w:r>
    </w:p>
    <w:p w14:paraId="690AC560">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bookmarkStart w:id="28" w:name="_Toc15377218"/>
      <w:bookmarkStart w:id="29" w:name="_Toc15396610"/>
      <w:r>
        <w:rPr>
          <w:rFonts w:hint="default" w:ascii="Times New Roman" w:hAnsi="Times New Roman" w:eastAsia="方正黑体_GBK" w:cs="Times New Roman"/>
          <w:b w:val="0"/>
          <w:bCs/>
          <w:kern w:val="2"/>
          <w:sz w:val="32"/>
          <w:szCs w:val="32"/>
          <w:lang w:val="en-US" w:eastAsia="zh-CN" w:bidi="ar-SA"/>
        </w:rPr>
        <w:t>八、政府性基金预算支出决算情况说明</w:t>
      </w:r>
      <w:bookmarkEnd w:id="28"/>
      <w:bookmarkEnd w:id="29"/>
    </w:p>
    <w:p w14:paraId="5D42D654">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年度政府性基金预算财政拨款支出0万元，占本年支出合计的0%。与202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年度相比，政府性基金预算财政拨款支出增加/减少0万元，增长/下降0%。</w:t>
      </w:r>
    </w:p>
    <w:p w14:paraId="68254847">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bookmarkStart w:id="30" w:name="_Toc15396611"/>
      <w:bookmarkStart w:id="31" w:name="_Toc15377219"/>
      <w:r>
        <w:rPr>
          <w:rFonts w:hint="default" w:ascii="Times New Roman" w:hAnsi="Times New Roman" w:eastAsia="方正黑体_GBK" w:cs="Times New Roman"/>
          <w:b w:val="0"/>
          <w:bCs/>
          <w:kern w:val="2"/>
          <w:sz w:val="32"/>
          <w:szCs w:val="32"/>
          <w:lang w:val="en-US" w:eastAsia="zh-CN" w:bidi="ar-SA"/>
        </w:rPr>
        <w:t>九、国有资本经营预算支出决算情况说明</w:t>
      </w:r>
      <w:bookmarkEnd w:id="30"/>
      <w:bookmarkEnd w:id="31"/>
    </w:p>
    <w:p w14:paraId="7952BDFB">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年度国有资本经营预算财政拨款支出0万元，占本年支出合计的0%。与202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年度相比，国有资本经营预算财政拨款支出增加/减少0万元，增长/下降0%。</w:t>
      </w:r>
    </w:p>
    <w:p w14:paraId="764F3F7D">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bookmarkStart w:id="32" w:name="_Toc15377221"/>
      <w:bookmarkStart w:id="33" w:name="_Toc15396612"/>
      <w:r>
        <w:rPr>
          <w:rFonts w:hint="default" w:ascii="Times New Roman" w:hAnsi="Times New Roman" w:eastAsia="方正黑体_GBK" w:cs="Times New Roman"/>
          <w:b w:val="0"/>
          <w:bCs/>
          <w:kern w:val="2"/>
          <w:sz w:val="32"/>
          <w:szCs w:val="32"/>
          <w:lang w:val="en-US" w:eastAsia="zh-CN" w:bidi="ar-SA"/>
        </w:rPr>
        <w:t>十、其他重要事项的情况说明</w:t>
      </w:r>
      <w:bookmarkEnd w:id="32"/>
      <w:bookmarkEnd w:id="33"/>
    </w:p>
    <w:p w14:paraId="5943A19C">
      <w:pPr>
        <w:pageBreakBefore w:val="0"/>
        <w:kinsoku/>
        <w:wordWrap/>
        <w:overflowPunct/>
        <w:topLinePunct w:val="0"/>
        <w:autoSpaceDE/>
        <w:autoSpaceDN/>
        <w:bidi w:val="0"/>
        <w:spacing w:line="576" w:lineRule="exact"/>
        <w:ind w:left="0" w:leftChars="0" w:firstLine="643" w:firstLineChars="200"/>
        <w:outlineLvl w:val="2"/>
        <w:rPr>
          <w:rFonts w:hint="default" w:ascii="Times New Roman" w:hAnsi="Times New Roman" w:eastAsia="方正楷体_GB2312" w:cs="Times New Roman"/>
          <w:b/>
          <w:bCs w:val="0"/>
          <w:sz w:val="32"/>
          <w:szCs w:val="32"/>
        </w:rPr>
      </w:pPr>
      <w:bookmarkStart w:id="34" w:name="_Toc15377222"/>
      <w:r>
        <w:rPr>
          <w:rFonts w:hint="default" w:ascii="Times New Roman" w:hAnsi="Times New Roman" w:eastAsia="方正楷体_GB2312" w:cs="Times New Roman"/>
          <w:b/>
          <w:bCs w:val="0"/>
          <w:sz w:val="32"/>
          <w:szCs w:val="32"/>
        </w:rPr>
        <w:t>（一）机关运行经费支出情况</w:t>
      </w:r>
      <w:bookmarkEnd w:id="34"/>
    </w:p>
    <w:p w14:paraId="129BB99D">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年度，四川省阿坝州电影服务中心机关运行经费支出0万元，比2023年度增加/减少0万元，增长/下降0%。</w:t>
      </w:r>
    </w:p>
    <w:p w14:paraId="7B2C6AA3">
      <w:pPr>
        <w:pageBreakBefore w:val="0"/>
        <w:kinsoku/>
        <w:wordWrap/>
        <w:overflowPunct/>
        <w:topLinePunct w:val="0"/>
        <w:autoSpaceDE/>
        <w:autoSpaceDN/>
        <w:bidi w:val="0"/>
        <w:spacing w:line="576" w:lineRule="exact"/>
        <w:ind w:left="0" w:leftChars="0" w:firstLine="643" w:firstLineChars="200"/>
        <w:outlineLvl w:val="2"/>
        <w:rPr>
          <w:rFonts w:hint="default" w:ascii="Times New Roman" w:hAnsi="Times New Roman" w:eastAsia="方正楷体_GB2312" w:cs="Times New Roman"/>
          <w:b/>
          <w:bCs w:val="0"/>
          <w:sz w:val="32"/>
          <w:szCs w:val="32"/>
        </w:rPr>
      </w:pPr>
      <w:bookmarkStart w:id="35" w:name="_Toc15377223"/>
      <w:r>
        <w:rPr>
          <w:rFonts w:hint="default" w:ascii="Times New Roman" w:hAnsi="Times New Roman" w:eastAsia="方正楷体_GB2312" w:cs="Times New Roman"/>
          <w:b/>
          <w:bCs w:val="0"/>
          <w:sz w:val="32"/>
          <w:szCs w:val="32"/>
        </w:rPr>
        <w:t>（二）政府采购支出情况</w:t>
      </w:r>
      <w:bookmarkEnd w:id="35"/>
    </w:p>
    <w:p w14:paraId="7203EEAA">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2024年度，四川省阿坝州电影服务中心政府采购支出总额</w:t>
      </w:r>
      <w:r>
        <w:rPr>
          <w:rFonts w:hint="default" w:ascii="Times New Roman" w:hAnsi="Times New Roman" w:eastAsia="方正仿宋_GBK" w:cs="Times New Roman"/>
          <w:sz w:val="32"/>
          <w:szCs w:val="32"/>
          <w:lang w:val="en-US" w:eastAsia="zh-CN"/>
        </w:rPr>
        <w:t>6.51</w:t>
      </w:r>
      <w:r>
        <w:rPr>
          <w:rFonts w:hint="default" w:ascii="Times New Roman" w:hAnsi="Times New Roman" w:eastAsia="方正仿宋_GBK" w:cs="Times New Roman"/>
          <w:sz w:val="32"/>
          <w:szCs w:val="32"/>
        </w:rPr>
        <w:t>万元，其中：政府采购货物支出</w:t>
      </w:r>
      <w:r>
        <w:rPr>
          <w:rFonts w:hint="default" w:ascii="Times New Roman" w:hAnsi="Times New Roman" w:eastAsia="方正仿宋_GBK" w:cs="Times New Roman"/>
          <w:sz w:val="32"/>
          <w:szCs w:val="32"/>
          <w:lang w:val="en-US" w:eastAsia="zh-CN"/>
        </w:rPr>
        <w:t>5.62</w:t>
      </w:r>
      <w:r>
        <w:rPr>
          <w:rFonts w:hint="default" w:ascii="Times New Roman" w:hAnsi="Times New Roman" w:eastAsia="方正仿宋_GBK" w:cs="Times New Roman"/>
          <w:sz w:val="32"/>
          <w:szCs w:val="32"/>
        </w:rPr>
        <w:t>万元、政府采购工程支出0万元、政府采购服务支出</w:t>
      </w:r>
      <w:r>
        <w:rPr>
          <w:rFonts w:hint="default" w:ascii="Times New Roman" w:hAnsi="Times New Roman" w:eastAsia="方正仿宋_GBK" w:cs="Times New Roman"/>
          <w:sz w:val="32"/>
          <w:szCs w:val="32"/>
          <w:lang w:val="en-US" w:eastAsia="zh-CN"/>
        </w:rPr>
        <w:t>0.89</w:t>
      </w:r>
      <w:r>
        <w:rPr>
          <w:rFonts w:hint="default" w:ascii="Times New Roman" w:hAnsi="Times New Roman" w:eastAsia="方正仿宋_GBK" w:cs="Times New Roman"/>
          <w:sz w:val="32"/>
          <w:szCs w:val="32"/>
        </w:rPr>
        <w:t>万元。主要用于支付公务用车车辆保险费</w:t>
      </w:r>
      <w:r>
        <w:rPr>
          <w:rFonts w:hint="default" w:ascii="Times New Roman" w:hAnsi="Times New Roman" w:eastAsia="方正仿宋_GBK" w:cs="Times New Roman"/>
          <w:sz w:val="32"/>
          <w:szCs w:val="32"/>
          <w:lang w:eastAsia="zh-CN"/>
        </w:rPr>
        <w:t>，车辆维修费，中心办公设备采购</w:t>
      </w:r>
      <w:r>
        <w:rPr>
          <w:rFonts w:hint="default" w:ascii="Times New Roman" w:hAnsi="Times New Roman" w:eastAsia="方正仿宋_GBK" w:cs="Times New Roman"/>
          <w:sz w:val="32"/>
          <w:szCs w:val="32"/>
        </w:rPr>
        <w:t>。授予中小企业合同金额0万元，占政府采购支出总额的0%，其中：授予小微企业合同金额0万元，占政府采购支出总额的0%。</w:t>
      </w:r>
    </w:p>
    <w:p w14:paraId="1BE7EEEA">
      <w:pPr>
        <w:pageBreakBefore w:val="0"/>
        <w:kinsoku/>
        <w:wordWrap/>
        <w:overflowPunct/>
        <w:topLinePunct w:val="0"/>
        <w:autoSpaceDE/>
        <w:autoSpaceDN/>
        <w:bidi w:val="0"/>
        <w:spacing w:line="576" w:lineRule="exact"/>
        <w:ind w:left="0" w:leftChars="0" w:firstLine="643" w:firstLineChars="200"/>
        <w:outlineLvl w:val="2"/>
        <w:rPr>
          <w:rFonts w:hint="default" w:ascii="Times New Roman" w:hAnsi="Times New Roman" w:eastAsia="方正楷体_GB2312" w:cs="Times New Roman"/>
          <w:b/>
          <w:bCs w:val="0"/>
          <w:sz w:val="32"/>
          <w:szCs w:val="32"/>
        </w:rPr>
      </w:pPr>
      <w:bookmarkStart w:id="36" w:name="_Toc15377224"/>
      <w:r>
        <w:rPr>
          <w:rFonts w:hint="default" w:ascii="Times New Roman" w:hAnsi="Times New Roman" w:eastAsia="方正楷体_GB2312" w:cs="Times New Roman"/>
          <w:b/>
          <w:bCs w:val="0"/>
          <w:sz w:val="32"/>
          <w:szCs w:val="32"/>
        </w:rPr>
        <w:t>（三）国有资产占有使用情况</w:t>
      </w:r>
      <w:bookmarkEnd w:id="36"/>
    </w:p>
    <w:p w14:paraId="2BC543ED">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截至202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12月31日，四川省阿坝州电影服务中心共有车辆1辆，其中：主要负责人用车0辆、机要通信用车0辆、应急保障用车0辆、其他用车1辆，其他用车主要是用于对13县农村电影放映的监管工作，影城工作，中心工作等。单价100万元（含）以上设备（不含车辆）2台（套）。</w:t>
      </w:r>
    </w:p>
    <w:p w14:paraId="49CBA86C">
      <w:pPr>
        <w:pageBreakBefore w:val="0"/>
        <w:kinsoku/>
        <w:wordWrap/>
        <w:overflowPunct/>
        <w:topLinePunct w:val="0"/>
        <w:autoSpaceDE/>
        <w:autoSpaceDN/>
        <w:bidi w:val="0"/>
        <w:spacing w:line="576" w:lineRule="exact"/>
        <w:ind w:left="0" w:leftChars="0" w:firstLine="643" w:firstLineChars="200"/>
        <w:outlineLvl w:val="2"/>
        <w:rPr>
          <w:rFonts w:hint="default" w:ascii="Times New Roman" w:hAnsi="Times New Roman" w:eastAsia="方正楷体_GB2312" w:cs="Times New Roman"/>
          <w:b/>
          <w:bCs w:val="0"/>
          <w:sz w:val="32"/>
          <w:szCs w:val="32"/>
        </w:rPr>
      </w:pPr>
      <w:r>
        <w:rPr>
          <w:rFonts w:hint="default" w:ascii="Times New Roman" w:hAnsi="Times New Roman" w:eastAsia="方正楷体_GB2312" w:cs="Times New Roman"/>
          <w:b/>
          <w:bCs w:val="0"/>
          <w:sz w:val="32"/>
          <w:szCs w:val="32"/>
        </w:rPr>
        <w:t>（四）预算绩效管理情况</w:t>
      </w:r>
    </w:p>
    <w:p w14:paraId="228C7210">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根据预算绩效管理要求，本单位在202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年度预算编制阶段，组织对</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项目（影城运行，农村数字电影监管平台运行维护费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农村公益性电影放映运行费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办公设备采购</w:t>
      </w:r>
      <w:r>
        <w:rPr>
          <w:rFonts w:hint="default" w:ascii="Times New Roman" w:hAnsi="Times New Roman" w:eastAsia="方正仿宋_GBK" w:cs="Times New Roman"/>
          <w:sz w:val="32"/>
          <w:szCs w:val="32"/>
        </w:rPr>
        <w:t>）等</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个项目开展了预算事前绩效评估，对</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个项目编制了绩效目标，预算执行过程中，选取</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个项目开展绩效监控，组织对</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个项目开展绩效自评，绩效自评表详见第四部分附件。</w:t>
      </w:r>
    </w:p>
    <w:p w14:paraId="27F94BD0">
      <w:pPr>
        <w:pStyle w:val="5"/>
        <w:pageBreakBefore w:val="0"/>
        <w:widowControl w:val="0"/>
        <w:kinsoku/>
        <w:wordWrap/>
        <w:overflowPunct/>
        <w:topLinePunct w:val="0"/>
        <w:autoSpaceDE/>
        <w:autoSpaceDN/>
        <w:bidi w:val="0"/>
        <w:adjustRightInd/>
        <w:snapToGrid/>
        <w:spacing w:before="0" w:after="0" w:line="576" w:lineRule="exact"/>
        <w:jc w:val="center"/>
        <w:textAlignment w:val="auto"/>
        <w:rPr>
          <w:rStyle w:val="30"/>
          <w:rFonts w:hint="default" w:ascii="Times New Roman" w:hAnsi="Times New Roman" w:eastAsia="方正小标宋_GBK" w:cs="Times New Roman"/>
          <w:b w:val="0"/>
          <w:bCs w:val="0"/>
          <w:sz w:val="44"/>
          <w:szCs w:val="44"/>
        </w:rPr>
      </w:pPr>
      <w:bookmarkStart w:id="37" w:name="_Toc15377225"/>
      <w:bookmarkStart w:id="38" w:name="_Toc15396613"/>
    </w:p>
    <w:p w14:paraId="7DB9B098">
      <w:pPr>
        <w:pStyle w:val="5"/>
        <w:pageBreakBefore w:val="0"/>
        <w:widowControl w:val="0"/>
        <w:kinsoku/>
        <w:wordWrap/>
        <w:overflowPunct/>
        <w:topLinePunct w:val="0"/>
        <w:autoSpaceDE/>
        <w:autoSpaceDN/>
        <w:bidi w:val="0"/>
        <w:adjustRightInd/>
        <w:snapToGrid/>
        <w:spacing w:before="0" w:after="0" w:line="576" w:lineRule="exact"/>
        <w:jc w:val="center"/>
        <w:textAlignment w:val="auto"/>
        <w:rPr>
          <w:rStyle w:val="30"/>
          <w:rFonts w:hint="default" w:ascii="Times New Roman" w:hAnsi="Times New Roman" w:eastAsia="方正小标宋_GBK" w:cs="Times New Roman"/>
          <w:b w:val="0"/>
          <w:bCs w:val="0"/>
          <w:sz w:val="44"/>
          <w:szCs w:val="44"/>
        </w:rPr>
      </w:pPr>
      <w:r>
        <w:rPr>
          <w:rStyle w:val="30"/>
          <w:rFonts w:hint="default" w:ascii="Times New Roman" w:hAnsi="Times New Roman" w:eastAsia="方正小标宋_GBK" w:cs="Times New Roman"/>
          <w:b w:val="0"/>
          <w:bCs w:val="0"/>
          <w:sz w:val="44"/>
          <w:szCs w:val="44"/>
        </w:rPr>
        <w:t>第三部分名词解释</w:t>
      </w:r>
      <w:bookmarkEnd w:id="37"/>
      <w:bookmarkEnd w:id="38"/>
    </w:p>
    <w:p w14:paraId="57B8BE77">
      <w:pPr>
        <w:pageBreakBefore w:val="0"/>
        <w:kinsoku/>
        <w:wordWrap/>
        <w:overflowPunct/>
        <w:topLinePunct w:val="0"/>
        <w:autoSpaceDE/>
        <w:autoSpaceDN/>
        <w:bidi w:val="0"/>
        <w:spacing w:line="576" w:lineRule="exact"/>
        <w:ind w:left="0" w:leftChars="0"/>
        <w:jc w:val="left"/>
        <w:rPr>
          <w:rFonts w:hint="default" w:ascii="Times New Roman" w:hAnsi="Times New Roman" w:cs="Times New Roman"/>
          <w:b/>
          <w:sz w:val="44"/>
          <w:szCs w:val="44"/>
        </w:rPr>
      </w:pPr>
    </w:p>
    <w:p w14:paraId="656FAFD3">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bookmarkStart w:id="39" w:name="_Toc15377226"/>
      <w:r>
        <w:rPr>
          <w:rFonts w:hint="default" w:ascii="Times New Roman" w:hAnsi="Times New Roman" w:eastAsia="方正仿宋_GBK" w:cs="Times New Roman"/>
          <w:b/>
          <w:bCs/>
          <w:kern w:val="2"/>
          <w:sz w:val="32"/>
          <w:szCs w:val="32"/>
          <w:lang w:val="en-US" w:eastAsia="zh-CN" w:bidi="ar-SA"/>
        </w:rPr>
        <w:t>1.财政拨款收入：</w:t>
      </w:r>
      <w:r>
        <w:rPr>
          <w:rFonts w:hint="default" w:ascii="Times New Roman" w:hAnsi="Times New Roman" w:eastAsia="方正仿宋_GBK" w:cs="Times New Roman"/>
          <w:sz w:val="32"/>
          <w:szCs w:val="32"/>
        </w:rPr>
        <w:t>指单位从同级财政部门取得的财政预算资金。</w:t>
      </w:r>
    </w:p>
    <w:p w14:paraId="08B90E44">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2.事业收入：</w:t>
      </w:r>
      <w:r>
        <w:rPr>
          <w:rFonts w:hint="default" w:ascii="Times New Roman" w:hAnsi="Times New Roman" w:eastAsia="方正仿宋_GBK" w:cs="Times New Roman"/>
          <w:sz w:val="32"/>
          <w:szCs w:val="32"/>
        </w:rPr>
        <w:t>指事业单位开展专业业务活动及辅助活动取得的收入。如…（二级预算单位事业收入情况）等。</w:t>
      </w:r>
    </w:p>
    <w:p w14:paraId="3E650DA9">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3.经营收入：</w:t>
      </w:r>
      <w:r>
        <w:rPr>
          <w:rFonts w:hint="default" w:ascii="Times New Roman" w:hAnsi="Times New Roman" w:eastAsia="方正仿宋_GBK" w:cs="Times New Roman"/>
          <w:sz w:val="32"/>
          <w:szCs w:val="32"/>
        </w:rPr>
        <w:t>指事业单位在专业业务活动及其辅助活动之外开展非独立核算经营活动取得的收入。如…（二级预算单位经营收入情况）等。</w:t>
      </w:r>
    </w:p>
    <w:p w14:paraId="45C9E6C2">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4.其他收入：</w:t>
      </w:r>
      <w:r>
        <w:rPr>
          <w:rFonts w:hint="default" w:ascii="Times New Roman" w:hAnsi="Times New Roman" w:eastAsia="方正仿宋_GBK" w:cs="Times New Roman"/>
          <w:sz w:val="32"/>
          <w:szCs w:val="32"/>
        </w:rPr>
        <w:t>指单位取得的除上述收入以外的各项收入。主要是…（收入类型）等。</w:t>
      </w:r>
    </w:p>
    <w:p w14:paraId="6DA67C90">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5.使用非财政拨款结余：</w:t>
      </w:r>
      <w:r>
        <w:rPr>
          <w:rFonts w:hint="default" w:ascii="Times New Roman" w:hAnsi="Times New Roman" w:eastAsia="方正仿宋_GBK" w:cs="Times New Roman"/>
          <w:sz w:val="32"/>
          <w:szCs w:val="32"/>
        </w:rPr>
        <w:t>指事业单位使用以前年度积累的非财政拨款结余弥补当年收支差额的金额。</w:t>
      </w:r>
    </w:p>
    <w:p w14:paraId="27058338">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6.年初结转和结余</w:t>
      </w:r>
      <w:r>
        <w:rPr>
          <w:rFonts w:hint="default" w:ascii="Times New Roman" w:hAnsi="Times New Roman" w:eastAsia="方正仿宋_GBK" w:cs="Times New Roman"/>
          <w:sz w:val="32"/>
          <w:szCs w:val="32"/>
        </w:rPr>
        <w:t>：指以前年度尚未完成、结转到本年按有关规定继续使用的资金。</w:t>
      </w:r>
    </w:p>
    <w:p w14:paraId="1987CC32">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7.结余分配：</w:t>
      </w:r>
      <w:r>
        <w:rPr>
          <w:rFonts w:hint="default" w:ascii="Times New Roman" w:hAnsi="Times New Roman" w:eastAsia="方正仿宋_GBK" w:cs="Times New Roman"/>
          <w:sz w:val="32"/>
          <w:szCs w:val="32"/>
        </w:rPr>
        <w:t>指事业单位按照会计制度规定缴纳的所得税、提取的专用结余以及转入非财政拨款结余的金额等。</w:t>
      </w:r>
    </w:p>
    <w:p w14:paraId="09B14D45">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8、年末结转和结余</w:t>
      </w:r>
      <w:r>
        <w:rPr>
          <w:rFonts w:hint="default" w:ascii="Times New Roman" w:hAnsi="Times New Roman" w:eastAsia="方正仿宋_GBK" w:cs="Times New Roman"/>
          <w:sz w:val="32"/>
          <w:szCs w:val="32"/>
        </w:rPr>
        <w:t>：指单位按有关规定结转到下年或以后年度继续使用的资金。</w:t>
      </w:r>
    </w:p>
    <w:p w14:paraId="71EDFEE5">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9.文化体育与传媒（类）其他文化体育与传媒（款）宣传文化发展专项支出（项）</w:t>
      </w:r>
      <w:r>
        <w:rPr>
          <w:rFonts w:hint="default" w:ascii="Times New Roman" w:hAnsi="Times New Roman" w:eastAsia="方正仿宋_GBK" w:cs="Times New Roman"/>
          <w:sz w:val="32"/>
          <w:szCs w:val="32"/>
        </w:rPr>
        <w:t>：指宣传部按照国家有关政策支持宣传文化单位发展的专项支出。</w:t>
      </w:r>
    </w:p>
    <w:p w14:paraId="5258852F">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10.社会保障和就业支出（类）行政事业单位离退休（款）机关事业单位基本养老保险缴费（项）</w:t>
      </w:r>
      <w:r>
        <w:rPr>
          <w:rFonts w:hint="default" w:ascii="Times New Roman" w:hAnsi="Times New Roman" w:eastAsia="方正仿宋_GBK" w:cs="Times New Roman"/>
          <w:sz w:val="32"/>
          <w:szCs w:val="32"/>
        </w:rPr>
        <w:t>：指机关事业单位实施养老保险制度由单位缴纳的基本养老保险费支出。</w:t>
      </w:r>
    </w:p>
    <w:p w14:paraId="28FA4ECB">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11.社会保障和就业支出（类）行政事业单位离退休（款）机关事业单位职业年金缴费（项）</w:t>
      </w:r>
      <w:r>
        <w:rPr>
          <w:rFonts w:hint="default" w:ascii="Times New Roman" w:hAnsi="Times New Roman" w:eastAsia="方正仿宋_GBK" w:cs="Times New Roman"/>
          <w:sz w:val="32"/>
          <w:szCs w:val="32"/>
        </w:rPr>
        <w:t>：指机关事业单位实施养老保险制度由单位实际缴纳的职业年金支出。</w:t>
      </w:r>
    </w:p>
    <w:p w14:paraId="25AD78BF">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12.医疗卫生与计划生育支出（类）行政事业单位医疗（款）行政单位医疗（项）</w:t>
      </w:r>
      <w:r>
        <w:rPr>
          <w:rFonts w:hint="default" w:ascii="Times New Roman" w:hAnsi="Times New Roman" w:eastAsia="方正仿宋_GBK" w:cs="Times New Roman"/>
          <w:sz w:val="32"/>
          <w:szCs w:val="32"/>
        </w:rPr>
        <w:t>：指由行政单位缴纳的医疗保险费支出。</w:t>
      </w:r>
    </w:p>
    <w:p w14:paraId="0AFDF74E">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13.医疗卫生与计划生育支出（类）行政事业单位医疗（款）公务员医疗补助（项）：</w:t>
      </w:r>
      <w:r>
        <w:rPr>
          <w:rFonts w:hint="default" w:ascii="Times New Roman" w:hAnsi="Times New Roman" w:eastAsia="方正仿宋_GBK" w:cs="Times New Roman"/>
          <w:sz w:val="32"/>
          <w:szCs w:val="32"/>
        </w:rPr>
        <w:t>指由行政单位缴纳的公务员医疗补助费。</w:t>
      </w:r>
    </w:p>
    <w:p w14:paraId="4C051C7D">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14.住房保障支出（类）住房改革支出（款）住房公积金（项）：</w:t>
      </w:r>
      <w:r>
        <w:rPr>
          <w:rFonts w:hint="default" w:ascii="Times New Roman" w:hAnsi="Times New Roman" w:eastAsia="方正仿宋_GBK" w:cs="Times New Roman"/>
          <w:sz w:val="32"/>
          <w:szCs w:val="32"/>
        </w:rPr>
        <w:t>按人力资源和社会保障部、财政部规定的基本工资和津补贴以及规定比例为职工缴纳的住房公积金。</w:t>
      </w:r>
    </w:p>
    <w:p w14:paraId="7B22C73D">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15.基本支出：</w:t>
      </w:r>
      <w:r>
        <w:rPr>
          <w:rFonts w:hint="default" w:ascii="Times New Roman" w:hAnsi="Times New Roman" w:eastAsia="方正仿宋_GBK" w:cs="Times New Roman"/>
          <w:sz w:val="32"/>
          <w:szCs w:val="32"/>
        </w:rPr>
        <w:t>指为保障机构正常运转、完成日常工作任务而发生的人员支出和公用支出。</w:t>
      </w:r>
    </w:p>
    <w:p w14:paraId="00427B94">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16.项目支出：</w:t>
      </w:r>
      <w:r>
        <w:rPr>
          <w:rFonts w:hint="default" w:ascii="Times New Roman" w:hAnsi="Times New Roman" w:eastAsia="方正仿宋_GBK" w:cs="Times New Roman"/>
          <w:sz w:val="32"/>
          <w:szCs w:val="32"/>
        </w:rPr>
        <w:t xml:space="preserve">指在基本支出之外为完成特定行政任务和事业发展目标所发生的支出。 </w:t>
      </w:r>
    </w:p>
    <w:p w14:paraId="118B9F88">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17.经营支出：</w:t>
      </w:r>
      <w:r>
        <w:rPr>
          <w:rFonts w:hint="default" w:ascii="Times New Roman" w:hAnsi="Times New Roman" w:eastAsia="方正仿宋_GBK" w:cs="Times New Roman"/>
          <w:sz w:val="32"/>
          <w:szCs w:val="32"/>
        </w:rPr>
        <w:t>指事业单位在专业业务活动及其辅助活动之外开展非独立核算经营活动发生的支出。</w:t>
      </w:r>
    </w:p>
    <w:p w14:paraId="3473D1D1">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18.“三公”经费：</w:t>
      </w:r>
      <w:r>
        <w:rPr>
          <w:rFonts w:hint="default" w:ascii="Times New Roman" w:hAnsi="Times New Roman" w:eastAsia="方正仿宋_GBK" w:cs="Times New Roman"/>
          <w:sz w:val="32"/>
          <w:szCs w:val="32"/>
        </w:rPr>
        <w:t>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A45039D">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kern w:val="2"/>
          <w:sz w:val="32"/>
          <w:szCs w:val="32"/>
          <w:lang w:val="en-US" w:eastAsia="zh-CN" w:bidi="ar-SA"/>
        </w:rPr>
        <w:t>19．人员经费:</w:t>
      </w:r>
      <w:r>
        <w:rPr>
          <w:rFonts w:hint="default" w:ascii="Times New Roman" w:hAnsi="Times New Roman" w:eastAsia="方正仿宋_GBK" w:cs="Times New Roman"/>
          <w:sz w:val="32"/>
          <w:szCs w:val="32"/>
        </w:rPr>
        <w:t>为保障的各类劳动报酬以及缴纳的社会各项社会保险费，包括基本工资、津贴补贴、奖金、其他社会保障缴费、伙食补助费、绩效工资、机关事业单位基本养老保险缴费、职业年金缴费其他社会保障缴费、其他工资福利支出。</w:t>
      </w:r>
    </w:p>
    <w:p w14:paraId="071A04AD">
      <w:pPr>
        <w:pageBreakBefore w:val="0"/>
        <w:kinsoku/>
        <w:wordWrap/>
        <w:overflowPunct/>
        <w:topLinePunct w:val="0"/>
        <w:autoSpaceDE/>
        <w:autoSpaceDN/>
        <w:bidi w:val="0"/>
        <w:spacing w:line="576" w:lineRule="exact"/>
        <w:ind w:left="0" w:leftChars="0" w:firstLine="643" w:firstLineChars="200"/>
        <w:jc w:val="center"/>
        <w:outlineLvl w:val="2"/>
        <w:rPr>
          <w:rFonts w:hint="default" w:ascii="Times New Roman" w:hAnsi="Times New Roman" w:eastAsia="黑体" w:cs="Times New Roman"/>
          <w:sz w:val="44"/>
          <w:szCs w:val="44"/>
        </w:rPr>
      </w:pPr>
      <w:r>
        <w:rPr>
          <w:rFonts w:hint="default" w:ascii="Times New Roman" w:hAnsi="Times New Roman" w:eastAsia="方正仿宋_GBK" w:cs="Times New Roman"/>
          <w:b/>
          <w:bCs/>
          <w:sz w:val="32"/>
          <w:szCs w:val="32"/>
        </w:rPr>
        <w:t>20.对个人和家庭的补助：为保障个人和家庭的补助支出，包括离休费、退休费、抚恤金、生活补助、救济费、医疗费、助学金、奖励金、生产补贴、住房公积金、提租补贴、购房贴、采暖补贴、其他对个人和家庭的补助支出</w:t>
      </w:r>
      <w:r>
        <w:rPr>
          <w:rFonts w:hint="default" w:ascii="Times New Roman" w:hAnsi="Times New Roman" w:eastAsia="方正仿宋_GBK" w:cs="Times New Roman"/>
          <w:b/>
          <w:bCs/>
          <w:sz w:val="32"/>
          <w:szCs w:val="32"/>
        </w:rPr>
        <w:br w:type="page"/>
      </w:r>
      <w:bookmarkStart w:id="40" w:name="_Toc15396614"/>
      <w:r>
        <w:rPr>
          <w:rStyle w:val="30"/>
          <w:rFonts w:hint="default" w:ascii="Times New Roman" w:hAnsi="Times New Roman" w:eastAsia="方正小标宋_GBK" w:cs="Times New Roman"/>
          <w:b w:val="0"/>
          <w:bCs w:val="0"/>
          <w:sz w:val="44"/>
          <w:szCs w:val="44"/>
          <w:lang w:val="en-US" w:eastAsia="zh-CN"/>
        </w:rPr>
        <w:t>第四部分 附件</w:t>
      </w:r>
      <w:bookmarkEnd w:id="40"/>
    </w:p>
    <w:p w14:paraId="6ECE6CF6">
      <w:pPr>
        <w:pageBreakBefore w:val="0"/>
        <w:widowControl/>
        <w:kinsoku/>
        <w:wordWrap/>
        <w:overflowPunct/>
        <w:topLinePunct w:val="0"/>
        <w:autoSpaceDE/>
        <w:autoSpaceDN/>
        <w:bidi w:val="0"/>
        <w:spacing w:line="576" w:lineRule="exact"/>
        <w:ind w:left="0" w:leftChars="0"/>
        <w:contextualSpacing/>
        <w:jc w:val="center"/>
        <w:rPr>
          <w:rFonts w:hint="default" w:ascii="Times New Roman" w:hAnsi="Times New Roman" w:eastAsia="宋体" w:cs="Times New Roman"/>
          <w:b/>
          <w:sz w:val="44"/>
          <w:szCs w:val="44"/>
          <w:shd w:val="clear" w:color="auto" w:fill="FFFFFF"/>
          <w:lang w:eastAsia="zh-CN"/>
        </w:rPr>
      </w:pPr>
      <w:r>
        <w:rPr>
          <w:rFonts w:hint="default" w:ascii="Times New Roman" w:hAnsi="Times New Roman" w:eastAsia="宋体" w:cs="Times New Roman"/>
          <w:b/>
          <w:sz w:val="44"/>
          <w:szCs w:val="44"/>
          <w:shd w:val="clear" w:color="auto" w:fill="FFFFFF"/>
          <w:lang w:eastAsia="zh-CN"/>
        </w:rPr>
        <w:t>阿坝州电影服务中心</w:t>
      </w:r>
    </w:p>
    <w:p w14:paraId="458BF306">
      <w:pPr>
        <w:pageBreakBefore w:val="0"/>
        <w:widowControl/>
        <w:kinsoku/>
        <w:wordWrap/>
        <w:overflowPunct/>
        <w:topLinePunct w:val="0"/>
        <w:autoSpaceDE/>
        <w:autoSpaceDN/>
        <w:bidi w:val="0"/>
        <w:spacing w:line="576" w:lineRule="exact"/>
        <w:ind w:left="0" w:leftChars="0"/>
        <w:contextualSpacing/>
        <w:jc w:val="center"/>
        <w:rPr>
          <w:rFonts w:hint="default" w:ascii="Times New Roman" w:hAnsi="Times New Roman" w:eastAsia="微软雅黑" w:cs="Times New Roman"/>
          <w:bCs/>
          <w:sz w:val="44"/>
          <w:szCs w:val="44"/>
          <w:shd w:val="clear" w:color="auto" w:fill="FFFFFF"/>
        </w:rPr>
      </w:pPr>
      <w:r>
        <w:rPr>
          <w:rFonts w:hint="default" w:ascii="Times New Roman" w:hAnsi="Times New Roman" w:eastAsia="微软雅黑" w:cs="Times New Roman"/>
          <w:bCs/>
          <w:sz w:val="44"/>
          <w:szCs w:val="44"/>
          <w:shd w:val="clear" w:color="auto" w:fill="FFFFFF"/>
        </w:rPr>
        <w:t>部门预算绩效自评报告</w:t>
      </w:r>
    </w:p>
    <w:p w14:paraId="0834F9F4">
      <w:pPr>
        <w:pageBreakBefore w:val="0"/>
        <w:widowControl/>
        <w:kinsoku/>
        <w:wordWrap/>
        <w:overflowPunct/>
        <w:topLinePunct w:val="0"/>
        <w:autoSpaceDE/>
        <w:autoSpaceDN/>
        <w:bidi w:val="0"/>
        <w:spacing w:line="576" w:lineRule="exact"/>
        <w:ind w:left="0" w:leftChars="0"/>
        <w:contextualSpacing/>
        <w:jc w:val="center"/>
        <w:rPr>
          <w:rFonts w:hint="default" w:ascii="Times New Roman" w:hAnsi="Times New Roman" w:cs="Times New Roman"/>
          <w:szCs w:val="32"/>
          <w:shd w:val="clear" w:color="auto" w:fill="FFFFFF"/>
        </w:rPr>
      </w:pPr>
    </w:p>
    <w:p w14:paraId="7EB7DA9E">
      <w:pPr>
        <w:pageBreakBefore w:val="0"/>
        <w:widowControl/>
        <w:kinsoku/>
        <w:wordWrap/>
        <w:overflowPunct/>
        <w:topLinePunct w:val="0"/>
        <w:autoSpaceDE/>
        <w:autoSpaceDN/>
        <w:bidi w:val="0"/>
        <w:adjustRightInd w:val="0"/>
        <w:snapToGrid w:val="0"/>
        <w:spacing w:line="576" w:lineRule="exact"/>
        <w:ind w:left="0" w:leftChars="0" w:firstLine="480" w:firstLineChars="200"/>
        <w:contextualSpacing/>
        <w:jc w:val="left"/>
        <w:rPr>
          <w:rFonts w:hint="default" w:ascii="Times New Roman" w:hAnsi="Times New Roman" w:eastAsia="黑体" w:cs="Times New Roman"/>
          <w:color w:val="000000"/>
          <w:kern w:val="0"/>
          <w:sz w:val="24"/>
          <w:szCs w:val="32"/>
          <w:shd w:val="clear" w:color="auto" w:fill="FFFFFF"/>
        </w:rPr>
      </w:pPr>
    </w:p>
    <w:p w14:paraId="51975941">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r>
        <w:rPr>
          <w:rFonts w:hint="default" w:ascii="Times New Roman" w:hAnsi="Times New Roman" w:eastAsia="方正黑体_GBK" w:cs="Times New Roman"/>
          <w:b w:val="0"/>
          <w:bCs/>
          <w:kern w:val="2"/>
          <w:sz w:val="32"/>
          <w:szCs w:val="32"/>
          <w:lang w:val="zh-CN" w:eastAsia="zh-CN" w:bidi="ar-SA"/>
        </w:rPr>
        <w:t>一、部门（单位）基本情况</w:t>
      </w:r>
    </w:p>
    <w:p w14:paraId="15C55348">
      <w:pPr>
        <w:pageBreakBefore w:val="0"/>
        <w:kinsoku/>
        <w:wordWrap/>
        <w:overflowPunct/>
        <w:topLinePunct w:val="0"/>
        <w:autoSpaceDE/>
        <w:autoSpaceDN/>
        <w:bidi w:val="0"/>
        <w:spacing w:line="576" w:lineRule="exact"/>
        <w:ind w:left="0" w:leftChars="0" w:firstLine="643" w:firstLineChars="200"/>
        <w:outlineLvl w:val="2"/>
        <w:rPr>
          <w:rFonts w:hint="default" w:ascii="Times New Roman" w:hAnsi="Times New Roman" w:eastAsia="方正楷体_GB2312" w:cs="Times New Roman"/>
          <w:b/>
          <w:bCs w:val="0"/>
          <w:sz w:val="32"/>
          <w:szCs w:val="32"/>
          <w:lang w:val="zh-CN"/>
        </w:rPr>
      </w:pPr>
      <w:r>
        <w:rPr>
          <w:rFonts w:hint="default" w:ascii="Times New Roman" w:hAnsi="Times New Roman" w:eastAsia="方正楷体_GB2312" w:cs="Times New Roman"/>
          <w:b/>
          <w:bCs w:val="0"/>
          <w:sz w:val="32"/>
          <w:szCs w:val="32"/>
          <w:lang w:val="zh-CN"/>
        </w:rPr>
        <w:t>（一）机构组成</w:t>
      </w:r>
    </w:p>
    <w:p w14:paraId="2284B991">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阿坝州电影服务中心成立于1959年1月，1998年11月，经州政府第八次常务会确定为差额补贴事业单位； 2014年1月，经全州事业单位分类改革确定为公益二类事业单位，将原“阿坝藏族羌族自治州电影发行放映公司”更名为“阿坝藏族羌族自治州电影服务中心”；2019年6月，经机构改革调整，划归中共阿坝州委宣传部管理。</w:t>
      </w:r>
    </w:p>
    <w:p w14:paraId="67ED5D7E">
      <w:pPr>
        <w:pageBreakBefore w:val="0"/>
        <w:kinsoku/>
        <w:wordWrap/>
        <w:overflowPunct/>
        <w:topLinePunct w:val="0"/>
        <w:autoSpaceDE/>
        <w:autoSpaceDN/>
        <w:bidi w:val="0"/>
        <w:spacing w:line="576" w:lineRule="exact"/>
        <w:ind w:left="0" w:leftChars="0" w:firstLine="643" w:firstLineChars="200"/>
        <w:outlineLvl w:val="2"/>
        <w:rPr>
          <w:rFonts w:hint="default" w:ascii="Times New Roman" w:hAnsi="Times New Roman" w:eastAsia="方正楷体_GB2312" w:cs="Times New Roman"/>
          <w:b/>
          <w:bCs w:val="0"/>
          <w:sz w:val="32"/>
          <w:szCs w:val="32"/>
          <w:lang w:val="zh-CN"/>
        </w:rPr>
      </w:pPr>
      <w:r>
        <w:rPr>
          <w:rFonts w:hint="default" w:ascii="Times New Roman" w:hAnsi="Times New Roman" w:eastAsia="方正楷体_GB2312" w:cs="Times New Roman"/>
          <w:b/>
          <w:bCs w:val="0"/>
          <w:sz w:val="32"/>
          <w:szCs w:val="32"/>
          <w:lang w:val="zh-CN"/>
        </w:rPr>
        <w:t>（二）机构职能</w:t>
      </w:r>
    </w:p>
    <w:p w14:paraId="0F1FAEF8">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rPr>
        <w:t>我单位现为中共阿坝州委宣传部直属的具有独立法人资格的差额拨款公益性二类科级事业机构。其职责为繁荣文化市场、丰富人民群众文化生活，负责全州农村公益电影放映组织管理，协助主管部门完成全州公益电影放映任务，做好</w:t>
      </w:r>
      <w:r>
        <w:rPr>
          <w:rFonts w:hint="default" w:ascii="Times New Roman" w:hAnsi="Times New Roman" w:eastAsia="方正仿宋_GBK" w:cs="Times New Roman"/>
          <w:sz w:val="32"/>
          <w:szCs w:val="32"/>
          <w:lang w:eastAsia="zh-CN"/>
        </w:rPr>
        <w:t>各县</w:t>
      </w:r>
      <w:r>
        <w:rPr>
          <w:rFonts w:hint="default" w:ascii="Times New Roman" w:hAnsi="Times New Roman" w:eastAsia="方正仿宋_GBK" w:cs="Times New Roman"/>
          <w:sz w:val="32"/>
          <w:szCs w:val="32"/>
        </w:rPr>
        <w:t>城市影院建设</w:t>
      </w:r>
      <w:r>
        <w:rPr>
          <w:rFonts w:hint="default" w:ascii="Times New Roman" w:hAnsi="Times New Roman" w:eastAsia="方正仿宋_GBK" w:cs="Times New Roman"/>
          <w:sz w:val="32"/>
          <w:szCs w:val="32"/>
          <w:lang w:eastAsia="zh-CN"/>
        </w:rPr>
        <w:t>技术指导工作</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做好州府马</w:t>
      </w:r>
      <w:r>
        <w:rPr>
          <w:rFonts w:hint="default" w:ascii="Times New Roman" w:hAnsi="Times New Roman" w:eastAsia="方正仿宋_GBK" w:cs="Times New Roman"/>
          <w:sz w:val="32"/>
          <w:szCs w:val="32"/>
        </w:rPr>
        <w:t>尔康太平洋影城经营、管理。</w:t>
      </w:r>
    </w:p>
    <w:p w14:paraId="3DE44F1B">
      <w:pPr>
        <w:pageBreakBefore w:val="0"/>
        <w:kinsoku/>
        <w:wordWrap/>
        <w:overflowPunct/>
        <w:topLinePunct w:val="0"/>
        <w:autoSpaceDE/>
        <w:autoSpaceDN/>
        <w:bidi w:val="0"/>
        <w:spacing w:line="576" w:lineRule="exact"/>
        <w:ind w:left="0" w:leftChars="0" w:firstLine="643" w:firstLineChars="200"/>
        <w:outlineLvl w:val="2"/>
        <w:rPr>
          <w:rFonts w:hint="default" w:ascii="Times New Roman" w:hAnsi="Times New Roman" w:eastAsia="方正楷体_GB2312" w:cs="Times New Roman"/>
          <w:b/>
          <w:bCs w:val="0"/>
          <w:sz w:val="32"/>
          <w:szCs w:val="32"/>
          <w:lang w:val="zh-CN"/>
        </w:rPr>
      </w:pPr>
      <w:r>
        <w:rPr>
          <w:rFonts w:hint="default" w:ascii="Times New Roman" w:hAnsi="Times New Roman" w:eastAsia="方正楷体_GB2312" w:cs="Times New Roman"/>
          <w:b/>
          <w:bCs w:val="0"/>
          <w:sz w:val="32"/>
          <w:szCs w:val="32"/>
          <w:lang w:val="zh-CN"/>
        </w:rPr>
        <w:t>（</w:t>
      </w:r>
      <w:r>
        <w:rPr>
          <w:rFonts w:hint="default" w:ascii="Times New Roman" w:hAnsi="Times New Roman" w:eastAsia="方正楷体_GB2312" w:cs="Times New Roman"/>
          <w:b/>
          <w:bCs w:val="0"/>
          <w:sz w:val="32"/>
          <w:szCs w:val="32"/>
          <w:lang w:val="en-US" w:eastAsia="zh-CN"/>
        </w:rPr>
        <w:t>三</w:t>
      </w:r>
      <w:r>
        <w:rPr>
          <w:rFonts w:hint="default" w:ascii="Times New Roman" w:hAnsi="Times New Roman" w:eastAsia="方正楷体_GB2312" w:cs="Times New Roman"/>
          <w:b/>
          <w:bCs w:val="0"/>
          <w:sz w:val="32"/>
          <w:szCs w:val="32"/>
          <w:lang w:val="zh-CN"/>
        </w:rPr>
        <w:t>）人员概况</w:t>
      </w:r>
    </w:p>
    <w:p w14:paraId="213BD2B5">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截至2025年末，年末实有人数</w:t>
      </w:r>
      <w:r>
        <w:rPr>
          <w:rFonts w:hint="default" w:ascii="Times New Roman" w:hAnsi="Times New Roman" w:eastAsia="方正仿宋_GBK" w:cs="Times New Roman"/>
          <w:sz w:val="32"/>
          <w:szCs w:val="32"/>
          <w:lang w:val="en-US" w:eastAsia="zh-CN"/>
        </w:rPr>
        <w:t>12人</w:t>
      </w:r>
      <w:r>
        <w:rPr>
          <w:rFonts w:hint="default" w:ascii="Times New Roman" w:hAnsi="Times New Roman" w:eastAsia="方正仿宋_GBK" w:cs="Times New Roman"/>
          <w:sz w:val="32"/>
          <w:szCs w:val="32"/>
        </w:rPr>
        <w:t>。根据（阿编发〔2019〕28号）文件，核事业编制16名。目前，实有在编在岗12人。其中管理岗位3人，为中心领导班子，一正两副，主任为管理岗7级，副主任为管理岗8级；专业技术岗位9人，工勤技能岗位1人。内设机构：2室、1中心、1院，即：办公室、财务室、农村数字电影中心、马尔康太平洋电影城。</w:t>
      </w:r>
    </w:p>
    <w:p w14:paraId="38AFB494">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r>
        <w:rPr>
          <w:rFonts w:hint="default" w:ascii="Times New Roman" w:hAnsi="Times New Roman" w:eastAsia="方正黑体_GBK" w:cs="Times New Roman"/>
          <w:b w:val="0"/>
          <w:bCs/>
          <w:kern w:val="2"/>
          <w:sz w:val="32"/>
          <w:szCs w:val="32"/>
          <w:lang w:val="en-US" w:eastAsia="zh-CN" w:bidi="ar-SA"/>
        </w:rPr>
        <w:t>二、部门资金收支情况</w:t>
      </w:r>
    </w:p>
    <w:p w14:paraId="23894A9E">
      <w:pPr>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rPr>
          <w:rFonts w:hint="default" w:ascii="Times New Roman" w:hAnsi="Times New Roman" w:eastAsia="方正楷体_GB2312" w:cs="Times New Roman"/>
          <w:b/>
          <w:bCs/>
          <w:color w:val="000000"/>
          <w:kern w:val="0"/>
          <w:sz w:val="32"/>
          <w:szCs w:val="32"/>
          <w:shd w:val="clear" w:color="auto" w:fill="FFFFFF"/>
          <w:lang w:val="zh-CN"/>
        </w:rPr>
      </w:pPr>
      <w:r>
        <w:rPr>
          <w:rFonts w:hint="default" w:ascii="Times New Roman" w:hAnsi="Times New Roman" w:eastAsia="方正楷体_GB2312" w:cs="Times New Roman"/>
          <w:b/>
          <w:bCs/>
          <w:color w:val="000000"/>
          <w:kern w:val="0"/>
          <w:sz w:val="32"/>
          <w:szCs w:val="32"/>
          <w:shd w:val="clear" w:color="auto" w:fill="FFFFFF"/>
          <w:lang w:val="zh-CN"/>
        </w:rPr>
        <w:t>（一）收入情况</w:t>
      </w:r>
    </w:p>
    <w:p w14:paraId="55401CD6">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阿坝州电影服务中心202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年年初预算收入</w:t>
      </w:r>
      <w:r>
        <w:rPr>
          <w:rFonts w:hint="default" w:ascii="Times New Roman" w:hAnsi="Times New Roman" w:eastAsia="方正仿宋_GBK" w:cs="Times New Roman"/>
          <w:sz w:val="32"/>
          <w:szCs w:val="32"/>
          <w:lang w:val="en-US" w:eastAsia="zh-CN"/>
        </w:rPr>
        <w:t>475.62</w:t>
      </w:r>
      <w:r>
        <w:rPr>
          <w:rFonts w:hint="default" w:ascii="Times New Roman" w:hAnsi="Times New Roman" w:eastAsia="方正仿宋_GBK" w:cs="Times New Roman"/>
          <w:sz w:val="32"/>
          <w:szCs w:val="32"/>
        </w:rPr>
        <w:t>万元，决算报表收入</w:t>
      </w:r>
      <w:r>
        <w:rPr>
          <w:rFonts w:hint="default" w:ascii="Times New Roman" w:hAnsi="Times New Roman" w:eastAsia="方正仿宋_GBK" w:cs="Times New Roman"/>
          <w:sz w:val="32"/>
          <w:szCs w:val="32"/>
          <w:lang w:val="en-US" w:eastAsia="zh-CN"/>
        </w:rPr>
        <w:t>475.62</w:t>
      </w:r>
      <w:r>
        <w:rPr>
          <w:rFonts w:hint="default" w:ascii="Times New Roman" w:hAnsi="Times New Roman" w:eastAsia="方正仿宋_GBK" w:cs="Times New Roman"/>
          <w:sz w:val="32"/>
          <w:szCs w:val="32"/>
        </w:rPr>
        <w:t>万元。</w:t>
      </w:r>
    </w:p>
    <w:p w14:paraId="1611221E">
      <w:pPr>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rPr>
          <w:rFonts w:hint="default" w:ascii="Times New Roman" w:hAnsi="Times New Roman" w:eastAsia="方正楷体_GB2312" w:cs="Times New Roman"/>
          <w:b/>
          <w:bCs/>
          <w:color w:val="000000"/>
          <w:kern w:val="0"/>
          <w:sz w:val="32"/>
          <w:szCs w:val="32"/>
          <w:shd w:val="clear" w:color="auto" w:fill="FFFFFF"/>
          <w:lang w:val="zh-CN"/>
        </w:rPr>
      </w:pPr>
      <w:r>
        <w:rPr>
          <w:rFonts w:hint="default" w:ascii="Times New Roman" w:hAnsi="Times New Roman" w:eastAsia="方正楷体_GB2312" w:cs="Times New Roman"/>
          <w:b/>
          <w:bCs/>
          <w:color w:val="000000"/>
          <w:kern w:val="0"/>
          <w:sz w:val="32"/>
          <w:szCs w:val="32"/>
          <w:shd w:val="clear" w:color="auto" w:fill="FFFFFF"/>
          <w:lang w:val="zh-CN"/>
        </w:rPr>
        <w:t>（</w:t>
      </w:r>
      <w:r>
        <w:rPr>
          <w:rFonts w:hint="default" w:ascii="Times New Roman" w:hAnsi="Times New Roman" w:eastAsia="方正楷体_GB2312" w:cs="Times New Roman"/>
          <w:b/>
          <w:bCs/>
          <w:color w:val="000000"/>
          <w:kern w:val="0"/>
          <w:sz w:val="32"/>
          <w:szCs w:val="32"/>
          <w:shd w:val="clear" w:color="auto" w:fill="FFFFFF"/>
          <w:lang w:val="en-US" w:eastAsia="zh-CN"/>
        </w:rPr>
        <w:t>二</w:t>
      </w:r>
      <w:r>
        <w:rPr>
          <w:rFonts w:hint="default" w:ascii="Times New Roman" w:hAnsi="Times New Roman" w:eastAsia="方正楷体_GB2312" w:cs="Times New Roman"/>
          <w:b/>
          <w:bCs/>
          <w:color w:val="000000"/>
          <w:kern w:val="0"/>
          <w:sz w:val="32"/>
          <w:szCs w:val="32"/>
          <w:shd w:val="clear" w:color="auto" w:fill="FFFFFF"/>
          <w:lang w:val="zh-CN"/>
        </w:rPr>
        <w:t>）支出情况</w:t>
      </w:r>
    </w:p>
    <w:p w14:paraId="56BD6C22">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年初预算支出情况</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州电影服务中心202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年支出预算</w:t>
      </w:r>
      <w:r>
        <w:rPr>
          <w:rFonts w:hint="default" w:ascii="Times New Roman" w:hAnsi="Times New Roman" w:eastAsia="方正仿宋_GBK" w:cs="Times New Roman"/>
          <w:sz w:val="32"/>
          <w:szCs w:val="32"/>
          <w:lang w:val="en-US" w:eastAsia="zh-CN"/>
        </w:rPr>
        <w:t>475.62</w:t>
      </w:r>
      <w:r>
        <w:rPr>
          <w:rFonts w:hint="default" w:ascii="Times New Roman" w:hAnsi="Times New Roman" w:eastAsia="方正仿宋_GBK" w:cs="Times New Roman"/>
          <w:sz w:val="32"/>
          <w:szCs w:val="32"/>
        </w:rPr>
        <w:t>万元，决算报表支出情况：本年度总支出为</w:t>
      </w:r>
      <w:r>
        <w:rPr>
          <w:rFonts w:hint="default" w:ascii="Times New Roman" w:hAnsi="Times New Roman" w:eastAsia="方正仿宋_GBK" w:cs="Times New Roman"/>
          <w:sz w:val="32"/>
          <w:szCs w:val="32"/>
          <w:lang w:val="en-US" w:eastAsia="zh-CN"/>
        </w:rPr>
        <w:t>475.62</w:t>
      </w:r>
      <w:r>
        <w:rPr>
          <w:rFonts w:hint="default" w:ascii="Times New Roman" w:hAnsi="Times New Roman" w:eastAsia="方正仿宋_GBK" w:cs="Times New Roman"/>
          <w:sz w:val="32"/>
          <w:szCs w:val="32"/>
        </w:rPr>
        <w:t>万元，其中：基本支出为</w:t>
      </w:r>
      <w:r>
        <w:rPr>
          <w:rFonts w:hint="default" w:ascii="Times New Roman" w:hAnsi="Times New Roman" w:eastAsia="方正仿宋_GBK" w:cs="Times New Roman"/>
          <w:sz w:val="32"/>
          <w:szCs w:val="32"/>
          <w:lang w:val="en-US" w:eastAsia="zh-CN"/>
        </w:rPr>
        <w:t>397.2</w:t>
      </w:r>
      <w:r>
        <w:rPr>
          <w:rFonts w:hint="default" w:ascii="Times New Roman" w:hAnsi="Times New Roman" w:eastAsia="方正仿宋_GBK" w:cs="Times New Roman"/>
          <w:sz w:val="32"/>
          <w:szCs w:val="32"/>
        </w:rPr>
        <w:t>万元，项目支出为</w:t>
      </w:r>
      <w:r>
        <w:rPr>
          <w:rFonts w:hint="default" w:ascii="Times New Roman" w:hAnsi="Times New Roman" w:eastAsia="方正仿宋_GBK" w:cs="Times New Roman"/>
          <w:sz w:val="32"/>
          <w:szCs w:val="32"/>
          <w:lang w:val="en-US" w:eastAsia="zh-CN"/>
        </w:rPr>
        <w:t>78.42</w:t>
      </w:r>
      <w:r>
        <w:rPr>
          <w:rFonts w:hint="default" w:ascii="Times New Roman" w:hAnsi="Times New Roman" w:eastAsia="方正仿宋_GBK" w:cs="Times New Roman"/>
          <w:sz w:val="32"/>
          <w:szCs w:val="32"/>
        </w:rPr>
        <w:t>万元。</w:t>
      </w:r>
    </w:p>
    <w:p w14:paraId="1AA87DFC">
      <w:pPr>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rPr>
          <w:rFonts w:hint="default" w:ascii="Times New Roman" w:hAnsi="Times New Roman" w:eastAsia="方正楷体_GB2312" w:cs="Times New Roman"/>
          <w:b/>
          <w:bCs/>
          <w:color w:val="000000"/>
          <w:kern w:val="0"/>
          <w:sz w:val="32"/>
          <w:szCs w:val="32"/>
          <w:shd w:val="clear" w:color="auto" w:fill="FFFFFF"/>
          <w:lang w:val="zh-CN"/>
        </w:rPr>
      </w:pPr>
      <w:r>
        <w:rPr>
          <w:rFonts w:hint="default" w:ascii="Times New Roman" w:hAnsi="Times New Roman" w:eastAsia="方正楷体_GB2312" w:cs="Times New Roman"/>
          <w:b/>
          <w:bCs/>
          <w:color w:val="000000"/>
          <w:kern w:val="0"/>
          <w:sz w:val="32"/>
          <w:szCs w:val="32"/>
          <w:shd w:val="clear" w:color="auto" w:fill="FFFFFF"/>
          <w:lang w:val="zh-CN" w:eastAsia="zh-CN"/>
        </w:rPr>
        <w:t>（三）</w:t>
      </w:r>
      <w:r>
        <w:rPr>
          <w:rFonts w:hint="default" w:ascii="Times New Roman" w:hAnsi="Times New Roman" w:eastAsia="方正楷体_GB2312" w:cs="Times New Roman"/>
          <w:b/>
          <w:bCs/>
          <w:color w:val="000000"/>
          <w:kern w:val="0"/>
          <w:sz w:val="32"/>
          <w:szCs w:val="32"/>
          <w:shd w:val="clear" w:color="auto" w:fill="FFFFFF"/>
          <w:lang w:val="zh-CN"/>
        </w:rPr>
        <w:t>结余分配和结转结余情况</w:t>
      </w:r>
    </w:p>
    <w:p w14:paraId="69A42780">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阿坝州电影服务中心202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年决算报表无结转结余情况。</w:t>
      </w:r>
    </w:p>
    <w:p w14:paraId="7C1AB654">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r>
        <w:rPr>
          <w:rFonts w:hint="default" w:ascii="Times New Roman" w:hAnsi="Times New Roman" w:eastAsia="方正黑体_GBK" w:cs="Times New Roman"/>
          <w:b w:val="0"/>
          <w:bCs/>
          <w:kern w:val="2"/>
          <w:sz w:val="32"/>
          <w:szCs w:val="32"/>
          <w:lang w:val="en-US" w:eastAsia="zh-CN" w:bidi="ar-SA"/>
        </w:rPr>
        <w:t>三、部门预算绩效分析</w:t>
      </w:r>
    </w:p>
    <w:p w14:paraId="34492C6B">
      <w:pPr>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rPr>
          <w:rFonts w:hint="default" w:ascii="Times New Roman" w:hAnsi="Times New Roman" w:eastAsia="方正楷体_GB2312" w:cs="Times New Roman"/>
          <w:b/>
          <w:bCs/>
          <w:color w:val="000000"/>
          <w:kern w:val="0"/>
          <w:sz w:val="32"/>
          <w:szCs w:val="32"/>
          <w:shd w:val="clear" w:color="auto" w:fill="FFFFFF"/>
          <w:lang w:val="zh-CN"/>
        </w:rPr>
      </w:pPr>
      <w:r>
        <w:rPr>
          <w:rFonts w:hint="default" w:ascii="Times New Roman" w:hAnsi="Times New Roman" w:eastAsia="方正楷体_GB2312" w:cs="Times New Roman"/>
          <w:b/>
          <w:bCs/>
          <w:color w:val="000000"/>
          <w:kern w:val="0"/>
          <w:sz w:val="32"/>
          <w:szCs w:val="32"/>
          <w:shd w:val="clear" w:color="auto" w:fill="FFFFFF"/>
          <w:lang w:val="zh-CN"/>
        </w:rPr>
        <w:t>（一）部门预算总体绩效分析</w:t>
      </w:r>
    </w:p>
    <w:p w14:paraId="23F2D5BF">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根据部门预算绩效评价指标体系“总体绩效”涉及二、三级指标进行逐项绩效分析并评分，依次包括履职效能、预算管理、财务管理、资产管理、采购管理等情况。</w:t>
      </w:r>
    </w:p>
    <w:p w14:paraId="44C88BE1">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rPr>
        <w:t>1.</w:t>
      </w:r>
      <w:r>
        <w:rPr>
          <w:rFonts w:hint="default" w:ascii="Times New Roman" w:hAnsi="Times New Roman" w:eastAsia="方正仿宋_GBK" w:cs="Times New Roman"/>
          <w:b/>
          <w:bCs/>
          <w:sz w:val="32"/>
          <w:szCs w:val="32"/>
          <w:lang w:val="zh-CN"/>
        </w:rPr>
        <w:t>履职效能</w:t>
      </w:r>
    </w:p>
    <w:p w14:paraId="32FFC98B">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影城运行58.04</w:t>
      </w:r>
      <w:r>
        <w:rPr>
          <w:rFonts w:hint="default" w:ascii="Times New Roman" w:hAnsi="Times New Roman" w:eastAsia="方正仿宋_GBK" w:cs="Times New Roman"/>
          <w:sz w:val="32"/>
          <w:szCs w:val="32"/>
          <w:lang w:val="zh-CN"/>
        </w:rPr>
        <w:t>万，</w:t>
      </w:r>
      <w:r>
        <w:rPr>
          <w:rFonts w:hint="default" w:ascii="Times New Roman" w:hAnsi="Times New Roman" w:eastAsia="方正仿宋_GBK" w:cs="Times New Roman"/>
          <w:sz w:val="32"/>
          <w:szCs w:val="32"/>
          <w:lang w:val="en-US" w:eastAsia="zh-CN"/>
        </w:rPr>
        <w:t>全年实现票房收入151万元，较2024年增长56%；重点档期表现亮眼，春节档《哪吒之魔童闹海》、暑期档《天宝》《南京照相馆》、国庆档《731》四部影片合计贡献票房96.0676万元，占总票房59%，成为拉动增长的核心引擎。全年组织《天宝》《志愿军》等主旋律影片展映421场，创新“党建+电影”“主题+电影”模式，对接机关企事业单位团体需求，吸引5612人次参与，创收21.9万元，实现主流价值传播与经营增收双赢。</w:t>
      </w:r>
    </w:p>
    <w:p w14:paraId="5FBE3CFB">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农村公益性电影放映运行费</w:t>
      </w:r>
      <w:r>
        <w:rPr>
          <w:rFonts w:hint="default" w:ascii="Times New Roman" w:hAnsi="Times New Roman" w:eastAsia="方正仿宋_GBK" w:cs="Times New Roman"/>
          <w:sz w:val="32"/>
          <w:szCs w:val="32"/>
          <w:lang w:val="en-US" w:eastAsia="zh-CN"/>
        </w:rPr>
        <w:t>10.65</w:t>
      </w:r>
      <w:r>
        <w:rPr>
          <w:rFonts w:hint="default" w:ascii="Times New Roman" w:hAnsi="Times New Roman" w:eastAsia="方正仿宋_GBK" w:cs="Times New Roman"/>
          <w:sz w:val="32"/>
          <w:szCs w:val="32"/>
        </w:rPr>
        <w:t>万元，农村</w:t>
      </w:r>
      <w:r>
        <w:rPr>
          <w:rFonts w:hint="default" w:ascii="Times New Roman" w:hAnsi="Times New Roman" w:eastAsia="方正仿宋_GBK" w:cs="Times New Roman"/>
          <w:sz w:val="32"/>
          <w:szCs w:val="32"/>
          <w:lang w:eastAsia="zh-CN"/>
        </w:rPr>
        <w:t>数字电影监管平台</w:t>
      </w:r>
      <w:r>
        <w:rPr>
          <w:rFonts w:hint="default" w:ascii="Times New Roman" w:hAnsi="Times New Roman" w:eastAsia="方正仿宋_GBK" w:cs="Times New Roman"/>
          <w:sz w:val="32"/>
          <w:szCs w:val="32"/>
        </w:rPr>
        <w:t>运行</w:t>
      </w:r>
      <w:r>
        <w:rPr>
          <w:rFonts w:hint="default" w:ascii="Times New Roman" w:hAnsi="Times New Roman" w:eastAsia="方正仿宋_GBK" w:cs="Times New Roman"/>
          <w:sz w:val="32"/>
          <w:szCs w:val="32"/>
          <w:lang w:eastAsia="zh-CN"/>
        </w:rPr>
        <w:t>维护</w:t>
      </w:r>
      <w:r>
        <w:rPr>
          <w:rFonts w:hint="default" w:ascii="Times New Roman" w:hAnsi="Times New Roman" w:eastAsia="方正仿宋_GBK" w:cs="Times New Roman"/>
          <w:sz w:val="32"/>
          <w:szCs w:val="32"/>
        </w:rPr>
        <w:t>费</w:t>
      </w:r>
      <w:r>
        <w:rPr>
          <w:rFonts w:hint="default" w:ascii="Times New Roman" w:hAnsi="Times New Roman" w:eastAsia="方正仿宋_GBK" w:cs="Times New Roman"/>
          <w:sz w:val="32"/>
          <w:szCs w:val="32"/>
          <w:lang w:val="en-US" w:eastAsia="zh-CN"/>
        </w:rPr>
        <w:t>3.19</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val="en-US" w:eastAsia="zh-CN"/>
        </w:rPr>
        <w:t>高质量完成省电影局下达的农村公益电影放映任务，全年计划下载影片300部次以上，实现全州1090个行政村全覆盖，完成公益电影放映13080场。充分运用数字监管平台，全面发挥平台在放映任务统筹、进度实时跟踪、质量动态把控等方面的关键作用，确保公益放映工作规范高效推进。</w:t>
      </w:r>
    </w:p>
    <w:p w14:paraId="44D75164">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办公设备预算6.53万元，2025年7月完成设备采购、部署、调试、验收及运维的全流程工作，确保设备正常投入使用、满足日常办公与业务运转需要。</w:t>
      </w:r>
      <w:r>
        <w:rPr>
          <w:rFonts w:hint="default" w:ascii="Times New Roman" w:hAnsi="Times New Roman" w:eastAsia="方正仿宋_GBK" w:cs="Times New Roman"/>
          <w:sz w:val="32"/>
          <w:szCs w:val="32"/>
        </w:rPr>
        <w:t>履职效能得分13分。</w:t>
      </w:r>
    </w:p>
    <w:p w14:paraId="3B17D590">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en-US" w:eastAsia="zh-CN"/>
        </w:rPr>
        <w:t>2、</w:t>
      </w:r>
      <w:r>
        <w:rPr>
          <w:rFonts w:hint="default" w:ascii="Times New Roman" w:hAnsi="Times New Roman" w:eastAsia="方正仿宋_GBK" w:cs="Times New Roman"/>
          <w:b/>
          <w:bCs/>
          <w:sz w:val="32"/>
          <w:szCs w:val="32"/>
          <w:lang w:val="zh-CN"/>
        </w:rPr>
        <w:t>预算管理</w:t>
      </w:r>
    </w:p>
    <w:p w14:paraId="4374A2F4">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预算编制遵循“量入为出，收支平衡”的原则，所有收支纳入预算管理。收入预算应坚持积极稳妥原则，根据上年度实际收入水平，结合当年的计划目标情况进行编制。支出预算应根据上年度实际支出水平以及本年度工作计划、收入预算等进行编制，既要保证电影业务活动的需要，又要合理节约的精神，处理好需要与可能两者间关系。预算编制人员按年度所有因素和事项的轻重缓急测算每一科目、款项支出的需求。预算执行按规定程序审核后由财务室严格遵照执行。凡已列入预算的，财务室应保证正常用款需要;凡未列入预算或超出预算的开支，未经规定程序追加或调整的任何人无权决定付款。预算管理得分为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分</w:t>
      </w:r>
    </w:p>
    <w:p w14:paraId="1A27AE60">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en-US" w:eastAsia="zh-CN"/>
        </w:rPr>
        <w:t>3、</w:t>
      </w:r>
      <w:r>
        <w:rPr>
          <w:rFonts w:hint="default" w:ascii="Times New Roman" w:hAnsi="Times New Roman" w:eastAsia="方正仿宋_GBK" w:cs="Times New Roman"/>
          <w:b/>
          <w:bCs/>
          <w:sz w:val="32"/>
          <w:szCs w:val="32"/>
          <w:lang w:val="zh-CN"/>
        </w:rPr>
        <w:t>财务管理</w:t>
      </w:r>
    </w:p>
    <w:p w14:paraId="18999AB4">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在财务管理过程中，本中心严格按照《会计法》规定，依法设置会计账薄，根据本中心实际发生的业务事项进行会计核算，填制会计凭证，登记会计账簿，编制财务会计报告。严格执行国家有关会计法规，所发生的各项业务事项均在依法设置的会计账簿上统一登记核算，依据国家统一的会计制度的规定进行会计核算确保数据真实、有效。单位根据年度预算编制用款计划。四川省政府财政管理信息系统数字证书(U-KBY)由两人分别管理。严格遵守《中华人民共和国会计法》以及相关法律、法规规定，设置有独立会计机构财务室，配备专职会计及出纳人员开展会计核算工作。在用财务负责人1人，会计1人，出纳1人。都具有会计专业技术资格，各会计人员按照不相容职务相分离原则进行了分工。财务管理得分为10分</w:t>
      </w:r>
    </w:p>
    <w:p w14:paraId="76DE76BF">
      <w:pPr>
        <w:pStyle w:val="29"/>
        <w:pageBreakBefore w:val="0"/>
        <w:widowControl w:val="0"/>
        <w:kinsoku/>
        <w:wordWrap/>
        <w:overflowPunct/>
        <w:topLinePunct w:val="0"/>
        <w:autoSpaceDE/>
        <w:autoSpaceDN/>
        <w:bidi w:val="0"/>
        <w:adjustRightInd/>
        <w:snapToGrid/>
        <w:spacing w:line="576" w:lineRule="exact"/>
        <w:contextualSpacing/>
        <w:textAlignment w:val="auto"/>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en-US" w:eastAsia="zh-CN"/>
        </w:rPr>
        <w:t>4、</w:t>
      </w:r>
      <w:r>
        <w:rPr>
          <w:rFonts w:hint="default" w:ascii="Times New Roman" w:hAnsi="Times New Roman" w:eastAsia="方正仿宋_GBK" w:cs="Times New Roman"/>
          <w:b/>
          <w:bCs/>
          <w:sz w:val="32"/>
          <w:szCs w:val="32"/>
          <w:lang w:val="zh-CN"/>
        </w:rPr>
        <w:t>资产管理</w:t>
      </w:r>
    </w:p>
    <w:p w14:paraId="4E66353B">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中心制定了详细的资产管理制度，对资产申购、采购、分配、保管、处置等细则进行规定，严格执行有关规定。凡是符合政府采购要求均按政府采购程序进行采购，擅自采购的不予报销费用。同时，加强资产管理，组织各科室定期对所属的固定资产进行清理，明确相应的责任人。办公室明确专人管理固定资产。资产管理得分为</w:t>
      </w: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分</w:t>
      </w:r>
    </w:p>
    <w:p w14:paraId="2321F222">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en-US" w:eastAsia="zh-CN"/>
        </w:rPr>
        <w:t>5、</w:t>
      </w:r>
      <w:r>
        <w:rPr>
          <w:rFonts w:hint="default" w:ascii="Times New Roman" w:hAnsi="Times New Roman" w:eastAsia="方正仿宋_GBK" w:cs="Times New Roman"/>
          <w:b/>
          <w:bCs/>
          <w:sz w:val="32"/>
          <w:szCs w:val="32"/>
          <w:lang w:val="zh-CN"/>
        </w:rPr>
        <w:t>采购管理</w:t>
      </w:r>
    </w:p>
    <w:p w14:paraId="75A40989">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规范政府采购行为，提高资金使用效益，我中心严格遵守《中华人民共和国招标投标法》与《政府采购法》等政府采购有关法律法规，先后制定了中心政府采购管理制度。严格依法采购。202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年阿坝州电影服务中心</w:t>
      </w:r>
      <w:r>
        <w:rPr>
          <w:rFonts w:hint="default" w:ascii="Times New Roman" w:hAnsi="Times New Roman" w:eastAsia="方正仿宋_GBK" w:cs="Times New Roman"/>
          <w:sz w:val="32"/>
          <w:szCs w:val="32"/>
          <w:lang w:eastAsia="zh-CN"/>
        </w:rPr>
        <w:t>无</w:t>
      </w:r>
      <w:r>
        <w:rPr>
          <w:rFonts w:hint="default" w:ascii="Times New Roman" w:hAnsi="Times New Roman" w:eastAsia="方正仿宋_GBK" w:cs="Times New Roman"/>
          <w:sz w:val="32"/>
          <w:szCs w:val="32"/>
        </w:rPr>
        <w:t>政府采购。政府购管理得分为6分</w:t>
      </w:r>
    </w:p>
    <w:p w14:paraId="4347CBE3">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楷体_GB2312" w:cs="Times New Roman"/>
          <w:b/>
          <w:bCs/>
          <w:color w:val="000000"/>
          <w:kern w:val="0"/>
          <w:sz w:val="32"/>
          <w:szCs w:val="32"/>
          <w:shd w:val="clear" w:color="auto" w:fill="FFFFFF"/>
          <w:lang w:val="zh-CN" w:eastAsia="zh-CN" w:bidi="ar-SA"/>
        </w:rPr>
        <w:t>（二）部门预算项目绩效分析。</w:t>
      </w:r>
      <w:r>
        <w:rPr>
          <w:rFonts w:hint="default" w:ascii="Times New Roman" w:hAnsi="Times New Roman" w:eastAsia="方正仿宋_GBK" w:cs="Times New Roman"/>
          <w:sz w:val="32"/>
          <w:szCs w:val="32"/>
          <w:lang w:val="zh-CN"/>
        </w:rPr>
        <w:t>填报以下数据，并根据部门预算绩效评价指标体系“项目绩效”涉及二、三级指标进行逐项绩效分析并评分，依次包括项目</w:t>
      </w:r>
      <w:r>
        <w:rPr>
          <w:rFonts w:hint="default" w:ascii="Times New Roman" w:hAnsi="Times New Roman" w:eastAsia="方正仿宋_GBK" w:cs="Times New Roman"/>
          <w:sz w:val="32"/>
          <w:szCs w:val="32"/>
        </w:rPr>
        <w:t>决策、项目执行、目标实现等情况。</w:t>
      </w:r>
    </w:p>
    <w:p w14:paraId="04BF0EBC">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rPr>
        <w:t>常年项目绩效分析。</w:t>
      </w:r>
      <w:r>
        <w:rPr>
          <w:rFonts w:hint="default" w:ascii="Times New Roman" w:hAnsi="Times New Roman" w:eastAsia="方正仿宋_GBK" w:cs="Times New Roman"/>
          <w:sz w:val="32"/>
          <w:szCs w:val="32"/>
          <w:lang w:val="zh-CN"/>
        </w:rPr>
        <w:t>该类项目总数</w:t>
      </w:r>
      <w:r>
        <w:rPr>
          <w:rFonts w:hint="default" w:ascii="Times New Roman" w:hAnsi="Times New Roman" w:eastAsia="方正仿宋_GBK" w:cs="Times New Roman"/>
          <w:sz w:val="32"/>
          <w:szCs w:val="32"/>
        </w:rPr>
        <w:t xml:space="preserve"> 3 </w:t>
      </w:r>
      <w:r>
        <w:rPr>
          <w:rFonts w:hint="default" w:ascii="Times New Roman" w:hAnsi="Times New Roman" w:eastAsia="方正仿宋_GBK" w:cs="Times New Roman"/>
          <w:sz w:val="32"/>
          <w:szCs w:val="32"/>
          <w:lang w:val="zh-CN"/>
        </w:rPr>
        <w:t>个，涉及预算总金额</w:t>
      </w:r>
      <w:r>
        <w:rPr>
          <w:rFonts w:hint="default" w:ascii="Times New Roman" w:hAnsi="Times New Roman" w:eastAsia="方正仿宋_GBK" w:cs="Times New Roman"/>
          <w:sz w:val="32"/>
          <w:szCs w:val="32"/>
        </w:rPr>
        <w:t xml:space="preserve">   9</w:t>
      </w:r>
      <w:r>
        <w:rPr>
          <w:rFonts w:hint="default" w:ascii="Times New Roman" w:hAnsi="Times New Roman" w:eastAsia="方正仿宋_GBK" w:cs="Times New Roman"/>
          <w:sz w:val="32"/>
          <w:szCs w:val="32"/>
          <w:lang w:val="en-US" w:eastAsia="zh-CN"/>
        </w:rPr>
        <w:t>7.69</w:t>
      </w:r>
      <w:r>
        <w:rPr>
          <w:rFonts w:hint="default" w:ascii="Times New Roman" w:hAnsi="Times New Roman" w:eastAsia="方正仿宋_GBK" w:cs="Times New Roman"/>
          <w:sz w:val="32"/>
          <w:szCs w:val="32"/>
          <w:lang w:val="zh-CN"/>
        </w:rPr>
        <w:t>万元，1—1</w:t>
      </w: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zh-CN"/>
        </w:rPr>
        <w:t>月预算执行总体进度为</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73.58</w:t>
      </w:r>
      <w:r>
        <w:rPr>
          <w:rFonts w:hint="default" w:ascii="Times New Roman" w:hAnsi="Times New Roman" w:eastAsia="方正仿宋_GBK" w:cs="Times New Roman"/>
          <w:sz w:val="32"/>
          <w:szCs w:val="32"/>
          <w:lang w:val="zh-CN"/>
        </w:rPr>
        <w:t>%，其中：预算结余率大于</w:t>
      </w:r>
      <w:r>
        <w:rPr>
          <w:rFonts w:hint="default" w:ascii="Times New Roman" w:hAnsi="Times New Roman" w:eastAsia="方正仿宋_GBK" w:cs="Times New Roman"/>
          <w:sz w:val="32"/>
          <w:szCs w:val="32"/>
        </w:rPr>
        <w:t>10%</w:t>
      </w:r>
      <w:r>
        <w:rPr>
          <w:rFonts w:hint="default" w:ascii="Times New Roman" w:hAnsi="Times New Roman" w:eastAsia="方正仿宋_GBK" w:cs="Times New Roman"/>
          <w:sz w:val="32"/>
          <w:szCs w:val="32"/>
          <w:lang w:val="zh-CN"/>
        </w:rPr>
        <w:t>的项目共计</w:t>
      </w:r>
      <w:r>
        <w:rPr>
          <w:rFonts w:hint="default" w:ascii="Times New Roman" w:hAnsi="Times New Roman" w:eastAsia="方正仿宋_GBK" w:cs="Times New Roman"/>
          <w:sz w:val="32"/>
          <w:szCs w:val="32"/>
        </w:rPr>
        <w:t xml:space="preserve"> 3 </w:t>
      </w:r>
      <w:r>
        <w:rPr>
          <w:rFonts w:hint="default" w:ascii="Times New Roman" w:hAnsi="Times New Roman" w:eastAsia="方正仿宋_GBK" w:cs="Times New Roman"/>
          <w:sz w:val="32"/>
          <w:szCs w:val="32"/>
          <w:lang w:val="zh-CN"/>
        </w:rPr>
        <w:t>个。</w:t>
      </w:r>
    </w:p>
    <w:p w14:paraId="67453B9A">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rPr>
        <w:t>阶段（含一次性）项目绩效分析。</w:t>
      </w:r>
      <w:r>
        <w:rPr>
          <w:rFonts w:hint="default" w:ascii="Times New Roman" w:hAnsi="Times New Roman" w:eastAsia="方正仿宋_GBK" w:cs="Times New Roman"/>
          <w:sz w:val="32"/>
          <w:szCs w:val="32"/>
          <w:lang w:val="zh-CN"/>
        </w:rPr>
        <w:t>该类项目总数</w:t>
      </w:r>
      <w:r>
        <w:rPr>
          <w:rFonts w:hint="default" w:ascii="Times New Roman" w:hAnsi="Times New Roman" w:eastAsia="方正仿宋_GBK" w:cs="Times New Roman"/>
          <w:sz w:val="32"/>
          <w:szCs w:val="32"/>
        </w:rPr>
        <w:t xml:space="preserve"> 1  </w:t>
      </w:r>
      <w:r>
        <w:rPr>
          <w:rFonts w:hint="default" w:ascii="Times New Roman" w:hAnsi="Times New Roman" w:eastAsia="方正仿宋_GBK" w:cs="Times New Roman"/>
          <w:sz w:val="32"/>
          <w:szCs w:val="32"/>
          <w:lang w:val="zh-CN"/>
        </w:rPr>
        <w:t>个，涉及预算总金额</w:t>
      </w:r>
      <w:r>
        <w:rPr>
          <w:rFonts w:hint="default" w:ascii="Times New Roman" w:hAnsi="Times New Roman" w:eastAsia="方正仿宋_GBK" w:cs="Times New Roman"/>
          <w:sz w:val="32"/>
          <w:szCs w:val="32"/>
          <w:lang w:val="en-US" w:eastAsia="zh-CN"/>
        </w:rPr>
        <w:t>6.57</w:t>
      </w:r>
      <w:r>
        <w:rPr>
          <w:rFonts w:hint="default" w:ascii="Times New Roman" w:hAnsi="Times New Roman" w:eastAsia="方正仿宋_GBK" w:cs="Times New Roman"/>
          <w:sz w:val="32"/>
          <w:szCs w:val="32"/>
          <w:lang w:val="zh-CN"/>
        </w:rPr>
        <w:t>万元，1—1</w:t>
      </w: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zh-CN"/>
        </w:rPr>
        <w:t>月预算执行总体进度为</w:t>
      </w:r>
      <w:r>
        <w:rPr>
          <w:rFonts w:hint="default" w:ascii="Times New Roman" w:hAnsi="Times New Roman" w:eastAsia="方正仿宋_GBK" w:cs="Times New Roman"/>
          <w:sz w:val="32"/>
          <w:szCs w:val="32"/>
        </w:rPr>
        <w:t>100</w:t>
      </w:r>
      <w:r>
        <w:rPr>
          <w:rFonts w:hint="default" w:ascii="Times New Roman" w:hAnsi="Times New Roman" w:eastAsia="方正仿宋_GBK" w:cs="Times New Roman"/>
          <w:sz w:val="32"/>
          <w:szCs w:val="32"/>
          <w:lang w:val="zh-CN"/>
        </w:rPr>
        <w:t>%，其中：预算结余率大于</w:t>
      </w:r>
      <w:r>
        <w:rPr>
          <w:rFonts w:hint="default" w:ascii="Times New Roman" w:hAnsi="Times New Roman" w:eastAsia="方正仿宋_GBK" w:cs="Times New Roman"/>
          <w:sz w:val="32"/>
          <w:szCs w:val="32"/>
        </w:rPr>
        <w:t>10%</w:t>
      </w:r>
      <w:r>
        <w:rPr>
          <w:rFonts w:hint="default" w:ascii="Times New Roman" w:hAnsi="Times New Roman" w:eastAsia="方正仿宋_GBK" w:cs="Times New Roman"/>
          <w:sz w:val="32"/>
          <w:szCs w:val="32"/>
          <w:lang w:val="zh-CN"/>
        </w:rPr>
        <w:t>的项目共计</w:t>
      </w:r>
      <w:r>
        <w:rPr>
          <w:rFonts w:hint="default" w:ascii="Times New Roman" w:hAnsi="Times New Roman" w:eastAsia="方正仿宋_GBK" w:cs="Times New Roman"/>
          <w:sz w:val="32"/>
          <w:szCs w:val="32"/>
        </w:rPr>
        <w:t xml:space="preserve"> 0 </w:t>
      </w:r>
      <w:r>
        <w:rPr>
          <w:rFonts w:hint="default" w:ascii="Times New Roman" w:hAnsi="Times New Roman" w:eastAsia="方正仿宋_GBK" w:cs="Times New Roman"/>
          <w:sz w:val="32"/>
          <w:szCs w:val="32"/>
          <w:lang w:val="zh-CN"/>
        </w:rPr>
        <w:t>个。</w:t>
      </w:r>
    </w:p>
    <w:p w14:paraId="70723D19">
      <w:pPr>
        <w:pStyle w:val="29"/>
        <w:pageBreakBefore w:val="0"/>
        <w:widowControl w:val="0"/>
        <w:kinsoku/>
        <w:wordWrap/>
        <w:overflowPunct/>
        <w:topLinePunct w:val="0"/>
        <w:autoSpaceDE/>
        <w:autoSpaceDN/>
        <w:bidi w:val="0"/>
        <w:adjustRightInd/>
        <w:snapToGrid/>
        <w:spacing w:line="576" w:lineRule="exact"/>
        <w:contextualSpacing/>
        <w:textAlignment w:val="auto"/>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en-US" w:eastAsia="zh-CN"/>
        </w:rPr>
        <w:t>1、</w:t>
      </w:r>
      <w:r>
        <w:rPr>
          <w:rFonts w:hint="default" w:ascii="Times New Roman" w:hAnsi="Times New Roman" w:eastAsia="方正仿宋_GBK" w:cs="Times New Roman"/>
          <w:b/>
          <w:bCs/>
          <w:sz w:val="32"/>
          <w:szCs w:val="32"/>
          <w:lang w:val="zh-CN"/>
        </w:rPr>
        <w:t>项目决策</w:t>
      </w:r>
    </w:p>
    <w:p w14:paraId="3EC4BE7A">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rPr>
        <w:t>我单位202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常年预算项目共有3个，分别为农村公益电影运行费17万元，根据工作需要，申请了农村公益电影放映运行费，用于全州农村公益电影放映工程的放映督查、技术指导、业务培训、发展规划、等工作，推动我州农村公益电影放映工作可持续发展。农村数字电影监管平台运行维护费4万元，农村数字电影监管平台运行维护费用于平台维护更新，是保障平台健康运行、持续改进服务质量的日常经费。影城运行费7</w:t>
      </w:r>
      <w:r>
        <w:rPr>
          <w:rFonts w:hint="default" w:ascii="Times New Roman" w:hAnsi="Times New Roman" w:eastAsia="方正仿宋_GBK" w:cs="Times New Roman"/>
          <w:sz w:val="32"/>
          <w:szCs w:val="32"/>
          <w:lang w:val="en-US" w:eastAsia="zh-CN"/>
        </w:rPr>
        <w:t>6.69</w:t>
      </w:r>
      <w:r>
        <w:rPr>
          <w:rFonts w:hint="default" w:ascii="Times New Roman" w:hAnsi="Times New Roman" w:eastAsia="方正仿宋_GBK" w:cs="Times New Roman"/>
          <w:sz w:val="32"/>
          <w:szCs w:val="32"/>
        </w:rPr>
        <w:t>万元，用于影城建设和日常运行。202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年一次性预算项目共有1个。</w:t>
      </w:r>
      <w:r>
        <w:rPr>
          <w:rFonts w:hint="default" w:ascii="Times New Roman" w:hAnsi="Times New Roman" w:eastAsia="方正仿宋_GBK" w:cs="Times New Roman"/>
          <w:sz w:val="32"/>
          <w:szCs w:val="32"/>
          <w:lang w:val="en-US" w:eastAsia="zh-CN"/>
        </w:rPr>
        <w:t>办公设备预算</w:t>
      </w:r>
      <w:r>
        <w:rPr>
          <w:rFonts w:hint="default" w:ascii="Times New Roman" w:hAnsi="Times New Roman" w:eastAsia="方正仿宋_GBK" w:cs="Times New Roman"/>
          <w:sz w:val="32"/>
          <w:szCs w:val="32"/>
        </w:rPr>
        <w:t>支出</w:t>
      </w:r>
      <w:r>
        <w:rPr>
          <w:rFonts w:hint="default" w:ascii="Times New Roman" w:hAnsi="Times New Roman" w:eastAsia="方正仿宋_GBK" w:cs="Times New Roman"/>
          <w:sz w:val="32"/>
          <w:szCs w:val="32"/>
          <w:lang w:val="en-US" w:eastAsia="zh-CN"/>
        </w:rPr>
        <w:t>6.53</w:t>
      </w:r>
      <w:r>
        <w:rPr>
          <w:rFonts w:hint="default" w:ascii="Times New Roman" w:hAnsi="Times New Roman" w:eastAsia="方正仿宋_GBK" w:cs="Times New Roman"/>
          <w:sz w:val="32"/>
          <w:szCs w:val="32"/>
        </w:rPr>
        <w:t>万元，基础设施维护、升级提高放映质量，观影者满意。预算总金额</w:t>
      </w:r>
      <w:r>
        <w:rPr>
          <w:rFonts w:hint="default" w:ascii="Times New Roman" w:hAnsi="Times New Roman" w:eastAsia="方正仿宋_GBK" w:cs="Times New Roman"/>
          <w:sz w:val="32"/>
          <w:szCs w:val="32"/>
          <w:lang w:val="en-US" w:eastAsia="zh-CN"/>
        </w:rPr>
        <w:t>104.22</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val="zh-CN"/>
        </w:rPr>
        <w:t>项目决策11分。</w:t>
      </w:r>
    </w:p>
    <w:p w14:paraId="0B3F32C0">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en-US" w:eastAsia="zh-CN"/>
        </w:rPr>
        <w:t>2、</w:t>
      </w:r>
      <w:r>
        <w:rPr>
          <w:rFonts w:hint="default" w:ascii="Times New Roman" w:hAnsi="Times New Roman" w:eastAsia="方正仿宋_GBK" w:cs="Times New Roman"/>
          <w:b/>
          <w:bCs/>
          <w:sz w:val="32"/>
          <w:szCs w:val="32"/>
          <w:lang w:val="zh-CN"/>
        </w:rPr>
        <w:t>项目执行</w:t>
      </w:r>
    </w:p>
    <w:p w14:paraId="082E092A">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年项目支出主要涉及到部门预算项目，其中：影城运行</w:t>
      </w:r>
      <w:r>
        <w:rPr>
          <w:rFonts w:hint="default" w:ascii="Times New Roman" w:hAnsi="Times New Roman" w:eastAsia="方正仿宋_GBK" w:cs="Times New Roman"/>
          <w:sz w:val="32"/>
          <w:szCs w:val="32"/>
          <w:lang w:val="en-US" w:eastAsia="zh-CN"/>
        </w:rPr>
        <w:t>58.04</w:t>
      </w:r>
      <w:r>
        <w:rPr>
          <w:rFonts w:hint="default" w:ascii="Times New Roman" w:hAnsi="Times New Roman" w:eastAsia="方正仿宋_GBK" w:cs="Times New Roman"/>
          <w:sz w:val="32"/>
          <w:szCs w:val="32"/>
        </w:rPr>
        <w:t>万元，农村公益电影放映监管平台运行维护费</w:t>
      </w:r>
      <w:r>
        <w:rPr>
          <w:rFonts w:hint="default" w:ascii="Times New Roman" w:hAnsi="Times New Roman" w:eastAsia="方正仿宋_GBK" w:cs="Times New Roman"/>
          <w:sz w:val="32"/>
          <w:szCs w:val="32"/>
          <w:lang w:val="en-US" w:eastAsia="zh-CN"/>
        </w:rPr>
        <w:t>3.19</w:t>
      </w:r>
      <w:r>
        <w:rPr>
          <w:rFonts w:hint="default" w:ascii="Times New Roman" w:hAnsi="Times New Roman" w:eastAsia="方正仿宋_GBK" w:cs="Times New Roman"/>
          <w:sz w:val="32"/>
          <w:szCs w:val="32"/>
        </w:rPr>
        <w:t>万元，农村公益性电影放映运行费</w:t>
      </w:r>
      <w:r>
        <w:rPr>
          <w:rFonts w:hint="default" w:ascii="Times New Roman" w:hAnsi="Times New Roman" w:eastAsia="方正仿宋_GBK" w:cs="Times New Roman"/>
          <w:sz w:val="32"/>
          <w:szCs w:val="32"/>
          <w:lang w:val="en-US" w:eastAsia="zh-CN"/>
        </w:rPr>
        <w:t>10.65</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val="en-US" w:eastAsia="zh-CN"/>
        </w:rPr>
        <w:t>办公设备预算</w:t>
      </w:r>
      <w:r>
        <w:rPr>
          <w:rFonts w:hint="default" w:ascii="Times New Roman" w:hAnsi="Times New Roman" w:eastAsia="方正仿宋_GBK" w:cs="Times New Roman"/>
          <w:sz w:val="32"/>
          <w:szCs w:val="32"/>
        </w:rPr>
        <w:t>支出</w:t>
      </w:r>
      <w:r>
        <w:rPr>
          <w:rFonts w:hint="default" w:ascii="Times New Roman" w:hAnsi="Times New Roman" w:eastAsia="方正仿宋_GBK" w:cs="Times New Roman"/>
          <w:sz w:val="32"/>
          <w:szCs w:val="32"/>
          <w:lang w:val="en-US" w:eastAsia="zh-CN"/>
        </w:rPr>
        <w:t>6.53</w:t>
      </w:r>
      <w:r>
        <w:rPr>
          <w:rFonts w:hint="default" w:ascii="Times New Roman" w:hAnsi="Times New Roman" w:eastAsia="方正仿宋_GBK" w:cs="Times New Roman"/>
          <w:sz w:val="32"/>
          <w:szCs w:val="32"/>
        </w:rPr>
        <w:t>万元。得分为11分</w:t>
      </w:r>
    </w:p>
    <w:p w14:paraId="3BF7EAE3">
      <w:pPr>
        <w:pStyle w:val="29"/>
        <w:pageBreakBefore w:val="0"/>
        <w:widowControl w:val="0"/>
        <w:kinsoku/>
        <w:wordWrap/>
        <w:overflowPunct/>
        <w:topLinePunct w:val="0"/>
        <w:autoSpaceDE/>
        <w:autoSpaceDN/>
        <w:bidi w:val="0"/>
        <w:adjustRightInd/>
        <w:snapToGrid/>
        <w:spacing w:line="576" w:lineRule="exact"/>
        <w:contextualSpacing/>
        <w:textAlignment w:val="auto"/>
        <w:rPr>
          <w:rFonts w:hint="default" w:ascii="Times New Roman" w:hAnsi="Times New Roman" w:eastAsia="方正仿宋_GBK" w:cs="Times New Roman"/>
          <w:b/>
          <w:bCs/>
          <w:sz w:val="32"/>
          <w:szCs w:val="32"/>
          <w:lang w:val="zh-CN"/>
        </w:rPr>
      </w:pPr>
      <w:r>
        <w:rPr>
          <w:rFonts w:hint="default" w:ascii="Times New Roman" w:hAnsi="Times New Roman" w:eastAsia="方正仿宋_GBK" w:cs="Times New Roman"/>
          <w:b/>
          <w:bCs/>
          <w:sz w:val="32"/>
          <w:szCs w:val="32"/>
          <w:lang w:val="en-US" w:eastAsia="zh-CN"/>
        </w:rPr>
        <w:t>3、</w:t>
      </w:r>
      <w:r>
        <w:rPr>
          <w:rFonts w:hint="default" w:ascii="Times New Roman" w:hAnsi="Times New Roman" w:eastAsia="方正仿宋_GBK" w:cs="Times New Roman"/>
          <w:b/>
          <w:bCs/>
          <w:sz w:val="32"/>
          <w:szCs w:val="32"/>
          <w:lang w:val="zh-CN"/>
        </w:rPr>
        <w:t>目标实现</w:t>
      </w:r>
    </w:p>
    <w:p w14:paraId="5EF1A7E8">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影城运行58.04</w:t>
      </w:r>
      <w:r>
        <w:rPr>
          <w:rFonts w:hint="default" w:ascii="Times New Roman" w:hAnsi="Times New Roman" w:eastAsia="方正仿宋_GBK" w:cs="Times New Roman"/>
          <w:sz w:val="32"/>
          <w:szCs w:val="32"/>
          <w:lang w:val="zh-CN"/>
        </w:rPr>
        <w:t>万，</w:t>
      </w:r>
      <w:r>
        <w:rPr>
          <w:rFonts w:hint="default" w:ascii="Times New Roman" w:hAnsi="Times New Roman" w:eastAsia="方正仿宋_GBK" w:cs="Times New Roman"/>
          <w:sz w:val="32"/>
          <w:szCs w:val="32"/>
          <w:lang w:val="en-US" w:eastAsia="zh-CN"/>
        </w:rPr>
        <w:t>全年实现票房收入151万元，较2024年增长56%；重点档期表现亮眼，春节档《哪吒之魔童闹海》、暑期档《天宝》《南京照相馆》、国庆档《731》四部影片合计贡献票房96.0676万元，占总票房59%，成为拉动增长的核心引擎。全年组织《天宝》《志愿军》等主旋律影片展映421场，创新“党建+电影”“主题+电影”模式，对接机关企事业单位团体需求，吸引5612人次参与，创收21.9万元，实现主流价值传播与经营增收双赢。</w:t>
      </w:r>
    </w:p>
    <w:p w14:paraId="73C696AE">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农村公益性电影放映运行费</w:t>
      </w:r>
      <w:r>
        <w:rPr>
          <w:rFonts w:hint="default" w:ascii="Times New Roman" w:hAnsi="Times New Roman" w:eastAsia="方正仿宋_GBK" w:cs="Times New Roman"/>
          <w:sz w:val="32"/>
          <w:szCs w:val="32"/>
          <w:lang w:val="en-US" w:eastAsia="zh-CN"/>
        </w:rPr>
        <w:t>10.65</w:t>
      </w:r>
      <w:r>
        <w:rPr>
          <w:rFonts w:hint="default" w:ascii="Times New Roman" w:hAnsi="Times New Roman" w:eastAsia="方正仿宋_GBK" w:cs="Times New Roman"/>
          <w:sz w:val="32"/>
          <w:szCs w:val="32"/>
        </w:rPr>
        <w:t>万元，农村</w:t>
      </w:r>
      <w:r>
        <w:rPr>
          <w:rFonts w:hint="default" w:ascii="Times New Roman" w:hAnsi="Times New Roman" w:eastAsia="方正仿宋_GBK" w:cs="Times New Roman"/>
          <w:sz w:val="32"/>
          <w:szCs w:val="32"/>
          <w:lang w:eastAsia="zh-CN"/>
        </w:rPr>
        <w:t>数字电影监管平台</w:t>
      </w:r>
      <w:r>
        <w:rPr>
          <w:rFonts w:hint="default" w:ascii="Times New Roman" w:hAnsi="Times New Roman" w:eastAsia="方正仿宋_GBK" w:cs="Times New Roman"/>
          <w:sz w:val="32"/>
          <w:szCs w:val="32"/>
        </w:rPr>
        <w:t>运行</w:t>
      </w:r>
      <w:r>
        <w:rPr>
          <w:rFonts w:hint="default" w:ascii="Times New Roman" w:hAnsi="Times New Roman" w:eastAsia="方正仿宋_GBK" w:cs="Times New Roman"/>
          <w:sz w:val="32"/>
          <w:szCs w:val="32"/>
          <w:lang w:eastAsia="zh-CN"/>
        </w:rPr>
        <w:t>维护</w:t>
      </w:r>
      <w:r>
        <w:rPr>
          <w:rFonts w:hint="default" w:ascii="Times New Roman" w:hAnsi="Times New Roman" w:eastAsia="方正仿宋_GBK" w:cs="Times New Roman"/>
          <w:sz w:val="32"/>
          <w:szCs w:val="32"/>
        </w:rPr>
        <w:t>费</w:t>
      </w:r>
      <w:r>
        <w:rPr>
          <w:rFonts w:hint="default" w:ascii="Times New Roman" w:hAnsi="Times New Roman" w:eastAsia="方正仿宋_GBK" w:cs="Times New Roman"/>
          <w:sz w:val="32"/>
          <w:szCs w:val="32"/>
          <w:lang w:val="en-US" w:eastAsia="zh-CN"/>
        </w:rPr>
        <w:t>3.19</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val="en-US" w:eastAsia="zh-CN"/>
        </w:rPr>
        <w:t>高质量完成省电影局下达的农村公益电影放映任务，全年计划下载影片300部次以上，实现全州1090个行政村全覆盖，完成公益电影放映13080场。充分运用数字监管平台，全面发挥平台在放映任务统筹、进度实时跟踪、质量动态把控等方面的关键作用，确保公益放映工作规范高效推进。</w:t>
      </w:r>
    </w:p>
    <w:p w14:paraId="6A835570">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办公设备预算6.53万元，2025年7月完成设备采购、部署、调试、验收及运维的全流程工作，确保设备正常投入使用、满足日常办公与业务运转需要。</w:t>
      </w:r>
      <w:r>
        <w:rPr>
          <w:rFonts w:hint="default" w:ascii="Times New Roman" w:hAnsi="Times New Roman" w:eastAsia="方正仿宋_GBK" w:cs="Times New Roman"/>
          <w:sz w:val="32"/>
          <w:szCs w:val="32"/>
          <w:lang w:val="zh-CN"/>
        </w:rPr>
        <w:t>目标实现得分</w:t>
      </w:r>
      <w:r>
        <w:rPr>
          <w:rFonts w:hint="default"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lang w:val="zh-CN"/>
        </w:rPr>
        <w:t>分。</w:t>
      </w:r>
    </w:p>
    <w:p w14:paraId="134F5A14">
      <w:pPr>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rPr>
          <w:rFonts w:hint="default" w:ascii="Times New Roman" w:hAnsi="Times New Roman" w:eastAsia="方正楷体_GB2312" w:cs="Times New Roman"/>
          <w:b/>
          <w:bCs/>
          <w:color w:val="000000"/>
          <w:kern w:val="0"/>
          <w:sz w:val="32"/>
          <w:szCs w:val="32"/>
          <w:shd w:val="clear" w:color="auto" w:fill="FFFFFF"/>
          <w:lang w:val="zh-CN"/>
        </w:rPr>
      </w:pPr>
      <w:r>
        <w:rPr>
          <w:rFonts w:hint="default" w:ascii="Times New Roman" w:hAnsi="Times New Roman" w:eastAsia="方正楷体_GB2312" w:cs="Times New Roman"/>
          <w:b/>
          <w:bCs/>
          <w:color w:val="000000"/>
          <w:kern w:val="0"/>
          <w:sz w:val="32"/>
          <w:szCs w:val="32"/>
          <w:shd w:val="clear" w:color="auto" w:fill="FFFFFF"/>
          <w:lang w:val="zh-CN"/>
        </w:rPr>
        <w:t>（三）绩效结果应用情况</w:t>
      </w:r>
    </w:p>
    <w:p w14:paraId="712FEAA6">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cs="Times New Roman"/>
          <w:b/>
          <w:sz w:val="32"/>
          <w:szCs w:val="32"/>
        </w:rPr>
      </w:pPr>
      <w:r>
        <w:rPr>
          <w:rFonts w:hint="default" w:ascii="Times New Roman" w:hAnsi="Times New Roman" w:eastAsia="方正仿宋_GBK" w:cs="Times New Roman"/>
          <w:sz w:val="32"/>
          <w:szCs w:val="32"/>
        </w:rPr>
        <w:t>根据财政相关文件要求，本单位部门预算、决算、部门整体支出评价报告及绩效自评情况均按要求进行了公开公示，自觉接受社会监督。202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年专项预算严格按照财政预算口径编报，加强项目目标绩效考核，全面完成预算执行，切实做到专款专用，无挪用、占用、套取专项资金等违规现象</w:t>
      </w:r>
      <w:r>
        <w:rPr>
          <w:rFonts w:hint="default" w:ascii="Times New Roman" w:hAnsi="Times New Roman" w:eastAsia="方正仿宋_GBK" w:cs="Times New Roman"/>
          <w:sz w:val="32"/>
          <w:szCs w:val="32"/>
          <w:lang w:eastAsia="zh-CN"/>
        </w:rPr>
        <w:t>。</w:t>
      </w:r>
    </w:p>
    <w:p w14:paraId="4B6552E4">
      <w:pPr>
        <w:pStyle w:val="6"/>
        <w:pageBreakBefore w:val="0"/>
        <w:widowControl w:val="0"/>
        <w:numPr>
          <w:ilvl w:val="0"/>
          <w:numId w:val="0"/>
        </w:numPr>
        <w:kinsoku/>
        <w:wordWrap/>
        <w:overflowPunct/>
        <w:topLinePunct w:val="0"/>
        <w:autoSpaceDE/>
        <w:autoSpaceDN/>
        <w:bidi w:val="0"/>
        <w:adjustRightInd/>
        <w:snapToGrid/>
        <w:spacing w:before="0" w:after="0" w:line="576" w:lineRule="exact"/>
        <w:ind w:left="958" w:leftChars="304" w:hanging="320" w:hangingChars="100"/>
        <w:textAlignment w:val="auto"/>
        <w:rPr>
          <w:rFonts w:hint="default" w:ascii="Times New Roman" w:hAnsi="Times New Roman" w:eastAsia="方正黑体_GBK" w:cs="Times New Roman"/>
          <w:b w:val="0"/>
          <w:bCs/>
          <w:kern w:val="2"/>
          <w:sz w:val="32"/>
          <w:szCs w:val="32"/>
          <w:lang w:val="en-US" w:eastAsia="zh-CN" w:bidi="ar-SA"/>
        </w:rPr>
      </w:pPr>
      <w:r>
        <w:rPr>
          <w:rFonts w:hint="default" w:ascii="Times New Roman" w:hAnsi="Times New Roman" w:eastAsia="方正黑体_GBK" w:cs="Times New Roman"/>
          <w:b w:val="0"/>
          <w:bCs/>
          <w:kern w:val="2"/>
          <w:sz w:val="32"/>
          <w:szCs w:val="32"/>
          <w:lang w:val="en-US" w:eastAsia="zh-CN" w:bidi="ar-SA"/>
        </w:rPr>
        <w:t>四、评价结论及建议</w:t>
      </w:r>
    </w:p>
    <w:p w14:paraId="52F6AA0E">
      <w:pPr>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rPr>
          <w:rFonts w:hint="default" w:ascii="Times New Roman" w:hAnsi="Times New Roman" w:eastAsia="方正楷体_GB2312" w:cs="Times New Roman"/>
          <w:b/>
          <w:bCs/>
          <w:color w:val="000000"/>
          <w:kern w:val="0"/>
          <w:sz w:val="32"/>
          <w:szCs w:val="32"/>
          <w:shd w:val="clear" w:color="auto" w:fill="FFFFFF"/>
          <w:lang w:val="zh-CN"/>
        </w:rPr>
      </w:pPr>
      <w:r>
        <w:rPr>
          <w:rFonts w:hint="default" w:ascii="Times New Roman" w:hAnsi="Times New Roman" w:eastAsia="方正楷体_GB2312" w:cs="Times New Roman"/>
          <w:b/>
          <w:bCs/>
          <w:color w:val="000000"/>
          <w:kern w:val="0"/>
          <w:sz w:val="32"/>
          <w:szCs w:val="32"/>
          <w:shd w:val="clear" w:color="auto" w:fill="FFFFFF"/>
          <w:lang w:val="zh-CN"/>
        </w:rPr>
        <w:t>（一）评价结论</w:t>
      </w:r>
    </w:p>
    <w:p w14:paraId="3A240793">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根据部门整体支出绩效评价指标规定的内容自评，202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年度部门整体绩效评价得分为9</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分。全年基本支出保证了我单位正常运行和日常工作的正常开展，项目支出保障了重点工作的开展，达到预期绩效目标。</w:t>
      </w:r>
    </w:p>
    <w:p w14:paraId="578C8FCD">
      <w:pPr>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rPr>
          <w:rFonts w:hint="default" w:ascii="Times New Roman" w:hAnsi="Times New Roman" w:eastAsia="方正楷体_GB2312" w:cs="Times New Roman"/>
          <w:b/>
          <w:bCs/>
          <w:color w:val="000000"/>
          <w:kern w:val="0"/>
          <w:sz w:val="32"/>
          <w:szCs w:val="32"/>
          <w:shd w:val="clear" w:color="auto" w:fill="FFFFFF"/>
          <w:lang w:val="zh-CN"/>
        </w:rPr>
      </w:pPr>
      <w:r>
        <w:rPr>
          <w:rFonts w:hint="default" w:ascii="Times New Roman" w:hAnsi="Times New Roman" w:eastAsia="方正楷体_GB2312" w:cs="Times New Roman"/>
          <w:b/>
          <w:bCs/>
          <w:color w:val="000000"/>
          <w:kern w:val="0"/>
          <w:sz w:val="32"/>
          <w:szCs w:val="32"/>
          <w:shd w:val="clear" w:color="auto" w:fill="FFFFFF"/>
          <w:lang w:val="zh-CN"/>
        </w:rPr>
        <w:t>（</w:t>
      </w:r>
      <w:r>
        <w:rPr>
          <w:rFonts w:hint="default" w:ascii="Times New Roman" w:hAnsi="Times New Roman" w:eastAsia="方正楷体_GB2312" w:cs="Times New Roman"/>
          <w:b/>
          <w:bCs/>
          <w:color w:val="000000"/>
          <w:kern w:val="0"/>
          <w:sz w:val="32"/>
          <w:szCs w:val="32"/>
          <w:shd w:val="clear" w:color="auto" w:fill="FFFFFF"/>
          <w:lang w:val="en-US" w:eastAsia="zh-CN"/>
        </w:rPr>
        <w:t>三</w:t>
      </w:r>
      <w:r>
        <w:rPr>
          <w:rFonts w:hint="default" w:ascii="Times New Roman" w:hAnsi="Times New Roman" w:eastAsia="方正楷体_GB2312" w:cs="Times New Roman"/>
          <w:b/>
          <w:bCs/>
          <w:color w:val="000000"/>
          <w:kern w:val="0"/>
          <w:sz w:val="32"/>
          <w:szCs w:val="32"/>
          <w:shd w:val="clear" w:color="auto" w:fill="FFFFFF"/>
          <w:lang w:val="zh-CN"/>
        </w:rPr>
        <w:t>）存在问题</w:t>
      </w:r>
    </w:p>
    <w:p w14:paraId="19D469BE">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1、绩效管理的整体性上还有差距，管理体系需进一步健全。</w:t>
      </w:r>
    </w:p>
    <w:p w14:paraId="545B0199">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2、绩效目标设定的科学性、时效性有待加强。</w:t>
      </w:r>
    </w:p>
    <w:p w14:paraId="19BCD56E">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3、因工作开展情况，导致个别项目在</w:t>
      </w:r>
      <w:r>
        <w:rPr>
          <w:rFonts w:hint="default" w:ascii="Times New Roman" w:hAnsi="Times New Roman" w:eastAsia="方正仿宋_GBK" w:cs="Times New Roman"/>
          <w:sz w:val="32"/>
          <w:szCs w:val="32"/>
          <w:lang w:eastAsia="zh-CN"/>
        </w:rPr>
        <w:t>一</w:t>
      </w:r>
      <w:r>
        <w:rPr>
          <w:rFonts w:hint="default" w:ascii="Times New Roman" w:hAnsi="Times New Roman" w:eastAsia="方正仿宋_GBK" w:cs="Times New Roman"/>
          <w:sz w:val="32"/>
          <w:szCs w:val="32"/>
        </w:rPr>
        <w:t>定程度上存在支出进度慢的情</w:t>
      </w:r>
      <w:r>
        <w:rPr>
          <w:rFonts w:hint="default" w:ascii="Times New Roman" w:hAnsi="Times New Roman" w:eastAsia="方正仿宋_GBK" w:cs="Times New Roman"/>
          <w:sz w:val="32"/>
          <w:szCs w:val="32"/>
          <w:lang w:eastAsia="zh-CN"/>
        </w:rPr>
        <w:t>况。</w:t>
      </w:r>
    </w:p>
    <w:p w14:paraId="2B668FCA">
      <w:pPr>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rPr>
          <w:rFonts w:hint="default" w:ascii="Times New Roman" w:hAnsi="Times New Roman" w:eastAsia="方正楷体_GB2312" w:cs="Times New Roman"/>
          <w:b/>
          <w:bCs/>
          <w:color w:val="000000"/>
          <w:kern w:val="0"/>
          <w:sz w:val="32"/>
          <w:szCs w:val="32"/>
          <w:shd w:val="clear" w:color="auto" w:fill="FFFFFF"/>
          <w:lang w:val="zh-CN"/>
        </w:rPr>
      </w:pPr>
      <w:r>
        <w:rPr>
          <w:rFonts w:hint="default" w:ascii="Times New Roman" w:hAnsi="Times New Roman" w:eastAsia="方正楷体_GB2312" w:cs="Times New Roman"/>
          <w:b/>
          <w:bCs/>
          <w:color w:val="000000"/>
          <w:kern w:val="0"/>
          <w:sz w:val="32"/>
          <w:szCs w:val="32"/>
          <w:shd w:val="clear" w:color="auto" w:fill="FFFFFF"/>
          <w:lang w:val="zh-CN"/>
        </w:rPr>
        <w:t>（三）改进建议</w:t>
      </w:r>
      <w:bookmarkStart w:id="41" w:name="_Hlk110546638"/>
    </w:p>
    <w:p w14:paraId="3C28B830">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是细化预算编制工作，严格按照预算编制的相关制度和要求做好预算的编制工作。二是加强财务管理，严格按照预算规定的资金项目和用途进行资金使用审核。三是严格项目实施进度的跟踪，及时开展项目绩效评价，确保项目绩效目标完成。</w:t>
      </w:r>
    </w:p>
    <w:bookmarkEnd w:id="41"/>
    <w:p w14:paraId="51A4F1FE">
      <w:pPr>
        <w:pStyle w:val="29"/>
        <w:pageBreakBefore w:val="0"/>
        <w:widowControl w:val="0"/>
        <w:kinsoku/>
        <w:wordWrap/>
        <w:overflowPunct/>
        <w:topLinePunct w:val="0"/>
        <w:autoSpaceDE/>
        <w:autoSpaceDN/>
        <w:bidi w:val="0"/>
        <w:adjustRightInd/>
        <w:snapToGrid/>
        <w:spacing w:line="576" w:lineRule="exact"/>
        <w:ind w:left="0" w:leftChars="0" w:firstLine="640"/>
        <w:contextualSpacing/>
        <w:textAlignment w:val="auto"/>
        <w:rPr>
          <w:rFonts w:hint="default" w:ascii="Times New Roman" w:hAnsi="Times New Roman" w:eastAsia="黑体" w:cs="Times New Roman"/>
        </w:rPr>
      </w:pPr>
      <w:r>
        <w:rPr>
          <w:rFonts w:hint="default" w:ascii="Times New Roman" w:hAnsi="Times New Roman" w:eastAsia="方正仿宋_GBK" w:cs="Times New Roman"/>
          <w:sz w:val="32"/>
          <w:szCs w:val="32"/>
        </w:rPr>
        <w:br w:type="page"/>
      </w:r>
      <w:r>
        <w:rPr>
          <w:rFonts w:hint="default" w:ascii="Times New Roman" w:hAnsi="Times New Roman" w:eastAsia="黑体" w:cs="Times New Roman"/>
        </w:rPr>
        <w:t>附表1</w:t>
      </w:r>
    </w:p>
    <w:p w14:paraId="11D301B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color w:val="000000"/>
          <w:kern w:val="0"/>
          <w:sz w:val="44"/>
          <w:szCs w:val="44"/>
        </w:rPr>
      </w:pPr>
      <w:r>
        <w:rPr>
          <w:rFonts w:hint="default" w:ascii="Times New Roman" w:hAnsi="Times New Roman" w:eastAsia="微软雅黑" w:cs="Times New Roman"/>
          <w:color w:val="000000"/>
          <w:kern w:val="0"/>
          <w:sz w:val="44"/>
          <w:szCs w:val="44"/>
        </w:rPr>
        <w:t>部门预算绩效自评打分表</w:t>
      </w:r>
    </w:p>
    <w:tbl>
      <w:tblPr>
        <w:tblStyle w:val="17"/>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03A66915">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50B909">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041E8B">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3CEC4172">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05BFAE2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备注</w:t>
            </w:r>
          </w:p>
        </w:tc>
      </w:tr>
      <w:tr w14:paraId="41BC7DDF">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6F6215C4">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8880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DD5C">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88F5C">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指标</w:t>
            </w:r>
            <w:r>
              <w:rPr>
                <w:rFonts w:hint="default" w:ascii="Times New Roman" w:hAnsi="Times New Roman" w:eastAsia="黑体" w:cs="Times New Roman"/>
                <w:color w:val="000000"/>
                <w:kern w:val="0"/>
                <w:sz w:val="24"/>
              </w:rPr>
              <w:br w:type="textWrapping"/>
            </w:r>
            <w:r>
              <w:rPr>
                <w:rFonts w:hint="default" w:ascii="Times New Roman" w:hAnsi="Times New Roman" w:eastAsia="黑体" w:cs="Times New Roman"/>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D66E1">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黑体" w:cs="Times New Roman"/>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1169B5B6">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黑体" w:cs="Times New Roman"/>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49A36DEC">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黑体" w:cs="Times New Roman"/>
                <w:color w:val="000000"/>
                <w:sz w:val="24"/>
              </w:rPr>
            </w:pPr>
          </w:p>
        </w:tc>
      </w:tr>
      <w:tr w14:paraId="5100EEDF">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01597DF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A436">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履职效能</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0774">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XX履职效果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7E827010">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C0187">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E5E8E">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7401">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7B045E2E">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F1C28A7">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5DD1DCB6">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预算管理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DC322">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E37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3BF4">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02E3">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53A7">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3817E192">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31417FF">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3B3FED94">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BA8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4EE0">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573E">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17485">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FCB15">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56F7105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674D523">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41D5D64A">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ACC3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501A">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10DD1">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D1DB0">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1A85">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79EBA75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37CEEFC">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3EA46956">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5E3CA">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DDF39">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D01F">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CB23">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E2A8">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2B9DF8F9">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6D201DEF">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7F5364DC">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BA95D">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395E9">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DB661">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362B">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11BF">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3458AD92">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CA1D529">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191B9B">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财务管理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C04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49928">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377F">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6E54C">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1577">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58A2119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658C32E">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27144">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3B8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FD1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FCDA5">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FA3B">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3450">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6205863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F6412B6">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DF21E">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5491A">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2EB8C">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0CA93">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EA879">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FCF12">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4D02455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FF5768E">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8767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资产管理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EB1C">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E8D52">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28B9F">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E0E6">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D70EA">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7E33F5C0">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D4396EB">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1F31F">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6C992">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BB43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5E573">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F383E">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C95E4">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7C40783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8A6E2F5">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1D2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资产管理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A65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35508">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DF381">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8E49">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A0507">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5DA810C1">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765E68A">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9CFC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采购管理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6CD95">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ABD8">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5658">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ED68C">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DC3D">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08A5E2E7">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51E6CF11">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DD8CC">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3FEAE">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8171">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1522C">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AD98">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6BF8">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6C255231">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0CEDA">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43B77D8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项目决策</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A91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6C7D">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37A7">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3E37">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10EC">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6FA14096">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32177">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35A2442D">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966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5C11">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ED67">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710A1">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C9146">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6E0FEF9F">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3BA7F">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1ECD73E2">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2D988">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18970">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8D29">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EADDA">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4C55">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56FC82A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B4B1A">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02ACA08D">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项目执行</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11E2B">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205B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6ACEF">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2F03">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12B76">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373964C8">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858D2">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BF56B51">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71CBB334">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B06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4C08">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9AB4D">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5C3D">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59A89CFC">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54767">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F60D756">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4148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19AD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909C">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48D6F">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1C715">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5C34FC52">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D52B3">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E0F10">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目标实现</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4225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51361">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D613">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A3D4">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46A86">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1F56C58A">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3F10A">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7C5D2">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65C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3CDA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39AB2">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6B1C7">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003C">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3D9B91A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1E252">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CAC6A">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4F8E">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42262">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48EAE">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1918">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F948">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r w14:paraId="2E325C37">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FE91">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扣分项</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34479">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867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E8432">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02EA">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357F">
            <w:pPr>
              <w:pageBreakBefore w:val="0"/>
              <w:widowControl/>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color w:val="000000"/>
                <w:kern w:val="0"/>
                <w:sz w:val="24"/>
              </w:rPr>
            </w:pPr>
          </w:p>
        </w:tc>
      </w:tr>
    </w:tbl>
    <w:p w14:paraId="08CC49D2">
      <w:pPr>
        <w:pStyle w:val="21"/>
        <w:pageBreakBefore w:val="0"/>
        <w:kinsoku/>
        <w:wordWrap/>
        <w:overflowPunct/>
        <w:topLinePunct w:val="0"/>
        <w:autoSpaceDE/>
        <w:autoSpaceDN/>
        <w:bidi w:val="0"/>
        <w:spacing w:line="576" w:lineRule="exact"/>
        <w:ind w:left="0" w:leftChars="0"/>
        <w:rPr>
          <w:rFonts w:hint="default" w:ascii="Times New Roman" w:hAnsi="Times New Roman" w:cs="Times New Roman"/>
        </w:rPr>
      </w:pPr>
    </w:p>
    <w:p w14:paraId="1A6CF800">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rPr>
      </w:pPr>
      <w:r>
        <w:rPr>
          <w:rFonts w:hint="default" w:ascii="Times New Roman" w:hAnsi="Times New Roman" w:eastAsia="黑体" w:cs="Times New Roman"/>
        </w:rPr>
        <w:br w:type="page"/>
      </w:r>
    </w:p>
    <w:p w14:paraId="7664DEA7">
      <w:pPr>
        <w:pageBreakBefore w:val="0"/>
        <w:kinsoku/>
        <w:wordWrap/>
        <w:overflowPunct/>
        <w:topLinePunct w:val="0"/>
        <w:autoSpaceDE/>
        <w:autoSpaceDN/>
        <w:bidi w:val="0"/>
        <w:spacing w:line="576" w:lineRule="exact"/>
        <w:ind w:left="0" w:leftChars="0"/>
        <w:jc w:val="left"/>
        <w:rPr>
          <w:rFonts w:hint="default" w:ascii="Times New Roman" w:hAnsi="Times New Roman" w:eastAsia="黑体" w:cs="Times New Roman"/>
        </w:rPr>
      </w:pPr>
      <w:r>
        <w:rPr>
          <w:rFonts w:hint="default" w:ascii="Times New Roman" w:hAnsi="Times New Roman" w:eastAsia="黑体" w:cs="Times New Roman"/>
        </w:rPr>
        <w:t>附表2</w:t>
      </w:r>
    </w:p>
    <w:p w14:paraId="5623496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color w:val="000000"/>
          <w:kern w:val="0"/>
          <w:sz w:val="44"/>
          <w:szCs w:val="44"/>
        </w:rPr>
      </w:pPr>
      <w:r>
        <w:rPr>
          <w:rFonts w:hint="default" w:ascii="Times New Roman" w:hAnsi="Times New Roman" w:eastAsia="微软雅黑" w:cs="Times New Roman"/>
          <w:color w:val="000000"/>
          <w:kern w:val="0"/>
          <w:sz w:val="44"/>
          <w:szCs w:val="44"/>
        </w:rPr>
        <w:t>部门整体支出绩效目标完成情况自评表</w:t>
      </w:r>
    </w:p>
    <w:tbl>
      <w:tblPr>
        <w:tblStyle w:val="17"/>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446B4C02">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374FA07D">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color w:val="000000"/>
                <w:kern w:val="0"/>
                <w:sz w:val="24"/>
              </w:rPr>
            </w:pPr>
            <w:r>
              <w:rPr>
                <w:rFonts w:hint="default" w:ascii="Times New Roman" w:hAnsi="Times New Roman" w:eastAsia="黑体" w:cs="Times New Roman"/>
                <w:sz w:val="24"/>
              </w:rPr>
              <w:br w:type="page"/>
            </w:r>
            <w:r>
              <w:rPr>
                <w:rFonts w:hint="default" w:ascii="Times New Roman" w:hAnsi="Times New Roman" w:eastAsia="宋体" w:cs="Times New Roman"/>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5D0A1DCE">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rPr>
              <w:t>阿坝州</w:t>
            </w:r>
            <w:r>
              <w:rPr>
                <w:rFonts w:hint="default" w:ascii="Times New Roman" w:hAnsi="Times New Roman" w:eastAsia="宋体" w:cs="Times New Roman"/>
                <w:color w:val="000000"/>
                <w:kern w:val="0"/>
                <w:sz w:val="24"/>
                <w:lang w:eastAsia="zh-CN"/>
              </w:rPr>
              <w:t>电影服务中心</w:t>
            </w:r>
          </w:p>
        </w:tc>
      </w:tr>
      <w:tr w14:paraId="6297BED3">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10815F4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486FE7EC">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1D1BDEE2">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41FC44C4">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其他资金</w:t>
            </w:r>
          </w:p>
        </w:tc>
      </w:tr>
      <w:tr w14:paraId="11190AA8">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0B87C8BC">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719857DC">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476</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75A11D74">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418</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295E470A">
            <w:pPr>
              <w:pageBreakBefore w:val="0"/>
              <w:widowControl/>
              <w:kinsoku/>
              <w:wordWrap/>
              <w:overflowPunct/>
              <w:topLinePunct w:val="0"/>
              <w:autoSpaceDE/>
              <w:autoSpaceDN/>
              <w:bidi w:val="0"/>
              <w:spacing w:line="576" w:lineRule="exact"/>
              <w:ind w:left="0" w:leftChars="0"/>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58</w:t>
            </w:r>
          </w:p>
        </w:tc>
      </w:tr>
      <w:tr w14:paraId="050B8DC5">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AA84DD2">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6B155E4E">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476</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717FCB9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418</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70E3A942">
            <w:pPr>
              <w:pageBreakBefore w:val="0"/>
              <w:widowControl/>
              <w:kinsoku/>
              <w:wordWrap/>
              <w:overflowPunct/>
              <w:topLinePunct w:val="0"/>
              <w:autoSpaceDE/>
              <w:autoSpaceDN/>
              <w:bidi w:val="0"/>
              <w:spacing w:line="576" w:lineRule="exact"/>
              <w:ind w:left="0" w:leftChars="0"/>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58</w:t>
            </w:r>
          </w:p>
        </w:tc>
      </w:tr>
      <w:tr w14:paraId="4EB8E784">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08640618">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206B8CCE">
            <w:pPr>
              <w:pageBreakBefore w:val="0"/>
              <w:widowControl/>
              <w:kinsoku/>
              <w:wordWrap/>
              <w:overflowPunct/>
              <w:topLinePunct w:val="0"/>
              <w:autoSpaceDE/>
              <w:autoSpaceDN/>
              <w:bidi w:val="0"/>
              <w:spacing w:line="576" w:lineRule="exact"/>
              <w:ind w:left="0" w:leftChars="0"/>
              <w:jc w:val="both"/>
              <w:textAlignment w:val="center"/>
              <w:rPr>
                <w:rFonts w:hint="default" w:ascii="Times New Roman" w:hAnsi="Times New Roman" w:eastAsia="宋体" w:cs="Times New Roman"/>
                <w:color w:val="000000"/>
                <w:kern w:val="0"/>
                <w:sz w:val="24"/>
              </w:rPr>
            </w:pPr>
            <w:r>
              <w:rPr>
                <w:rFonts w:hint="default" w:ascii="Times New Roman" w:hAnsi="Times New Roman" w:cs="Times New Roman" w:eastAsiaTheme="minorEastAsia"/>
                <w:color w:val="000000"/>
                <w:kern w:val="0"/>
                <w:sz w:val="24"/>
                <w:szCs w:val="24"/>
              </w:rPr>
              <w:t>完成影城电影放映3500场，票房收入120万。</w:t>
            </w:r>
            <w:r>
              <w:rPr>
                <w:rFonts w:hint="default" w:ascii="Times New Roman" w:hAnsi="Times New Roman" w:cs="Times New Roman" w:eastAsiaTheme="minorEastAsia"/>
                <w:color w:val="000000" w:themeColor="text1"/>
                <w:kern w:val="2"/>
                <w:sz w:val="24"/>
                <w:szCs w:val="24"/>
                <w:lang w:val="en-US" w:eastAsia="zh-CN" w:bidi="ar-SA"/>
                <w14:textFill>
                  <w14:solidFill>
                    <w14:schemeClr w14:val="tx1"/>
                  </w14:solidFill>
                </w14:textFill>
              </w:rPr>
              <w:t>实现全州1090个行政村全覆盖，完成公益电影放映13080场。</w:t>
            </w:r>
            <w:r>
              <w:rPr>
                <w:rFonts w:hint="default" w:ascii="Times New Roman" w:hAnsi="Times New Roman" w:cs="Times New Roman" w:eastAsiaTheme="minorEastAsia"/>
                <w:color w:val="000000"/>
                <w:kern w:val="0"/>
                <w:sz w:val="24"/>
                <w:szCs w:val="24"/>
              </w:rPr>
              <w:t>审核放映质量，数据上报，督促全州13县的放映情况</w:t>
            </w:r>
          </w:p>
        </w:tc>
      </w:tr>
      <w:tr w14:paraId="2C6013CD">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11ED4349">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B6C650B">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1289B69E">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5B33725C">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2A10C42B">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5C16F66E">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20E68CE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指标实际完成值</w:t>
            </w:r>
          </w:p>
        </w:tc>
      </w:tr>
      <w:tr w14:paraId="28E2CF56">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F9D7A39">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812565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336E156">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7C9234C0">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06FDD14">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5C0E4106">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三年</w:t>
            </w:r>
          </w:p>
          <w:p w14:paraId="6533CC2D">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7C09E32">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2023年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3E90D4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2024年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EA72CE4">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2025年</w:t>
            </w:r>
          </w:p>
        </w:tc>
        <w:tc>
          <w:tcPr>
            <w:tcW w:w="1931" w:type="dxa"/>
            <w:vMerge w:val="continue"/>
            <w:tcBorders>
              <w:left w:val="single" w:color="000000" w:sz="4" w:space="0"/>
              <w:right w:val="single" w:color="000000" w:sz="4" w:space="0"/>
            </w:tcBorders>
            <w:noWrap/>
            <w:vAlign w:val="center"/>
          </w:tcPr>
          <w:p w14:paraId="73FDE38C">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r>
      <w:tr w14:paraId="7B07EE4A">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57695B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25F6876A">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7BCB0E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EF1D715">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215C6B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5</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2667BB96">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3</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3FF23B1">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D6BF3D9">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55C3C026">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D98D73A">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29007DF2">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036E4AB">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DC8DCC2">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361C46A">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6AE73A8">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6F0E4A4">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85</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3F5ABE61">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83</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03DAAFE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81%</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827AB9B">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86%</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379343E">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84%</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66B3A9E">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061F0DD6">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FE9BDD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9C2C2CB">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8021CB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4558B1A">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9C5EF56">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3</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2C68DD75">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2</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2643395">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B11F935">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1.5%</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D6163A4">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EFCB96D">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280D2F9E">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7307B50">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7AF931A">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C605D7E">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417A87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6794B38">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600</w:t>
            </w:r>
            <w:r>
              <w:rPr>
                <w:rFonts w:hint="default" w:ascii="Times New Roman" w:hAnsi="Times New Roman" w:eastAsia="宋体" w:cs="Times New Roman"/>
                <w:color w:val="000000"/>
                <w:kern w:val="0"/>
                <w:sz w:val="24"/>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38FB4461">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476</w:t>
            </w:r>
            <w:r>
              <w:rPr>
                <w:rFonts w:hint="default" w:ascii="Times New Roman" w:hAnsi="Times New Roman" w:eastAsia="宋体" w:cs="Times New Roman"/>
                <w:color w:val="000000"/>
                <w:kern w:val="0"/>
                <w:sz w:val="24"/>
              </w:rPr>
              <w:t>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49FE6B0">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70695C80">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71E8D46">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6B197BE">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BFA25F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A1DDEF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A072E1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eastAsia="zh-CN"/>
              </w:rPr>
              <w:t>优</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07267C78">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11A6CC9">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eastAsia="zh-CN"/>
              </w:rPr>
              <w:t>中</w:t>
            </w:r>
          </w:p>
        </w:tc>
      </w:tr>
      <w:tr w14:paraId="387F00CA">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DF0E2CA">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1A6371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5C72ADD">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ECCE959">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9CBB9C8">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4</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38A6273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2</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3EE6151">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2</w:t>
            </w:r>
            <w:r>
              <w:rPr>
                <w:rFonts w:hint="default" w:ascii="Times New Roman" w:hAnsi="Times New Roman" w:eastAsia="宋体" w:cs="Times New Roman"/>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022C5A4">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2.6</w:t>
            </w:r>
            <w:r>
              <w:rPr>
                <w:rFonts w:hint="default" w:ascii="Times New Roman" w:hAnsi="Times New Roman" w:eastAsia="宋体" w:cs="Times New Roman"/>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B711AAE">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2.6</w:t>
            </w:r>
            <w:r>
              <w:rPr>
                <w:rFonts w:hint="default" w:ascii="Times New Roman" w:hAnsi="Times New Roman" w:eastAsia="宋体" w:cs="Times New Roman"/>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03743A5">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57ACC689">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BB2E175">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F178A99">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3EDDCA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965124C">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4365AF2">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96</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5DFB5EED">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94</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831F1F1">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94%</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1E7053B">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95%</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58E3FBF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93%</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62CAC99">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2F67F177">
        <w:tblPrEx>
          <w:tblCellMar>
            <w:top w:w="0" w:type="dxa"/>
            <w:left w:w="108" w:type="dxa"/>
            <w:bottom w:w="0" w:type="dxa"/>
            <w:right w:w="108" w:type="dxa"/>
          </w:tblCellMar>
        </w:tblPrEx>
        <w:trPr>
          <w:trHeight w:val="710"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410FAB1D">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eastAsia="zh-CN"/>
              </w:rPr>
              <w:t>优</w:t>
            </w:r>
            <w:r>
              <w:rPr>
                <w:rFonts w:hint="default" w:ascii="Times New Roman" w:hAnsi="Times New Roman" w:eastAsia="宋体" w:cs="Times New Roman"/>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4DE97C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E882E05">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E151388">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A22ECC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9E912B9">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r>
      <w:tr w14:paraId="68946CCC">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F67B76A">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1DC712A8">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38B6EEE">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0E3AAAE">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购办公设备数量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EFC20C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23种办公设备完成设备采购、部署、调试、验收及运维</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30B80DD">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0314AB0F">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EB412D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B279F96">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FB15F3C">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A0B8C8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放映合格率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0F9B1CB">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放映画面清晰稳定、色彩还原准确、无抖动闪烁；音效清晰饱满、无杂音失真；播放流畅完整放映合格率98%</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7D68FC6">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44D24634">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A884C3C">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7EBF6B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4A42590">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50F318D">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完成时间</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F88BAC5">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rPr>
              <w:t>2025年9月底</w:t>
            </w:r>
            <w:r>
              <w:rPr>
                <w:rFonts w:hint="default" w:ascii="Times New Roman" w:hAnsi="Times New Roman" w:eastAsia="宋体" w:cs="Times New Roman"/>
                <w:color w:val="000000"/>
                <w:kern w:val="0"/>
                <w:sz w:val="24"/>
                <w:lang w:eastAsia="zh-CN"/>
              </w:rPr>
              <w:t>已完成购买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763AE74">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51524458">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526CEC0">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0F5FC78">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9082576">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0D75B37">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规范监管农村公益电影放映场次与质量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3B1B9A1">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全年完成公益放映16452场次，完成率达125%，下载节目276部次，订购场次17949场，服务群众超31万人次，让优质文化盛宴精准送达基层一线。</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74D0BFB">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0C1DB38A">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0A54305">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2C8172C">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D2EF759">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可持续影响指标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878E15A">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保障工作正常运转</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57EADF3">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完成设备采购、部署、调试、验收及运维的全流程工作，确保设备正常投入使用、满足日常办公与业务运转需要。</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52CA2B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0030F494">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05CD76C">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C614BC8">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1D172">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kern w:val="0"/>
                <w:sz w:val="24"/>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73674BD">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观影人次增长率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C7166C4">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全年实现票房收入151万元，较2024年增长56%，全年组织《天宝》《志愿军》等主旋律影片展映421场，</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EBF5FAF">
            <w:pPr>
              <w:pageBreakBefore w:val="0"/>
              <w:widowControl/>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bl>
    <w:p w14:paraId="3602164F">
      <w:pPr>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11F64CEC">
      <w:pPr>
        <w:pStyle w:val="2"/>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791E20C0">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7208C5DA">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5F2215B1">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29CF3073">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1973F8D5">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2B2C9789">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0EB3AA45">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0DA3CC88">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73EEF9A4">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365A91B7">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17AA7061">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026AB795">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4A5850F6">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7FF3115B">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05A20E1E">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2ED34795">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0B0EFBA4">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6A779C7C">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55E9FD49">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741EDC6B">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4E7CB2E5">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6418AF49">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62517B72">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5E793747">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szCs w:val="32"/>
        </w:rPr>
      </w:pPr>
    </w:p>
    <w:p w14:paraId="6C37E27D">
      <w:pPr>
        <w:pStyle w:val="2"/>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b/>
          <w:bCs/>
          <w:sz w:val="40"/>
          <w:szCs w:val="40"/>
        </w:rPr>
      </w:pPr>
    </w:p>
    <w:p w14:paraId="1262A214">
      <w:pPr>
        <w:pageBreakBefore w:val="0"/>
        <w:widowControl/>
        <w:kinsoku/>
        <w:wordWrap/>
        <w:overflowPunct/>
        <w:topLinePunct w:val="0"/>
        <w:autoSpaceDE/>
        <w:autoSpaceDN/>
        <w:bidi w:val="0"/>
        <w:spacing w:line="576" w:lineRule="exact"/>
        <w:ind w:left="0" w:leftChars="0" w:firstLine="3080" w:firstLineChars="700"/>
        <w:jc w:val="left"/>
        <w:rPr>
          <w:rFonts w:hint="default" w:ascii="Times New Roman" w:hAnsi="Times New Roman" w:eastAsia="方正黑体_GBK" w:cs="Times New Roman"/>
          <w:szCs w:val="32"/>
        </w:rPr>
      </w:pPr>
      <w:r>
        <w:rPr>
          <w:rFonts w:hint="default" w:ascii="Times New Roman" w:hAnsi="Times New Roman" w:eastAsia="方正黑体_GBK" w:cs="Times New Roman"/>
          <w:sz w:val="44"/>
          <w:szCs w:val="44"/>
        </w:rPr>
        <w:t>第四部分附件</w:t>
      </w:r>
    </w:p>
    <w:p w14:paraId="0967B2E6">
      <w:pPr>
        <w:pStyle w:val="3"/>
        <w:pageBreakBefore w:val="0"/>
        <w:kinsoku/>
        <w:wordWrap/>
        <w:overflowPunct/>
        <w:topLinePunct w:val="0"/>
        <w:autoSpaceDE/>
        <w:autoSpaceDN/>
        <w:bidi w:val="0"/>
        <w:spacing w:line="576" w:lineRule="exact"/>
        <w:ind w:left="0" w:leftChars="0"/>
        <w:rPr>
          <w:rFonts w:hint="default" w:ascii="Times New Roman" w:hAnsi="Times New Roman" w:eastAsia="仿宋_GB2312" w:cs="Times New Roman"/>
          <w:b/>
          <w:bCs/>
          <w:sz w:val="40"/>
          <w:szCs w:val="40"/>
        </w:rPr>
      </w:pPr>
    </w:p>
    <w:p w14:paraId="2D8B4C72">
      <w:pPr>
        <w:pageBreakBefore w:val="0"/>
        <w:widowControl/>
        <w:kinsoku/>
        <w:wordWrap/>
        <w:overflowPunct/>
        <w:topLinePunct w:val="0"/>
        <w:autoSpaceDE/>
        <w:autoSpaceDN/>
        <w:bidi w:val="0"/>
        <w:spacing w:line="576" w:lineRule="exact"/>
        <w:ind w:left="0" w:leftChars="0"/>
        <w:jc w:val="both"/>
        <w:rPr>
          <w:rFonts w:hint="default" w:ascii="Times New Roman" w:hAnsi="Times New Roman" w:eastAsia="仿宋_GB2312" w:cs="Times New Roman"/>
          <w:b/>
          <w:bCs/>
          <w:sz w:val="40"/>
          <w:szCs w:val="40"/>
        </w:rPr>
      </w:pPr>
      <w:r>
        <w:rPr>
          <w:rFonts w:hint="default" w:ascii="Times New Roman" w:hAnsi="Times New Roman" w:eastAsia="仿宋_GB2312" w:cs="Times New Roman"/>
          <w:b/>
          <w:bCs/>
          <w:sz w:val="40"/>
          <w:szCs w:val="40"/>
        </w:rPr>
        <w:t>部门预算项目支出绩效自评表（202</w:t>
      </w:r>
      <w:r>
        <w:rPr>
          <w:rFonts w:hint="default" w:ascii="Times New Roman" w:hAnsi="Times New Roman" w:eastAsia="仿宋_GB2312" w:cs="Times New Roman"/>
          <w:b/>
          <w:bCs/>
          <w:sz w:val="40"/>
          <w:szCs w:val="40"/>
          <w:lang w:val="en-US" w:eastAsia="zh-CN"/>
        </w:rPr>
        <w:t>5</w:t>
      </w:r>
      <w:r>
        <w:rPr>
          <w:rFonts w:hint="default" w:ascii="Times New Roman" w:hAnsi="Times New Roman" w:eastAsia="仿宋_GB2312" w:cs="Times New Roman"/>
          <w:b/>
          <w:bCs/>
          <w:sz w:val="40"/>
          <w:szCs w:val="40"/>
        </w:rPr>
        <w:t>年度）</w:t>
      </w:r>
    </w:p>
    <w:p w14:paraId="54008A6E">
      <w:pPr>
        <w:pageBreakBefore w:val="0"/>
        <w:widowControl/>
        <w:kinsoku/>
        <w:wordWrap/>
        <w:overflowPunct/>
        <w:topLinePunct w:val="0"/>
        <w:autoSpaceDE/>
        <w:autoSpaceDN/>
        <w:bidi w:val="0"/>
        <w:spacing w:line="576" w:lineRule="exact"/>
        <w:ind w:left="0" w:leftChars="0"/>
        <w:jc w:val="center"/>
        <w:rPr>
          <w:rFonts w:hint="default" w:ascii="Times New Roman" w:hAnsi="Times New Roman" w:eastAsia="仿宋_GB2312" w:cs="Times New Roman"/>
          <w:b/>
          <w:bCs/>
          <w:sz w:val="40"/>
          <w:szCs w:val="40"/>
        </w:rPr>
      </w:pPr>
    </w:p>
    <w:p w14:paraId="2C25A6D6">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rPr>
      </w:pPr>
    </w:p>
    <w:p w14:paraId="3B7E3011">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rPr>
      </w:pPr>
    </w:p>
    <w:p w14:paraId="7306CB39">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rPr>
      </w:pPr>
    </w:p>
    <w:p w14:paraId="66AF3BBF">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rPr>
        <w:sectPr>
          <w:footerReference r:id="rId7" w:type="first"/>
          <w:footerReference r:id="rId6" w:type="default"/>
          <w:pgSz w:w="11906" w:h="16838"/>
          <w:pgMar w:top="2098" w:right="1531" w:bottom="1984" w:left="1587" w:header="851" w:footer="1417" w:gutter="0"/>
          <w:pgNumType w:start="1"/>
          <w:cols w:space="0" w:num="1"/>
          <w:titlePg/>
          <w:docGrid w:type="lines" w:linePitch="312" w:charSpace="0"/>
        </w:sectPr>
      </w:pPr>
    </w:p>
    <w:tbl>
      <w:tblPr>
        <w:tblStyle w:val="17"/>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41"/>
        <w:gridCol w:w="1766"/>
        <w:gridCol w:w="2252"/>
        <w:gridCol w:w="520"/>
        <w:gridCol w:w="1670"/>
        <w:gridCol w:w="520"/>
        <w:gridCol w:w="1090"/>
        <w:gridCol w:w="560"/>
        <w:gridCol w:w="456"/>
        <w:gridCol w:w="2541"/>
      </w:tblGrid>
      <w:tr w14:paraId="129F2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0C6EA6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27CE6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C4B5FF">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E78801">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51320021T000000061547-农村数字电影监管平台运行维护费</w:t>
            </w:r>
          </w:p>
        </w:tc>
      </w:tr>
      <w:tr w14:paraId="678BB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2EAAF">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2108B5">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州委宣传部部门</w:t>
            </w:r>
          </w:p>
        </w:tc>
        <w:tc>
          <w:tcPr>
            <w:tcW w:w="1091" w:type="dxa"/>
            <w:tcBorders>
              <w:top w:val="nil"/>
              <w:left w:val="nil"/>
              <w:bottom w:val="nil"/>
              <w:right w:val="nil"/>
            </w:tcBorders>
            <w:shd w:val="clear" w:color="auto" w:fill="auto"/>
            <w:vAlign w:val="center"/>
          </w:tcPr>
          <w:p w14:paraId="7336DCB0">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AA89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州电影服务中心</w:t>
            </w:r>
          </w:p>
        </w:tc>
      </w:tr>
      <w:tr w14:paraId="77A37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4DFF6">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D1F78">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289C0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0A3B4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1D301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3A94D">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90438">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43DC99">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审核放映质量,数据上报国家及省平台,通过规范监管农村公益电影放映,提升农村公共文化服务水平.</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7268C6">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全年计划下载影片300部次以上，实现全州1090个行政村全覆盖，完成公益电影放映13080场。</w:t>
            </w:r>
          </w:p>
        </w:tc>
      </w:tr>
      <w:tr w14:paraId="2A1F6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6586E">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898E9">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64106A">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全年完成公益放映16452场次，完成率达125%，下载节目276部次，订购场次17949场，服务群众超31万人次，让优质文化盛宴精准送达基层一线。</w:t>
            </w:r>
          </w:p>
        </w:tc>
      </w:tr>
      <w:tr w14:paraId="312BA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48A1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103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CE8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172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57DA6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DAA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7F3F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C82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948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F64C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E1D2F">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713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CD5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681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3.19</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FBD00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3.19</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DC97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EEB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C41D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CE05D">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省监管平台主管风方发生变更</w:t>
            </w:r>
          </w:p>
        </w:tc>
      </w:tr>
      <w:tr w14:paraId="76C48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C21F4">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9D60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F02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67E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3.19</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E666A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3.19</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99F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6FEC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EC6A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3B4AE">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3A3F4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7A385">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4D18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EDB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D596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011E7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F33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CB0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A99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3FDAF">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01339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36268">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366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3C5A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B341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09C82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333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255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A2AE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DC4A1">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3E2B4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7DFF2">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B73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B119">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285DA">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160B03">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4BBF">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800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FBB5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D3B9C">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54AA4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F665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7C9B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8BCC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22B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1FC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25DC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333A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E21B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00D2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1BB6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2B99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C550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566B3">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F0D8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E7C7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34CC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项目完成场次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19E4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241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D775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场次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4F8A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1AC4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404D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66270">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0E9A3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90186">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F7108">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915ED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A3D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监管全州农村公益电影放映合格率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1E67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8BE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554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DA93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F8F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EFF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BBED6">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6C1E4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34F04">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E40A1">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C9D40">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D374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数据按时上报率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A34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3AE8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A31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B57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DD4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220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7046">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03F57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D7456">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B6769">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6A77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B29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项目完成所需时间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F68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C3E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D74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C9E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1D9C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345F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7F426">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2F831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EF5F1">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8927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D9B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5D9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规范监管农村公益电影放映场次与质量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7FC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695C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好,一般,差</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4AC1">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DBAC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7F2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34A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85885">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5AC7E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78DDA">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E3E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B740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148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老百姓对影片满意率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4904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0991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53E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7D6A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2A76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C5D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2D64">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647C4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8449F">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2086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2F4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7A0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平台运维成本控制率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DE94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1137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468E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78C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7EB6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E83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084D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省监管平台主管风方发生变更</w:t>
            </w:r>
          </w:p>
        </w:tc>
      </w:tr>
      <w:tr w14:paraId="748FC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9A411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39E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F4DE6">
            <w:pPr>
              <w:keepNext w:val="0"/>
              <w:keepLines w:val="0"/>
              <w:pageBreakBefore w:val="0"/>
              <w:widowControl/>
              <w:suppressLineNumbers w:val="0"/>
              <w:kinsoku/>
              <w:wordWrap/>
              <w:overflowPunct/>
              <w:topLinePunct w:val="0"/>
              <w:autoSpaceDE/>
              <w:autoSpaceDN/>
              <w:bidi w:val="0"/>
              <w:spacing w:line="576" w:lineRule="exact"/>
              <w:ind w:left="0" w:left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D4989">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r>
      <w:tr w14:paraId="52B11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9427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69D40E">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根据项目支出绩效评价指标规定的内容自评,2024年度部门整体绩效得分93分</w:t>
            </w:r>
          </w:p>
        </w:tc>
      </w:tr>
      <w:tr w14:paraId="67EB3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6D3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F1A68C">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省监管平台主管风方发生变更</w:t>
            </w:r>
          </w:p>
        </w:tc>
      </w:tr>
      <w:tr w14:paraId="15673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5D9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8CE1F8">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开充分运用数字监管平台，全面发挥平台在放映任务统筹、进度实时跟踪、质量动态把控等方面的关键作用，确保公益放映工作规范高效推进。</w:t>
            </w:r>
          </w:p>
        </w:tc>
      </w:tr>
    </w:tbl>
    <w:p w14:paraId="6B93F9E8">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rPr>
      </w:pPr>
    </w:p>
    <w:p w14:paraId="6D7E088D">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rPr>
      </w:pPr>
    </w:p>
    <w:p w14:paraId="15F4EDD9">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rPr>
      </w:pPr>
    </w:p>
    <w:p w14:paraId="147EAEAE">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rPr>
      </w:pPr>
    </w:p>
    <w:p w14:paraId="7B265940">
      <w:pPr>
        <w:pStyle w:val="3"/>
        <w:pageBreakBefore w:val="0"/>
        <w:kinsoku/>
        <w:wordWrap/>
        <w:overflowPunct/>
        <w:topLinePunct w:val="0"/>
        <w:autoSpaceDE/>
        <w:autoSpaceDN/>
        <w:bidi w:val="0"/>
        <w:spacing w:line="576" w:lineRule="exact"/>
        <w:ind w:left="0" w:leftChars="0"/>
        <w:rPr>
          <w:rFonts w:hint="default" w:ascii="Times New Roman" w:hAnsi="Times New Roman" w:cs="Times New Roman"/>
        </w:rPr>
      </w:pPr>
    </w:p>
    <w:tbl>
      <w:tblPr>
        <w:tblStyle w:val="17"/>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2"/>
        <w:gridCol w:w="2008"/>
        <w:gridCol w:w="1744"/>
        <w:gridCol w:w="2219"/>
        <w:gridCol w:w="517"/>
        <w:gridCol w:w="1647"/>
        <w:gridCol w:w="517"/>
        <w:gridCol w:w="1089"/>
        <w:gridCol w:w="560"/>
        <w:gridCol w:w="618"/>
        <w:gridCol w:w="2499"/>
      </w:tblGrid>
      <w:tr w14:paraId="67B83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B7F113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5AAE9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5958BF">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9C2324">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51320021T000000061550-影城运行费</w:t>
            </w:r>
          </w:p>
        </w:tc>
      </w:tr>
      <w:tr w14:paraId="6A90B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506E4">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F0D722">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州委宣传部部门</w:t>
            </w:r>
          </w:p>
        </w:tc>
        <w:tc>
          <w:tcPr>
            <w:tcW w:w="1091" w:type="dxa"/>
            <w:tcBorders>
              <w:top w:val="nil"/>
              <w:left w:val="nil"/>
              <w:bottom w:val="nil"/>
              <w:right w:val="nil"/>
            </w:tcBorders>
            <w:shd w:val="clear" w:color="auto" w:fill="auto"/>
            <w:vAlign w:val="center"/>
          </w:tcPr>
          <w:p w14:paraId="58CBF500">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6F840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州电影服务中心</w:t>
            </w:r>
          </w:p>
        </w:tc>
      </w:tr>
      <w:tr w14:paraId="51A1E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8121C">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A712CC">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F5CD1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3A336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1F3E0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DBF38">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292C8">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025BFD">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推进民族文化特色、艺术创新影片和放映、促进国产影片票房稳步增长、推动电影事业产业发展。</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E57921">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全年实现票房收入120万元、商品收入20万元。</w:t>
            </w:r>
          </w:p>
        </w:tc>
      </w:tr>
      <w:tr w14:paraId="4E124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7CF81">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0D510">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6BE409">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全年实现票房收入151万元，较2024年增长56%，全年组织《天宝》《志愿军》等主旋律影片展映421场，</w:t>
            </w:r>
          </w:p>
        </w:tc>
      </w:tr>
      <w:tr w14:paraId="3A0B5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3FC9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94BF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CC0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D7C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0B87E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F26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E7BA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4F7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103D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8456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82D1A">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390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2E6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76.69</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5E5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58.04</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283D9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58.04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0F6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C021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EE5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9EC19">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影城维修项目未推进，保日常和节假日放映</w:t>
            </w:r>
            <w:r>
              <w:rPr>
                <w:rFonts w:hint="default" w:ascii="Times New Roman" w:hAnsi="Times New Roman" w:eastAsia="黑体" w:cs="Times New Roman"/>
                <w:i/>
                <w:iCs/>
                <w:color w:val="000000"/>
                <w:kern w:val="0"/>
                <w:sz w:val="18"/>
                <w:szCs w:val="18"/>
                <w:u w:val="none"/>
                <w:lang w:val="en-US" w:eastAsia="zh-CN" w:bidi="ar"/>
              </w:rPr>
              <w:t>。</w:t>
            </w:r>
          </w:p>
        </w:tc>
      </w:tr>
      <w:tr w14:paraId="26973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B07B1">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ED98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EC8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76.69</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A99E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58.04</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76A3A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58.04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509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F37A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5AD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57B95">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59BE7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C79A1">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6556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BDF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4FA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F16A3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369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F0FE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14A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96651">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2239A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FE121">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48B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290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8B73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04BC7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82C5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44D2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C9C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76625">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5C2A6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78D71">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DCD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06773">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1CE03">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58B019">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F4EB">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8007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8857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0E039">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20D2D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8F37A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0E4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DDF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F361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5938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784C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E7A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1B1D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F040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D09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EED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CCBB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0D37B">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585AD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C6729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463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项目完成场次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1AA8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9C82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EC0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场次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1A13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59E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7D577">
            <w:pPr>
              <w:keepNext w:val="0"/>
              <w:keepLines w:val="0"/>
              <w:pageBreakBefore w:val="0"/>
              <w:widowControl/>
              <w:suppressLineNumbers w:val="0"/>
              <w:kinsoku/>
              <w:wordWrap/>
              <w:overflowPunct/>
              <w:topLinePunct w:val="0"/>
              <w:autoSpaceDE/>
              <w:autoSpaceDN/>
              <w:bidi w:val="0"/>
              <w:spacing w:line="576" w:lineRule="exact"/>
              <w:ind w:left="0" w:left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01AE3">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22208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FAA00">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F1A38">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1D6BF">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7A4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民族文化特色影片放映场次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1E8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025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ACE0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场次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0284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E36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7A489">
            <w:pPr>
              <w:keepNext w:val="0"/>
              <w:keepLines w:val="0"/>
              <w:pageBreakBefore w:val="0"/>
              <w:widowControl/>
              <w:suppressLineNumbers w:val="0"/>
              <w:kinsoku/>
              <w:wordWrap/>
              <w:overflowPunct/>
              <w:topLinePunct w:val="0"/>
              <w:autoSpaceDE/>
              <w:autoSpaceDN/>
              <w:bidi w:val="0"/>
              <w:spacing w:line="576" w:lineRule="exact"/>
              <w:ind w:left="0" w:left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8F50">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60C9F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75315">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174F2">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64A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C0A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放映合格率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71B4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1A09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F778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768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5490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2D85E">
            <w:pPr>
              <w:keepNext w:val="0"/>
              <w:keepLines w:val="0"/>
              <w:pageBreakBefore w:val="0"/>
              <w:widowControl/>
              <w:suppressLineNumbers w:val="0"/>
              <w:kinsoku/>
              <w:wordWrap/>
              <w:overflowPunct/>
              <w:topLinePunct w:val="0"/>
              <w:autoSpaceDE/>
              <w:autoSpaceDN/>
              <w:bidi w:val="0"/>
              <w:spacing w:line="576" w:lineRule="exact"/>
              <w:ind w:left="0" w:left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54E7">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59AE3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A87D6">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469B4">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F9E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8BAF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项目完成所需时间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1C2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CA5B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587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355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4C5C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F6CFF">
            <w:pPr>
              <w:keepNext w:val="0"/>
              <w:keepLines w:val="0"/>
              <w:pageBreakBefore w:val="0"/>
              <w:widowControl/>
              <w:suppressLineNumbers w:val="0"/>
              <w:kinsoku/>
              <w:wordWrap/>
              <w:overflowPunct/>
              <w:topLinePunct w:val="0"/>
              <w:autoSpaceDE/>
              <w:autoSpaceDN/>
              <w:bidi w:val="0"/>
              <w:spacing w:line="576" w:lineRule="exact"/>
              <w:ind w:left="0" w:left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2C951">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0A5A9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D03C9">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6DE7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67FE5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61AA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卖品收入金额</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AECB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A01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779D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5D55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833E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964FE">
            <w:pPr>
              <w:keepNext w:val="0"/>
              <w:keepLines w:val="0"/>
              <w:pageBreakBefore w:val="0"/>
              <w:widowControl/>
              <w:suppressLineNumbers w:val="0"/>
              <w:kinsoku/>
              <w:wordWrap/>
              <w:overflowPunct/>
              <w:topLinePunct w:val="0"/>
              <w:autoSpaceDE/>
              <w:autoSpaceDN/>
              <w:bidi w:val="0"/>
              <w:spacing w:line="576" w:lineRule="exact"/>
              <w:ind w:left="0" w:left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D2B95">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5003F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66804">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B717D">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27696">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DEE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电影票房收入</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7AF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8EA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263C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980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4453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F7C48">
            <w:pPr>
              <w:keepNext w:val="0"/>
              <w:keepLines w:val="0"/>
              <w:pageBreakBefore w:val="0"/>
              <w:widowControl/>
              <w:suppressLineNumbers w:val="0"/>
              <w:kinsoku/>
              <w:wordWrap/>
              <w:overflowPunct/>
              <w:topLinePunct w:val="0"/>
              <w:autoSpaceDE/>
              <w:autoSpaceDN/>
              <w:bidi w:val="0"/>
              <w:spacing w:line="576" w:lineRule="exact"/>
              <w:ind w:left="0" w:left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BE1F5">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2BE50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FA531">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32995">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DC6F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B67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观影人次增长率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77C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D0D8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A3CA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809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9097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88164">
            <w:pPr>
              <w:keepNext w:val="0"/>
              <w:keepLines w:val="0"/>
              <w:pageBreakBefore w:val="0"/>
              <w:widowControl/>
              <w:suppressLineNumbers w:val="0"/>
              <w:kinsoku/>
              <w:wordWrap/>
              <w:overflowPunct/>
              <w:topLinePunct w:val="0"/>
              <w:autoSpaceDE/>
              <w:autoSpaceDN/>
              <w:bidi w:val="0"/>
              <w:spacing w:line="576" w:lineRule="exact"/>
              <w:ind w:left="0" w:left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CC8CC">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6E4F8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E8E06">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367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F18D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FA86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观众满意率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0AC9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65B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63F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4F8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3A0D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CC716">
            <w:pPr>
              <w:keepNext w:val="0"/>
              <w:keepLines w:val="0"/>
              <w:pageBreakBefore w:val="0"/>
              <w:widowControl/>
              <w:suppressLineNumbers w:val="0"/>
              <w:kinsoku/>
              <w:wordWrap/>
              <w:overflowPunct/>
              <w:topLinePunct w:val="0"/>
              <w:autoSpaceDE/>
              <w:autoSpaceDN/>
              <w:bidi w:val="0"/>
              <w:spacing w:line="576" w:lineRule="exact"/>
              <w:ind w:left="0" w:left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593C0">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10440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F9EAF">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2FF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C573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1C2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影城运行总成本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261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556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8586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B4EA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86%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DCC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104E2">
            <w:pPr>
              <w:keepNext w:val="0"/>
              <w:keepLines w:val="0"/>
              <w:pageBreakBefore w:val="0"/>
              <w:widowControl/>
              <w:suppressLineNumbers w:val="0"/>
              <w:kinsoku/>
              <w:wordWrap/>
              <w:overflowPunct/>
              <w:topLinePunct w:val="0"/>
              <w:autoSpaceDE/>
              <w:autoSpaceDN/>
              <w:bidi w:val="0"/>
              <w:spacing w:line="576" w:lineRule="exact"/>
              <w:ind w:left="0" w:left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C11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维修项目未推进</w:t>
            </w:r>
          </w:p>
        </w:tc>
      </w:tr>
      <w:tr w14:paraId="0439B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BD4F6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CE15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8587B">
            <w:pPr>
              <w:keepNext w:val="0"/>
              <w:keepLines w:val="0"/>
              <w:pageBreakBefore w:val="0"/>
              <w:widowControl/>
              <w:suppressLineNumbers w:val="0"/>
              <w:kinsoku/>
              <w:wordWrap/>
              <w:overflowPunct/>
              <w:topLinePunct w:val="0"/>
              <w:autoSpaceDE/>
              <w:autoSpaceDN/>
              <w:bidi w:val="0"/>
              <w:spacing w:line="576" w:lineRule="exact"/>
              <w:ind w:left="0" w:left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92.5</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5A42">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r>
      <w:tr w14:paraId="4634A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118E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A03B6F">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根据项目支出绩效评价指标规定的内容自评,2024年度部门整体绩效得分92.5分</w:t>
            </w:r>
          </w:p>
        </w:tc>
      </w:tr>
      <w:tr w14:paraId="69181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25C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431DC2">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影城维修项目未推进，保日常和节假日放映</w:t>
            </w:r>
            <w:r>
              <w:rPr>
                <w:rFonts w:hint="default" w:ascii="Times New Roman" w:hAnsi="Times New Roman" w:eastAsia="微软雅黑" w:cs="Times New Roman"/>
                <w:i/>
                <w:iCs/>
                <w:color w:val="000000"/>
                <w:kern w:val="0"/>
                <w:sz w:val="16"/>
                <w:szCs w:val="16"/>
                <w:u w:val="none"/>
                <w:lang w:val="en-US" w:eastAsia="zh-CN" w:bidi="ar"/>
              </w:rPr>
              <w:t>。</w:t>
            </w:r>
          </w:p>
        </w:tc>
      </w:tr>
      <w:tr w14:paraId="58FBB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EF4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70E71A">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积极推进新时代电影文化发展策略，主动顺应电影消费环境变化，紧扣观众多元化需求，持续巩固电影院放映主阵地作用。</w:t>
            </w:r>
          </w:p>
        </w:tc>
      </w:tr>
    </w:tbl>
    <w:p w14:paraId="0D9852C3">
      <w:pPr>
        <w:pStyle w:val="3"/>
        <w:pageBreakBefore w:val="0"/>
        <w:kinsoku/>
        <w:wordWrap/>
        <w:overflowPunct/>
        <w:topLinePunct w:val="0"/>
        <w:autoSpaceDE/>
        <w:autoSpaceDN/>
        <w:bidi w:val="0"/>
        <w:spacing w:line="576" w:lineRule="exact"/>
        <w:ind w:left="0" w:leftChars="0" w:firstLine="0" w:firstLineChars="0"/>
        <w:rPr>
          <w:rFonts w:hint="default" w:ascii="Times New Roman" w:hAnsi="Times New Roman" w:cs="Times New Roman"/>
        </w:rPr>
      </w:pPr>
    </w:p>
    <w:p w14:paraId="5885E751">
      <w:pPr>
        <w:pStyle w:val="3"/>
        <w:pageBreakBefore w:val="0"/>
        <w:kinsoku/>
        <w:wordWrap/>
        <w:overflowPunct/>
        <w:topLinePunct w:val="0"/>
        <w:autoSpaceDE/>
        <w:autoSpaceDN/>
        <w:bidi w:val="0"/>
        <w:spacing w:line="576" w:lineRule="exact"/>
        <w:ind w:left="0" w:leftChars="0" w:firstLine="0" w:firstLineChars="0"/>
        <w:rPr>
          <w:rFonts w:hint="default" w:ascii="Times New Roman" w:hAnsi="Times New Roman" w:cs="Times New Roman"/>
        </w:rPr>
      </w:pPr>
    </w:p>
    <w:tbl>
      <w:tblPr>
        <w:tblStyle w:val="17"/>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2"/>
        <w:gridCol w:w="2008"/>
        <w:gridCol w:w="1744"/>
        <w:gridCol w:w="2218"/>
        <w:gridCol w:w="517"/>
        <w:gridCol w:w="1650"/>
        <w:gridCol w:w="517"/>
        <w:gridCol w:w="1089"/>
        <w:gridCol w:w="560"/>
        <w:gridCol w:w="617"/>
        <w:gridCol w:w="2498"/>
      </w:tblGrid>
      <w:tr w14:paraId="4AA92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D20C14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14510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AFCCE1">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CDFDD7">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51320021T000000061565-农村公益性电影放映运行费</w:t>
            </w:r>
          </w:p>
        </w:tc>
      </w:tr>
      <w:tr w14:paraId="3AAA4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C7CBD">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957CB9">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州委宣传部部门</w:t>
            </w:r>
          </w:p>
        </w:tc>
        <w:tc>
          <w:tcPr>
            <w:tcW w:w="1091" w:type="dxa"/>
            <w:tcBorders>
              <w:top w:val="nil"/>
              <w:left w:val="nil"/>
              <w:bottom w:val="nil"/>
              <w:right w:val="nil"/>
            </w:tcBorders>
            <w:shd w:val="clear" w:color="auto" w:fill="auto"/>
            <w:vAlign w:val="center"/>
          </w:tcPr>
          <w:p w14:paraId="05E98E49">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91982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州电影服务中心</w:t>
            </w:r>
          </w:p>
        </w:tc>
      </w:tr>
      <w:tr w14:paraId="51AF1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E80B2">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E5A69">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1AA97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A77DE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6C05E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0C2B8">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3A69E">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27C81F">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农村公益电影放映运行用于督促全州13县的放映情况,通过全州农村公益放映任务13080场次,督导培训等措施规范放映质量,丰富农村群众文化生活.提升农村公共文化服务水平,增加农村群众文化获得感.</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314C16">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全年计划下载影片300部次以上，实现全州1090个行政村全覆盖，完成公益电影放映13080场。</w:t>
            </w:r>
          </w:p>
        </w:tc>
      </w:tr>
      <w:tr w14:paraId="6EDB2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77F6D">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6430E">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1344D7">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全年完成公益放映16452场次，完成率达125%，下载节目276部次，订购场次17949场，服务群众超31万人次，让优质文化盛宴精准送达基层一线。</w:t>
            </w:r>
          </w:p>
        </w:tc>
      </w:tr>
      <w:tr w14:paraId="25B98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4E711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8BB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91B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A838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80E6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8057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68DA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83A2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26F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2ED5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12100">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C7E8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9398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A40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10.65</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E3A6B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4BD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D42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247F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1B908">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全州各县放映设备老化陈旧，设备厂家停产、原厂配件断供，无专业维保团队。</w:t>
            </w:r>
          </w:p>
        </w:tc>
      </w:tr>
      <w:tr w14:paraId="61C25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EE443">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CE6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E6D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938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10.65</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514CF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F581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A0D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1F4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FEB2D">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0BD73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54F6F">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6BA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E480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1D7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CCBEA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F2C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B6DF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23C9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44B1E">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2FA8B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1BEF0">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D570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117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67C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187C9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19DB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CE4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AEE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5AB17">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03759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A6A6D">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A6D9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C538">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BFD92">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216C66">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B52F6">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C966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1E4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9E0D2">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53BB2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D699C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798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A616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7BE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59AA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DD5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3A83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5A1B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C302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A0DE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E31B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9915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72087">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1F38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7AD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0D5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项目完成任务数量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6023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905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721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场次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BF2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A833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368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8C5F">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6DC5B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DE87C">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8859F">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9D9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FFDF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放映合格率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634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03DE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E947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5E68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83D0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FB5C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8B6C">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65BA2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901F8">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CA1E9">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64F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81F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项目完成所需时间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B276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23B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16F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23AB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244F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8766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2AA2">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47368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D3CF6">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FFD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A1CE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4C36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规范月放映质量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3EF2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6AA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好,一般,差</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D052">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2E49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759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92BA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C431F">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414D9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B09B3">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B497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36B8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32F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老百姓对影片满意率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E62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717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4D5A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C4E0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A5C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39B3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7713">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2024D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4F2DC">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CC79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8836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D4A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项目预算控制率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815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2651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D1F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7229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F763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7A5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90008">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0FA33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00334">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75337">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10B2B">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222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单场次放映成本控制率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555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6F3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BC6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662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440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76B0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EC920">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0B30E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1ACC4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BBF6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8C3B">
            <w:pPr>
              <w:keepNext w:val="0"/>
              <w:keepLines w:val="0"/>
              <w:pageBreakBefore w:val="0"/>
              <w:widowControl/>
              <w:suppressLineNumbers w:val="0"/>
              <w:kinsoku/>
              <w:wordWrap/>
              <w:overflowPunct/>
              <w:topLinePunct w:val="0"/>
              <w:autoSpaceDE/>
              <w:autoSpaceDN/>
              <w:bidi w:val="0"/>
              <w:spacing w:line="576" w:lineRule="exact"/>
              <w:ind w:left="0" w:left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96.3</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6CFD">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r>
      <w:tr w14:paraId="573AA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AA3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7532E0">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根据项目支出绩效评价指标规定的内容自评,2024年度部门整体绩效得分96.3分</w:t>
            </w:r>
          </w:p>
        </w:tc>
      </w:tr>
      <w:tr w14:paraId="01CBC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FFC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F5746F">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全州各县放映设备老化陈旧，设备厂家停产、原厂配件断供，无专业维保团队</w:t>
            </w:r>
            <w:r>
              <w:rPr>
                <w:rFonts w:hint="default" w:ascii="Times New Roman" w:hAnsi="Times New Roman" w:eastAsia="微软雅黑" w:cs="Times New Roman"/>
                <w:i/>
                <w:iCs/>
                <w:color w:val="000000"/>
                <w:kern w:val="0"/>
                <w:sz w:val="16"/>
                <w:szCs w:val="16"/>
                <w:u w:val="none"/>
                <w:lang w:val="en-US" w:eastAsia="zh-CN" w:bidi="ar"/>
              </w:rPr>
              <w:t>。</w:t>
            </w:r>
          </w:p>
        </w:tc>
      </w:tr>
      <w:tr w14:paraId="191B4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F034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B8C447">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推进全州电影数字监管平台新技术推广应用，通过线上视频培训、线下实操演练相结合的方式，组织全体放映员系统学习新技术、新设备操作规范，不断提升放映队伍专业能力，切实提高公益电影放映质效。</w:t>
            </w:r>
          </w:p>
        </w:tc>
      </w:tr>
    </w:tbl>
    <w:p w14:paraId="1F2CC42E">
      <w:pPr>
        <w:pStyle w:val="3"/>
        <w:pageBreakBefore w:val="0"/>
        <w:kinsoku/>
        <w:wordWrap/>
        <w:overflowPunct/>
        <w:topLinePunct w:val="0"/>
        <w:autoSpaceDE/>
        <w:autoSpaceDN/>
        <w:bidi w:val="0"/>
        <w:spacing w:line="576" w:lineRule="exact"/>
        <w:ind w:left="0" w:leftChars="0" w:firstLine="0" w:firstLineChars="0"/>
        <w:rPr>
          <w:rFonts w:hint="default" w:ascii="Times New Roman" w:hAnsi="Times New Roman" w:cs="Times New Roman"/>
        </w:rPr>
      </w:pPr>
    </w:p>
    <w:p w14:paraId="58868CAC">
      <w:pPr>
        <w:pStyle w:val="3"/>
        <w:pageBreakBefore w:val="0"/>
        <w:kinsoku/>
        <w:wordWrap/>
        <w:overflowPunct/>
        <w:topLinePunct w:val="0"/>
        <w:autoSpaceDE/>
        <w:autoSpaceDN/>
        <w:bidi w:val="0"/>
        <w:spacing w:line="576" w:lineRule="exact"/>
        <w:ind w:left="0" w:leftChars="0" w:firstLine="0" w:firstLineChars="0"/>
        <w:rPr>
          <w:rFonts w:hint="default" w:ascii="Times New Roman" w:hAnsi="Times New Roman" w:cs="Times New Roman"/>
        </w:rPr>
      </w:pPr>
    </w:p>
    <w:p w14:paraId="48A34B44">
      <w:pPr>
        <w:pStyle w:val="3"/>
        <w:pageBreakBefore w:val="0"/>
        <w:kinsoku/>
        <w:wordWrap/>
        <w:overflowPunct/>
        <w:topLinePunct w:val="0"/>
        <w:autoSpaceDE/>
        <w:autoSpaceDN/>
        <w:bidi w:val="0"/>
        <w:spacing w:line="576" w:lineRule="exact"/>
        <w:ind w:left="0" w:leftChars="0" w:firstLine="0" w:firstLineChars="0"/>
        <w:rPr>
          <w:rFonts w:hint="default" w:ascii="Times New Roman" w:hAnsi="Times New Roman" w:cs="Times New Roman"/>
        </w:rPr>
      </w:pPr>
    </w:p>
    <w:p w14:paraId="13D00A4E">
      <w:pPr>
        <w:pStyle w:val="3"/>
        <w:pageBreakBefore w:val="0"/>
        <w:kinsoku/>
        <w:wordWrap/>
        <w:overflowPunct/>
        <w:topLinePunct w:val="0"/>
        <w:autoSpaceDE/>
        <w:autoSpaceDN/>
        <w:bidi w:val="0"/>
        <w:spacing w:line="576" w:lineRule="exact"/>
        <w:ind w:left="0" w:leftChars="0" w:firstLine="0" w:firstLineChars="0"/>
        <w:rPr>
          <w:rFonts w:hint="default" w:ascii="Times New Roman" w:hAnsi="Times New Roman" w:cs="Times New Roman"/>
        </w:rPr>
      </w:pPr>
    </w:p>
    <w:p w14:paraId="644D6C0B">
      <w:pPr>
        <w:pStyle w:val="3"/>
        <w:pageBreakBefore w:val="0"/>
        <w:kinsoku/>
        <w:wordWrap/>
        <w:overflowPunct/>
        <w:topLinePunct w:val="0"/>
        <w:autoSpaceDE/>
        <w:autoSpaceDN/>
        <w:bidi w:val="0"/>
        <w:spacing w:line="576" w:lineRule="exact"/>
        <w:ind w:left="0" w:leftChars="0" w:firstLine="0" w:firstLineChars="0"/>
        <w:rPr>
          <w:rFonts w:hint="default" w:ascii="Times New Roman" w:hAnsi="Times New Roman" w:cs="Times New Roman"/>
        </w:rPr>
      </w:pPr>
    </w:p>
    <w:p w14:paraId="271DCF0D">
      <w:pPr>
        <w:pStyle w:val="3"/>
        <w:pageBreakBefore w:val="0"/>
        <w:kinsoku/>
        <w:wordWrap/>
        <w:overflowPunct/>
        <w:topLinePunct w:val="0"/>
        <w:autoSpaceDE/>
        <w:autoSpaceDN/>
        <w:bidi w:val="0"/>
        <w:spacing w:line="576" w:lineRule="exact"/>
        <w:ind w:left="0" w:leftChars="0" w:firstLine="0" w:firstLineChars="0"/>
        <w:rPr>
          <w:rFonts w:hint="default" w:ascii="Times New Roman" w:hAnsi="Times New Roman" w:cs="Times New Roman"/>
        </w:rPr>
      </w:pPr>
    </w:p>
    <w:tbl>
      <w:tblPr>
        <w:tblStyle w:val="17"/>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2"/>
        <w:gridCol w:w="1995"/>
        <w:gridCol w:w="1730"/>
        <w:gridCol w:w="2200"/>
        <w:gridCol w:w="516"/>
        <w:gridCol w:w="1643"/>
        <w:gridCol w:w="756"/>
        <w:gridCol w:w="1088"/>
        <w:gridCol w:w="560"/>
        <w:gridCol w:w="456"/>
        <w:gridCol w:w="2474"/>
      </w:tblGrid>
      <w:tr w14:paraId="771E4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AD5C8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B784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2196B5">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259EBC">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51320025T000012621473-办公设备预算</w:t>
            </w:r>
          </w:p>
        </w:tc>
      </w:tr>
      <w:tr w14:paraId="0C3D4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E16B7">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92D9AF">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州委宣传部部门</w:t>
            </w:r>
          </w:p>
        </w:tc>
        <w:tc>
          <w:tcPr>
            <w:tcW w:w="1091" w:type="dxa"/>
            <w:tcBorders>
              <w:top w:val="nil"/>
              <w:left w:val="nil"/>
              <w:bottom w:val="nil"/>
              <w:right w:val="nil"/>
            </w:tcBorders>
            <w:shd w:val="clear" w:color="auto" w:fill="auto"/>
            <w:vAlign w:val="center"/>
          </w:tcPr>
          <w:p w14:paraId="3253C7D1">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A7F79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州电影服务中心</w:t>
            </w:r>
          </w:p>
        </w:tc>
      </w:tr>
      <w:tr w14:paraId="1978C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15F7A">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F124F">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F3C84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DA08D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424DE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5E092">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00918">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50289F">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办公设备老化,无法使用,需要更新.通过购置办公设备,改善办公条件,提高工作效率.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68C5F5">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完成设备采购、部署、调试、验收及运维</w:t>
            </w:r>
          </w:p>
        </w:tc>
      </w:tr>
      <w:tr w14:paraId="230C2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728F0">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5A5C">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BB5EA2">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完成设备采购、部署、调试、验收及运维的全流程工作，确保设备正常投入使用、满足日常办公与业务运转需要。</w:t>
            </w:r>
          </w:p>
        </w:tc>
      </w:tr>
      <w:tr w14:paraId="56FC8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08207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08E6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FE8D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8668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FF63B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15EA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2B0B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B52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46CD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2D12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0895F">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48F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965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6.57</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9A0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6A55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093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3F83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D11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16449">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无</w:t>
            </w:r>
          </w:p>
        </w:tc>
      </w:tr>
      <w:tr w14:paraId="1B7DB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2665D">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656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542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6.57</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3E5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5AC0C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34B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398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6F06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EFE22">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458A4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546BE">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AA32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841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76B7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E8920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D825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8F07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2422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F42B0">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6FF0B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FBED2">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D19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459C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1604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9D500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174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885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5DE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453FE">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506BB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A04F8">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AF6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1BF4">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D5F6">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B56B05">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86023">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D8E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D126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083FF">
            <w:pPr>
              <w:pageBreakBefore w:val="0"/>
              <w:kinsoku/>
              <w:wordWrap/>
              <w:overflowPunct/>
              <w:topLinePunct w:val="0"/>
              <w:autoSpaceDE/>
              <w:autoSpaceDN/>
              <w:bidi w:val="0"/>
              <w:spacing w:line="576" w:lineRule="exact"/>
              <w:ind w:left="0" w:leftChars="0"/>
              <w:rPr>
                <w:rFonts w:hint="default" w:ascii="Times New Roman" w:hAnsi="Times New Roman" w:eastAsia="黑体" w:cs="Times New Roman"/>
                <w:i w:val="0"/>
                <w:iCs w:val="0"/>
                <w:color w:val="000000"/>
                <w:sz w:val="18"/>
                <w:szCs w:val="18"/>
                <w:u w:val="none"/>
              </w:rPr>
            </w:pPr>
          </w:p>
        </w:tc>
      </w:tr>
      <w:tr w14:paraId="0A147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B2304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196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AA1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F608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A878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6528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DB16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B0D7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463F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521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FFA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236A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F3E06">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694A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3557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894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购办公设备数量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224D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FB2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ADC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个（台、套、件、辆）</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23E93">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59F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060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7686">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1E779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7B36D">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0ABCF">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32A4">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B220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性能度合格率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91D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86C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767A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29B5">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6403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B29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41DCE">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7A15B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3B352">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E4727">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726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8906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5354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158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2025年9月底</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5ED8">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B178">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ACD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CEB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F943C">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65178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49EB6">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560193">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0937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5DE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设备利用率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75F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F715">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066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7D401">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B68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3E2F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DC96">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4F09D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8D87A">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16EC6">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C2F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3C46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保障工作正常运转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3DC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DF30">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高</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3097C">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DCA2">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E346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E592">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E2D4">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4665A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4343F">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F89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E9D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AB8C">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使用职工满意度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307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102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12996">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ED3B1">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3850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2D18">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437BC">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4253D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80164">
            <w:pPr>
              <w:pageBreakBefore w:val="0"/>
              <w:kinsoku/>
              <w:wordWrap/>
              <w:overflowPunct/>
              <w:topLinePunct w:val="0"/>
              <w:autoSpaceDE/>
              <w:autoSpaceDN/>
              <w:bidi w:val="0"/>
              <w:spacing w:line="576" w:lineRule="exact"/>
              <w:ind w:left="0" w:leftChars="0"/>
              <w:jc w:val="center"/>
              <w:rPr>
                <w:rFonts w:hint="default" w:ascii="Times New Roman" w:hAnsi="Times New Roman" w:eastAsia="宋体" w:cs="Times New Roman"/>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4B5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B83B">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9329">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资金总支出</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2BAD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981CD">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65700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BEA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F29FB">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8E61">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A99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0D8D">
            <w:pPr>
              <w:pageBreakBefore w:val="0"/>
              <w:kinsoku/>
              <w:wordWrap/>
              <w:overflowPunct/>
              <w:topLinePunct w:val="0"/>
              <w:autoSpaceDE/>
              <w:autoSpaceDN/>
              <w:bidi w:val="0"/>
              <w:spacing w:line="576" w:lineRule="exact"/>
              <w:ind w:left="0" w:leftChars="0"/>
              <w:jc w:val="center"/>
              <w:rPr>
                <w:rFonts w:hint="default" w:ascii="Times New Roman" w:hAnsi="Times New Roman" w:eastAsia="微软雅黑" w:cs="Times New Roman"/>
                <w:i/>
                <w:iCs/>
                <w:color w:val="000000"/>
                <w:sz w:val="16"/>
                <w:szCs w:val="16"/>
                <w:u w:val="none"/>
              </w:rPr>
            </w:pPr>
          </w:p>
        </w:tc>
      </w:tr>
      <w:tr w14:paraId="35D6C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FACB7BA">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602F">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995BA">
            <w:pPr>
              <w:keepNext w:val="0"/>
              <w:keepLines w:val="0"/>
              <w:pageBreakBefore w:val="0"/>
              <w:widowControl/>
              <w:suppressLineNumbers w:val="0"/>
              <w:kinsoku/>
              <w:wordWrap/>
              <w:overflowPunct/>
              <w:topLinePunct w:val="0"/>
              <w:autoSpaceDE/>
              <w:autoSpaceDN/>
              <w:bidi w:val="0"/>
              <w:spacing w:line="576" w:lineRule="exact"/>
              <w:ind w:left="0" w:left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5552F">
            <w:pPr>
              <w:pageBreakBefore w:val="0"/>
              <w:kinsoku/>
              <w:wordWrap/>
              <w:overflowPunct/>
              <w:topLinePunct w:val="0"/>
              <w:autoSpaceDE/>
              <w:autoSpaceDN/>
              <w:bidi w:val="0"/>
              <w:spacing w:line="576" w:lineRule="exact"/>
              <w:ind w:left="0" w:leftChars="0"/>
              <w:rPr>
                <w:rFonts w:hint="default" w:ascii="Times New Roman" w:hAnsi="Times New Roman" w:eastAsia="宋体" w:cs="Times New Roman"/>
                <w:i w:val="0"/>
                <w:iCs w:val="0"/>
                <w:color w:val="000000"/>
                <w:sz w:val="18"/>
                <w:szCs w:val="18"/>
                <w:u w:val="none"/>
              </w:rPr>
            </w:pPr>
          </w:p>
        </w:tc>
      </w:tr>
      <w:tr w14:paraId="0BB39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35E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AC7B50">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根据项目支出绩效评价指标规定的内容自评,2024年度部门整体绩效得分100分</w:t>
            </w:r>
          </w:p>
        </w:tc>
      </w:tr>
      <w:tr w14:paraId="2FAFF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1847">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0F622B">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无</w:t>
            </w:r>
          </w:p>
        </w:tc>
      </w:tr>
      <w:tr w14:paraId="4F5F7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396E">
            <w:pPr>
              <w:keepNext w:val="0"/>
              <w:keepLines w:val="0"/>
              <w:pageBreakBefore w:val="0"/>
              <w:widowControl/>
              <w:suppressLineNumbers w:val="0"/>
              <w:kinsoku/>
              <w:wordWrap/>
              <w:overflowPunct/>
              <w:topLinePunct w:val="0"/>
              <w:autoSpaceDE/>
              <w:autoSpaceDN/>
              <w:bidi w:val="0"/>
              <w:spacing w:line="576" w:lineRule="exact"/>
              <w:ind w:left="0" w:lef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C36A90">
            <w:pPr>
              <w:keepNext w:val="0"/>
              <w:keepLines w:val="0"/>
              <w:pageBreakBefore w:val="0"/>
              <w:widowControl/>
              <w:suppressLineNumbers w:val="0"/>
              <w:kinsoku/>
              <w:wordWrap/>
              <w:overflowPunct/>
              <w:topLinePunct w:val="0"/>
              <w:autoSpaceDE/>
              <w:autoSpaceDN/>
              <w:bidi w:val="0"/>
              <w:spacing w:line="576" w:lineRule="exact"/>
              <w:ind w:left="0" w:leftChars="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无</w:t>
            </w:r>
          </w:p>
        </w:tc>
      </w:tr>
    </w:tbl>
    <w:p w14:paraId="6D23A927">
      <w:pPr>
        <w:pStyle w:val="3"/>
        <w:pageBreakBefore w:val="0"/>
        <w:kinsoku/>
        <w:wordWrap/>
        <w:overflowPunct/>
        <w:topLinePunct w:val="0"/>
        <w:autoSpaceDE/>
        <w:autoSpaceDN/>
        <w:bidi w:val="0"/>
        <w:spacing w:line="576" w:lineRule="exact"/>
        <w:ind w:left="0" w:leftChars="0" w:firstLine="0" w:firstLineChars="0"/>
        <w:rPr>
          <w:rFonts w:hint="default" w:ascii="Times New Roman" w:hAnsi="Times New Roman" w:cs="Times New Roman"/>
        </w:rPr>
        <w:sectPr>
          <w:pgSz w:w="16838" w:h="11906" w:orient="landscape"/>
          <w:pgMar w:top="1417" w:right="1440" w:bottom="1417" w:left="1440" w:header="851" w:footer="992" w:gutter="0"/>
          <w:cols w:space="0" w:num="1"/>
          <w:titlePg/>
          <w:docGrid w:type="lines" w:linePitch="312" w:charSpace="0"/>
        </w:sectPr>
      </w:pPr>
    </w:p>
    <w:p w14:paraId="03979AEB">
      <w:pPr>
        <w:pageBreakBefore w:val="0"/>
        <w:widowControl/>
        <w:kinsoku/>
        <w:wordWrap/>
        <w:overflowPunct/>
        <w:topLinePunct w:val="0"/>
        <w:autoSpaceDE/>
        <w:autoSpaceDN/>
        <w:bidi w:val="0"/>
        <w:spacing w:line="576" w:lineRule="exact"/>
        <w:ind w:left="0" w:leftChars="0" w:firstLine="2200" w:firstLineChars="500"/>
        <w:rPr>
          <w:rFonts w:hint="default" w:ascii="Times New Roman" w:hAnsi="Times New Roman" w:eastAsia="仿宋_GB2312" w:cs="Times New Roman"/>
          <w:sz w:val="32"/>
          <w:szCs w:val="32"/>
        </w:rPr>
      </w:pPr>
      <w:bookmarkStart w:id="42" w:name="_Toc15396618"/>
      <w:r>
        <w:rPr>
          <w:rFonts w:hint="default" w:ascii="Times New Roman" w:hAnsi="Times New Roman" w:eastAsia="黑体" w:cs="Times New Roman"/>
          <w:sz w:val="44"/>
          <w:szCs w:val="44"/>
        </w:rPr>
        <w:t>第</w:t>
      </w:r>
      <w:r>
        <w:rPr>
          <w:rStyle w:val="30"/>
          <w:rFonts w:hint="default" w:ascii="Times New Roman" w:hAnsi="Times New Roman" w:eastAsia="黑体" w:cs="Times New Roman"/>
          <w:b w:val="0"/>
        </w:rPr>
        <w:t>五部分 附表</w:t>
      </w:r>
      <w:bookmarkEnd w:id="39"/>
      <w:bookmarkEnd w:id="42"/>
      <w:bookmarkStart w:id="43" w:name="_Toc15396619"/>
    </w:p>
    <w:p w14:paraId="6A1ED906">
      <w:pPr>
        <w:pStyle w:val="15"/>
        <w:pageBreakBefore w:val="0"/>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一、收入支出决算总表</w:t>
      </w:r>
      <w:bookmarkEnd w:id="43"/>
    </w:p>
    <w:p w14:paraId="3C78A91A">
      <w:pPr>
        <w:pStyle w:val="15"/>
        <w:pageBreakBefore w:val="0"/>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bookmarkStart w:id="44" w:name="_Toc15396620"/>
      <w:r>
        <w:rPr>
          <w:rFonts w:hint="default" w:ascii="Times New Roman" w:hAnsi="Times New Roman" w:eastAsia="方正仿宋_GBK" w:cs="Times New Roman"/>
          <w:sz w:val="32"/>
          <w:szCs w:val="32"/>
        </w:rPr>
        <w:t>二、收入决算表</w:t>
      </w:r>
      <w:bookmarkEnd w:id="44"/>
    </w:p>
    <w:p w14:paraId="7BFC0FD3">
      <w:pPr>
        <w:pStyle w:val="15"/>
        <w:pageBreakBefore w:val="0"/>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bookmarkStart w:id="45" w:name="_Toc15396621"/>
      <w:r>
        <w:rPr>
          <w:rFonts w:hint="default" w:ascii="Times New Roman" w:hAnsi="Times New Roman" w:eastAsia="方正仿宋_GBK" w:cs="Times New Roman"/>
          <w:sz w:val="32"/>
          <w:szCs w:val="32"/>
        </w:rPr>
        <w:t>三、支出决算表</w:t>
      </w:r>
      <w:bookmarkEnd w:id="45"/>
    </w:p>
    <w:p w14:paraId="0FF81980">
      <w:pPr>
        <w:pStyle w:val="15"/>
        <w:pageBreakBefore w:val="0"/>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bookmarkStart w:id="46" w:name="_Toc15396622"/>
      <w:r>
        <w:rPr>
          <w:rFonts w:hint="default" w:ascii="Times New Roman" w:hAnsi="Times New Roman" w:eastAsia="方正仿宋_GBK" w:cs="Times New Roman"/>
          <w:sz w:val="32"/>
          <w:szCs w:val="32"/>
        </w:rPr>
        <w:t>四、财政拨款收入支出决算总表</w:t>
      </w:r>
      <w:bookmarkEnd w:id="46"/>
    </w:p>
    <w:p w14:paraId="3BF7031D">
      <w:pPr>
        <w:pStyle w:val="15"/>
        <w:pageBreakBefore w:val="0"/>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bookmarkStart w:id="47" w:name="_Toc15396623"/>
      <w:r>
        <w:rPr>
          <w:rFonts w:hint="default" w:ascii="Times New Roman" w:hAnsi="Times New Roman" w:eastAsia="方正仿宋_GBK" w:cs="Times New Roman"/>
          <w:sz w:val="32"/>
          <w:szCs w:val="32"/>
        </w:rPr>
        <w:t>五、财政拨款支出决算明细表</w:t>
      </w:r>
      <w:bookmarkEnd w:id="47"/>
      <w:bookmarkStart w:id="48" w:name="_Toc15396624"/>
    </w:p>
    <w:p w14:paraId="0E3F518B">
      <w:pPr>
        <w:pStyle w:val="15"/>
        <w:pageBreakBefore w:val="0"/>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六、一般公共预算财政拨款支出决算表</w:t>
      </w:r>
      <w:bookmarkEnd w:id="48"/>
    </w:p>
    <w:p w14:paraId="2E280B74">
      <w:pPr>
        <w:pStyle w:val="15"/>
        <w:pageBreakBefore w:val="0"/>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bookmarkStart w:id="49" w:name="_Toc15396625"/>
      <w:r>
        <w:rPr>
          <w:rFonts w:hint="default" w:ascii="Times New Roman" w:hAnsi="Times New Roman" w:eastAsia="方正仿宋_GBK" w:cs="Times New Roman"/>
          <w:sz w:val="32"/>
          <w:szCs w:val="32"/>
        </w:rPr>
        <w:t>七、一般公共预算财政拨款支出决算明细表</w:t>
      </w:r>
      <w:bookmarkEnd w:id="49"/>
    </w:p>
    <w:p w14:paraId="514C1F55">
      <w:pPr>
        <w:pStyle w:val="15"/>
        <w:pageBreakBefore w:val="0"/>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bookmarkStart w:id="50" w:name="_Toc15396626"/>
      <w:r>
        <w:rPr>
          <w:rFonts w:hint="default" w:ascii="Times New Roman" w:hAnsi="Times New Roman" w:eastAsia="方正仿宋_GBK" w:cs="Times New Roman"/>
          <w:sz w:val="32"/>
          <w:szCs w:val="32"/>
        </w:rPr>
        <w:t>八、一般公共预算财政拨款基本支出决算表</w:t>
      </w:r>
      <w:bookmarkEnd w:id="50"/>
    </w:p>
    <w:p w14:paraId="705AD093">
      <w:pPr>
        <w:pStyle w:val="15"/>
        <w:pageBreakBefore w:val="0"/>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bookmarkStart w:id="51" w:name="_Toc15396627"/>
      <w:r>
        <w:rPr>
          <w:rFonts w:hint="default" w:ascii="Times New Roman" w:hAnsi="Times New Roman" w:eastAsia="方正仿宋_GBK" w:cs="Times New Roman"/>
          <w:sz w:val="32"/>
          <w:szCs w:val="32"/>
        </w:rPr>
        <w:t>九、一般公共预算财政拨款项目支出决算表</w:t>
      </w:r>
      <w:bookmarkEnd w:id="51"/>
    </w:p>
    <w:p w14:paraId="6700894B">
      <w:pPr>
        <w:pStyle w:val="15"/>
        <w:pageBreakBefore w:val="0"/>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bookmarkStart w:id="52" w:name="_Toc15396628"/>
      <w:r>
        <w:rPr>
          <w:rFonts w:hint="default" w:ascii="Times New Roman" w:hAnsi="Times New Roman" w:eastAsia="方正仿宋_GBK" w:cs="Times New Roman"/>
          <w:sz w:val="32"/>
          <w:szCs w:val="32"/>
        </w:rPr>
        <w:t>十、</w:t>
      </w:r>
      <w:bookmarkEnd w:id="52"/>
      <w:r>
        <w:rPr>
          <w:rFonts w:hint="default" w:ascii="Times New Roman" w:hAnsi="Times New Roman" w:eastAsia="方正仿宋_GBK" w:cs="Times New Roman"/>
          <w:sz w:val="32"/>
          <w:szCs w:val="32"/>
        </w:rPr>
        <w:t>政府性基金预算财政拨款收入支出决算表</w:t>
      </w:r>
    </w:p>
    <w:p w14:paraId="1A9FDFAF">
      <w:pPr>
        <w:pStyle w:val="15"/>
        <w:pageBreakBefore w:val="0"/>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bookmarkStart w:id="53" w:name="_Toc15396629"/>
      <w:r>
        <w:rPr>
          <w:rFonts w:hint="default" w:ascii="Times New Roman" w:hAnsi="Times New Roman" w:eastAsia="方正仿宋_GBK" w:cs="Times New Roman"/>
          <w:sz w:val="32"/>
          <w:szCs w:val="32"/>
        </w:rPr>
        <w:t>十一、</w:t>
      </w:r>
      <w:bookmarkEnd w:id="53"/>
      <w:r>
        <w:rPr>
          <w:rFonts w:hint="default" w:ascii="Times New Roman" w:hAnsi="Times New Roman" w:eastAsia="方正仿宋_GBK" w:cs="Times New Roman"/>
          <w:sz w:val="32"/>
          <w:szCs w:val="32"/>
        </w:rPr>
        <w:t>国有资本经营预算财政拨款收入支出决算表</w:t>
      </w:r>
    </w:p>
    <w:p w14:paraId="02550376">
      <w:pPr>
        <w:pStyle w:val="15"/>
        <w:pageBreakBefore w:val="0"/>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bookmarkStart w:id="54" w:name="_Toc15396630"/>
      <w:r>
        <w:rPr>
          <w:rFonts w:hint="default" w:ascii="Times New Roman" w:hAnsi="Times New Roman" w:eastAsia="方正仿宋_GBK" w:cs="Times New Roman"/>
          <w:sz w:val="32"/>
          <w:szCs w:val="32"/>
        </w:rPr>
        <w:t>十二、</w:t>
      </w:r>
      <w:bookmarkEnd w:id="54"/>
      <w:r>
        <w:rPr>
          <w:rFonts w:hint="default" w:ascii="Times New Roman" w:hAnsi="Times New Roman" w:eastAsia="方正仿宋_GBK" w:cs="Times New Roman"/>
          <w:sz w:val="32"/>
          <w:szCs w:val="32"/>
        </w:rPr>
        <w:t>国有资本经营预算财政拨款支出决算表</w:t>
      </w:r>
    </w:p>
    <w:p w14:paraId="127272E7">
      <w:pPr>
        <w:pStyle w:val="15"/>
        <w:pageBreakBefore w:val="0"/>
        <w:kinsoku/>
        <w:wordWrap/>
        <w:overflowPunct/>
        <w:topLinePunct w:val="0"/>
        <w:autoSpaceDE/>
        <w:autoSpaceDN/>
        <w:bidi w:val="0"/>
        <w:adjustRightInd w:val="0"/>
        <w:snapToGrid w:val="0"/>
        <w:spacing w:line="576" w:lineRule="exact"/>
        <w:ind w:left="0" w:leftChars="0"/>
        <w:jc w:val="left"/>
        <w:rPr>
          <w:rFonts w:hint="default" w:ascii="Times New Roman" w:hAnsi="Times New Roman" w:eastAsia="方正仿宋_GBK" w:cs="Times New Roman"/>
          <w:sz w:val="32"/>
          <w:szCs w:val="32"/>
        </w:rPr>
      </w:pPr>
      <w:bookmarkStart w:id="55" w:name="_Toc15396631"/>
      <w:r>
        <w:rPr>
          <w:rFonts w:hint="default" w:ascii="Times New Roman" w:hAnsi="Times New Roman" w:eastAsia="方正仿宋_GBK" w:cs="Times New Roman"/>
          <w:sz w:val="32"/>
          <w:szCs w:val="32"/>
        </w:rPr>
        <w:t>十三、</w:t>
      </w:r>
      <w:bookmarkEnd w:id="55"/>
      <w:r>
        <w:rPr>
          <w:rFonts w:hint="default" w:ascii="Times New Roman" w:hAnsi="Times New Roman" w:eastAsia="方正仿宋_GBK" w:cs="Times New Roman"/>
          <w:sz w:val="32"/>
          <w:szCs w:val="32"/>
        </w:rPr>
        <w:t>财政拨款“三公”经费支出决算表</w:t>
      </w:r>
    </w:p>
    <w:p w14:paraId="4BAEC1C4">
      <w:pPr>
        <w:pageBreakBefore w:val="0"/>
        <w:kinsoku/>
        <w:wordWrap/>
        <w:overflowPunct/>
        <w:topLinePunct w:val="0"/>
        <w:autoSpaceDE/>
        <w:autoSpaceDN/>
        <w:bidi w:val="0"/>
        <w:spacing w:line="576" w:lineRule="exact"/>
        <w:ind w:left="0" w:leftChars="0"/>
        <w:rPr>
          <w:rFonts w:hint="default" w:ascii="Times New Roman" w:hAnsi="Times New Roman" w:eastAsia="方正仿宋_GBK" w:cs="Times New Roman"/>
          <w:sz w:val="32"/>
          <w:szCs w:val="32"/>
        </w:rPr>
      </w:pPr>
    </w:p>
    <w:sectPr>
      <w:pgSz w:w="11906" w:h="16838"/>
      <w:pgMar w:top="2098" w:right="1531" w:bottom="1984" w:left="1587" w:header="851" w:footer="992"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微软雅黑">
    <w:altName w:val="方正黑体_GBK"/>
    <w:panose1 w:val="020B0503020204020204"/>
    <w:charset w:val="86"/>
    <w:family w:val="swiss"/>
    <w:pitch w:val="default"/>
    <w:sig w:usb0="00000000" w:usb1="00000000" w:usb2="00000016" w:usb3="00000000" w:csb0="0004001F" w:csb1="00000000"/>
  </w:font>
  <w:font w:name="方正小标宋_GBK">
    <w:panose1 w:val="02000000000000000000"/>
    <w:charset w:val="86"/>
    <w:family w:val="auto"/>
    <w:pitch w:val="default"/>
    <w:sig w:usb0="00000001" w:usb1="08000000" w:usb2="00000000" w:usb3="00000000" w:csb0="00040000" w:csb1="00000000"/>
  </w:font>
  <w:font w:name="方正楷体_GB2312">
    <w:altName w:val="方正楷体_GBK"/>
    <w:panose1 w:val="02000000000000000000"/>
    <w:charset w:val="86"/>
    <w:family w:val="auto"/>
    <w:pitch w:val="default"/>
    <w:sig w:usb0="00000000" w:usb1="00000000"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51700">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59D81">
    <w:pPr>
      <w:pStyle w:val="12"/>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898E1B">
                          <w:pPr>
                            <w:pStyle w:val="12"/>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- 2 -</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0898E1B">
                    <w:pPr>
                      <w:pStyle w:val="12"/>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- 2 -</w:t>
                    </w:r>
                    <w:r>
                      <w:rPr>
                        <w:sz w:val="24"/>
                        <w:szCs w:val="24"/>
                      </w:rPr>
                      <w:fldChar w:fldCharType="end"/>
                    </w:r>
                    <w:r>
                      <w:rPr>
                        <w:sz w:val="24"/>
                        <w:szCs w:val="24"/>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8AE36">
    <w:pPr>
      <w:pStyle w:val="12"/>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A1ED4">
                          <w:pPr>
                            <w:pStyle w:val="12"/>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C4A1ED4">
                    <w:pPr>
                      <w:pStyle w:val="12"/>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4F7E1">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C64D4">
    <w:pPr>
      <w:pStyle w:val="1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ZmMWNmOTdmMDRlMjcwMmExMDI5NDU2MDhiMmViMGIifQ=="/>
  </w:docVars>
  <w:rsids>
    <w:rsidRoot w:val="00172A27"/>
    <w:rsid w:val="0001192B"/>
    <w:rsid w:val="00011A1F"/>
    <w:rsid w:val="000222C6"/>
    <w:rsid w:val="0002549F"/>
    <w:rsid w:val="00031A41"/>
    <w:rsid w:val="000468DB"/>
    <w:rsid w:val="0006487A"/>
    <w:rsid w:val="00065F8F"/>
    <w:rsid w:val="00070A43"/>
    <w:rsid w:val="0007143C"/>
    <w:rsid w:val="000768F2"/>
    <w:rsid w:val="00080D3F"/>
    <w:rsid w:val="0009184B"/>
    <w:rsid w:val="00094236"/>
    <w:rsid w:val="0009593C"/>
    <w:rsid w:val="00096E0B"/>
    <w:rsid w:val="00097322"/>
    <w:rsid w:val="000A6A92"/>
    <w:rsid w:val="000B047F"/>
    <w:rsid w:val="000B0FFA"/>
    <w:rsid w:val="000B5923"/>
    <w:rsid w:val="000B5A48"/>
    <w:rsid w:val="000B6FF3"/>
    <w:rsid w:val="000C3467"/>
    <w:rsid w:val="000C3CA6"/>
    <w:rsid w:val="000D1267"/>
    <w:rsid w:val="000D1D50"/>
    <w:rsid w:val="000D5782"/>
    <w:rsid w:val="000D7C99"/>
    <w:rsid w:val="000E6613"/>
    <w:rsid w:val="000E7119"/>
    <w:rsid w:val="00114E9B"/>
    <w:rsid w:val="00142216"/>
    <w:rsid w:val="00144D6A"/>
    <w:rsid w:val="0014729F"/>
    <w:rsid w:val="00157BAB"/>
    <w:rsid w:val="001654D1"/>
    <w:rsid w:val="00174518"/>
    <w:rsid w:val="0018106D"/>
    <w:rsid w:val="001877A7"/>
    <w:rsid w:val="00191536"/>
    <w:rsid w:val="00193AE8"/>
    <w:rsid w:val="00196687"/>
    <w:rsid w:val="001C0962"/>
    <w:rsid w:val="001C2F5F"/>
    <w:rsid w:val="001D7531"/>
    <w:rsid w:val="001E2A04"/>
    <w:rsid w:val="001E737D"/>
    <w:rsid w:val="001F0592"/>
    <w:rsid w:val="001F7506"/>
    <w:rsid w:val="002006CD"/>
    <w:rsid w:val="00202B36"/>
    <w:rsid w:val="002033C4"/>
    <w:rsid w:val="00204B7A"/>
    <w:rsid w:val="00204CDE"/>
    <w:rsid w:val="0020784C"/>
    <w:rsid w:val="0021101A"/>
    <w:rsid w:val="00220536"/>
    <w:rsid w:val="00220776"/>
    <w:rsid w:val="0022598F"/>
    <w:rsid w:val="00235629"/>
    <w:rsid w:val="00236B41"/>
    <w:rsid w:val="0025233A"/>
    <w:rsid w:val="00253E44"/>
    <w:rsid w:val="00260C38"/>
    <w:rsid w:val="002616C0"/>
    <w:rsid w:val="00265372"/>
    <w:rsid w:val="002662AA"/>
    <w:rsid w:val="002735E2"/>
    <w:rsid w:val="00280496"/>
    <w:rsid w:val="0028134B"/>
    <w:rsid w:val="0028138C"/>
    <w:rsid w:val="00294DC9"/>
    <w:rsid w:val="00295495"/>
    <w:rsid w:val="002A31DE"/>
    <w:rsid w:val="002B2613"/>
    <w:rsid w:val="002B6295"/>
    <w:rsid w:val="002D6D05"/>
    <w:rsid w:val="002E2880"/>
    <w:rsid w:val="002F1818"/>
    <w:rsid w:val="002F410A"/>
    <w:rsid w:val="002F567B"/>
    <w:rsid w:val="00317D24"/>
    <w:rsid w:val="003216A9"/>
    <w:rsid w:val="00335A74"/>
    <w:rsid w:val="00340A10"/>
    <w:rsid w:val="00356F36"/>
    <w:rsid w:val="0036346E"/>
    <w:rsid w:val="0036561B"/>
    <w:rsid w:val="0037013F"/>
    <w:rsid w:val="00380C92"/>
    <w:rsid w:val="00391401"/>
    <w:rsid w:val="00391D43"/>
    <w:rsid w:val="003A484F"/>
    <w:rsid w:val="003A4883"/>
    <w:rsid w:val="003B0BE0"/>
    <w:rsid w:val="003B0C1B"/>
    <w:rsid w:val="003B1D59"/>
    <w:rsid w:val="003B6373"/>
    <w:rsid w:val="003B688C"/>
    <w:rsid w:val="003C0291"/>
    <w:rsid w:val="003C39AE"/>
    <w:rsid w:val="003C7B60"/>
    <w:rsid w:val="003D0C0F"/>
    <w:rsid w:val="003D1FB2"/>
    <w:rsid w:val="003D66DA"/>
    <w:rsid w:val="003E1310"/>
    <w:rsid w:val="003E6F55"/>
    <w:rsid w:val="00406254"/>
    <w:rsid w:val="00411403"/>
    <w:rsid w:val="004223DE"/>
    <w:rsid w:val="00422CF1"/>
    <w:rsid w:val="00434489"/>
    <w:rsid w:val="00437085"/>
    <w:rsid w:val="00443880"/>
    <w:rsid w:val="00444C80"/>
    <w:rsid w:val="004464F4"/>
    <w:rsid w:val="00461CB4"/>
    <w:rsid w:val="00471401"/>
    <w:rsid w:val="00473F31"/>
    <w:rsid w:val="0048263A"/>
    <w:rsid w:val="00487E5D"/>
    <w:rsid w:val="004A41AD"/>
    <w:rsid w:val="004A711F"/>
    <w:rsid w:val="004B199D"/>
    <w:rsid w:val="004B4690"/>
    <w:rsid w:val="004E0A2D"/>
    <w:rsid w:val="004E206B"/>
    <w:rsid w:val="004E4696"/>
    <w:rsid w:val="004E6DF7"/>
    <w:rsid w:val="004F0FBD"/>
    <w:rsid w:val="004F7824"/>
    <w:rsid w:val="00505A47"/>
    <w:rsid w:val="00512BF6"/>
    <w:rsid w:val="00512FDA"/>
    <w:rsid w:val="0051783A"/>
    <w:rsid w:val="00517E4E"/>
    <w:rsid w:val="00520DA0"/>
    <w:rsid w:val="005352F5"/>
    <w:rsid w:val="005664BB"/>
    <w:rsid w:val="00566FFA"/>
    <w:rsid w:val="0057481D"/>
    <w:rsid w:val="00581667"/>
    <w:rsid w:val="0058486E"/>
    <w:rsid w:val="00585B33"/>
    <w:rsid w:val="0059014D"/>
    <w:rsid w:val="005A7DD3"/>
    <w:rsid w:val="005B5C64"/>
    <w:rsid w:val="005C5337"/>
    <w:rsid w:val="005C6BD0"/>
    <w:rsid w:val="005D1AAC"/>
    <w:rsid w:val="005D1C8B"/>
    <w:rsid w:val="005D468D"/>
    <w:rsid w:val="005D5CED"/>
    <w:rsid w:val="005F1A4C"/>
    <w:rsid w:val="00605688"/>
    <w:rsid w:val="006070AF"/>
    <w:rsid w:val="00607E6C"/>
    <w:rsid w:val="006101B1"/>
    <w:rsid w:val="00614E44"/>
    <w:rsid w:val="00617388"/>
    <w:rsid w:val="0062270A"/>
    <w:rsid w:val="00622830"/>
    <w:rsid w:val="00623DA0"/>
    <w:rsid w:val="00630AEF"/>
    <w:rsid w:val="006325F8"/>
    <w:rsid w:val="00633463"/>
    <w:rsid w:val="00633A5A"/>
    <w:rsid w:val="0063466B"/>
    <w:rsid w:val="00634C9A"/>
    <w:rsid w:val="006440E4"/>
    <w:rsid w:val="00647C74"/>
    <w:rsid w:val="0065624E"/>
    <w:rsid w:val="0066343B"/>
    <w:rsid w:val="00664777"/>
    <w:rsid w:val="006748A4"/>
    <w:rsid w:val="00680643"/>
    <w:rsid w:val="00681A31"/>
    <w:rsid w:val="00683E73"/>
    <w:rsid w:val="006878DE"/>
    <w:rsid w:val="006A3141"/>
    <w:rsid w:val="006A5E34"/>
    <w:rsid w:val="006B2422"/>
    <w:rsid w:val="006B2B9A"/>
    <w:rsid w:val="006C1937"/>
    <w:rsid w:val="006E7479"/>
    <w:rsid w:val="006F020C"/>
    <w:rsid w:val="006F5A2C"/>
    <w:rsid w:val="007127B7"/>
    <w:rsid w:val="0071528C"/>
    <w:rsid w:val="0071798E"/>
    <w:rsid w:val="00740D64"/>
    <w:rsid w:val="007416B6"/>
    <w:rsid w:val="00746F48"/>
    <w:rsid w:val="0075404D"/>
    <w:rsid w:val="007614B3"/>
    <w:rsid w:val="0076182A"/>
    <w:rsid w:val="00764409"/>
    <w:rsid w:val="00767B7E"/>
    <w:rsid w:val="007770C3"/>
    <w:rsid w:val="00782A61"/>
    <w:rsid w:val="00784D24"/>
    <w:rsid w:val="00785FBA"/>
    <w:rsid w:val="00786E4A"/>
    <w:rsid w:val="007875EB"/>
    <w:rsid w:val="007910EA"/>
    <w:rsid w:val="0079426B"/>
    <w:rsid w:val="007A02BB"/>
    <w:rsid w:val="007C3E8D"/>
    <w:rsid w:val="007D1682"/>
    <w:rsid w:val="007D312A"/>
    <w:rsid w:val="007D3F19"/>
    <w:rsid w:val="007E23B0"/>
    <w:rsid w:val="007E23E5"/>
    <w:rsid w:val="007F18DD"/>
    <w:rsid w:val="007F1991"/>
    <w:rsid w:val="007F2C2F"/>
    <w:rsid w:val="007F55FC"/>
    <w:rsid w:val="007F5665"/>
    <w:rsid w:val="00800112"/>
    <w:rsid w:val="008038FB"/>
    <w:rsid w:val="00813348"/>
    <w:rsid w:val="008253BB"/>
    <w:rsid w:val="0083706E"/>
    <w:rsid w:val="008408F6"/>
    <w:rsid w:val="008423A5"/>
    <w:rsid w:val="00850625"/>
    <w:rsid w:val="00853718"/>
    <w:rsid w:val="00854624"/>
    <w:rsid w:val="00855221"/>
    <w:rsid w:val="00860645"/>
    <w:rsid w:val="00867F6E"/>
    <w:rsid w:val="00871F71"/>
    <w:rsid w:val="00872FD8"/>
    <w:rsid w:val="00885AF4"/>
    <w:rsid w:val="008939CD"/>
    <w:rsid w:val="008A4183"/>
    <w:rsid w:val="008B768C"/>
    <w:rsid w:val="008C4DB1"/>
    <w:rsid w:val="008C4EAF"/>
    <w:rsid w:val="008C5176"/>
    <w:rsid w:val="008C7FD0"/>
    <w:rsid w:val="008E1DE7"/>
    <w:rsid w:val="008E707C"/>
    <w:rsid w:val="008F4562"/>
    <w:rsid w:val="00900B08"/>
    <w:rsid w:val="00902155"/>
    <w:rsid w:val="00902FA3"/>
    <w:rsid w:val="009200E8"/>
    <w:rsid w:val="00923564"/>
    <w:rsid w:val="0092392E"/>
    <w:rsid w:val="009315F9"/>
    <w:rsid w:val="00933499"/>
    <w:rsid w:val="00935C98"/>
    <w:rsid w:val="00946945"/>
    <w:rsid w:val="00951248"/>
    <w:rsid w:val="0095152F"/>
    <w:rsid w:val="00954C49"/>
    <w:rsid w:val="00955E37"/>
    <w:rsid w:val="00964C66"/>
    <w:rsid w:val="0097099F"/>
    <w:rsid w:val="00971997"/>
    <w:rsid w:val="00971FFC"/>
    <w:rsid w:val="0098660A"/>
    <w:rsid w:val="00987314"/>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23B8"/>
    <w:rsid w:val="00A331C8"/>
    <w:rsid w:val="00A4050D"/>
    <w:rsid w:val="00A40A00"/>
    <w:rsid w:val="00A4142F"/>
    <w:rsid w:val="00A422EB"/>
    <w:rsid w:val="00A45BB7"/>
    <w:rsid w:val="00A56DF2"/>
    <w:rsid w:val="00A56E6E"/>
    <w:rsid w:val="00A67AB5"/>
    <w:rsid w:val="00A7248D"/>
    <w:rsid w:val="00A733B2"/>
    <w:rsid w:val="00A741C2"/>
    <w:rsid w:val="00A91760"/>
    <w:rsid w:val="00A92A86"/>
    <w:rsid w:val="00A93B00"/>
    <w:rsid w:val="00A93C21"/>
    <w:rsid w:val="00AB64C9"/>
    <w:rsid w:val="00AC3C6A"/>
    <w:rsid w:val="00AD5420"/>
    <w:rsid w:val="00AD5620"/>
    <w:rsid w:val="00AD656B"/>
    <w:rsid w:val="00AD7C1B"/>
    <w:rsid w:val="00AE16BA"/>
    <w:rsid w:val="00AE1EBE"/>
    <w:rsid w:val="00AF5699"/>
    <w:rsid w:val="00AF712C"/>
    <w:rsid w:val="00B03C9D"/>
    <w:rsid w:val="00B060AE"/>
    <w:rsid w:val="00B10517"/>
    <w:rsid w:val="00B14E76"/>
    <w:rsid w:val="00B161B8"/>
    <w:rsid w:val="00B2048C"/>
    <w:rsid w:val="00B21FBF"/>
    <w:rsid w:val="00B310B9"/>
    <w:rsid w:val="00B35F3F"/>
    <w:rsid w:val="00B36CBB"/>
    <w:rsid w:val="00B36E71"/>
    <w:rsid w:val="00B406B5"/>
    <w:rsid w:val="00B425E0"/>
    <w:rsid w:val="00B440AA"/>
    <w:rsid w:val="00B44B70"/>
    <w:rsid w:val="00B50F9D"/>
    <w:rsid w:val="00B53C56"/>
    <w:rsid w:val="00B56658"/>
    <w:rsid w:val="00B57DAF"/>
    <w:rsid w:val="00B64772"/>
    <w:rsid w:val="00B77EA6"/>
    <w:rsid w:val="00B81598"/>
    <w:rsid w:val="00B841F1"/>
    <w:rsid w:val="00B944D6"/>
    <w:rsid w:val="00BB4DF0"/>
    <w:rsid w:val="00BC289F"/>
    <w:rsid w:val="00BC2D50"/>
    <w:rsid w:val="00BC5361"/>
    <w:rsid w:val="00BC5460"/>
    <w:rsid w:val="00BC6B50"/>
    <w:rsid w:val="00BD0E25"/>
    <w:rsid w:val="00BD62F1"/>
    <w:rsid w:val="00BE1469"/>
    <w:rsid w:val="00BF5BD6"/>
    <w:rsid w:val="00C03E31"/>
    <w:rsid w:val="00C11356"/>
    <w:rsid w:val="00C20474"/>
    <w:rsid w:val="00C33E72"/>
    <w:rsid w:val="00C354B2"/>
    <w:rsid w:val="00C35554"/>
    <w:rsid w:val="00C42709"/>
    <w:rsid w:val="00C533CC"/>
    <w:rsid w:val="00C5751C"/>
    <w:rsid w:val="00C57F12"/>
    <w:rsid w:val="00C61BFC"/>
    <w:rsid w:val="00C6232A"/>
    <w:rsid w:val="00C62B85"/>
    <w:rsid w:val="00C65438"/>
    <w:rsid w:val="00C7131E"/>
    <w:rsid w:val="00C73FC5"/>
    <w:rsid w:val="00C87FD8"/>
    <w:rsid w:val="00C91381"/>
    <w:rsid w:val="00C91CBB"/>
    <w:rsid w:val="00C92057"/>
    <w:rsid w:val="00CB4E70"/>
    <w:rsid w:val="00CC09B6"/>
    <w:rsid w:val="00CC666F"/>
    <w:rsid w:val="00CD174A"/>
    <w:rsid w:val="00CD1E3F"/>
    <w:rsid w:val="00CE44F6"/>
    <w:rsid w:val="00CE49DA"/>
    <w:rsid w:val="00CE7B61"/>
    <w:rsid w:val="00D00095"/>
    <w:rsid w:val="00D114F0"/>
    <w:rsid w:val="00D15C52"/>
    <w:rsid w:val="00D20620"/>
    <w:rsid w:val="00D254F7"/>
    <w:rsid w:val="00D26091"/>
    <w:rsid w:val="00D2685C"/>
    <w:rsid w:val="00D2794D"/>
    <w:rsid w:val="00D347C5"/>
    <w:rsid w:val="00D34E7C"/>
    <w:rsid w:val="00D35489"/>
    <w:rsid w:val="00D36AFE"/>
    <w:rsid w:val="00D412BC"/>
    <w:rsid w:val="00D51276"/>
    <w:rsid w:val="00D7035F"/>
    <w:rsid w:val="00D80473"/>
    <w:rsid w:val="00DA634F"/>
    <w:rsid w:val="00DA65AC"/>
    <w:rsid w:val="00DA7B34"/>
    <w:rsid w:val="00DB051C"/>
    <w:rsid w:val="00DB1913"/>
    <w:rsid w:val="00DC410D"/>
    <w:rsid w:val="00DC5A81"/>
    <w:rsid w:val="00DC68CA"/>
    <w:rsid w:val="00DC7CBA"/>
    <w:rsid w:val="00DD73B7"/>
    <w:rsid w:val="00DF28BC"/>
    <w:rsid w:val="00DF33C7"/>
    <w:rsid w:val="00DF34B9"/>
    <w:rsid w:val="00E00224"/>
    <w:rsid w:val="00E002C4"/>
    <w:rsid w:val="00E01053"/>
    <w:rsid w:val="00E07ACF"/>
    <w:rsid w:val="00E331A1"/>
    <w:rsid w:val="00E33202"/>
    <w:rsid w:val="00E336A9"/>
    <w:rsid w:val="00E472B1"/>
    <w:rsid w:val="00E50624"/>
    <w:rsid w:val="00E54633"/>
    <w:rsid w:val="00E568DF"/>
    <w:rsid w:val="00E62DC0"/>
    <w:rsid w:val="00E64269"/>
    <w:rsid w:val="00E82267"/>
    <w:rsid w:val="00E82766"/>
    <w:rsid w:val="00E853CE"/>
    <w:rsid w:val="00E867B6"/>
    <w:rsid w:val="00EA010F"/>
    <w:rsid w:val="00EA382B"/>
    <w:rsid w:val="00EA40A9"/>
    <w:rsid w:val="00EB5E54"/>
    <w:rsid w:val="00ED1B63"/>
    <w:rsid w:val="00ED3C1F"/>
    <w:rsid w:val="00ED4085"/>
    <w:rsid w:val="00ED420E"/>
    <w:rsid w:val="00ED6FBE"/>
    <w:rsid w:val="00EE2F57"/>
    <w:rsid w:val="00EF4C34"/>
    <w:rsid w:val="00EF77C6"/>
    <w:rsid w:val="00F05438"/>
    <w:rsid w:val="00F1361C"/>
    <w:rsid w:val="00F156F0"/>
    <w:rsid w:val="00F160C7"/>
    <w:rsid w:val="00F211EF"/>
    <w:rsid w:val="00F2408F"/>
    <w:rsid w:val="00F240E9"/>
    <w:rsid w:val="00F3090B"/>
    <w:rsid w:val="00F35178"/>
    <w:rsid w:val="00F353A2"/>
    <w:rsid w:val="00F36D8F"/>
    <w:rsid w:val="00F417B1"/>
    <w:rsid w:val="00F45853"/>
    <w:rsid w:val="00F602DF"/>
    <w:rsid w:val="00F754A1"/>
    <w:rsid w:val="00F81FD9"/>
    <w:rsid w:val="00F821CC"/>
    <w:rsid w:val="00F841AA"/>
    <w:rsid w:val="00F84A94"/>
    <w:rsid w:val="00F87E96"/>
    <w:rsid w:val="00FA23E8"/>
    <w:rsid w:val="00FC636F"/>
    <w:rsid w:val="00FD0545"/>
    <w:rsid w:val="00FD3CC1"/>
    <w:rsid w:val="00FF1E02"/>
    <w:rsid w:val="00FF30B4"/>
    <w:rsid w:val="012A5EC2"/>
    <w:rsid w:val="015975B8"/>
    <w:rsid w:val="02FEBE30"/>
    <w:rsid w:val="04916F1E"/>
    <w:rsid w:val="05DE7F94"/>
    <w:rsid w:val="061E35DE"/>
    <w:rsid w:val="066E0107"/>
    <w:rsid w:val="06CD35E7"/>
    <w:rsid w:val="07996F6E"/>
    <w:rsid w:val="07DFD8BA"/>
    <w:rsid w:val="09867E8F"/>
    <w:rsid w:val="0A2032A3"/>
    <w:rsid w:val="0CA8290A"/>
    <w:rsid w:val="0D35B1ED"/>
    <w:rsid w:val="0DC140A3"/>
    <w:rsid w:val="0E254B6B"/>
    <w:rsid w:val="0F6C355D"/>
    <w:rsid w:val="0F98263C"/>
    <w:rsid w:val="101860EC"/>
    <w:rsid w:val="101F47CC"/>
    <w:rsid w:val="10C055FF"/>
    <w:rsid w:val="11694EBD"/>
    <w:rsid w:val="11772AA4"/>
    <w:rsid w:val="118107EC"/>
    <w:rsid w:val="1273448E"/>
    <w:rsid w:val="12BB58E4"/>
    <w:rsid w:val="12E24EE2"/>
    <w:rsid w:val="13D50BC4"/>
    <w:rsid w:val="1452128F"/>
    <w:rsid w:val="14B17F78"/>
    <w:rsid w:val="15DD2016"/>
    <w:rsid w:val="165E0673"/>
    <w:rsid w:val="16B831D5"/>
    <w:rsid w:val="16BB723D"/>
    <w:rsid w:val="17E50567"/>
    <w:rsid w:val="186504BB"/>
    <w:rsid w:val="19A445FC"/>
    <w:rsid w:val="1BB348E7"/>
    <w:rsid w:val="1BE8440E"/>
    <w:rsid w:val="1D155CEE"/>
    <w:rsid w:val="1D1638FE"/>
    <w:rsid w:val="1E312DEB"/>
    <w:rsid w:val="1E740ACF"/>
    <w:rsid w:val="1FF35744"/>
    <w:rsid w:val="1FF6BC77"/>
    <w:rsid w:val="20607ACB"/>
    <w:rsid w:val="20FD356C"/>
    <w:rsid w:val="2186353C"/>
    <w:rsid w:val="232B2612"/>
    <w:rsid w:val="23860B96"/>
    <w:rsid w:val="240371BF"/>
    <w:rsid w:val="244F3473"/>
    <w:rsid w:val="24C97D99"/>
    <w:rsid w:val="25A718F0"/>
    <w:rsid w:val="25BB59F6"/>
    <w:rsid w:val="260F557C"/>
    <w:rsid w:val="26970054"/>
    <w:rsid w:val="26F97C49"/>
    <w:rsid w:val="281408E2"/>
    <w:rsid w:val="29FD04D3"/>
    <w:rsid w:val="2BFF7BC6"/>
    <w:rsid w:val="2C8A61B5"/>
    <w:rsid w:val="2DF04E50"/>
    <w:rsid w:val="2E586DFA"/>
    <w:rsid w:val="2F040D46"/>
    <w:rsid w:val="2F6B035B"/>
    <w:rsid w:val="2FAE5751"/>
    <w:rsid w:val="2FB1A395"/>
    <w:rsid w:val="2FD9A7D8"/>
    <w:rsid w:val="2FDBF714"/>
    <w:rsid w:val="30AB6865"/>
    <w:rsid w:val="319F7F4E"/>
    <w:rsid w:val="31ED0801"/>
    <w:rsid w:val="32BD1EF1"/>
    <w:rsid w:val="3304709D"/>
    <w:rsid w:val="338F44F8"/>
    <w:rsid w:val="33A773CB"/>
    <w:rsid w:val="349D6851"/>
    <w:rsid w:val="36AA5135"/>
    <w:rsid w:val="36BE0DA7"/>
    <w:rsid w:val="372E402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AC3EF8"/>
    <w:rsid w:val="3DEE7CF3"/>
    <w:rsid w:val="3E740A63"/>
    <w:rsid w:val="3E78745D"/>
    <w:rsid w:val="3EE17838"/>
    <w:rsid w:val="3F55381A"/>
    <w:rsid w:val="3F7F7599"/>
    <w:rsid w:val="3FF4CAE0"/>
    <w:rsid w:val="3FF7B227"/>
    <w:rsid w:val="448A7EBF"/>
    <w:rsid w:val="44E268DA"/>
    <w:rsid w:val="450D13D7"/>
    <w:rsid w:val="45506656"/>
    <w:rsid w:val="482F7BFF"/>
    <w:rsid w:val="486A6C7A"/>
    <w:rsid w:val="4A627F82"/>
    <w:rsid w:val="4B0E749A"/>
    <w:rsid w:val="4B2477C4"/>
    <w:rsid w:val="4B4F25DA"/>
    <w:rsid w:val="4BE068DB"/>
    <w:rsid w:val="4CDF0835"/>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8F702C5"/>
    <w:rsid w:val="58FD5022"/>
    <w:rsid w:val="5AF92295"/>
    <w:rsid w:val="5B250254"/>
    <w:rsid w:val="5BBF36A8"/>
    <w:rsid w:val="5BDD79E6"/>
    <w:rsid w:val="5BF561CA"/>
    <w:rsid w:val="5BFF5DFC"/>
    <w:rsid w:val="5CD71FC4"/>
    <w:rsid w:val="5D1F11B5"/>
    <w:rsid w:val="5D695134"/>
    <w:rsid w:val="5DAE1B18"/>
    <w:rsid w:val="5DE7D9E5"/>
    <w:rsid w:val="5E8C14B0"/>
    <w:rsid w:val="5ECEC941"/>
    <w:rsid w:val="5FBF9FF3"/>
    <w:rsid w:val="5FCD4E2C"/>
    <w:rsid w:val="5FDC52C6"/>
    <w:rsid w:val="5FDEB545"/>
    <w:rsid w:val="5FEF394A"/>
    <w:rsid w:val="5FF67715"/>
    <w:rsid w:val="62272C79"/>
    <w:rsid w:val="62BF3928"/>
    <w:rsid w:val="62DD052C"/>
    <w:rsid w:val="631531F6"/>
    <w:rsid w:val="63B3701E"/>
    <w:rsid w:val="647F5392"/>
    <w:rsid w:val="659F09EE"/>
    <w:rsid w:val="65E66580"/>
    <w:rsid w:val="664B1D71"/>
    <w:rsid w:val="664B4E8E"/>
    <w:rsid w:val="67277B67"/>
    <w:rsid w:val="67AA3209"/>
    <w:rsid w:val="68133700"/>
    <w:rsid w:val="698D0931"/>
    <w:rsid w:val="6A682DD1"/>
    <w:rsid w:val="6A7FE5F3"/>
    <w:rsid w:val="6B053271"/>
    <w:rsid w:val="6BDD78B3"/>
    <w:rsid w:val="6BDF608D"/>
    <w:rsid w:val="6C4A05C8"/>
    <w:rsid w:val="6C8742B8"/>
    <w:rsid w:val="6C8934D3"/>
    <w:rsid w:val="6D521B17"/>
    <w:rsid w:val="6DBF5E93"/>
    <w:rsid w:val="6DFF077E"/>
    <w:rsid w:val="6E714EF0"/>
    <w:rsid w:val="6E7E3605"/>
    <w:rsid w:val="6E7FDCC7"/>
    <w:rsid w:val="6ED6A62E"/>
    <w:rsid w:val="6EE00B15"/>
    <w:rsid w:val="6F6FB3EB"/>
    <w:rsid w:val="6F8731EA"/>
    <w:rsid w:val="6FC54822"/>
    <w:rsid w:val="6FCE6052"/>
    <w:rsid w:val="6FD57C00"/>
    <w:rsid w:val="6FEFFFD8"/>
    <w:rsid w:val="6FF5CC65"/>
    <w:rsid w:val="6FFB47EC"/>
    <w:rsid w:val="6FFF034A"/>
    <w:rsid w:val="6FFFBB1E"/>
    <w:rsid w:val="70484440"/>
    <w:rsid w:val="712A28F1"/>
    <w:rsid w:val="715C0E4B"/>
    <w:rsid w:val="71992E7C"/>
    <w:rsid w:val="72233669"/>
    <w:rsid w:val="72734D90"/>
    <w:rsid w:val="73160E6D"/>
    <w:rsid w:val="7332FE48"/>
    <w:rsid w:val="73AB61DA"/>
    <w:rsid w:val="73AD73D5"/>
    <w:rsid w:val="73B6EB34"/>
    <w:rsid w:val="73FA497D"/>
    <w:rsid w:val="744731E5"/>
    <w:rsid w:val="7479207F"/>
    <w:rsid w:val="747B3474"/>
    <w:rsid w:val="74BBD01D"/>
    <w:rsid w:val="74ED5379"/>
    <w:rsid w:val="75DEEEC2"/>
    <w:rsid w:val="75E32345"/>
    <w:rsid w:val="76E3355F"/>
    <w:rsid w:val="76FF5125"/>
    <w:rsid w:val="776F6FFA"/>
    <w:rsid w:val="778769C8"/>
    <w:rsid w:val="77A75DCA"/>
    <w:rsid w:val="77DC22F5"/>
    <w:rsid w:val="77F35A5D"/>
    <w:rsid w:val="783E271A"/>
    <w:rsid w:val="78616DE9"/>
    <w:rsid w:val="78E875D7"/>
    <w:rsid w:val="79086DAD"/>
    <w:rsid w:val="79D7FD79"/>
    <w:rsid w:val="79EE5BA4"/>
    <w:rsid w:val="79F30562"/>
    <w:rsid w:val="7A894339"/>
    <w:rsid w:val="7AD284E8"/>
    <w:rsid w:val="7AFF7572"/>
    <w:rsid w:val="7B6C7DFB"/>
    <w:rsid w:val="7BBFBED0"/>
    <w:rsid w:val="7BC3E394"/>
    <w:rsid w:val="7BCD518A"/>
    <w:rsid w:val="7C1F3737"/>
    <w:rsid w:val="7CBFC87B"/>
    <w:rsid w:val="7CFE0F48"/>
    <w:rsid w:val="7D272ABC"/>
    <w:rsid w:val="7D7EC23E"/>
    <w:rsid w:val="7D88774E"/>
    <w:rsid w:val="7DEFD4B0"/>
    <w:rsid w:val="7E8ADEBF"/>
    <w:rsid w:val="7EEF11D3"/>
    <w:rsid w:val="7EFE4840"/>
    <w:rsid w:val="7F0971A6"/>
    <w:rsid w:val="7F1D62E7"/>
    <w:rsid w:val="7F3BAD08"/>
    <w:rsid w:val="7F3F679B"/>
    <w:rsid w:val="7F4FC4EF"/>
    <w:rsid w:val="7F5E4D54"/>
    <w:rsid w:val="7F6E0135"/>
    <w:rsid w:val="7F7730A9"/>
    <w:rsid w:val="7F79F205"/>
    <w:rsid w:val="7F9795A6"/>
    <w:rsid w:val="7FA30C79"/>
    <w:rsid w:val="7FA79C44"/>
    <w:rsid w:val="7FAF8ABF"/>
    <w:rsid w:val="7FB7269E"/>
    <w:rsid w:val="7FBEDFED"/>
    <w:rsid w:val="7FC96657"/>
    <w:rsid w:val="7FDA9588"/>
    <w:rsid w:val="7FDC49FE"/>
    <w:rsid w:val="7FDF220F"/>
    <w:rsid w:val="7FEDC5F7"/>
    <w:rsid w:val="7FEDD9DE"/>
    <w:rsid w:val="7FF5890D"/>
    <w:rsid w:val="7FF93490"/>
    <w:rsid w:val="8DDE9876"/>
    <w:rsid w:val="99FF2014"/>
    <w:rsid w:val="A6DD0D7F"/>
    <w:rsid w:val="A6F7F4B1"/>
    <w:rsid w:val="ACFF4FBB"/>
    <w:rsid w:val="ADC6F725"/>
    <w:rsid w:val="B7A3DC4C"/>
    <w:rsid w:val="B7CF06AB"/>
    <w:rsid w:val="B7CFA926"/>
    <w:rsid w:val="B7F8786B"/>
    <w:rsid w:val="B8DCD44C"/>
    <w:rsid w:val="BABB6AA1"/>
    <w:rsid w:val="BB2F4199"/>
    <w:rsid w:val="BCFFB442"/>
    <w:rsid w:val="BD079C78"/>
    <w:rsid w:val="BD733540"/>
    <w:rsid w:val="BDFF4C43"/>
    <w:rsid w:val="BF3735D5"/>
    <w:rsid w:val="BF7F09AC"/>
    <w:rsid w:val="BFD475C3"/>
    <w:rsid w:val="BFDE5EA6"/>
    <w:rsid w:val="BFEF49B2"/>
    <w:rsid w:val="BFFF40D6"/>
    <w:rsid w:val="C63F0A19"/>
    <w:rsid w:val="CB7E5447"/>
    <w:rsid w:val="CF6FC6F3"/>
    <w:rsid w:val="CFBEB0AF"/>
    <w:rsid w:val="CFD3D3D7"/>
    <w:rsid w:val="CFDF1009"/>
    <w:rsid w:val="D3EBC59A"/>
    <w:rsid w:val="D7D7B16A"/>
    <w:rsid w:val="D8D6DB89"/>
    <w:rsid w:val="DA7B5591"/>
    <w:rsid w:val="DB6F4CAB"/>
    <w:rsid w:val="DB777682"/>
    <w:rsid w:val="DD1FB521"/>
    <w:rsid w:val="DD7F41B8"/>
    <w:rsid w:val="DEFBFEAE"/>
    <w:rsid w:val="DF1F3B80"/>
    <w:rsid w:val="DF6F9789"/>
    <w:rsid w:val="DF9F6760"/>
    <w:rsid w:val="DFDC23E9"/>
    <w:rsid w:val="DFE9BE81"/>
    <w:rsid w:val="DFFAFAE6"/>
    <w:rsid w:val="DFFF0BED"/>
    <w:rsid w:val="DFFFA9E8"/>
    <w:rsid w:val="E4BB0613"/>
    <w:rsid w:val="E5F4E9DC"/>
    <w:rsid w:val="E70FE695"/>
    <w:rsid w:val="EAFE21DE"/>
    <w:rsid w:val="EB2E368B"/>
    <w:rsid w:val="ECFED1BC"/>
    <w:rsid w:val="ED1D69BB"/>
    <w:rsid w:val="ED7FD312"/>
    <w:rsid w:val="EF2E1AC6"/>
    <w:rsid w:val="EF53993F"/>
    <w:rsid w:val="EF6FD633"/>
    <w:rsid w:val="EF766B8B"/>
    <w:rsid w:val="EFBFB2F4"/>
    <w:rsid w:val="EFBFFA21"/>
    <w:rsid w:val="F2BEBCB8"/>
    <w:rsid w:val="F36FB518"/>
    <w:rsid w:val="F3DE1A04"/>
    <w:rsid w:val="F3F722E5"/>
    <w:rsid w:val="F4FBCD07"/>
    <w:rsid w:val="F8DFD085"/>
    <w:rsid w:val="F9FF8B8A"/>
    <w:rsid w:val="FA5F1E70"/>
    <w:rsid w:val="FA5FDB97"/>
    <w:rsid w:val="FAD739C7"/>
    <w:rsid w:val="FADE5A3D"/>
    <w:rsid w:val="FB7F486A"/>
    <w:rsid w:val="FBFF5B2E"/>
    <w:rsid w:val="FD7FFE2B"/>
    <w:rsid w:val="FDEE196B"/>
    <w:rsid w:val="FDFE6575"/>
    <w:rsid w:val="FE7EBBCF"/>
    <w:rsid w:val="FEBA66E2"/>
    <w:rsid w:val="FEDB503E"/>
    <w:rsid w:val="FEDFDDC2"/>
    <w:rsid w:val="FEED32F6"/>
    <w:rsid w:val="FEF781DD"/>
    <w:rsid w:val="FF3F7E3F"/>
    <w:rsid w:val="FF7A59E7"/>
    <w:rsid w:val="FF8778B4"/>
    <w:rsid w:val="FFAB0CFC"/>
    <w:rsid w:val="FFBA12D7"/>
    <w:rsid w:val="FFCBD314"/>
    <w:rsid w:val="FFDFF91C"/>
    <w:rsid w:val="FFDFFAEE"/>
    <w:rsid w:val="FFEF6777"/>
    <w:rsid w:val="FFEF6ABB"/>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7"/>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unhideWhenUsed/>
    <w:qFormat/>
    <w:uiPriority w:val="99"/>
    <w:rPr>
      <w:rFonts w:ascii="宋体" w:hAnsi="Courier New" w:eastAsia="宋体" w:cs="Courier New"/>
      <w:sz w:val="21"/>
      <w:szCs w:val="21"/>
    </w:r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widowControl/>
      <w:jc w:val="left"/>
    </w:pPr>
    <w:rPr>
      <w:rFonts w:eastAsia="Times New Roman"/>
      <w:kern w:val="0"/>
      <w:sz w:val="24"/>
      <w:lang w:eastAsia="uk-UA"/>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字符"/>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字符"/>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字符"/>
    <w:link w:val="8"/>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字符"/>
    <w:basedOn w:val="18"/>
    <w:link w:val="5"/>
    <w:qFormat/>
    <w:uiPriority w:val="9"/>
    <w:rPr>
      <w:rFonts w:ascii="Times New Roman" w:hAnsi="Times New Roman"/>
      <w:b/>
      <w:bCs/>
      <w:kern w:val="44"/>
      <w:sz w:val="44"/>
      <w:szCs w:val="44"/>
    </w:rPr>
  </w:style>
  <w:style w:type="character" w:customStyle="1" w:styleId="31">
    <w:name w:val="标题 2 字符"/>
    <w:basedOn w:val="18"/>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字符"/>
    <w:basedOn w:val="18"/>
    <w:link w:val="11"/>
    <w:semiHidden/>
    <w:qFormat/>
    <w:uiPriority w:val="99"/>
    <w:rPr>
      <w:rFonts w:ascii="Times New Roman" w:hAnsi="Times New Roman"/>
      <w:kern w:val="2"/>
      <w:sz w:val="18"/>
      <w:szCs w:val="18"/>
    </w:rPr>
  </w:style>
  <w:style w:type="character" w:customStyle="1" w:styleId="34">
    <w:name w:val="标题 3 字符"/>
    <w:basedOn w:val="18"/>
    <w:link w:val="7"/>
    <w:qFormat/>
    <w:uiPriority w:val="9"/>
    <w:rPr>
      <w:rFonts w:ascii="Times New Roman" w:hAnsi="Times New Roman"/>
      <w:b/>
      <w:bCs/>
      <w:kern w:val="2"/>
      <w:sz w:val="32"/>
      <w:szCs w:val="32"/>
    </w:rPr>
  </w:style>
  <w:style w:type="paragraph" w:customStyle="1" w:styleId="35">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character" w:customStyle="1" w:styleId="37">
    <w:name w:val="NormalCharacter"/>
    <w:semiHidden/>
    <w:qFormat/>
    <w:uiPriority w:val="0"/>
    <w:rPr>
      <w:kern w:val="2"/>
      <w:sz w:val="21"/>
      <w:szCs w:val="24"/>
      <w:lang w:val="en-US" w:eastAsia="zh-CN" w:bidi="ar-SA"/>
    </w:rPr>
  </w:style>
  <w:style w:type="character" w:customStyle="1" w:styleId="38">
    <w:name w:val="font31"/>
    <w:basedOn w:val="18"/>
    <w:qFormat/>
    <w:uiPriority w:val="0"/>
    <w:rPr>
      <w:rFonts w:hint="default" w:ascii="黑体" w:hAnsi="黑体" w:eastAsia="黑体" w:cs="黑体"/>
      <w:color w:val="000000"/>
      <w:sz w:val="18"/>
      <w:szCs w:val="18"/>
      <w:u w:val="none"/>
    </w:rPr>
  </w:style>
  <w:style w:type="character" w:customStyle="1" w:styleId="39">
    <w:name w:val="font41"/>
    <w:basedOn w:val="18"/>
    <w:qFormat/>
    <w:uiPriority w:val="0"/>
    <w:rPr>
      <w:rFonts w:hint="default" w:ascii="黑体" w:hAnsi="黑体" w:eastAsia="黑体" w:cs="黑体"/>
      <w:i/>
      <w:iCs/>
      <w:color w:val="000000"/>
      <w:sz w:val="18"/>
      <w:szCs w:val="18"/>
      <w:u w:val="none"/>
    </w:rPr>
  </w:style>
  <w:style w:type="character" w:customStyle="1" w:styleId="40">
    <w:name w:val="font61"/>
    <w:basedOn w:val="18"/>
    <w:qFormat/>
    <w:uiPriority w:val="0"/>
    <w:rPr>
      <w:rFonts w:hint="default" w:ascii="微软雅黑" w:hAnsi="微软雅黑" w:eastAsia="微软雅黑" w:cs="微软雅黑"/>
      <w:color w:val="000000"/>
      <w:sz w:val="16"/>
      <w:szCs w:val="16"/>
      <w:u w:val="none"/>
    </w:rPr>
  </w:style>
  <w:style w:type="character" w:customStyle="1" w:styleId="41">
    <w:name w:val="font51"/>
    <w:basedOn w:val="18"/>
    <w:qFormat/>
    <w:uiPriority w:val="0"/>
    <w:rPr>
      <w:rFonts w:hint="default" w:ascii="微软雅黑" w:hAnsi="微软雅黑" w:eastAsia="微软雅黑" w:cs="微软雅黑"/>
      <w:i/>
      <w:iCs/>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1.wm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3.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2.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zh-CN" sz="1400" b="0" i="0" u="none" strike="noStrike" kern="1200" spc="0" baseline="0">
                <a:solidFill>
                  <a:sysClr val="windowText" lastClr="000000">
                    <a:lumMod val="65000"/>
                    <a:lumOff val="35000"/>
                  </a:sysClr>
                </a:solidFill>
                <a:latin typeface="+mn-lt"/>
                <a:ea typeface="+mn-ea"/>
                <a:cs typeface="+mn-cs"/>
              </a:defRPr>
            </a:pPr>
            <a:r>
              <a:rPr lang="zh-CN" altLang="en-US"/>
              <a:t>收入支出决算</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收入，支出</c:v>
                </c:pt>
              </c:strCache>
            </c:strRef>
          </c:tx>
          <c:spPr>
            <a:solidFill>
              <a:srgbClr val="4F81BD"/>
            </a:solidFill>
            <a:ln>
              <a:noFill/>
            </a:ln>
            <a:effectLst/>
          </c:spPr>
          <c:invertIfNegative val="0"/>
          <c:dLbls>
            <c:delete val="1"/>
          </c:dLbls>
          <c:cat>
            <c:numRef>
              <c:f>Sheet1!$A$2:$A$5</c:f>
              <c:numCache>
                <c:formatCode>General</c:formatCode>
                <c:ptCount val="4"/>
                <c:pt idx="0">
                  <c:v>2025</c:v>
                </c:pt>
                <c:pt idx="1">
                  <c:v>2024</c:v>
                </c:pt>
              </c:numCache>
            </c:numRef>
          </c:cat>
          <c:val>
            <c:numRef>
              <c:f>Sheet1!$B$2:$B$5</c:f>
              <c:numCache>
                <c:formatCode>General</c:formatCode>
                <c:ptCount val="4"/>
                <c:pt idx="0">
                  <c:v>475.62</c:v>
                </c:pt>
              </c:numCache>
            </c:numRef>
          </c:val>
        </c:ser>
        <c:ser>
          <c:idx val="1"/>
          <c:order val="1"/>
          <c:tx>
            <c:strRef>
              <c:f>Sheet1!$C$1</c:f>
              <c:strCache>
                <c:ptCount val="1"/>
                <c:pt idx="0">
                  <c:v>收入，支出2</c:v>
                </c:pt>
              </c:strCache>
            </c:strRef>
          </c:tx>
          <c:spPr>
            <a:solidFill>
              <a:srgbClr val="C0504D"/>
            </a:solidFill>
            <a:ln>
              <a:noFill/>
            </a:ln>
            <a:effectLst/>
          </c:spPr>
          <c:invertIfNegative val="0"/>
          <c:dLbls>
            <c:delete val="1"/>
          </c:dLbls>
          <c:cat>
            <c:numRef>
              <c:f>Sheet1!$A$2:$A$5</c:f>
              <c:numCache>
                <c:formatCode>General</c:formatCode>
                <c:ptCount val="4"/>
                <c:pt idx="0">
                  <c:v>2025</c:v>
                </c:pt>
                <c:pt idx="1">
                  <c:v>2024</c:v>
                </c:pt>
              </c:numCache>
            </c:numRef>
          </c:cat>
          <c:val>
            <c:numRef>
              <c:f>Sheet1!$C$2:$C$5</c:f>
              <c:numCache>
                <c:formatCode>General</c:formatCode>
                <c:ptCount val="4"/>
                <c:pt idx="1">
                  <c:v>531.97</c:v>
                </c:pt>
              </c:numCache>
            </c:numRef>
          </c:val>
        </c:ser>
        <c:ser>
          <c:idx val="2"/>
          <c:order val="2"/>
          <c:tx>
            <c:strRef>
              <c:f>Sheet1!$D$1</c:f>
              <c:strCache>
                <c:ptCount val="1"/>
                <c:pt idx="0">
                  <c:v>列2</c:v>
                </c:pt>
              </c:strCache>
            </c:strRef>
          </c:tx>
          <c:spPr>
            <a:solidFill>
              <a:srgbClr val="9BBB59"/>
            </a:solidFill>
            <a:ln>
              <a:noFill/>
            </a:ln>
            <a:effectLst/>
          </c:spPr>
          <c:invertIfNegative val="0"/>
          <c:dLbls>
            <c:delete val="1"/>
          </c:dLbls>
          <c:cat>
            <c:numRef>
              <c:f>Sheet1!$A$2:$A$5</c:f>
              <c:numCache>
                <c:formatCode>General</c:formatCode>
                <c:ptCount val="4"/>
                <c:pt idx="0">
                  <c:v>2025</c:v>
                </c:pt>
                <c:pt idx="1">
                  <c:v>2024</c:v>
                </c:pt>
              </c:numCache>
            </c:num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025991807"/>
        <c:axId val="1025985567"/>
      </c:barChart>
      <c:catAx>
        <c:axId val="1025991807"/>
        <c:scaling>
          <c:orientation val="minMax"/>
        </c:scaling>
        <c:delete val="0"/>
        <c:axPos val="b"/>
        <c:numFmt formatCode="General" sourceLinked="1"/>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1"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1025985567"/>
        <c:crosses val="autoZero"/>
        <c:auto val="1"/>
        <c:lblAlgn val="ctr"/>
        <c:lblOffset val="100"/>
        <c:noMultiLvlLbl val="0"/>
      </c:catAx>
      <c:valAx>
        <c:axId val="1025985567"/>
        <c:scaling>
          <c:orientation val="minMax"/>
        </c:scaling>
        <c:delete val="0"/>
        <c:axPos val="l"/>
        <c:majorGridlines>
          <c:spPr>
            <a:ln w="9525" cap="flat" cmpd="sng" algn="ctr">
              <a:solidFill>
                <a:sysClr val="windowText" lastClr="000000">
                  <a:lumMod val="15000"/>
                  <a:lumOff val="85000"/>
                </a:sys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1025991807"/>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deb775bc-3324-4fe9-b9ac-33ac4881aeeb}"/>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收入决算</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收入决算</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numRef>
              <c:f>Sheet1!$A$2:$A$5</c:f>
              <c:numCache>
                <c:formatCode>General</c:formatCode>
                <c:ptCount val="4"/>
                <c:pt idx="0">
                  <c:v>2025</c:v>
                </c:pt>
              </c:numCache>
            </c:numRef>
          </c:cat>
          <c:val>
            <c:numRef>
              <c:f>Sheet1!$B$2:$B$5</c:f>
              <c:numCache>
                <c:formatCode>General</c:formatCode>
                <c:ptCount val="4"/>
                <c:pt idx="0">
                  <c:v>475.62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2a87aa3-c4fe-4e6e-a40c-ff792940f0a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基本支出</c:v>
                </c:pt>
                <c:pt idx="1">
                  <c:v>项目支出</c:v>
                </c:pt>
              </c:strCache>
            </c:strRef>
          </c:cat>
          <c:val>
            <c:numRef>
              <c:f>Sheet1!$B$2:$B$5</c:f>
              <c:numCache>
                <c:formatCode>General</c:formatCode>
                <c:ptCount val="4"/>
                <c:pt idx="0">
                  <c:v>397.2</c:v>
                </c:pt>
                <c:pt idx="1">
                  <c:v>78.42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899b037-0b6d-428d-b0d3-58345c23705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财政拔款收、支决算</a:t>
            </a:r>
            <a:endParaRPr lang="zh-CN" altLang="en-US"/>
          </a:p>
        </c:rich>
      </c:tx>
      <c:layout/>
      <c:overlay val="0"/>
      <c:spPr>
        <a:noFill/>
        <a:ln>
          <a:noFill/>
        </a:ln>
        <a:effectLst/>
      </c:spPr>
    </c:title>
    <c:autoTitleDeleted val="0"/>
    <c:plotArea>
      <c:layout>
        <c:manualLayout>
          <c:layoutTarget val="inner"/>
          <c:xMode val="edge"/>
          <c:yMode val="edge"/>
          <c:x val="0.0648446905851192"/>
          <c:y val="0.154798761609907"/>
          <c:w val="0.908668432458464"/>
          <c:h val="0.648998968008256"/>
        </c:manualLayout>
      </c:layout>
      <c:barChart>
        <c:barDir val="col"/>
        <c:grouping val="clustered"/>
        <c:varyColors val="0"/>
        <c:ser>
          <c:idx val="0"/>
          <c:order val="0"/>
          <c:tx>
            <c:strRef>
              <c:f>Sheet1!$B$1</c:f>
              <c:strCache>
                <c:ptCount val="1"/>
                <c:pt idx="0">
                  <c:v>支出</c:v>
                </c:pt>
              </c:strCache>
            </c:strRef>
          </c:tx>
          <c:spPr>
            <a:solidFill>
              <a:schemeClr val="accent1"/>
            </a:solidFill>
            <a:ln>
              <a:noFill/>
            </a:ln>
            <a:effectLst/>
          </c:spPr>
          <c:invertIfNegative val="0"/>
          <c:dLbls>
            <c:delete val="1"/>
          </c:dLbls>
          <c:cat>
            <c:numRef>
              <c:f>Sheet1!$A$2:$A$5</c:f>
              <c:numCache>
                <c:formatCode>General</c:formatCode>
                <c:ptCount val="4"/>
                <c:pt idx="0">
                  <c:v>2025</c:v>
                </c:pt>
                <c:pt idx="1">
                  <c:v>2024</c:v>
                </c:pt>
              </c:numCache>
            </c:numRef>
          </c:cat>
          <c:val>
            <c:numRef>
              <c:f>Sheet1!$B$2:$B$5</c:f>
              <c:numCache>
                <c:formatCode>General</c:formatCode>
                <c:ptCount val="4"/>
                <c:pt idx="0">
                  <c:v>475.62</c:v>
                </c:pt>
              </c:numCache>
            </c:numRef>
          </c:val>
        </c:ser>
        <c:ser>
          <c:idx val="1"/>
          <c:order val="1"/>
          <c:tx>
            <c:strRef>
              <c:f>Sheet1!$C$1</c:f>
              <c:strCache>
                <c:ptCount val="1"/>
                <c:pt idx="0">
                  <c:v>支出2</c:v>
                </c:pt>
              </c:strCache>
            </c:strRef>
          </c:tx>
          <c:spPr>
            <a:solidFill>
              <a:schemeClr val="accent2"/>
            </a:solidFill>
            <a:ln>
              <a:noFill/>
            </a:ln>
            <a:effectLst/>
          </c:spPr>
          <c:invertIfNegative val="0"/>
          <c:dLbls>
            <c:delete val="1"/>
          </c:dLbls>
          <c:cat>
            <c:numRef>
              <c:f>Sheet1!$A$2:$A$5</c:f>
              <c:numCache>
                <c:formatCode>General</c:formatCode>
                <c:ptCount val="4"/>
                <c:pt idx="0">
                  <c:v>2025</c:v>
                </c:pt>
                <c:pt idx="1">
                  <c:v>2024</c:v>
                </c:pt>
              </c:numCache>
            </c:numRef>
          </c:cat>
          <c:val>
            <c:numRef>
              <c:f>Sheet1!$C$2:$C$5</c:f>
              <c:numCache>
                <c:formatCode>General</c:formatCode>
                <c:ptCount val="4"/>
                <c:pt idx="1">
                  <c:v>531.97</c:v>
                </c:pt>
              </c:numCache>
            </c:numRef>
          </c:val>
        </c:ser>
        <c:ser>
          <c:idx val="2"/>
          <c:order val="2"/>
          <c:tx>
            <c:strRef>
              <c:f>Sheet1!$D$1</c:f>
              <c:strCache>
                <c:ptCount val="1"/>
                <c:pt idx="0">
                  <c:v>列3</c:v>
                </c:pt>
              </c:strCache>
            </c:strRef>
          </c:tx>
          <c:spPr>
            <a:solidFill>
              <a:schemeClr val="accent3"/>
            </a:solidFill>
            <a:ln>
              <a:noFill/>
            </a:ln>
            <a:effectLst/>
          </c:spPr>
          <c:invertIfNegative val="0"/>
          <c:dLbls>
            <c:delete val="1"/>
          </c:dLbls>
          <c:cat>
            <c:numRef>
              <c:f>Sheet1!$A$2:$A$5</c:f>
              <c:numCache>
                <c:formatCode>General</c:formatCode>
                <c:ptCount val="4"/>
                <c:pt idx="0">
                  <c:v>2025</c:v>
                </c:pt>
                <c:pt idx="1">
                  <c:v>2024</c:v>
                </c:pt>
              </c:numCache>
            </c:num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025970207"/>
        <c:axId val="1025952927"/>
      </c:barChart>
      <c:catAx>
        <c:axId val="1025970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25952927"/>
        <c:crosses val="autoZero"/>
        <c:auto val="1"/>
        <c:lblAlgn val="ctr"/>
        <c:lblOffset val="100"/>
        <c:noMultiLvlLbl val="0"/>
      </c:catAx>
      <c:valAx>
        <c:axId val="10259529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25970207"/>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ea6f0d-888e-4b58-b989-5ee85c6bfc6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一般公共预算财政拔款支出决算</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支出</c:v>
                </c:pt>
              </c:strCache>
            </c:strRef>
          </c:tx>
          <c:spPr>
            <a:solidFill>
              <a:schemeClr val="accent1"/>
            </a:solidFill>
            <a:ln>
              <a:noFill/>
            </a:ln>
            <a:effectLst/>
          </c:spPr>
          <c:invertIfNegative val="0"/>
          <c:dLbls>
            <c:delete val="1"/>
          </c:dLbls>
          <c:cat>
            <c:numRef>
              <c:f>Sheet1!$A$2:$A$5</c:f>
              <c:numCache>
                <c:formatCode>General</c:formatCode>
                <c:ptCount val="4"/>
                <c:pt idx="0">
                  <c:v>2025</c:v>
                </c:pt>
                <c:pt idx="1">
                  <c:v>2024</c:v>
                </c:pt>
              </c:numCache>
            </c:numRef>
          </c:cat>
          <c:val>
            <c:numRef>
              <c:f>Sheet1!$B$2:$B$5</c:f>
              <c:numCache>
                <c:formatCode>General</c:formatCode>
                <c:ptCount val="4"/>
                <c:pt idx="0">
                  <c:v>475.62</c:v>
                </c:pt>
              </c:numCache>
            </c:numRef>
          </c:val>
        </c:ser>
        <c:ser>
          <c:idx val="1"/>
          <c:order val="1"/>
          <c:tx>
            <c:strRef>
              <c:f>Sheet1!$C$1</c:f>
              <c:strCache>
                <c:ptCount val="1"/>
                <c:pt idx="0">
                  <c:v>支出2</c:v>
                </c:pt>
              </c:strCache>
            </c:strRef>
          </c:tx>
          <c:spPr>
            <a:solidFill>
              <a:schemeClr val="accent2"/>
            </a:solidFill>
            <a:ln>
              <a:noFill/>
            </a:ln>
            <a:effectLst/>
          </c:spPr>
          <c:invertIfNegative val="0"/>
          <c:dLbls>
            <c:delete val="1"/>
          </c:dLbls>
          <c:cat>
            <c:numRef>
              <c:f>Sheet1!$A$2:$A$5</c:f>
              <c:numCache>
                <c:formatCode>General</c:formatCode>
                <c:ptCount val="4"/>
                <c:pt idx="0">
                  <c:v>2025</c:v>
                </c:pt>
                <c:pt idx="1">
                  <c:v>2024</c:v>
                </c:pt>
              </c:numCache>
            </c:numRef>
          </c:cat>
          <c:val>
            <c:numRef>
              <c:f>Sheet1!$C$2:$C$5</c:f>
              <c:numCache>
                <c:formatCode>General</c:formatCode>
                <c:ptCount val="4"/>
                <c:pt idx="1">
                  <c:v>531.97</c:v>
                </c:pt>
              </c:numCache>
            </c:numRef>
          </c:val>
        </c:ser>
        <c:ser>
          <c:idx val="2"/>
          <c:order val="2"/>
          <c:tx>
            <c:strRef>
              <c:f>Sheet1!$D$1</c:f>
              <c:strCache>
                <c:ptCount val="1"/>
                <c:pt idx="0">
                  <c:v>列3</c:v>
                </c:pt>
              </c:strCache>
            </c:strRef>
          </c:tx>
          <c:spPr>
            <a:solidFill>
              <a:schemeClr val="accent3"/>
            </a:solidFill>
            <a:ln>
              <a:noFill/>
            </a:ln>
            <a:effectLst/>
          </c:spPr>
          <c:invertIfNegative val="0"/>
          <c:dLbls>
            <c:delete val="1"/>
          </c:dLbls>
          <c:cat>
            <c:numRef>
              <c:f>Sheet1!$A$2:$A$5</c:f>
              <c:numCache>
                <c:formatCode>General</c:formatCode>
                <c:ptCount val="4"/>
                <c:pt idx="0">
                  <c:v>2025</c:v>
                </c:pt>
                <c:pt idx="1">
                  <c:v>2024</c:v>
                </c:pt>
              </c:numCache>
            </c:num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025970207"/>
        <c:axId val="1025952927"/>
      </c:barChart>
      <c:catAx>
        <c:axId val="1025970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25952927"/>
        <c:crosses val="autoZero"/>
        <c:auto val="1"/>
        <c:lblAlgn val="ctr"/>
        <c:lblOffset val="100"/>
        <c:noMultiLvlLbl val="0"/>
      </c:catAx>
      <c:valAx>
        <c:axId val="10259529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25970207"/>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3a3ac58-522c-46ce-809e-078a145345a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24512400674211"/>
          <c:y val="0.00619195046439629"/>
        </c:manualLayout>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文化旅游体育与传媒支出</c:v>
                </c:pt>
                <c:pt idx="1">
                  <c:v>社会保障和就业支出</c:v>
                </c:pt>
                <c:pt idx="2">
                  <c:v>卫生健康支出</c:v>
                </c:pt>
                <c:pt idx="3">
                  <c:v>住房保障支出</c:v>
                </c:pt>
              </c:strCache>
            </c:strRef>
          </c:cat>
          <c:val>
            <c:numRef>
              <c:f>Sheet1!$B$2:$B$5</c:f>
              <c:numCache>
                <c:formatCode>General</c:formatCode>
                <c:ptCount val="4"/>
                <c:pt idx="0">
                  <c:v>379.12</c:v>
                </c:pt>
                <c:pt idx="1">
                  <c:v>52.93</c:v>
                </c:pt>
                <c:pt idx="2">
                  <c:v>20.63</c:v>
                </c:pt>
                <c:pt idx="3">
                  <c:v>22.93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47289ae-c7b5-484d-b672-4753eba2420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“三公”经费</a:t>
            </a:r>
            <a:endParaRPr lang="zh-CN" altLang="en-US"/>
          </a:p>
        </c:rich>
      </c:tx>
      <c:layout/>
      <c:overlay val="0"/>
      <c:spPr>
        <a:noFill/>
        <a:ln>
          <a:noFill/>
        </a:ln>
        <a:effectLst/>
      </c:spPr>
    </c:title>
    <c:autoTitleDeleted val="0"/>
    <c:plotArea>
      <c:layout>
        <c:manualLayout>
          <c:layoutTarget val="inner"/>
          <c:xMode val="edge"/>
          <c:yMode val="edge"/>
          <c:x val="0.264838289302215"/>
          <c:y val="0.211043872919818"/>
          <c:w val="0.468190972633574"/>
          <c:h val="0.747352496217852"/>
        </c:manualLayout>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公务用车</c:v>
                </c:pt>
              </c:strCache>
            </c:strRef>
          </c:cat>
          <c:val>
            <c:numRef>
              <c:f>Sheet1!$B$2:$B$5</c:f>
              <c:numCache>
                <c:formatCode>General</c:formatCode>
                <c:ptCount val="4"/>
                <c:pt idx="0">
                  <c:v>2.89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525bc97-ea8c-483a-9e3c-d82566e0da4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9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ysClr val="windowText" lastClr="000000"/>
    </cs:fontRef>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Text" lastClr="000000">
            <a:lumMod val="15000"/>
            <a:lumOff val="850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65000"/>
        <a:lumOff val="35000"/>
      </a:sysClr>
    </cs:fontRef>
    <cs:defRPr sz="1400" b="0" kern="1200" spc="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1C2F65-FF50-4C27-AF95-9BB07378D109}">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46</Pages>
  <Words>38</Words>
  <Characters>41</Characters>
  <Lines>117</Lines>
  <Paragraphs>342</Paragraphs>
  <TotalTime>54</TotalTime>
  <ScaleCrop>false</ScaleCrop>
  <LinksUpToDate>false</LinksUpToDate>
  <CharactersWithSpaces>42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2025-09-21T02:24:00Z</dcterms:created>
  <dc:creator>曹颖</dc:creator>
  <cp:lastModifiedBy>huawei</cp:lastModifiedBy>
  <cp:lastPrinted>2025-09-20T10:59:00Z</cp:lastPrinted>
  <dcterms:modified xsi:type="dcterms:W3CDTF">2026-09-17T15:33:18Z</dcterms:modified>
  <dc:title>四川省***</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D7FBD1439F565F91BE97AB6A9DD95657_43</vt:lpwstr>
  </property>
  <property fmtid="{D5CDD505-2E9C-101B-9397-08002B2CF9AE}" pid="4" name="KSOTemplateDocerSaveRecord">
    <vt:lpwstr>eyJoZGlkIjoiNmJkYTdiMGIyOGRmMDQ4ZjdkZDA3YTQ3M2VjYWYzMTAiLCJ1c2VySWQiOiIxNjcyMDI1Nzk2In0=</vt:lpwstr>
  </property>
  <property fmtid="{D5CDD505-2E9C-101B-9397-08002B2CF9AE}" pid="5" name="OfficeAIDocId">
    <vt:lpwstr>DOC_991e7d82ea5e4f1fa235120c15706abb</vt:lpwstr>
  </property>
</Properties>
</file>