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Times New Roman" w:hAnsi="Times New Roman"/>
        </w:rPr>
      </w:pPr>
      <w:bookmarkStart w:id="0" w:name="_Toc15378441"/>
      <w:bookmarkStart w:id="1" w:name="_Toc15377425"/>
      <w:bookmarkStart w:id="2" w:name="_Toc15377193"/>
      <w:bookmarkStart w:id="3" w:name="_Toc15396597"/>
      <w:bookmarkStart w:id="4" w:name="_Toc15396475"/>
      <w:bookmarkStart w:id="5" w:name="_Toc15306267"/>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bookmarkStart w:id="6" w:name="_Toc15377426"/>
      <w:bookmarkStart w:id="7" w:name="_Toc15378442"/>
      <w:bookmarkStart w:id="8" w:name="_Toc15377194"/>
      <w:bookmarkStart w:id="9" w:name="_Toc15396476"/>
      <w:bookmarkStart w:id="10" w:name="_Toc15396598"/>
      <w:bookmarkEnd w:id="0"/>
      <w:bookmarkEnd w:id="1"/>
      <w:bookmarkEnd w:id="2"/>
      <w:bookmarkEnd w:id="3"/>
      <w:bookmarkEnd w:id="4"/>
      <w:r>
        <w:rPr>
          <w:rFonts w:ascii="Times New Roman" w:eastAsia="方正小标宋简体" w:cs="Times New Roman" w:hAnsi="Times New Roman" w:hint="eastAsia"/>
          <w:color w:val="auto"/>
          <w:kern w:val="2"/>
          <w:sz w:val="44"/>
          <w:szCs w:val="44"/>
          <w:lang w:val="en-US" w:eastAsia="zh-CN" w:bidi="ar-SA"/>
          <w:highlight w:val="auto"/>
        </w:rPr>
        <w:t>2025年度四川省阿坝州</w:t>
      </w:r>
      <w:bookmarkStart w:id="11" w:name="_Toc15306268"/>
      <w:bookmarkEnd w:id="5"/>
      <w:r>
        <w:rPr>
          <w:rFonts w:ascii="Times New Roman" w:eastAsia="方正小标宋简体" w:cs="Times New Roman" w:hAnsi="Times New Roman"/>
          <w:color w:val="auto"/>
          <w:kern w:val="2"/>
          <w:sz w:val="44"/>
          <w:szCs w:val="44"/>
          <w:lang w:val="en-US" w:eastAsia="zh-CN" w:bidi="ar-SA"/>
          <w:highlight w:val="auto"/>
        </w:rPr>
        <w:t>新华书店单位</w:t>
      </w:r>
      <w:r>
        <w:rPr>
          <w:rFonts w:ascii="Times New Roman" w:eastAsia="方正小标宋简体" w:cs="Times New Roman" w:hAnsi="Times New Roman" w:hint="eastAsia"/>
          <w:color w:val="auto"/>
          <w:kern w:val="2"/>
          <w:sz w:val="44"/>
          <w:szCs w:val="44"/>
          <w:lang w:val="en-US" w:eastAsia="zh-CN" w:bidi="ar-SA"/>
          <w:highlight w:val="auto"/>
        </w:rPr>
        <w:t>决算</w:t>
      </w:r>
      <w:bookmarkEnd w:id="6"/>
      <w:bookmarkEnd w:id="7"/>
      <w:bookmarkEnd w:id="8"/>
      <w:bookmarkEnd w:id="9"/>
      <w:bookmarkEnd w:id="10"/>
      <w:bookmarkEnd w:id="1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val="en-US" w:eastAsia="zh-CN"/>
          <w:highlight w:val="auto"/>
        </w:rPr>
      </w:pPr>
    </w:p>
    <w:p>
      <w:pPr>
        <w:widowControl/>
        <w:jc w:val="center"/>
        <w:rPr>
          <w:rFonts w:ascii="Times New Roman" w:eastAsia="黑体" w:hAnsi="Times New Roman" w:hint="eastAsia"/>
          <w:color w:val="auto"/>
          <w:sz w:val="48"/>
          <w:szCs w:val="48"/>
          <w:highlight w:val="auto"/>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Times New Roman" w:eastAsia="黑体" w:hAnsi="Times New Roman"/>
          <w:sz w:val="48"/>
        </w:rPr>
      </w:pPr>
    </w:p>
    <w:p>
      <w:pPr>
        <w:rPr>
          <w:rFonts w:ascii="仿宋_GB2312" w:eastAsia="仿宋_GB2312" w:hint="eastAsia"/>
          <w:sz w:val="32"/>
          <w:szCs w:val="32"/>
        </w:rPr>
      </w:pPr>
      <w:r>
        <w:rPr>
          <w:rFonts w:ascii="仿宋_GB2312" w:eastAsia="仿宋_GB2312" w:hint="eastAsia"/>
          <w:sz w:val="32"/>
          <w:szCs w:val="32"/>
        </w:rPr>
        <w:t>已经保密审查</w:t>
      </w:r>
      <w:r>
        <w:rPr>
          <w:rFonts w:ascii="仿宋_GB2312" w:eastAsia="仿宋_GB2312"/>
          <w:sz w:val="32"/>
          <w:szCs w:val="32"/>
        </w:rPr>
        <w:t>，内容审定，同意对外公开。</w:t>
      </w:r>
    </w:p>
    <w:p>
      <w:pPr>
        <w:tabs>
          <w:tab w:val="left" w:pos="2780"/>
        </w:tabs>
        <w:rPr>
          <w:rFonts w:eastAsia="黑体" w:hint="eastAsia"/>
          <w:sz w:val="48"/>
        </w:rPr>
        <w:sectPr>
          <w:footerReference w:type="default" r:id="rId2"/>
          <w:pgSz w:w="11906" w:h="16838"/>
          <w:pgMar w:top="1440" w:right="1800" w:bottom="1440" w:left="1800" w:header="851" w:footer="992" w:gutter="0"/>
          <w:pgNumType w:start="1"/>
          <w:titlePg/>
          <w:docGrid w:type="lines" w:linePitch="312" w:charSpace="0"/>
        </w:sectPr>
      </w:pPr>
      <w:r>
        <w:rPr>
          <w:rFonts w:ascii="Times New Roman" w:eastAsia="黑体" w:hAnsi="Times New Roman"/>
          <w:sz w:val="48"/>
        </w:rPr>
        <w:tab/>
      </w: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color w:val="auto"/>
          <w:sz w:val="32"/>
          <w:szCs w:val="32"/>
          <w:lang w:val="en-US" w:eastAsia="zh-CN"/>
          <w:highlight w:val="auto"/>
        </w:rPr>
        <w:t>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color w:val="auto"/>
          <w:sz w:val="32"/>
          <w:szCs w:val="32"/>
          <w:lang w:val="en-US" w:eastAsia="zh-CN"/>
          <w:highlight w:val="auto"/>
        </w:rPr>
        <w:t>15</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 w:val="right" w:leader="dot" w:pos="8306"/>
        </w:tabs>
      </w:pPr>
      <w:r>
        <w:rPr>
          <w:rFonts w:ascii="Times New Roman" w:eastAsia="黑体" w:cs="黑体" w:hAnsi="Times New Roman"/>
          <w:color w:val="auto"/>
          <w:sz w:val="32"/>
          <w:szCs w:val="32"/>
          <w:highlight w:val="auto"/>
        </w:rPr>
        <w:fldChar w:fldCharType="begin"/>
      </w:r>
      <w:r>
        <w:rPr>
          <w:rFonts w:ascii="Times New Roman" w:eastAsia="黑体" w:cs="黑体" w:hAnsi="Times New Roman"/>
          <w:color w:val="auto"/>
          <w:sz w:val="32"/>
          <w:szCs w:val="32"/>
          <w:highlight w:val="auto"/>
        </w:rPr>
        <w:instrText xml:space="preserve"> TOC \o "1-2" \h \u </w:instrText>
      </w:r>
      <w:r>
        <w:rPr>
          <w:rFonts w:ascii="Times New Roman" w:eastAsia="黑体" w:cs="黑体" w:hAnsi="Times New Roman"/>
          <w:color w:val="auto"/>
          <w:sz w:val="32"/>
          <w:szCs w:val="32"/>
          <w:highlight w:val="auto"/>
        </w:rPr>
        <w:fldChar w:fldCharType="separate"/>
      </w:r>
      <w:r>
        <w:fldChar w:fldCharType="begin"/>
      </w:r>
      <w:r>
        <w:instrText>Hyperlink \l "_Toc46114045"</w:instrText>
      </w:r>
      <w:r>
        <w:fldChar w:fldCharType="separate"/>
      </w:r>
      <w:r>
        <w:rPr>
          <w:rFonts w:ascii="Times New Roman" w:eastAsia="方正小标宋简体" w:cs="方正小标宋简体" w:hAnsi="Times New Roman" w:hint="eastAsia"/>
          <w:highlight w:val="auto"/>
        </w:rPr>
        <w:t>第一部分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ascii="Times New Roman" w:eastAsia="方正小标宋简体" w:cs="方正小标宋简体" w:hAnsi="Times New Roman"/>
          <w:bCs w:val="0"/>
          <w:kern w:val="44"/>
          <w:szCs w:val="44"/>
          <w:lang w:val="en-US" w:eastAsia="zh-CN" w:bidi="ar-SA"/>
        </w:rPr>
        <w:t>单位</w:t>
      </w:r>
      <w:r>
        <w:rPr>
          <w:rFonts w:ascii="Times New Roman" w:eastAsia="方正小标宋简体" w:cs="方正小标宋简体" w:hAnsi="Times New Roman" w:hint="eastAsia"/>
          <w:bCs w:val="0"/>
          <w:kern w:val="44"/>
          <w:szCs w:val="44"/>
          <w:lang w:val="en-US" w:eastAsia="zh-CN" w:bidi="ar-SA"/>
        </w:rPr>
        <w:t>概况</w:t>
      </w:r>
      <w:r>
        <w:tab/>
      </w:r>
      <w:r>
        <w:fldChar w:fldCharType="begin"/>
      </w:r>
      <w:r>
        <w:instrText>PageRef _Toc46114045 \h</w:instrText>
      </w:r>
      <w:r>
        <w:fldChar w:fldCharType="separate"/>
      </w:r>
      <w:r>
        <w:t>— 3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"_Toc46114046"</w:instrText>
      </w:r>
      <w:r>
        <w:fldChar w:fldCharType="separate"/>
      </w:r>
      <w:r>
        <w:rPr>
          <w:rFonts w:ascii="Times New Roman" w:eastAsia="黑体" w:hAnsi="Times New Roman" w:hint="eastAsia"/>
          <w:u w:color="auto"/>
          <w:shd w:val="clear" w:color="auto" w:fill="auto"/>
          <w:lang w:eastAsia="zh-CN"/>
          <w:highlight w:val="auto"/>
        </w:rPr>
        <w:t>一、</w:t>
      </w:r>
      <w:r>
        <w:t xml:space="preserve">  </w:t>
      </w:r>
      <w:r>
        <w:rPr>
          <w:rFonts w:ascii="Times New Roman" w:eastAsia="黑体" w:hAnsi="Times New Roman"/>
          <w:lang w:eastAsia="zh-CN"/>
          <w:highlight w:val="auto"/>
        </w:rPr>
        <w:t>单位</w:t>
      </w:r>
      <w:r>
        <w:rPr>
          <w:rFonts w:ascii="Times New Roman" w:eastAsia="黑体" w:hAnsi="Times New Roman" w:hint="eastAsia"/>
          <w:lang w:eastAsia="zh-CN"/>
          <w:highlight w:val="auto"/>
        </w:rPr>
        <w:t>职责</w:t>
      </w:r>
      <w:r>
        <w:tab/>
      </w:r>
      <w:r>
        <w:fldChar w:fldCharType="begin"/>
      </w:r>
      <w:r>
        <w:instrText>PageRef _Toc46114046 \h</w:instrText>
      </w:r>
      <w:r>
        <w:fldChar w:fldCharType="separate"/>
      </w:r>
      <w:r>
        <w:t>— 3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"_Toc46114049"</w:instrText>
      </w:r>
      <w:r>
        <w:fldChar w:fldCharType="separate"/>
      </w:r>
      <w:r>
        <w:rPr>
          <w:rFonts w:ascii="Times New Roman" w:eastAsia="黑体" w:hAnsi="Times New Roman" w:hint="eastAsia"/>
          <w:highlight w:val="auto"/>
        </w:rPr>
        <w:t>二、机</w:t>
      </w:r>
      <w:r>
        <w:rPr>
          <w:rFonts w:ascii="Times New Roman" w:eastAsia="黑体" w:cs="Times New Roman" w:hAnsi="Times New Roman" w:hint="eastAsia"/>
          <w:bCs w:val="0"/>
          <w:kern w:val="2"/>
          <w:szCs w:val="32"/>
          <w:lang w:val="en-US" w:eastAsia="zh-CN" w:bidi="ar-SA"/>
        </w:rPr>
        <w:t>构设置</w:t>
      </w:r>
      <w:r>
        <w:tab/>
      </w:r>
      <w:r>
        <w:fldChar w:fldCharType="begin"/>
      </w:r>
      <w:r>
        <w:instrText>PageRef _Toc46114049 \h</w:instrText>
      </w:r>
      <w:r>
        <w:fldChar w:fldCharType="separate"/>
      </w:r>
      <w:r>
        <w:t>— 3 —</w:t>
      </w:r>
      <w:r>
        <w:fldChar w:fldCharType="end"/>
      </w:r>
      <w:r>
        <w:fldChar w:fldCharType="end"/>
      </w:r>
    </w:p>
    <w:p>
      <w:pPr>
        <w:pStyle w:val="23"/>
        <w:keepNext w:val="0"/>
        <w:keepLines w:val="0"/>
        <w:pageBreakBefore w:val="0"/>
        <w:widowControl w:val="0"/>
        <w:tabs>
          <w:tab w:val="right" w:leader="dot" w:pos="8296"/>
          <w:tab w:val="right" w:leader="dot" w:pos="8306"/>
        </w:tabs>
      </w:pPr>
      <w:r>
        <w:fldChar w:fldCharType="begin"/>
      </w:r>
      <w:r>
        <w:instrText>Hyperlink \l "_Toc46114050"</w:instrText>
      </w:r>
      <w:r>
        <w:fldChar w:fldCharType="separate"/>
      </w:r>
      <w:r>
        <w:rPr>
          <w:rFonts w:ascii="Times New Roman" w:eastAsia="方正小标宋简体" w:cs="方正小标宋简体" w:hAnsi="Times New Roman" w:hint="eastAsia"/>
          <w:highlight w:val="auto"/>
        </w:rPr>
        <w:t>第二部分</w:t>
      </w:r>
      <w:r>
        <w:rPr>
          <w:rFonts w:ascii="Times New Roman" w:eastAsia="方正小标宋简体" w:cs="方正小标宋简体" w:hAnsi="Times New Roman" w:hint="eastAsia"/>
          <w:lang w:val="en-US" w:eastAsia="zh-CN"/>
          <w:highlight w:val="auto"/>
        </w:rPr>
        <w:t xml:space="preserve"> </w:t>
      </w:r>
      <w:r>
        <w:rPr>
          <w:rFonts w:ascii="Times New Roman" w:eastAsia="方正小标宋简体" w:cs="方正小标宋简体" w:hAnsi="Times New Roman" w:hint="eastAsia"/>
          <w:highlight w:val="auto"/>
        </w:rPr>
        <w:t xml:space="preserve"> </w:t>
      </w:r>
      <w:r>
        <w:rPr>
          <w:rFonts w:eastAsia="方正小标宋简体" w:cs="方正小标宋简体" w:hint="eastAsia"/>
          <w:lang w:val="en-US" w:eastAsia="zh-CN"/>
          <w:highlight w:val="auto"/>
        </w:rPr>
        <w:t>2025年度</w:t>
      </w:r>
      <w:r>
        <w:rPr>
          <w:rFonts w:ascii="Times New Roman" w:eastAsia="方正小标宋简体" w:cs="方正小标宋简体" w:hAnsi="Times New Roman" w:hint="eastAsia"/>
          <w:highlight w:val="auto"/>
        </w:rPr>
        <w:t>部门决算情况说明</w:t>
      </w:r>
      <w:r>
        <w:tab/>
      </w:r>
      <w:r>
        <w:fldChar w:fldCharType="begin"/>
      </w:r>
      <w:r>
        <w:instrText>PageRef _Toc46114050 \h</w:instrText>
      </w:r>
      <w:r>
        <w:fldChar w:fldCharType="separate"/>
      </w:r>
      <w:r>
        <w:t>— 4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"_Toc46114051"</w:instrText>
      </w:r>
      <w:r>
        <w:fldChar w:fldCharType="separate"/>
      </w:r>
      <w:r>
        <w:rPr>
          <w:rFonts w:ascii="Times New Roman" w:eastAsia="黑体" w:hAnsi="Times New Roman" w:hint="eastAsia"/>
          <w:szCs w:val="32"/>
          <w:lang w:eastAsia="zh-CN"/>
          <w:highlight w:val="auto"/>
        </w:rPr>
        <w:t>一、</w:t>
      </w:r>
      <w:r>
        <w:rPr>
          <w:rFonts w:ascii="Times New Roman" w:eastAsia="黑体" w:hAnsi="Times New Roman" w:hint="eastAsia"/>
          <w:szCs w:val="32"/>
          <w:highlight w:val="auto"/>
        </w:rPr>
        <w:t>收</w:t>
      </w:r>
      <w:r>
        <w:rPr>
          <w:rFonts w:ascii="Times New Roman" w:eastAsia="黑体" w:cs="Times New Roman" w:hAnsi="Times New Roman" w:hint="eastAsia"/>
          <w:bCs/>
          <w:kern w:val="2"/>
          <w:szCs w:val="32"/>
          <w:lang w:val="en-US" w:eastAsia="zh-CN" w:bidi="ar-SA"/>
        </w:rPr>
        <w:t>入支出决算总体情况说明</w:t>
      </w:r>
      <w:r>
        <w:tab/>
      </w:r>
      <w:r>
        <w:fldChar w:fldCharType="begin"/>
      </w:r>
      <w:r>
        <w:instrText>PageRef _Toc46114051 \h</w:instrText>
      </w:r>
      <w:r>
        <w:fldChar w:fldCharType="separate"/>
      </w:r>
      <w:r>
        <w:t>— 4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"_Toc46114054"</w:instrText>
      </w:r>
      <w:r>
        <w:fldChar w:fldCharType="separate"/>
      </w:r>
      <w:r>
        <w:rPr>
          <w:rFonts w:ascii="Times New Roman" w:eastAsia="黑体" w:hAnsi="Times New Roman" w:hint="eastAsia"/>
          <w:szCs w:val="32"/>
          <w:lang w:eastAsia="zh-CN"/>
          <w:highlight w:val="auto"/>
        </w:rPr>
        <w:t>二、收入决算情况说明</w:t>
      </w:r>
      <w:r>
        <w:tab/>
      </w:r>
      <w:r>
        <w:fldChar w:fldCharType="begin"/>
      </w:r>
      <w:r>
        <w:instrText>PageRef _Toc46114054 \h</w:instrText>
      </w:r>
      <w:r>
        <w:fldChar w:fldCharType="separate"/>
      </w:r>
      <w:r>
        <w:t>— 4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"_Toc46114057"</w:instrText>
      </w:r>
      <w:r>
        <w:fldChar w:fldCharType="separate"/>
      </w:r>
      <w:r>
        <w:rPr>
          <w:rFonts w:ascii="Times New Roman" w:eastAsia="黑体" w:hAnsi="Times New Roman" w:hint="eastAsia"/>
          <w:szCs w:val="32"/>
          <w:lang w:eastAsia="zh-CN"/>
          <w:highlight w:val="auto"/>
        </w:rPr>
        <w:t>三、</w:t>
      </w:r>
      <w:r>
        <w:rPr>
          <w:rFonts w:ascii="Times New Roman" w:eastAsia="黑体" w:hAnsi="Times New Roman" w:hint="eastAsia"/>
          <w:szCs w:val="32"/>
          <w:highlight w:val="auto"/>
        </w:rPr>
        <w:t>支</w:t>
      </w:r>
      <w:r>
        <w:rPr>
          <w:rFonts w:ascii="Times New Roman" w:eastAsia="黑体" w:cs="Times New Roman" w:hAnsi="Times New Roman" w:hint="eastAsia"/>
          <w:bCs/>
          <w:kern w:val="2"/>
          <w:szCs w:val="32"/>
          <w:lang w:val="en-US" w:eastAsia="zh-CN" w:bidi="ar-SA"/>
        </w:rPr>
        <w:t>出决算情况说明</w:t>
      </w:r>
      <w:r>
        <w:tab/>
      </w:r>
      <w:r>
        <w:fldChar w:fldCharType="begin"/>
      </w:r>
      <w:r>
        <w:instrText>PageRef _Toc46114057 \h</w:instrText>
      </w:r>
      <w:r>
        <w:fldChar w:fldCharType="separate"/>
      </w:r>
      <w:r>
        <w:t>— 5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"_Toc46114060"</w:instrText>
      </w:r>
      <w:r>
        <w:fldChar w:fldCharType="separate"/>
      </w:r>
      <w:r>
        <w:rPr>
          <w:rFonts w:ascii="Times New Roman" w:eastAsia="黑体" w:hAnsi="Times New Roman" w:hint="eastAsia"/>
          <w:szCs w:val="32"/>
          <w:highlight w:val="auto"/>
        </w:rPr>
        <w:t>四、财</w:t>
      </w:r>
      <w:r>
        <w:rPr>
          <w:rFonts w:ascii="Times New Roman" w:eastAsia="黑体" w:cs="Times New Roman" w:hAnsi="Times New Roman" w:hint="eastAsia"/>
          <w:bCs/>
          <w:kern w:val="2"/>
          <w:szCs w:val="32"/>
          <w:lang w:val="en-US" w:eastAsia="zh-CN" w:bidi="ar-SA"/>
        </w:rPr>
        <w:t>政拨款收入支出决算总体情况说明</w:t>
      </w:r>
      <w:r>
        <w:tab/>
      </w:r>
      <w:r>
        <w:fldChar w:fldCharType="begin"/>
      </w:r>
      <w:r>
        <w:instrText>PageRef _Toc46114060 \h</w:instrText>
      </w:r>
      <w:r>
        <w:fldChar w:fldCharType="separate"/>
      </w:r>
      <w:r>
        <w:t>— 5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"_Toc46114061"</w:instrText>
      </w:r>
      <w:r>
        <w:fldChar w:fldCharType="separate"/>
      </w:r>
      <w:r>
        <w:rPr>
          <w:rFonts w:ascii="Times New Roman" w:eastAsia="黑体" w:hAnsi="Times New Roman" w:hint="eastAsia"/>
          <w:szCs w:val="32"/>
          <w:highlight w:val="auto"/>
        </w:rPr>
        <w:t>五、一</w:t>
      </w:r>
      <w:r>
        <w:rPr>
          <w:rFonts w:ascii="Times New Roman" w:eastAsia="黑体" w:cs="Times New Roman" w:hAnsi="Times New Roman" w:hint="eastAsia"/>
          <w:bCs/>
          <w:kern w:val="2"/>
          <w:szCs w:val="32"/>
          <w:lang w:val="en-US" w:eastAsia="zh-CN" w:bidi="ar-SA"/>
        </w:rPr>
        <w:t>般公共预算财政拨款支出决算情况说明</w:t>
      </w:r>
      <w:r>
        <w:tab/>
      </w:r>
      <w:r>
        <w:fldChar w:fldCharType="begin"/>
      </w:r>
      <w:r>
        <w:instrText>PageRef _Toc46114061 \h</w:instrText>
      </w:r>
      <w:r>
        <w:fldChar w:fldCharType="separate"/>
      </w:r>
      <w:r>
        <w:t>— 6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"_Toc46114062"</w:instrText>
      </w:r>
      <w:r>
        <w:fldChar w:fldCharType="separate"/>
      </w:r>
      <w:r>
        <w:rPr>
          <w:rFonts w:ascii="Times New Roman" w:eastAsia="黑体" w:hAnsi="Times New Roman" w:hint="eastAsia"/>
          <w:szCs w:val="32"/>
          <w:highlight w:val="auto"/>
        </w:rPr>
        <w:t>六、一</w:t>
      </w:r>
      <w:r>
        <w:rPr>
          <w:rFonts w:ascii="Times New Roman" w:eastAsia="黑体" w:cs="Times New Roman" w:hAnsi="Times New Roman" w:hint="eastAsia"/>
          <w:bCs/>
          <w:kern w:val="2"/>
          <w:szCs w:val="32"/>
          <w:lang w:val="en-US" w:eastAsia="zh-CN" w:bidi="ar-SA"/>
        </w:rPr>
        <w:t>般公共预算财政拨款基本支出决算情况说明</w:t>
      </w:r>
      <w:r>
        <w:tab/>
      </w:r>
      <w:r>
        <w:fldChar w:fldCharType="begin"/>
      </w:r>
      <w:r>
        <w:instrText>PageRef _Toc46114062 \h</w:instrText>
      </w:r>
      <w:r>
        <w:fldChar w:fldCharType="separate"/>
      </w:r>
      <w:r>
        <w:t>— 7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"_Toc46114063"</w:instrText>
      </w:r>
      <w:r>
        <w:fldChar w:fldCharType="separate"/>
      </w:r>
      <w:r>
        <w:rPr>
          <w:rFonts w:ascii="Times New Roman" w:eastAsia="黑体" w:hAnsi="Times New Roman" w:hint="eastAsia"/>
          <w:szCs w:val="32"/>
          <w:highlight w:val="auto"/>
        </w:rPr>
        <w:t>七、</w:t>
      </w:r>
      <w:r>
        <w:rPr>
          <w:rFonts w:ascii="Times New Roman" w:eastAsia="黑体" w:cs="Times New Roman" w:hAnsi="Times New Roman" w:hint="eastAsia"/>
          <w:bCs/>
          <w:kern w:val="2"/>
          <w:szCs w:val="32"/>
          <w:lang w:val="en-US" w:eastAsia="zh-CN" w:bidi="ar-SA"/>
        </w:rPr>
        <w:t>财政拨款“三公”经费支出决算情况说明</w:t>
      </w:r>
      <w:r>
        <w:tab/>
      </w:r>
      <w:r>
        <w:fldChar w:fldCharType="begin"/>
      </w:r>
      <w:r>
        <w:instrText>PageRef _Toc46114063 \h</w:instrText>
      </w:r>
      <w:r>
        <w:fldChar w:fldCharType="separate"/>
      </w:r>
      <w:r>
        <w:t>— 8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"_Toc46114064"</w:instrText>
      </w:r>
      <w:r>
        <w:fldChar w:fldCharType="separate"/>
      </w:r>
      <w:r>
        <w:rPr>
          <w:rFonts w:ascii="Times New Roman" w:eastAsia="黑体" w:hAnsi="Times New Roman" w:hint="eastAsia"/>
          <w:szCs w:val="32"/>
          <w:highlight w:val="auto"/>
        </w:rPr>
        <w:t>八、</w:t>
      </w:r>
      <w:r>
        <w:rPr>
          <w:rFonts w:ascii="Times New Roman" w:eastAsia="黑体" w:cs="Times New Roman" w:hAnsi="Times New Roman" w:hint="eastAsia"/>
          <w:bCs/>
          <w:kern w:val="2"/>
          <w:szCs w:val="32"/>
          <w:lang w:val="en-US" w:eastAsia="zh-CN" w:bidi="ar-SA"/>
        </w:rPr>
        <w:t>政府性基金预算支出决算情况说明</w:t>
      </w:r>
      <w:r>
        <w:tab/>
      </w:r>
      <w:r>
        <w:fldChar w:fldCharType="begin"/>
      </w:r>
      <w:r>
        <w:instrText>PageRef _Toc46114064 \h</w:instrText>
      </w:r>
      <w:r>
        <w:fldChar w:fldCharType="separate"/>
      </w:r>
      <w:r>
        <w:t>— 10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"_Toc46114065"</w:instrText>
      </w:r>
      <w:r>
        <w:fldChar w:fldCharType="separate"/>
      </w:r>
      <w:r>
        <w:rPr>
          <w:rFonts w:ascii="Times New Roman" w:eastAsia="黑体" w:cs="Times New Roman" w:hAnsi="Times New Roman" w:hint="eastAsia"/>
          <w:bCs/>
          <w:kern w:val="2"/>
          <w:szCs w:val="32"/>
          <w:lang w:val="en-US" w:eastAsia="zh-CN" w:bidi="ar-SA"/>
        </w:rPr>
        <w:t>九、国有资本经营预算支出决算情况说明</w:t>
      </w:r>
      <w:r>
        <w:tab/>
      </w:r>
      <w:r>
        <w:fldChar w:fldCharType="begin"/>
      </w:r>
      <w:r>
        <w:instrText>PageRef _Toc46114065 \h</w:instrText>
      </w:r>
      <w:r>
        <w:fldChar w:fldCharType="separate"/>
      </w:r>
      <w:r>
        <w:t>— 10 —</w:t>
      </w:r>
      <w:r>
        <w:fldChar w:fldCharType="end"/>
      </w:r>
      <w:r>
        <w:fldChar w:fldCharType="end"/>
      </w:r>
    </w:p>
    <w:p>
      <w:pPr>
        <w:pStyle w:val="24"/>
        <w:keepNext w:val="0"/>
        <w:keepLines w:val="0"/>
        <w:pageBreakBefore w:val="0"/>
        <w:widowControl w:val="0"/>
        <w:tabs>
          <w:tab w:val="right" w:leader="dot" w:pos="8296"/>
          <w:tab w:val="right" w:leader="dot" w:pos="8306"/>
        </w:tabs>
        <w:jc w:val="both"/>
      </w:pPr>
      <w:r>
        <w:fldChar w:fldCharType="begin"/>
      </w:r>
      <w:r>
        <w:instrText>Hyperlink \l "_Toc46114066"</w:instrText>
      </w:r>
      <w:r>
        <w:fldChar w:fldCharType="separate"/>
      </w:r>
      <w:r>
        <w:rPr>
          <w:rFonts w:ascii="Times New Roman" w:eastAsia="黑体" w:cs="Times New Roman" w:hAnsi="Times New Roman" w:hint="eastAsia"/>
          <w:bCs/>
          <w:kern w:val="2"/>
          <w:szCs w:val="32"/>
          <w:lang w:val="en-US" w:eastAsia="zh-CN" w:bidi="ar-SA"/>
        </w:rPr>
        <w:t>十、其他重要事项的情况说明</w:t>
      </w:r>
      <w:r>
        <w:tab/>
      </w:r>
      <w:r>
        <w:fldChar w:fldCharType="begin"/>
      </w:r>
      <w:r>
        <w:instrText>PageRef _Toc46114066 \h</w:instrText>
      </w:r>
      <w:r>
        <w:fldChar w:fldCharType="separate"/>
      </w:r>
      <w:r>
        <w:t>— 11 —</w:t>
      </w:r>
      <w:r>
        <w:fldChar w:fldCharType="end"/>
      </w:r>
      <w:r>
        <w:fldChar w:fldCharType="end"/>
      </w:r>
    </w:p>
    <w:p>
      <w:pPr>
        <w:pStyle w:val="23"/>
        <w:keepNext w:val="0"/>
        <w:keepLines w:val="0"/>
        <w:pageBreakBefore w:val="0"/>
        <w:widowControl w:val="0"/>
        <w:tabs>
          <w:tab w:val="right" w:leader="dot" w:pos="8296"/>
          <w:tab w:val="right" w:leader="dot" w:pos="8306"/>
        </w:tabs>
      </w:pPr>
      <w:r>
        <w:fldChar w:fldCharType="begin"/>
      </w:r>
      <w:r>
        <w:instrText>Hyperlink \l "_Toc46114067"</w:instrText>
      </w:r>
      <w:r>
        <w:fldChar w:fldCharType="separate"/>
      </w:r>
      <w:r>
        <w:rPr>
          <w:rFonts w:ascii="Times New Roman" w:eastAsia="黑体" w:hAnsi="Times New Roman" w:hint="eastAsia"/>
          <w:szCs w:val="44"/>
          <w:highlight w:val="auto"/>
        </w:rPr>
        <w:t>第</w:t>
      </w:r>
      <w:r>
        <w:rPr>
          <w:rFonts w:eastAsia="黑体" w:hint="eastAsia"/>
          <w:szCs w:val="44"/>
          <w:lang w:eastAsia="zh-CN"/>
          <w:highlight w:val="auto"/>
        </w:rPr>
        <w:t>三</w:t>
      </w:r>
      <w:r>
        <w:rPr>
          <w:rFonts w:ascii="Times New Roman" w:eastAsia="黑体" w:hAnsi="Times New Roman" w:hint="eastAsia"/>
          <w:szCs w:val="44"/>
          <w:highlight w:val="auto"/>
        </w:rPr>
        <w:t>部分</w:t>
      </w:r>
      <w:r>
        <w:rPr>
          <w:rFonts w:ascii="Times New Roman" w:eastAsia="黑体" w:hAnsi="Times New Roman" w:hint="eastAsia"/>
          <w:szCs w:val="44"/>
          <w:lang w:val="en-US" w:eastAsia="zh-CN"/>
          <w:highlight w:val="auto"/>
        </w:rPr>
        <w:t xml:space="preserve"> </w:t>
      </w:r>
      <w:r>
        <w:rPr>
          <w:rFonts w:eastAsia="黑体" w:hint="eastAsia"/>
          <w:szCs w:val="44"/>
          <w:lang w:val="en-US" w:eastAsia="zh-CN"/>
          <w:highlight w:val="auto"/>
        </w:rPr>
        <w:t xml:space="preserve"> </w:t>
      </w:r>
      <w:r>
        <w:rPr>
          <w:rFonts w:ascii="Times New Roman" w:eastAsia="黑体" w:hAnsi="Times New Roman" w:hint="eastAsia"/>
          <w:szCs w:val="44"/>
          <w:highlight w:val="auto"/>
        </w:rPr>
        <w:t>名词解释</w:t>
      </w:r>
      <w:r>
        <w:tab/>
      </w:r>
      <w:r>
        <w:fldChar w:fldCharType="begin"/>
      </w:r>
      <w:r>
        <w:instrText>PageRef _Toc46114067 \h</w:instrText>
      </w:r>
      <w:r>
        <w:fldChar w:fldCharType="separate"/>
      </w:r>
      <w:r>
        <w:t>— 12 —</w:t>
      </w:r>
      <w:r>
        <w:fldChar w:fldCharType="end"/>
      </w:r>
      <w:r>
        <w:fldChar w:fldCharType="end"/>
      </w:r>
    </w:p>
    <w:p>
      <w:pPr>
        <w:pStyle w:val="23"/>
        <w:keepNext w:val="0"/>
        <w:keepLines w:val="0"/>
        <w:pageBreakBefore w:val="0"/>
        <w:widowControl w:val="0"/>
        <w:tabs>
          <w:tab w:val="right" w:leader="dot" w:pos="8296"/>
          <w:tab w:val="right" w:leader="dot" w:pos="8306"/>
        </w:tabs>
      </w:pPr>
      <w:r>
        <w:fldChar w:fldCharType="begin"/>
      </w:r>
      <w:r>
        <w:instrText>Hyperlink \l "_Toc46114068"</w:instrText>
      </w:r>
      <w:r>
        <w:fldChar w:fldCharType="separate"/>
      </w:r>
      <w:r>
        <w:rPr>
          <w:rFonts w:eastAsia="方正小标宋简体" w:cs="方正小标宋简体" w:hint="eastAsia"/>
        </w:rPr>
        <w:t>第四部分  附件</w:t>
      </w:r>
      <w:r>
        <w:tab/>
      </w:r>
      <w:r>
        <w:fldChar w:fldCharType="begin"/>
      </w:r>
      <w:r>
        <w:instrText>PageRef _Toc46114068 \h</w:instrText>
      </w:r>
      <w:r>
        <w:fldChar w:fldCharType="separate"/>
      </w:r>
      <w:r>
        <w:t>— 16 —</w:t>
      </w:r>
      <w:r>
        <w:fldChar w:fldCharType="end"/>
      </w:r>
      <w:r>
        <w:fldChar w:fldCharType="end"/>
      </w:r>
    </w:p>
    <w:p>
      <w:pPr>
        <w:pStyle w:val="23"/>
        <w:keepNext w:val="0"/>
        <w:keepLines w:val="0"/>
        <w:pageBreakBefore w:val="0"/>
        <w:widowControl w:val="0"/>
        <w:tabs>
          <w:tab w:val="right" w:leader="dot" w:pos="8296"/>
          <w:tab w:val="right" w:leader="dot" w:pos="8306"/>
        </w:tabs>
      </w:pPr>
      <w:r>
        <w:fldChar w:fldCharType="begin"/>
      </w:r>
      <w:r>
        <w:instrText>Hyperlink \l "_Toc46114069"</w:instrText>
      </w:r>
      <w:r>
        <w:fldChar w:fldCharType="separate"/>
      </w:r>
      <w:r>
        <w:rPr>
          <w:rFonts w:ascii="Times New Roman" w:eastAsia="黑体" w:cs="黑体" w:hAnsi="Times New Roman" w:hint="eastAsia"/>
          <w:szCs w:val="32"/>
          <w:highlight w:val="auto"/>
        </w:rPr>
        <w:t>附件</w:t>
      </w:r>
      <w:r>
        <w:rPr>
          <w:rFonts w:ascii="Times New Roman" w:eastAsia="黑体" w:cs="黑体" w:hAnsi="Times New Roman" w:hint="eastAsia"/>
          <w:szCs w:val="32"/>
          <w:lang w:val="en-US" w:eastAsia="zh-CN"/>
          <w:highlight w:val="auto"/>
        </w:rPr>
        <w:t>1</w:t>
      </w:r>
      <w:r>
        <w:tab/>
      </w:r>
      <w:r>
        <w:fldChar w:fldCharType="begin"/>
      </w:r>
      <w:r>
        <w:instrText>PageRef _Toc46114069 \h</w:instrText>
      </w:r>
      <w:r>
        <w:fldChar w:fldCharType="separate"/>
      </w:r>
      <w:r>
        <w:t>— 16 —</w:t>
      </w:r>
      <w:r>
        <w:fldChar w:fldCharType="end"/>
      </w:r>
      <w:r>
        <w:fldChar w:fldCharType="end"/>
      </w:r>
    </w:p>
    <w:p>
      <w:pPr>
        <w:pStyle w:val="23"/>
        <w:keepNext w:val="0"/>
        <w:keepLines w:val="0"/>
        <w:pageBreakBefore w:val="0"/>
        <w:widowControl w:val="0"/>
        <w:tabs>
          <w:tab w:val="right" w:leader="dot" w:pos="8296"/>
          <w:tab w:val="right" w:leader="dot" w:pos="8306"/>
        </w:tabs>
      </w:pPr>
      <w:r>
        <w:fldChar w:fldCharType="begin"/>
      </w:r>
      <w:r>
        <w:instrText>Hyperlink \l "_Toc46114070"</w:instrText>
      </w:r>
      <w:r>
        <w:fldChar w:fldCharType="separate"/>
      </w:r>
      <w:r>
        <w:rPr>
          <w:rFonts w:eastAsia="方正小标宋简体" w:cs="方正小标宋简体" w:hint="eastAsia"/>
        </w:rPr>
        <w:t>第五部分 附表</w:t>
      </w:r>
      <w:r>
        <w:tab/>
      </w:r>
      <w:r>
        <w:fldChar w:fldCharType="begin"/>
      </w:r>
      <w:r>
        <w:instrText>PageRef _Toc46114070 \h</w:instrText>
      </w:r>
      <w:r>
        <w:fldChar w:fldCharType="separate"/>
      </w:r>
      <w:r>
        <w:t>— 24 —</w:t>
      </w:r>
      <w:r>
        <w:fldChar w:fldCharType="end"/>
      </w:r>
      <w:r>
        <w:fldChar w:fldCharType="end"/>
      </w:r>
      <w:r>
        <w:rPr>
          <w:rFonts w:ascii="Times New Roman" w:eastAsia="黑体" w:cs="黑体" w:hAnsi="Times New Roman"/>
          <w:color w:val="auto"/>
          <w:sz w:val="32"/>
          <w:szCs w:val="32"/>
          <w:highlight w:val="auto"/>
        </w:rPr>
        <w:fldChar w:fldCharType="end"/>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hint="eastAsia"/>
          <w:b/>
          <w:bCs/>
          <w:color w:val="auto"/>
          <w:sz w:val="32"/>
          <w:szCs w:val="32"/>
          <w:lang w:eastAsia="zh-CN"/>
          <w:highlight w:val="auto"/>
        </w:rPr>
      </w:pPr>
      <w:r>
        <w:rPr>
          <w:rFonts w:ascii="Times New Roman" w:eastAsia="仿宋_GB2312" w:cs="仿宋_GB2312" w:hAnsi="Times New Roman" w:hint="eastAsia"/>
          <w:b/>
          <w:bCs/>
          <w:color w:val="auto"/>
          <w:sz w:val="32"/>
          <w:szCs w:val="32"/>
          <w:lang w:eastAsia="zh-CN"/>
          <w:highlight w:val="auto"/>
        </w:rPr>
        <w:t>（</w:t>
      </w:r>
      <w:r>
        <w:rPr>
          <w:rFonts w:ascii="Times New Roman" w:eastAsia="仿宋_GB2312" w:cs="仿宋_GB2312" w:hAnsi="Times New Roman" w:hint="eastAsia"/>
          <w:b/>
          <w:bCs/>
          <w:color w:val="auto"/>
          <w:sz w:val="32"/>
          <w:szCs w:val="32"/>
          <w:highlight w:val="auto"/>
        </w:rPr>
        <w:t>注：请部门根据实际注明页码</w:t>
      </w:r>
      <w:r>
        <w:rPr>
          <w:rFonts w:ascii="Times New Roman" w:eastAsia="仿宋_GB2312" w:cs="仿宋_GB2312" w:hAnsi="Times New Roman" w:hint="eastAsia"/>
          <w:b/>
          <w:bCs/>
          <w:color w:val="auto"/>
          <w:sz w:val="32"/>
          <w:szCs w:val="32"/>
          <w:lang w:eastAsia="zh-CN"/>
          <w:highlight w:val="auto"/>
        </w:rPr>
        <w:t>）</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12" w:name="_Toc15377196"/>
      <w:bookmarkStart w:id="13" w:name="_Toc15396599"/>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bookmarkStart w:id="14" w:name="_Toc46114045"/>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b w:val="0"/>
          <w:bCs w:val="0"/>
          <w:color w:val="auto"/>
          <w:highlight w:val="auto"/>
        </w:rPr>
        <w:t>单位</w:t>
      </w:r>
      <w:r>
        <w:rPr>
          <w:rStyle w:val="1Char"/>
          <w:rFonts w:ascii="Times New Roman" w:eastAsia="方正小标宋简体" w:cs="方正小标宋简体" w:hAnsi="Times New Roman" w:hint="eastAsia"/>
          <w:b w:val="0"/>
          <w:bCs w:val="0"/>
          <w:color w:val="auto"/>
          <w:highlight w:val="auto"/>
        </w:rPr>
        <w:t>概况</w:t>
      </w:r>
      <w:bookmarkEnd w:id="12"/>
      <w:bookmarkEnd w:id="13"/>
      <w:bookmarkEnd w:id="14"/>
    </w:p>
    <w:p>
      <w:pPr>
        <w:widowControl/>
        <w:jc w:val="left"/>
        <w:rPr>
          <w:rFonts w:ascii="Times New Roman" w:eastAsia="黑体" w:hAnsi="Times New Roman"/>
          <w:color w:val="auto"/>
          <w:sz w:val="32"/>
          <w:szCs w:val="32"/>
          <w:highlight w:val="auto"/>
        </w:rPr>
      </w:pPr>
    </w:p>
    <w:p>
      <w:pPr>
        <w:pStyle w:val="2"/>
        <w:numPr>
          <w:ilvl w:val="0"/>
          <w:numId w:val="1"/>
        </w:numPr>
        <w:adjustRightInd w:val="0"/>
        <w:snapToGrid w:val="0"/>
        <w:spacing w:line="560" w:lineRule="exact"/>
        <w:ind w:left="0" w:firstLineChars="200" w:firstLine="640"/>
        <w:rPr>
          <w:rFonts w:ascii="Times New Roman" w:eastAsia="黑体" w:hAnsi="Times New Roman"/>
          <w:b w:val="0"/>
          <w:color w:val="auto"/>
          <w:lang w:eastAsia="zh-CN"/>
          <w:highlight w:val="auto"/>
        </w:rPr>
      </w:pPr>
      <w:bookmarkStart w:id="15" w:name="_Toc46114046"/>
      <w:r>
        <w:rPr>
          <w:rFonts w:ascii="Times New Roman" w:eastAsia="黑体" w:hAnsi="Times New Roman"/>
          <w:b w:val="0"/>
          <w:color w:val="auto"/>
          <w:lang w:eastAsia="zh-CN"/>
          <w:highlight w:val="auto"/>
        </w:rPr>
        <w:t>单位</w:t>
      </w:r>
      <w:r>
        <w:rPr>
          <w:rFonts w:ascii="Times New Roman" w:eastAsia="黑体" w:hAnsi="Times New Roman" w:hint="eastAsia"/>
          <w:b w:val="0"/>
          <w:color w:val="auto"/>
          <w:lang w:eastAsia="zh-CN"/>
          <w:highlight w:val="auto"/>
        </w:rPr>
        <w:t>职责</w:t>
      </w:r>
      <w:bookmarkEnd w:id="15"/>
    </w:p>
    <w:p>
      <w:pPr>
        <w:pStyle w:val="2"/>
        <w:adjustRightInd w:val="0"/>
        <w:snapToGrid w:val="0"/>
        <w:spacing w:before="0" w:after="0" w:line="560" w:lineRule="exact"/>
        <w:ind w:firstLineChars="200" w:firstLine="640"/>
        <w:rPr>
          <w:rFonts w:eastAsia="仿宋_GB2312" w:cs="仿宋_GB2312"/>
          <w:b w:val="0"/>
          <w:bCs w:val="0"/>
          <w:kern w:val="0"/>
          <w:sz w:val="32"/>
          <w:szCs w:val="32"/>
        </w:rPr>
      </w:pPr>
      <w:bookmarkStart w:id="16" w:name="_Toc15396601"/>
      <w:bookmarkStart w:id="17" w:name="_Toc15377200"/>
      <w:bookmarkStart w:id="18" w:name="_Toc46114047"/>
      <w:r>
        <w:rPr>
          <w:rFonts w:eastAsia="仿宋_GB2312" w:cs="仿宋_GB2312"/>
          <w:b w:val="0"/>
          <w:bCs w:val="0"/>
          <w:kern w:val="0"/>
          <w:sz w:val="32"/>
          <w:szCs w:val="32"/>
        </w:rPr>
        <w:t>（一）主要职责。</w:t>
      </w:r>
      <w:bookmarkEnd w:id="18"/>
    </w:p>
    <w:p>
      <w:pPr>
        <w:pStyle w:val="2"/>
        <w:spacing w:before="0" w:after="0" w:line="560" w:lineRule="exact"/>
        <w:ind w:firstLineChars="200" w:firstLine="640"/>
        <w:rPr>
          <w:rFonts w:eastAsia="仿宋_GB2312" w:cs="仿宋_GB2312"/>
          <w:b w:val="0"/>
          <w:bCs w:val="0"/>
          <w:kern w:val="0"/>
          <w:sz w:val="32"/>
          <w:szCs w:val="32"/>
        </w:rPr>
      </w:pPr>
      <w:bookmarkStart w:id="19" w:name="_Toc46114048"/>
      <w:r>
        <w:rPr>
          <w:rFonts w:eastAsia="仿宋_GB2312" w:cs="仿宋_GB2312"/>
          <w:b w:val="0"/>
          <w:bCs w:val="0"/>
          <w:kern w:val="0"/>
          <w:sz w:val="32"/>
          <w:szCs w:val="32"/>
        </w:rPr>
        <w:t>负责全州新华书店主营业务的业务指导；负责全州新华书店主题出版物教材教辅、一般图书的中转运输；负责马尔康地区主题出版物中小学教材教辅、一般图书等出版物的征订发行。</w:t>
      </w:r>
      <w:bookmarkEnd w:id="19"/>
    </w:p>
    <w:p>
      <w:pPr>
        <w:pStyle w:val="2"/>
        <w:ind w:firstLineChars="200" w:firstLine="640"/>
        <w:rPr>
          <w:rStyle w:val="2Char"/>
          <w:rFonts w:ascii="Times New Roman" w:hAnsi="Times New Roman"/>
          <w:b w:val="0"/>
          <w:bCs w:val="0"/>
          <w:color w:val="auto"/>
          <w:highlight w:val="auto"/>
        </w:rPr>
      </w:pPr>
      <w:bookmarkStart w:id="20" w:name="_Toc46114049"/>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6"/>
      <w:bookmarkEnd w:id="17"/>
      <w:bookmarkEnd w:id="20"/>
    </w:p>
    <w:p>
      <w:pPr>
        <w:ind w:firstLineChars="250" w:firstLine="800"/>
        <w:rPr>
          <w:rFonts w:eastAsia="仿宋_GB2312" w:cs="仿宋_GB2312"/>
          <w:sz w:val="32"/>
          <w:szCs w:val="32"/>
        </w:rPr>
      </w:pPr>
      <w:r>
        <w:rPr>
          <w:rFonts w:eastAsia="仿宋_GB2312" w:cs="仿宋_GB2312" w:hint="eastAsia"/>
          <w:kern w:val="0"/>
          <w:sz w:val="32"/>
          <w:szCs w:val="32"/>
        </w:rPr>
        <w:t>阿坝州新华书店属</w:t>
      </w:r>
      <w:r>
        <w:rPr>
          <w:rFonts w:eastAsia="仿宋_GB2312" w:cs="仿宋_GB2312"/>
          <w:kern w:val="0"/>
          <w:sz w:val="32"/>
          <w:szCs w:val="32"/>
        </w:rPr>
        <w:t>阿坝州委宣传部下</w:t>
      </w:r>
      <w:r>
        <w:rPr>
          <w:rFonts w:eastAsia="仿宋_GB2312" w:cs="仿宋_GB2312" w:hint="eastAsia"/>
          <w:kern w:val="0"/>
          <w:sz w:val="32"/>
          <w:szCs w:val="32"/>
        </w:rPr>
        <w:t>二级预算单位，公益二类事业单位，核定事业编制19名，202</w:t>
      </w:r>
      <w:r>
        <w:rPr>
          <w:rFonts w:eastAsia="仿宋_GB2312" w:cs="仿宋_GB2312"/>
          <w:kern w:val="0"/>
          <w:sz w:val="32"/>
          <w:szCs w:val="32"/>
        </w:rPr>
        <w:t>5</w:t>
      </w:r>
      <w:r>
        <w:rPr>
          <w:rFonts w:eastAsia="仿宋_GB2312" w:cs="仿宋_GB2312" w:hint="eastAsia"/>
          <w:kern w:val="0"/>
          <w:sz w:val="32"/>
          <w:szCs w:val="32"/>
        </w:rPr>
        <w:t>年底在编人数</w:t>
      </w:r>
      <w:r>
        <w:rPr>
          <w:rFonts w:eastAsia="仿宋_GB2312" w:cs="仿宋_GB2312"/>
          <w:kern w:val="0"/>
          <w:sz w:val="32"/>
          <w:szCs w:val="32"/>
        </w:rPr>
        <w:t>16</w:t>
      </w:r>
      <w:r>
        <w:rPr>
          <w:rFonts w:eastAsia="仿宋_GB2312" w:cs="仿宋_GB2312" w:hint="eastAsia"/>
          <w:kern w:val="0"/>
          <w:sz w:val="32"/>
          <w:szCs w:val="32"/>
        </w:rPr>
        <w:t>名。</w:t>
      </w: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21" w:name="_Toc15377204"/>
      <w:bookmarkStart w:id="22" w:name="_Toc15396602"/>
      <w:bookmarkStart w:id="23" w:name="_Toc46114050"/>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21"/>
      <w:bookmarkEnd w:id="22"/>
      <w:bookmarkEnd w:id="23"/>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4" w:name="_Toc15377205"/>
      <w:bookmarkStart w:id="25" w:name="_Toc15396603"/>
      <w:bookmarkStart w:id="26" w:name="_Toc46114051"/>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24"/>
      <w:bookmarkEnd w:id="25"/>
      <w:bookmarkEnd w:id="26"/>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bookmarkStart w:id="27" w:name="_Toc46114052"/>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Times New Roman" w:eastAsia="仿宋_GB2312" w:cs="仿宋_GB2312" w:hAnsi="Times New Roman"/>
          <w:color w:val="auto"/>
          <w:sz w:val="32"/>
          <w:szCs w:val="32"/>
          <w:lang w:eastAsia="zh-CN"/>
        </w:rPr>
        <w:t>1839.23</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总计各增加</w:t>
      </w:r>
      <w:r>
        <w:rPr>
          <w:rFonts w:ascii="Times New Roman" w:eastAsia="仿宋_GB2312" w:cs="仿宋_GB2312" w:hAnsi="Times New Roman"/>
          <w:color w:val="auto"/>
          <w:sz w:val="32"/>
          <w:szCs w:val="32"/>
          <w:highlight w:val="auto"/>
        </w:rPr>
        <w:t>46.24</w:t>
      </w:r>
      <w:r>
        <w:rPr>
          <w:rFonts w:ascii="Times New Roman" w:eastAsia="仿宋_GB2312" w:cs="仿宋_GB2312" w:hAnsi="Times New Roman" w:hint="eastAsia"/>
          <w:color w:val="auto"/>
          <w:sz w:val="32"/>
          <w:szCs w:val="32"/>
          <w:highlight w:val="auto"/>
        </w:rPr>
        <w:t>万元，增长</w:t>
      </w:r>
      <w:r>
        <w:rPr>
          <w:rFonts w:ascii="Times New Roman" w:eastAsia="仿宋_GB2312" w:cs="仿宋_GB2312" w:hAnsi="Times New Roman"/>
          <w:color w:val="auto"/>
          <w:sz w:val="32"/>
          <w:szCs w:val="32"/>
          <w:highlight w:val="auto"/>
        </w:rPr>
        <w:t>2.58</w:t>
      </w:r>
      <w:r>
        <w:rPr>
          <w:rFonts w:ascii="Times New Roman" w:eastAsia="仿宋_GB2312" w:cs="仿宋_GB2312" w:hAnsi="Times New Roman" w:hint="eastAsia"/>
          <w:color w:val="auto"/>
          <w:sz w:val="32"/>
          <w:szCs w:val="32"/>
          <w:highlight w:val="auto"/>
        </w:rPr>
        <w:t>%。主要变动原因是</w:t>
      </w:r>
      <w:r>
        <w:rPr>
          <w:rFonts w:ascii="Times New Roman" w:eastAsia="仿宋_GB2312" w:cs="仿宋_GB2312" w:hAnsi="Times New Roman"/>
          <w:color w:val="auto"/>
          <w:sz w:val="32"/>
          <w:szCs w:val="32"/>
        </w:rPr>
        <w:t>一般公共预算财政拨款收入增加27.55万元，</w:t>
      </w:r>
      <w:r>
        <w:rPr>
          <w:rFonts w:eastAsia="仿宋_GB2312" w:cs="仿宋_GB2312"/>
          <w:sz w:val="32"/>
          <w:szCs w:val="32"/>
        </w:rPr>
        <w:t>单位经营收入增加18.69万元。</w:t>
      </w:r>
      <w:bookmarkEnd w:id="27"/>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bookmarkStart w:id="28" w:name="_Toc46114053"/>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bookmarkEnd w:id="28"/>
    </w:p>
    <w:p>
      <w:pPr>
        <w:keepNext w:val="0"/>
        <w:keepLines w:val="0"/>
        <w:pageBreakBefore w:val="0"/>
        <w:widowControl w:val="0"/>
        <w:kinsoku/>
        <w:wordWrap/>
        <w:overflowPunct/>
        <w:topLinePunct w:val="0"/>
        <w:autoSpaceDE/>
        <w:autoSpaceDN/>
        <w:adjustRightInd/>
        <w:snapToGrid/>
        <w:ind w:firstLineChars="200" w:firstLine="420"/>
      </w:pPr>
      <w:r>
        <w:drawing>
          <wp:inline distT="0" distB="0" distL="85723" distR="85723">
            <wp:extent cx="4352858" cy="1809722"/>
            <wp:effectExtent l="0" t="0" r="0" b="0"/>
            <wp:docPr id="4" name="对象"/>
            <wp:cNvGraphicFramePr>
              <a:graphicFrameLocks noChangeAspect="1"/>
            </wp:cNvGraphicFramePr>
            <a:graphic>
              <a:graphicData uri="http://schemas.openxmlformats.org/drawingml/2006/chart">
                <c:chart xmlns:c="http://schemas.openxmlformats.org/drawingml/2006/chart" r:id="rId5"/>
              </a:graphicData>
            </a:graphic>
          </wp:inline>
        </w:drawing>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29" w:name="_Toc15396604"/>
      <w:bookmarkStart w:id="30" w:name="_Toc15377206"/>
      <w:bookmarkStart w:id="31" w:name="_Toc46114054"/>
      <w:r>
        <w:rPr>
          <w:rFonts w:ascii="Times New Roman" w:eastAsia="黑体" w:hAnsi="Times New Roman" w:hint="eastAsia"/>
          <w:color w:val="auto"/>
          <w:sz w:val="32"/>
          <w:szCs w:val="32"/>
          <w:lang w:eastAsia="zh-CN"/>
          <w:highlight w:val="auto"/>
        </w:rPr>
        <w:t>二、收入决算情况说明</w:t>
      </w:r>
      <w:bookmarkEnd w:id="29"/>
      <w:bookmarkEnd w:id="30"/>
      <w:bookmarkEnd w:id="31"/>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b/>
          <w:bCs/>
          <w:color w:val="auto"/>
          <w:sz w:val="32"/>
          <w:szCs w:val="32"/>
          <w:lang w:eastAsia="zh-CN"/>
          <w:highlight w:val="auto"/>
        </w:rPr>
      </w:pPr>
      <w:bookmarkStart w:id="32" w:name="_Toc46114055"/>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Times New Roman" w:eastAsia="仿宋_GB2312" w:cs="仿宋_GB2312" w:hAnsi="Times New Roman"/>
          <w:color w:val="auto"/>
          <w:sz w:val="32"/>
          <w:szCs w:val="32"/>
          <w:lang w:eastAsia="zh-CN"/>
        </w:rPr>
        <w:t>936.91</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Times New Roman" w:eastAsia="仿宋_GB2312" w:cs="仿宋_GB2312" w:hAnsi="Times New Roman"/>
          <w:color w:val="auto"/>
          <w:sz w:val="32"/>
          <w:szCs w:val="32"/>
          <w:lang w:eastAsia="zh-CN"/>
        </w:rPr>
        <w:t>789.7</w:t>
      </w:r>
      <w:r>
        <w:rPr>
          <w:rFonts w:ascii="Times New Roman" w:eastAsia="仿宋_GB2312" w:cs="仿宋_GB2312" w:hAnsi="Times New Roman" w:hint="eastAsia"/>
          <w:color w:val="auto"/>
          <w:sz w:val="32"/>
          <w:szCs w:val="32"/>
          <w:lang w:eastAsia="zh-CN"/>
          <w:highlight w:val="auto"/>
        </w:rPr>
        <w:t>万元，占</w:t>
      </w:r>
      <w:r>
        <w:rPr>
          <w:rFonts w:ascii="Times New Roman" w:eastAsia="仿宋_GB2312" w:cs="仿宋_GB2312" w:hAnsi="Times New Roman"/>
          <w:color w:val="auto"/>
          <w:sz w:val="32"/>
          <w:szCs w:val="32"/>
          <w:lang w:eastAsia="zh-CN"/>
          <w:highlight w:val="auto"/>
        </w:rPr>
        <w:t>84.29</w:t>
      </w:r>
      <w:r>
        <w:rPr>
          <w:rFonts w:ascii="Times New Roman" w:eastAsia="仿宋_GB2312" w:cs="仿宋_GB2312" w:hAnsi="Times New Roman" w:hint="eastAsia"/>
          <w:color w:val="auto"/>
          <w:sz w:val="32"/>
          <w:szCs w:val="32"/>
          <w:lang w:eastAsia="zh-CN"/>
          <w:highlight w:val="auto"/>
        </w:rPr>
        <w:t>%；经营收入</w:t>
      </w:r>
      <w:r>
        <w:rPr>
          <w:rFonts w:ascii="Times New Roman" w:eastAsia="仿宋_GB2312" w:cs="仿宋_GB2312" w:hAnsi="Times New Roman"/>
          <w:color w:val="auto"/>
          <w:sz w:val="32"/>
          <w:szCs w:val="32"/>
          <w:lang w:eastAsia="zh-CN"/>
        </w:rPr>
        <w:t>147.21</w:t>
      </w:r>
      <w:r>
        <w:rPr>
          <w:rFonts w:ascii="Times New Roman" w:eastAsia="仿宋_GB2312" w:cs="仿宋_GB2312" w:hAnsi="Times New Roman" w:hint="eastAsia"/>
          <w:color w:val="auto"/>
          <w:sz w:val="32"/>
          <w:szCs w:val="32"/>
          <w:lang w:eastAsia="zh-CN"/>
          <w:highlight w:val="auto"/>
        </w:rPr>
        <w:t>万元，占</w:t>
      </w:r>
      <w:r>
        <w:rPr>
          <w:rFonts w:ascii="Times New Roman" w:eastAsia="仿宋_GB2312" w:cs="仿宋_GB2312" w:hAnsi="Times New Roman"/>
          <w:color w:val="auto"/>
          <w:sz w:val="32"/>
          <w:szCs w:val="32"/>
          <w:lang w:eastAsia="zh-CN"/>
          <w:highlight w:val="auto"/>
        </w:rPr>
        <w:t>15.71</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bookmarkEnd w:id="32"/>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bookmarkStart w:id="33" w:name="_Toc46114056"/>
      <w:r>
        <w:rPr>
          <w:rFonts w:ascii="Times New Roman" w:eastAsia="仿宋_GB2312" w:cs="仿宋_GB2312" w:hAnsi="Times New Roman" w:hint="eastAsia"/>
          <w:color w:val="auto"/>
          <w:sz w:val="32"/>
          <w:szCs w:val="32"/>
          <w:lang w:eastAsia="zh-CN"/>
          <w:highlight w:val="auto"/>
        </w:rPr>
        <w:t>（图2：收入决算结构图）（饼状图）</w:t>
      </w:r>
      <w:bookmarkEnd w:id="33"/>
    </w:p>
    <w:p>
      <w:pPr>
        <w:ind w:firstLineChars="250" w:firstLine="525"/>
      </w:pPr>
      <w:r>
        <w:drawing>
          <wp:inline distT="0" distB="0" distL="85723" distR="85723">
            <wp:extent cx="4124261" cy="1809722"/>
            <wp:effectExtent l="0" t="0" r="0" b="0"/>
            <wp:docPr id="5" name="对象"/>
            <wp:cNvGraphicFramePr>
              <a:graphicFrameLocks noChangeAspect="1"/>
            </wp:cNvGraphicFramePr>
            <a:graphic>
              <a:graphicData uri="http://schemas.openxmlformats.org/drawingml/2006/chart">
                <c:chart xmlns:c="http://schemas.openxmlformats.org/drawingml/2006/chart" r:id="rId6"/>
              </a:graphicData>
            </a:graphic>
          </wp:inline>
        </w:drawing>
      </w:r>
    </w:p>
    <w:p>
      <w:pPr>
        <w:ind w:firstLineChars="250" w:firstLine="800"/>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34" w:name="_Toc15377207"/>
      <w:bookmarkStart w:id="35" w:name="_Toc15396605"/>
      <w:bookmarkStart w:id="36" w:name="_Toc46114057"/>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34"/>
      <w:bookmarkEnd w:id="35"/>
      <w:bookmarkEnd w:id="36"/>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b/>
          <w:bCs/>
          <w:color w:val="auto"/>
          <w:sz w:val="32"/>
          <w:szCs w:val="32"/>
          <w:lang w:eastAsia="zh-CN"/>
          <w:highlight w:val="auto"/>
        </w:rPr>
      </w:pPr>
      <w:bookmarkStart w:id="37" w:name="_Toc46114058"/>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Times New Roman" w:eastAsia="仿宋_GB2312" w:cs="仿宋_GB2312" w:hAnsi="Times New Roman"/>
          <w:color w:val="auto"/>
          <w:sz w:val="32"/>
          <w:szCs w:val="32"/>
          <w:lang w:eastAsia="zh-CN"/>
        </w:rPr>
        <w:t>789.7</w:t>
      </w:r>
      <w:r>
        <w:rPr>
          <w:rFonts w:ascii="Times New Roman" w:eastAsia="仿宋_GB2312" w:cs="仿宋_GB2312" w:hAnsi="Times New Roman" w:hint="eastAsia"/>
          <w:color w:val="auto"/>
          <w:sz w:val="32"/>
          <w:szCs w:val="32"/>
          <w:lang w:eastAsia="zh-CN"/>
          <w:highlight w:val="auto"/>
        </w:rPr>
        <w:t>万元，其中：基本支出</w:t>
      </w:r>
      <w:r>
        <w:rPr>
          <w:rFonts w:ascii="Times New Roman" w:eastAsia="仿宋_GB2312" w:cs="仿宋_GB2312" w:hAnsi="Times New Roman"/>
          <w:color w:val="auto"/>
          <w:sz w:val="32"/>
          <w:szCs w:val="32"/>
          <w:lang w:eastAsia="zh-CN"/>
        </w:rPr>
        <w:t>474.93</w:t>
      </w:r>
      <w:r>
        <w:rPr>
          <w:rFonts w:ascii="Times New Roman" w:eastAsia="仿宋_GB2312" w:cs="仿宋_GB2312" w:hAnsi="Times New Roman" w:hint="eastAsia"/>
          <w:color w:val="auto"/>
          <w:sz w:val="32"/>
          <w:szCs w:val="32"/>
          <w:lang w:eastAsia="zh-CN"/>
          <w:highlight w:val="auto"/>
        </w:rPr>
        <w:t>万元，占</w:t>
      </w:r>
      <w:r>
        <w:rPr>
          <w:rFonts w:ascii="Times New Roman" w:eastAsia="仿宋_GB2312" w:cs="仿宋_GB2312" w:hAnsi="Times New Roman"/>
          <w:color w:val="auto"/>
          <w:sz w:val="32"/>
          <w:szCs w:val="32"/>
          <w:lang w:eastAsia="zh-CN"/>
          <w:highlight w:val="auto"/>
        </w:rPr>
        <w:t>60.14</w:t>
      </w:r>
      <w:r>
        <w:rPr>
          <w:rFonts w:ascii="Times New Roman" w:eastAsia="仿宋_GB2312" w:cs="仿宋_GB2312" w:hAnsi="Times New Roman" w:hint="eastAsia"/>
          <w:color w:val="auto"/>
          <w:sz w:val="32"/>
          <w:szCs w:val="32"/>
          <w:lang w:eastAsia="zh-CN"/>
          <w:highlight w:val="auto"/>
        </w:rPr>
        <w:t>%；项目支出</w:t>
      </w:r>
      <w:r>
        <w:rPr>
          <w:rFonts w:ascii="Times New Roman" w:eastAsia="仿宋_GB2312" w:cs="仿宋_GB2312" w:hAnsi="Times New Roman"/>
          <w:color w:val="auto"/>
          <w:sz w:val="32"/>
          <w:szCs w:val="32"/>
          <w:lang w:eastAsia="zh-CN"/>
        </w:rPr>
        <w:t>314.77</w:t>
      </w:r>
      <w:r>
        <w:rPr>
          <w:rFonts w:ascii="Times New Roman" w:eastAsia="仿宋_GB2312" w:cs="仿宋_GB2312" w:hAnsi="Times New Roman" w:hint="eastAsia"/>
          <w:color w:val="auto"/>
          <w:sz w:val="32"/>
          <w:szCs w:val="32"/>
          <w:lang w:eastAsia="zh-CN"/>
          <w:highlight w:val="auto"/>
        </w:rPr>
        <w:t>万元，占</w:t>
      </w:r>
      <w:r>
        <w:rPr>
          <w:rFonts w:ascii="Times New Roman" w:eastAsia="仿宋_GB2312" w:cs="仿宋_GB2312" w:hAnsi="Times New Roman"/>
          <w:color w:val="auto"/>
          <w:sz w:val="32"/>
          <w:szCs w:val="32"/>
          <w:lang w:eastAsia="zh-CN"/>
          <w:highlight w:val="auto"/>
        </w:rPr>
        <w:t>39.86</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（注：仅罗列本部门涉及的支出）</w:t>
      </w:r>
      <w:bookmarkEnd w:id="37"/>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bookmarkStart w:id="38" w:name="_Toc46114059"/>
      <w:r>
        <w:rPr>
          <w:rFonts w:ascii="Times New Roman" w:eastAsia="仿宋_GB2312" w:cs="仿宋_GB2312" w:hAnsi="Times New Roman" w:hint="eastAsia"/>
          <w:color w:val="auto"/>
          <w:sz w:val="32"/>
          <w:szCs w:val="32"/>
          <w:lang w:eastAsia="zh-CN"/>
          <w:highlight w:val="auto"/>
        </w:rPr>
        <w:t>（图3：支出决算结构图）（饼状图）</w:t>
      </w:r>
      <w:bookmarkEnd w:id="38"/>
    </w:p>
    <w:p>
      <w:pPr>
        <w:ind w:firstLineChars="250" w:firstLine="525"/>
      </w:pPr>
      <w:r>
        <w:drawing>
          <wp:inline distT="0" distB="0" distL="85723" distR="85723">
            <wp:extent cx="4124261" cy="1809722"/>
            <wp:effectExtent l="0" t="0" r="0" b="0"/>
            <wp:docPr id="6" name="对象"/>
            <wp:cNvGraphicFramePr>
              <a:graphicFrameLocks noChangeAspect="1"/>
            </wp:cNvGraphicFramePr>
            <a:graphic>
              <a:graphicData uri="http://schemas.openxmlformats.org/drawingml/2006/chart">
                <c:chart xmlns:c="http://schemas.openxmlformats.org/drawingml/2006/chart" r:id="rId7"/>
              </a:graphicData>
            </a:graphic>
          </wp:inline>
        </w:drawing>
      </w:r>
    </w:p>
    <w:p>
      <w:pPr>
        <w:ind w:firstLineChars="250" w:firstLine="800"/>
        <w:rPr>
          <w:rFonts w:ascii="Times New Roman" w:eastAsia="仿宋_GB2312" w:cs="仿宋_GB2312" w:hAnsi="Times New Roman" w:hint="eastAsia"/>
          <w:color w:val="auto"/>
          <w:sz w:val="32"/>
          <w:szCs w:val="32"/>
          <w:lang w:eastAsia="zh-CN"/>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39" w:name="_Toc15396606"/>
      <w:bookmarkStart w:id="40" w:name="_Toc15377208"/>
      <w:bookmarkStart w:id="41" w:name="_Toc46114060"/>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39"/>
      <w:bookmarkEnd w:id="40"/>
      <w:bookmarkEnd w:id="4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Times New Roman" w:eastAsia="仿宋_GB2312" w:cs="仿宋_GB2312" w:hAnsi="Times New Roman"/>
          <w:color w:val="auto"/>
          <w:kern w:val="2"/>
          <w:sz w:val="32"/>
          <w:szCs w:val="32"/>
          <w:lang w:val="en-US" w:eastAsia="zh-CN" w:bidi="ar-SA"/>
        </w:rPr>
        <w:t>789.7</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年度相比，财政拨款收入、支出总计各增加</w:t>
      </w:r>
      <w:r>
        <w:rPr>
          <w:rFonts w:ascii="Times New Roman" w:eastAsia="仿宋_GB2312" w:cs="仿宋_GB2312" w:hAnsi="Times New Roman"/>
          <w:color w:val="auto"/>
          <w:kern w:val="2"/>
          <w:sz w:val="32"/>
          <w:szCs w:val="32"/>
          <w:lang w:val="en-US" w:eastAsia="zh-CN" w:bidi="ar-SA"/>
          <w:highlight w:val="auto"/>
        </w:rPr>
        <w:t>27.55</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3.61</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2025年度增加</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退休职工</w:t>
      </w:r>
      <w:r>
        <w:rPr>
          <w:rFonts w:ascii="Times New Roman" w:eastAsia="仿宋_GB2312" w:cs="仿宋_GB2312" w:hAnsi="Times New Roman"/>
          <w:color w:val="auto"/>
          <w:kern w:val="2"/>
          <w:sz w:val="32"/>
          <w:szCs w:val="32"/>
          <w:lang w:val="en-US" w:eastAsia="zh-CN" w:bidi="ar-SA"/>
        </w:rPr>
        <w:t>抚恤金及丧葬费</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rPr>
        <w:t>和</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退休人员一次性退休补贴</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、正常人员工资晋升、</w:t>
      </w:r>
      <w:r>
        <w:rPr>
          <w:rFonts w:eastAsia="仿宋_GB2312" w:cs="仿宋_GB2312" w:hint="eastAsia"/>
          <w:sz w:val="32"/>
          <w:szCs w:val="32"/>
          <w:highlight w:val="auto"/>
        </w:rPr>
        <w:t>特定类项目资金</w:t>
      </w:r>
      <w:r>
        <w:rPr>
          <w:rFonts w:eastAsia="仿宋_GB2312" w:cs="仿宋_GB2312"/>
          <w:sz w:val="32"/>
          <w:szCs w:val="32"/>
          <w:highlight w:val="auto"/>
        </w:rPr>
        <w:t>增加</w:t>
      </w:r>
      <w:r>
        <w:rPr>
          <w:rFonts w:ascii="Times New Roman" w:eastAsia="仿宋_GB2312" w:cs="仿宋_GB2312" w:hAnsi="Times New Roman"/>
          <w:color w:val="auto"/>
          <w:kern w:val="2"/>
          <w:sz w:val="32"/>
          <w:szCs w:val="32"/>
          <w:lang w:val="en-US" w:eastAsia="zh-CN" w:bidi="ar-SA"/>
        </w:rPr>
        <w:t>。</w:t>
      </w:r>
    </w:p>
    <w:p>
      <w:pPr>
        <w:spacing w:line="60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drawing>
          <wp:anchor distT="0" distB="0" distL="85723" distR="85723" simplePos="0" relativeHeight="31" behindDoc="0" locked="0" layoutInCell="1" hidden="0" allowOverlap="1">
            <wp:simplePos x="0" y="0"/>
            <wp:positionH relativeFrom="column">
              <wp:posOffset>406399</wp:posOffset>
            </wp:positionH>
            <wp:positionV relativeFrom="paragraph">
              <wp:posOffset>6765056</wp:posOffset>
            </wp:positionV>
            <wp:extent cx="4124261" cy="1809722"/>
            <wp:effectExtent l="0" t="0" r="0" b="0"/>
            <wp:wrapTopAndBottom/>
            <wp:docPr id="7" name="对象"/>
            <wp:cNvGraphicFramePr>
              <a:graphicFrameLocks noChangeAspect="1"/>
            </wp:cNvGraphicFramePr>
            <a:graphic>
              <a:graphicData uri="http://schemas.openxmlformats.org/drawingml/2006/chart">
                <c:chart xmlns:c="http://schemas.openxmlformats.org/drawingml/2006/chart" r:id="rId8"/>
              </a:graphicData>
            </a:graphic>
          </wp:anchor>
        </w:drawing>
      </w:r>
      <w:r>
        <w:rPr>
          <w:rFonts w:ascii="Times New Roman" w:eastAsia="仿宋_GB2312" w:cs="仿宋_GB2312" w:hAnsi="Times New Roman"/>
          <w:color w:val="auto"/>
          <w:kern w:val="2"/>
          <w:sz w:val="32"/>
          <w:szCs w:val="32"/>
          <w:lang w:val="en-US" w:eastAsia="zh-CN" w:bidi="ar-SA"/>
          <w:highlight w:val="auto"/>
        </w:rPr>
        <w:drawing>
          <wp:anchor distT="0" distB="0" distL="85723" distR="85723" simplePos="0" relativeHeight="29" behindDoc="0" locked="0" layoutInCell="1" hidden="0" allowOverlap="1">
            <wp:simplePos x="0" y="0"/>
            <wp:positionH relativeFrom="column">
              <wp:posOffset>406399</wp:posOffset>
            </wp:positionH>
            <wp:positionV relativeFrom="paragraph">
              <wp:posOffset>572666</wp:posOffset>
            </wp:positionV>
            <wp:extent cx="4124261" cy="1809722"/>
            <wp:effectExtent l="0" t="0" r="0" b="0"/>
            <wp:wrapTopAndBottom/>
            <wp:docPr id="8" name="对象"/>
            <wp:cNvGraphicFramePr>
              <a:graphicFrameLocks noChangeAspect="1"/>
            </wp:cNvGraphicFramePr>
            <a:graphic>
              <a:graphicData uri="http://schemas.openxmlformats.org/drawingml/2006/chart">
                <c:chart xmlns:c="http://schemas.openxmlformats.org/drawingml/2006/chart" r:id="rId9"/>
              </a:graphicData>
            </a:graphic>
          </wp:anchor>
        </w:drawing>
      </w: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ind w:firstLine="640"/>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1"/>
        <w:rPr>
          <w:rStyle w:val="2Char"/>
          <w:rFonts w:ascii="Times New Roman" w:eastAsia="黑体" w:hAnsi="Times New Roman"/>
          <w:b w:val="0"/>
          <w:color w:val="auto"/>
          <w:highlight w:val="auto"/>
        </w:rPr>
      </w:pPr>
      <w:bookmarkStart w:id="42" w:name="_Toc15377209"/>
      <w:bookmarkStart w:id="43" w:name="_Toc15396607"/>
      <w:bookmarkStart w:id="44" w:name="_Toc46114061"/>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42"/>
      <w:bookmarkEnd w:id="43"/>
      <w:bookmarkEnd w:id="44"/>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5"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4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Times New Roman" w:eastAsia="仿宋_GB2312" w:cs="仿宋_GB2312" w:hAnsi="Times New Roman"/>
          <w:color w:val="auto"/>
          <w:kern w:val="2"/>
          <w:sz w:val="32"/>
          <w:szCs w:val="32"/>
          <w:lang w:val="en-US" w:eastAsia="zh-CN" w:bidi="ar-SA"/>
        </w:rPr>
        <w:t>789.7</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年度相比，一般公共预算财政拨款支出增加</w:t>
      </w:r>
      <w:r>
        <w:rPr>
          <w:rFonts w:ascii="Times New Roman" w:eastAsia="仿宋_GB2312" w:cs="仿宋_GB2312" w:hAnsi="Times New Roman"/>
          <w:color w:val="auto"/>
          <w:kern w:val="2"/>
          <w:sz w:val="32"/>
          <w:szCs w:val="32"/>
          <w:lang w:val="en-US" w:eastAsia="zh-CN" w:bidi="ar-SA"/>
          <w:highlight w:val="auto"/>
        </w:rPr>
        <w:t>27.55</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3.61</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ascii="Times New Roman" w:eastAsia="仿宋_GB2312" w:cs="仿宋_GB2312" w:hAnsi="Times New Roman"/>
          <w:color w:val="auto"/>
          <w:kern w:val="2"/>
          <w:sz w:val="32"/>
          <w:szCs w:val="32"/>
          <w:lang w:val="en-US" w:eastAsia="zh-CN" w:bidi="ar-SA"/>
          <w:highlight w:val="auto"/>
        </w:rPr>
        <w:t>2025年度增加</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退休职工</w:t>
      </w:r>
      <w:r>
        <w:rPr>
          <w:rFonts w:ascii="Times New Roman" w:eastAsia="仿宋_GB2312" w:cs="仿宋_GB2312" w:hAnsi="Times New Roman"/>
          <w:color w:val="auto"/>
          <w:kern w:val="2"/>
          <w:sz w:val="32"/>
          <w:szCs w:val="32"/>
          <w:lang w:val="en-US" w:eastAsia="zh-CN" w:bidi="ar-SA"/>
        </w:rPr>
        <w:t>抚恤金及丧葬费</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rPr>
        <w:t>和</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退休人员一次性退休补贴</w:t>
      </w:r>
      <w:r>
        <w:rPr>
          <w:rFonts w:ascii="Times New Roman" w:eastAsia="仿宋_GB2312" w:cs="仿宋_GB2312" w:hAnsi="Times New Roman" w:hint="eastAsia"/>
          <w:color w:val="auto"/>
          <w:kern w:val="2"/>
          <w:sz w:val="32"/>
          <w:szCs w:val="32"/>
          <w:lang w:val="en-US" w:eastAsia="zh-CN" w:bidi="ar-SA"/>
        </w:rPr>
        <w:t>”</w:t>
      </w:r>
      <w:r>
        <w:rPr>
          <w:rFonts w:ascii="Times New Roman" w:eastAsia="仿宋_GB2312" w:cs="仿宋_GB2312" w:hAnsi="Times New Roman"/>
          <w:color w:val="auto"/>
          <w:kern w:val="2"/>
          <w:sz w:val="32"/>
          <w:szCs w:val="32"/>
          <w:lang w:val="en-US" w:eastAsia="zh-CN" w:bidi="ar-SA"/>
        </w:rPr>
        <w:t>、正常人员工资晋升、</w:t>
      </w:r>
      <w:r>
        <w:rPr>
          <w:rFonts w:eastAsia="仿宋_GB2312" w:cs="仿宋_GB2312" w:hint="eastAsia"/>
          <w:sz w:val="32"/>
          <w:szCs w:val="32"/>
          <w:highlight w:val="auto"/>
        </w:rPr>
        <w:t>特定类项目资金</w:t>
      </w:r>
      <w:r>
        <w:rPr>
          <w:rFonts w:eastAsia="仿宋_GB2312" w:cs="仿宋_GB2312"/>
          <w:sz w:val="32"/>
          <w:szCs w:val="32"/>
          <w:highlight w:val="auto"/>
        </w:rPr>
        <w:t>增加</w:t>
      </w:r>
      <w:r>
        <w:rPr>
          <w:rFonts w:ascii="Times New Roman" w:eastAsia="仿宋_GB2312" w:cs="仿宋_GB2312" w:hAnsi="Times New Roman"/>
          <w:color w:val="auto"/>
          <w:kern w:val="2"/>
          <w:sz w:val="32"/>
          <w:szCs w:val="32"/>
          <w:lang w:val="en-US" w:eastAsia="zh-CN" w:bidi="ar-SA"/>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640"/>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color w:val="auto"/>
          <w:kern w:val="2"/>
          <w:sz w:val="32"/>
          <w:szCs w:val="32"/>
          <w:lang w:val="en-US" w:eastAsia="zh-CN" w:bidi="ar-SA"/>
          <w:highlight w:val="auto"/>
        </w:rPr>
        <w:drawing>
          <wp:anchor distT="0" distB="0" distL="85723" distR="85723" simplePos="0" relativeHeight="33" behindDoc="0" locked="0" layoutInCell="1" hidden="0" allowOverlap="1">
            <wp:simplePos x="0" y="0"/>
            <wp:positionH relativeFrom="column">
              <wp:posOffset>406399</wp:posOffset>
            </wp:positionH>
            <wp:positionV relativeFrom="paragraph">
              <wp:posOffset>3620667</wp:posOffset>
            </wp:positionV>
            <wp:extent cx="4124261" cy="1809722"/>
            <wp:effectExtent l="0" t="0" r="0" b="0"/>
            <wp:wrapTopAndBottom/>
            <wp:docPr id="9" name="对象"/>
            <wp:cNvGraphicFramePr>
              <a:graphicFrameLocks noChangeAspect="1"/>
            </wp:cNvGraphicFramePr>
            <a:graphic>
              <a:graphicData uri="http://schemas.openxmlformats.org/drawingml/2006/chart">
                <c:chart xmlns:c="http://schemas.openxmlformats.org/drawingml/2006/chart" r:id="rId10"/>
              </a:graphicData>
            </a:graphic>
          </wp:anchor>
        </w:drawing>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6"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46"/>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Times New Roman" w:eastAsia="仿宋_GB2312" w:cs="仿宋_GB2312" w:hAnsi="Times New Roman"/>
          <w:color w:val="auto"/>
          <w:kern w:val="2"/>
          <w:sz w:val="32"/>
          <w:szCs w:val="32"/>
          <w:lang w:val="en-US" w:eastAsia="zh-CN" w:bidi="ar-SA"/>
        </w:rPr>
        <w:t>789.7</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ascii="Times New Roman" w:eastAsia="仿宋_GB2312" w:cs="仿宋_GB2312" w:hAnsi="Times New Roman"/>
          <w:color w:val="auto"/>
          <w:kern w:val="2"/>
          <w:sz w:val="32"/>
          <w:szCs w:val="32"/>
          <w:lang w:val="en-US" w:eastAsia="zh-CN" w:bidi="ar-SA"/>
        </w:rPr>
        <w:t>673.06</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85.23</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ascii="Times New Roman" w:eastAsia="仿宋_GB2312" w:cs="仿宋_GB2312" w:hAnsi="Times New Roman"/>
          <w:color w:val="auto"/>
          <w:kern w:val="2"/>
          <w:sz w:val="32"/>
          <w:szCs w:val="32"/>
          <w:lang w:val="en-US" w:eastAsia="zh-CN" w:bidi="ar-SA"/>
        </w:rPr>
        <w:t>59.99</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7.6</w:t>
      </w:r>
      <w:r>
        <w:rPr>
          <w:rFonts w:ascii="Times New Roman" w:eastAsia="仿宋_GB2312" w:cs="仿宋_GB2312" w:hAnsi="Times New Roman" w:hint="eastAsia"/>
          <w:color w:val="auto"/>
          <w:kern w:val="2"/>
          <w:sz w:val="32"/>
          <w:szCs w:val="32"/>
          <w:lang w:val="en-US" w:eastAsia="zh-CN" w:bidi="ar-SA"/>
          <w:highlight w:val="auto"/>
        </w:rPr>
        <w:t>%；卫生健康支出</w:t>
      </w:r>
      <w:r>
        <w:rPr>
          <w:rFonts w:ascii="Times New Roman" w:eastAsia="仿宋_GB2312" w:cs="仿宋_GB2312" w:hAnsi="Times New Roman"/>
          <w:color w:val="auto"/>
          <w:kern w:val="2"/>
          <w:sz w:val="32"/>
          <w:szCs w:val="32"/>
          <w:lang w:val="en-US" w:eastAsia="zh-CN" w:bidi="ar-SA"/>
        </w:rPr>
        <w:t>25.68</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3.25</w:t>
      </w:r>
      <w:r>
        <w:rPr>
          <w:rFonts w:ascii="Times New Roman" w:eastAsia="仿宋_GB2312" w:cs="仿宋_GB2312" w:hAnsi="Times New Roman" w:hint="eastAsia"/>
          <w:color w:val="auto"/>
          <w:kern w:val="2"/>
          <w:sz w:val="32"/>
          <w:szCs w:val="32"/>
          <w:lang w:val="en-US" w:eastAsia="zh-CN" w:bidi="ar-SA"/>
          <w:highlight w:val="auto"/>
        </w:rPr>
        <w:t>%；住房保障支出</w:t>
      </w:r>
      <w:r>
        <w:rPr>
          <w:rFonts w:ascii="Times New Roman" w:eastAsia="仿宋_GB2312" w:cs="仿宋_GB2312" w:hAnsi="Times New Roman"/>
          <w:color w:val="auto"/>
          <w:kern w:val="2"/>
          <w:sz w:val="32"/>
          <w:szCs w:val="32"/>
          <w:lang w:val="en-US" w:eastAsia="zh-CN" w:bidi="ar-SA"/>
        </w:rPr>
        <w:t>30.97</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3.92</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（注：仅罗列本部门涉及的全部功能分类科目，至类级）</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spacing w:line="600" w:lineRule="exact"/>
        <w:ind w:firstLine="640"/>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48" w:name="_Toc15378460"/>
      <w:bookmarkStart w:id="49" w:name="_Toc15377213"/>
      <w:bookmarkStart w:id="50" w:name="_Toc15377444"/>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Times New Roman" w:eastAsia="仿宋_GB2312" w:cs="仿宋_GB2312" w:hAnsi="Times New Roman"/>
          <w:color w:val="auto"/>
          <w:kern w:val="2"/>
          <w:sz w:val="32"/>
          <w:szCs w:val="32"/>
          <w:lang w:val="en-US" w:eastAsia="zh-CN" w:bidi="ar-SA"/>
        </w:rPr>
        <w:t>789.7</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48"/>
      <w:bookmarkEnd w:id="49"/>
      <w:bookmarkEnd w:id="50"/>
    </w:p>
    <w:p>
      <w:pPr>
        <w:spacing w:line="600" w:lineRule="exact"/>
        <w:ind w:firstLineChars="200" w:firstLine="640"/>
        <w:rPr>
          <w:rFonts w:eastAsia="仿宋_GB2312" w:cs="仿宋_GB2312" w:hint="eastAsia"/>
          <w:sz w:val="32"/>
          <w:szCs w:val="32"/>
          <w:highlight w:val="auto"/>
        </w:rPr>
      </w:pPr>
      <w:r>
        <w:rPr>
          <w:rFonts w:eastAsia="仿宋_GB2312" w:cs="仿宋_GB2312" w:hint="eastAsia"/>
          <w:sz w:val="32"/>
          <w:szCs w:val="32"/>
        </w:rPr>
        <w:t>1.</w:t>
      </w:r>
      <w:r>
        <w:rPr>
          <w:rStyle w:val="0"/>
          <w:rFonts w:eastAsia="仿宋_GB2312" w:cs="仿宋_GB2312" w:hint="eastAsia"/>
          <w:bCs/>
          <w:sz w:val="32"/>
          <w:szCs w:val="32"/>
          <w:highlight w:val="auto"/>
        </w:rPr>
        <w:t>文化旅游体育与传媒207（类）06（款）05（项）: 支出决算为</w:t>
      </w:r>
      <w:r>
        <w:rPr>
          <w:rFonts w:ascii="Times New Roman" w:eastAsia="仿宋_GB2312" w:cs="仿宋_GB2312" w:hAnsi="Times New Roman"/>
          <w:color w:val="auto"/>
          <w:kern w:val="2"/>
          <w:sz w:val="32"/>
          <w:szCs w:val="32"/>
          <w:lang w:val="en-US" w:eastAsia="zh-CN" w:bidi="ar-SA"/>
        </w:rPr>
        <w:t>673.06</w:t>
      </w:r>
      <w:r>
        <w:rPr>
          <w:rStyle w:val="0"/>
          <w:rFonts w:eastAsia="仿宋_GB2312" w:cs="仿宋_GB2312" w:hint="eastAsia"/>
          <w:bCs/>
          <w:sz w:val="32"/>
          <w:szCs w:val="32"/>
          <w:highlight w:val="auto"/>
        </w:rPr>
        <w:t>万元，完成预算100%，决算数等于预算数。</w:t>
      </w:r>
    </w:p>
    <w:p>
      <w:pPr>
        <w:spacing w:line="600" w:lineRule="exact"/>
        <w:ind w:firstLineChars="200" w:firstLine="640"/>
        <w:rPr>
          <w:rFonts w:eastAsia="仿宋_GB2312" w:cs="仿宋_GB2312" w:hint="eastAsia"/>
          <w:sz w:val="32"/>
          <w:szCs w:val="32"/>
          <w:highlight w:val="auto"/>
        </w:rPr>
      </w:pPr>
      <w:r>
        <w:rPr>
          <w:rStyle w:val="0"/>
          <w:rFonts w:eastAsia="仿宋_GB2312" w:cs="仿宋_GB2312"/>
          <w:bCs/>
          <w:sz w:val="32"/>
          <w:szCs w:val="32"/>
          <w:highlight w:val="auto"/>
        </w:rPr>
        <w:t>2</w:t>
      </w:r>
      <w:r>
        <w:rPr>
          <w:rStyle w:val="0"/>
          <w:rFonts w:eastAsia="仿宋_GB2312" w:cs="仿宋_GB2312" w:hint="eastAsia"/>
          <w:bCs/>
          <w:sz w:val="32"/>
          <w:szCs w:val="32"/>
          <w:highlight w:val="auto"/>
        </w:rPr>
        <w:t>.社会保障和就业208（类）05（款）05、06</w:t>
      </w:r>
      <w:r>
        <w:rPr>
          <w:rStyle w:val="0"/>
          <w:rFonts w:eastAsia="仿宋_GB2312" w:cs="仿宋_GB2312"/>
          <w:bCs/>
          <w:sz w:val="32"/>
          <w:szCs w:val="32"/>
          <w:highlight w:val="auto"/>
        </w:rPr>
        <w:t>、99</w:t>
      </w:r>
      <w:r>
        <w:rPr>
          <w:rStyle w:val="0"/>
          <w:rFonts w:eastAsia="仿宋_GB2312" w:cs="仿宋_GB2312" w:hint="eastAsia"/>
          <w:bCs/>
          <w:sz w:val="32"/>
          <w:szCs w:val="32"/>
          <w:highlight w:val="auto"/>
        </w:rPr>
        <w:t>（项）: 支出决算为</w:t>
      </w:r>
      <w:r>
        <w:rPr>
          <w:rFonts w:ascii="Times New Roman" w:eastAsia="仿宋_GB2312" w:cs="仿宋_GB2312" w:hAnsi="Times New Roman"/>
          <w:color w:val="auto"/>
          <w:kern w:val="2"/>
          <w:sz w:val="32"/>
          <w:szCs w:val="32"/>
          <w:lang w:val="en-US" w:eastAsia="zh-CN" w:bidi="ar-SA"/>
        </w:rPr>
        <w:t>59.99</w:t>
      </w:r>
      <w:r>
        <w:rPr>
          <w:rStyle w:val="0"/>
          <w:rFonts w:eastAsia="仿宋_GB2312" w:cs="仿宋_GB2312" w:hint="eastAsia"/>
          <w:bCs/>
          <w:sz w:val="32"/>
          <w:szCs w:val="32"/>
          <w:highlight w:val="auto"/>
        </w:rPr>
        <w:t>万元，完成预算100%，决算数等于预算数</w:t>
      </w:r>
      <w:r>
        <w:rPr>
          <w:rStyle w:val="0"/>
          <w:rFonts w:eastAsia="仿宋_GB2312" w:cs="仿宋_GB2312"/>
          <w:bCs/>
          <w:sz w:val="32"/>
          <w:szCs w:val="32"/>
          <w:highlight w:val="auto"/>
        </w:rPr>
        <w:t>。</w:t>
      </w:r>
    </w:p>
    <w:p>
      <w:pPr>
        <w:spacing w:line="600" w:lineRule="exact"/>
        <w:ind w:firstLineChars="200" w:firstLine="640"/>
        <w:rPr>
          <w:rStyle w:val="0"/>
          <w:rFonts w:eastAsia="仿宋_GB2312" w:cs="仿宋_GB2312" w:hint="eastAsia"/>
          <w:bCs/>
          <w:sz w:val="32"/>
          <w:szCs w:val="32"/>
          <w:highlight w:val="auto"/>
        </w:rPr>
      </w:pPr>
      <w:r>
        <w:rPr>
          <w:rStyle w:val="0"/>
          <w:rFonts w:eastAsia="仿宋_GB2312" w:cs="仿宋_GB2312"/>
          <w:bCs/>
          <w:sz w:val="32"/>
          <w:szCs w:val="32"/>
          <w:highlight w:val="auto"/>
        </w:rPr>
        <w:t>3</w:t>
      </w:r>
      <w:r>
        <w:rPr>
          <w:rStyle w:val="0"/>
          <w:rFonts w:eastAsia="仿宋_GB2312" w:cs="仿宋_GB2312" w:hint="eastAsia"/>
          <w:bCs/>
          <w:sz w:val="32"/>
          <w:szCs w:val="32"/>
          <w:highlight w:val="auto"/>
        </w:rPr>
        <w:t>.</w:t>
      </w:r>
      <w:r>
        <w:rPr>
          <w:rFonts w:eastAsia="仿宋_GB2312" w:cs="仿宋_GB2312" w:hint="eastAsia"/>
          <w:bCs/>
          <w:sz w:val="32"/>
          <w:szCs w:val="32"/>
          <w:highlight w:val="auto"/>
        </w:rPr>
        <w:t>卫生健康210</w:t>
      </w:r>
      <w:r>
        <w:rPr>
          <w:rStyle w:val="0"/>
          <w:rFonts w:eastAsia="仿宋_GB2312" w:cs="仿宋_GB2312" w:hint="eastAsia"/>
          <w:bCs/>
          <w:sz w:val="32"/>
          <w:szCs w:val="32"/>
          <w:highlight w:val="auto"/>
        </w:rPr>
        <w:t>（类）11（款）02、99（项）:支出决算为</w:t>
      </w:r>
      <w:r>
        <w:rPr>
          <w:rFonts w:ascii="Times New Roman" w:eastAsia="仿宋_GB2312" w:cs="仿宋_GB2312" w:hAnsi="Times New Roman"/>
          <w:color w:val="auto"/>
          <w:kern w:val="2"/>
          <w:sz w:val="32"/>
          <w:szCs w:val="32"/>
          <w:lang w:val="en-US" w:eastAsia="zh-CN" w:bidi="ar-SA"/>
        </w:rPr>
        <w:t>25.68</w:t>
      </w:r>
      <w:r>
        <w:rPr>
          <w:rStyle w:val="0"/>
          <w:rFonts w:eastAsia="仿宋_GB2312" w:cs="仿宋_GB2312" w:hint="eastAsia"/>
          <w:bCs/>
          <w:sz w:val="32"/>
          <w:szCs w:val="32"/>
          <w:highlight w:val="auto"/>
        </w:rPr>
        <w:t>万元，完成预算100%，决算数等于预算数</w:t>
      </w:r>
      <w:r>
        <w:rPr>
          <w:rStyle w:val="0"/>
          <w:rFonts w:eastAsia="仿宋_GB2312" w:cs="仿宋_GB2312"/>
          <w:bCs/>
          <w:sz w:val="32"/>
          <w:szCs w:val="32"/>
          <w:highlight w:val="auto"/>
        </w:rPr>
        <w:t>。</w:t>
      </w:r>
    </w:p>
    <w:p>
      <w:pPr>
        <w:spacing w:line="600" w:lineRule="exact"/>
        <w:ind w:firstLine="640"/>
        <w:rPr>
          <w:rFonts w:eastAsia="仿宋_GB2312" w:cs="仿宋_GB2312"/>
          <w:sz w:val="32"/>
          <w:szCs w:val="32"/>
        </w:rPr>
      </w:pPr>
      <w:r>
        <w:rPr>
          <w:rFonts w:eastAsia="仿宋_GB2312" w:cs="仿宋_GB2312"/>
          <w:bCs/>
          <w:sz w:val="32"/>
          <w:szCs w:val="32"/>
        </w:rPr>
        <w:t>4</w:t>
      </w:r>
      <w:r>
        <w:rPr>
          <w:rFonts w:eastAsia="仿宋_GB2312" w:cs="仿宋_GB2312" w:hint="eastAsia"/>
          <w:bCs/>
          <w:sz w:val="32"/>
          <w:szCs w:val="32"/>
        </w:rPr>
        <w:t>.住房保障221（类）02（款）01（项）:</w:t>
      </w:r>
      <w:r>
        <w:rPr>
          <w:rFonts w:eastAsia="仿宋_GB2312" w:cs="仿宋_GB2312" w:hint="eastAsia"/>
          <w:sz w:val="32"/>
          <w:szCs w:val="32"/>
        </w:rPr>
        <w:t>支出决算为</w:t>
      </w:r>
      <w:r>
        <w:rPr>
          <w:rFonts w:ascii="Times New Roman" w:eastAsia="仿宋_GB2312" w:cs="仿宋_GB2312" w:hAnsi="Times New Roman"/>
          <w:color w:val="auto"/>
          <w:kern w:val="2"/>
          <w:sz w:val="32"/>
          <w:szCs w:val="32"/>
          <w:lang w:val="en-US" w:eastAsia="zh-CN" w:bidi="ar-SA"/>
        </w:rPr>
        <w:t>30.98</w:t>
      </w:r>
      <w:r>
        <w:rPr>
          <w:rFonts w:eastAsia="仿宋_GB2312" w:cs="仿宋_GB2312" w:hint="eastAsia"/>
          <w:sz w:val="32"/>
          <w:szCs w:val="32"/>
        </w:rPr>
        <w:t>万元，完成预算100%，决算数等于预算数。</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tabs>
          <w:tab w:val="right" w:pos="8306"/>
        </w:tabs>
        <w:spacing w:line="600" w:lineRule="exact"/>
        <w:ind w:firstLine="640"/>
        <w:outlineLvl w:val="1"/>
        <w:rPr>
          <w:rStyle w:val="2Char"/>
          <w:rFonts w:ascii="Times New Roman" w:hAnsi="Times New Roman"/>
          <w:color w:val="auto"/>
          <w:highlight w:val="auto"/>
        </w:rPr>
      </w:pPr>
      <w:bookmarkStart w:id="51" w:name="_Toc15377214"/>
      <w:bookmarkStart w:id="52" w:name="_Toc15396608"/>
      <w:bookmarkStart w:id="53" w:name="_Toc46114062"/>
      <w:bookmarkStart w:id="54" w:name="_GoBack"/>
      <w:bookmarkEnd w:id="5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51"/>
      <w:bookmarkEnd w:id="52"/>
      <w:r>
        <w:rPr>
          <w:rStyle w:val="2Char"/>
          <w:rFonts w:ascii="Times New Roman" w:eastAsia="黑体" w:hAnsi="Times New Roman"/>
          <w:b w:val="0"/>
          <w:color w:val="auto"/>
          <w:highlight w:val="auto"/>
        </w:rPr>
        <w:tab/>
      </w:r>
      <w:bookmarkEnd w:id="5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Times New Roman" w:eastAsia="仿宋_GB2312" w:cs="仿宋_GB2312" w:hAnsi="Times New Roman"/>
          <w:color w:val="auto"/>
          <w:kern w:val="2"/>
          <w:sz w:val="32"/>
          <w:szCs w:val="32"/>
          <w:lang w:val="en-US" w:eastAsia="zh-CN" w:bidi="ar-SA"/>
        </w:rPr>
        <w:t>474.93</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Times New Roman" w:eastAsia="仿宋_GB2312" w:cs="仿宋_GB2312" w:hAnsi="Times New Roman"/>
          <w:color w:val="auto"/>
          <w:kern w:val="2"/>
          <w:sz w:val="32"/>
          <w:szCs w:val="32"/>
          <w:lang w:val="en-US" w:eastAsia="zh-CN" w:bidi="ar-SA"/>
        </w:rPr>
        <w:t>444.74</w:t>
      </w:r>
      <w:r>
        <w:rPr>
          <w:rFonts w:ascii="Times New Roman" w:eastAsia="仿宋_GB2312" w:cs="仿宋_GB2312" w:hAnsi="Times New Roman" w:hint="eastAsia"/>
          <w:color w:val="auto"/>
          <w:kern w:val="2"/>
          <w:sz w:val="32"/>
          <w:szCs w:val="32"/>
          <w:lang w:val="en-US" w:eastAsia="zh-CN" w:bidi="ar-SA"/>
          <w:highlight w:val="auto"/>
        </w:rPr>
        <w:t>万元，主要包括：基本工资</w:t>
      </w:r>
      <w:r>
        <w:rPr>
          <w:rFonts w:ascii="Times New Roman" w:eastAsia="仿宋_GB2312" w:cs="仿宋_GB2312" w:hAnsi="Times New Roman"/>
          <w:color w:val="auto"/>
          <w:kern w:val="2"/>
          <w:sz w:val="32"/>
          <w:szCs w:val="32"/>
          <w:lang w:val="en-US" w:eastAsia="zh-CN" w:bidi="ar-SA"/>
          <w:highlight w:val="auto"/>
        </w:rPr>
        <w:t>86.82万元</w:t>
      </w:r>
      <w:r>
        <w:rPr>
          <w:rFonts w:ascii="Times New Roman" w:eastAsia="仿宋_GB2312" w:cs="仿宋_GB2312" w:hAnsi="Times New Roman" w:hint="eastAsia"/>
          <w:color w:val="auto"/>
          <w:kern w:val="2"/>
          <w:sz w:val="32"/>
          <w:szCs w:val="32"/>
          <w:lang w:val="en-US" w:eastAsia="zh-CN" w:bidi="ar-SA"/>
          <w:highlight w:val="auto"/>
        </w:rPr>
        <w:t>、津贴补贴</w:t>
      </w:r>
      <w:r>
        <w:rPr>
          <w:rFonts w:ascii="Times New Roman" w:eastAsia="仿宋_GB2312" w:cs="仿宋_GB2312" w:hAnsi="Times New Roman"/>
          <w:color w:val="auto"/>
          <w:kern w:val="2"/>
          <w:sz w:val="32"/>
          <w:szCs w:val="32"/>
          <w:lang w:val="en-US" w:eastAsia="zh-CN" w:bidi="ar-SA"/>
          <w:highlight w:val="auto"/>
        </w:rPr>
        <w:t>29.46万元</w:t>
      </w:r>
      <w:r>
        <w:rPr>
          <w:rFonts w:ascii="Times New Roman" w:eastAsia="仿宋_GB2312" w:cs="仿宋_GB2312" w:hAnsi="Times New Roman" w:hint="eastAsia"/>
          <w:color w:val="auto"/>
          <w:kern w:val="2"/>
          <w:sz w:val="32"/>
          <w:szCs w:val="32"/>
          <w:lang w:val="en-US" w:eastAsia="zh-CN" w:bidi="ar-SA"/>
          <w:highlight w:val="auto"/>
        </w:rPr>
        <w:t>、奖金</w:t>
      </w:r>
      <w:r>
        <w:rPr>
          <w:rFonts w:ascii="Times New Roman" w:eastAsia="仿宋_GB2312" w:cs="仿宋_GB2312" w:hAnsi="Times New Roman"/>
          <w:color w:val="auto"/>
          <w:kern w:val="2"/>
          <w:sz w:val="32"/>
          <w:szCs w:val="32"/>
          <w:lang w:val="en-US" w:eastAsia="zh-CN" w:bidi="ar-SA"/>
          <w:highlight w:val="auto"/>
        </w:rPr>
        <w:t>96.02万元</w:t>
      </w:r>
      <w:r>
        <w:rPr>
          <w:rFonts w:ascii="Times New Roman" w:eastAsia="仿宋_GB2312" w:cs="仿宋_GB2312" w:hAnsi="Times New Roman" w:hint="eastAsia"/>
          <w:color w:val="auto"/>
          <w:kern w:val="2"/>
          <w:sz w:val="32"/>
          <w:szCs w:val="32"/>
          <w:lang w:val="en-US" w:eastAsia="zh-CN" w:bidi="ar-SA"/>
          <w:highlight w:val="auto"/>
        </w:rPr>
        <w:t>、伙食补助费</w:t>
      </w:r>
      <w:r>
        <w:rPr>
          <w:rFonts w:ascii="Times New Roman" w:eastAsia="仿宋_GB2312" w:cs="仿宋_GB2312" w:hAnsi="Times New Roman"/>
          <w:color w:val="auto"/>
          <w:kern w:val="2"/>
          <w:sz w:val="32"/>
          <w:szCs w:val="32"/>
          <w:lang w:val="en-US" w:eastAsia="zh-CN" w:bidi="ar-SA"/>
          <w:highlight w:val="auto"/>
        </w:rPr>
        <w:t>7.11万元</w:t>
      </w:r>
      <w:r>
        <w:rPr>
          <w:rFonts w:ascii="Times New Roman" w:eastAsia="仿宋_GB2312" w:cs="仿宋_GB2312" w:hAnsi="Times New Roman" w:hint="eastAsia"/>
          <w:color w:val="auto"/>
          <w:kern w:val="2"/>
          <w:sz w:val="32"/>
          <w:szCs w:val="32"/>
          <w:lang w:val="en-US" w:eastAsia="zh-CN" w:bidi="ar-SA"/>
          <w:highlight w:val="auto"/>
        </w:rPr>
        <w:t>、绩效工资</w:t>
      </w:r>
      <w:r>
        <w:rPr>
          <w:rFonts w:ascii="Times New Roman" w:eastAsia="仿宋_GB2312" w:cs="仿宋_GB2312" w:hAnsi="Times New Roman"/>
          <w:color w:val="auto"/>
          <w:kern w:val="2"/>
          <w:sz w:val="32"/>
          <w:szCs w:val="32"/>
          <w:lang w:val="en-US" w:eastAsia="zh-CN" w:bidi="ar-SA"/>
          <w:highlight w:val="auto"/>
        </w:rPr>
        <w:t>50.26万元</w:t>
      </w:r>
      <w:r>
        <w:rPr>
          <w:rFonts w:ascii="Times New Roman" w:eastAsia="仿宋_GB2312" w:cs="仿宋_GB2312" w:hAnsi="Times New Roman" w:hint="eastAsia"/>
          <w:color w:val="auto"/>
          <w:kern w:val="2"/>
          <w:sz w:val="32"/>
          <w:szCs w:val="32"/>
          <w:lang w:val="en-US" w:eastAsia="zh-CN" w:bidi="ar-SA"/>
          <w:highlight w:val="auto"/>
        </w:rPr>
        <w:t>、机关事业单位基本养老保险缴费</w:t>
      </w:r>
      <w:r>
        <w:rPr>
          <w:rFonts w:ascii="Times New Roman" w:eastAsia="仿宋_GB2312" w:cs="仿宋_GB2312" w:hAnsi="Times New Roman"/>
          <w:color w:val="auto"/>
          <w:kern w:val="2"/>
          <w:sz w:val="32"/>
          <w:szCs w:val="32"/>
          <w:lang w:val="en-US" w:eastAsia="zh-CN" w:bidi="ar-SA"/>
          <w:highlight w:val="auto"/>
        </w:rPr>
        <w:t>38.38万元</w:t>
      </w:r>
      <w:r>
        <w:rPr>
          <w:rFonts w:ascii="Times New Roman" w:eastAsia="仿宋_GB2312" w:cs="仿宋_GB2312" w:hAnsi="Times New Roman" w:hint="eastAsia"/>
          <w:color w:val="auto"/>
          <w:kern w:val="2"/>
          <w:sz w:val="32"/>
          <w:szCs w:val="32"/>
          <w:lang w:val="en-US" w:eastAsia="zh-CN" w:bidi="ar-SA"/>
          <w:highlight w:val="auto"/>
        </w:rPr>
        <w:t>、职业年金缴费</w:t>
      </w:r>
      <w:r>
        <w:rPr>
          <w:rFonts w:ascii="Times New Roman" w:eastAsia="仿宋_GB2312" w:cs="仿宋_GB2312" w:hAnsi="Times New Roman"/>
          <w:color w:val="auto"/>
          <w:kern w:val="2"/>
          <w:sz w:val="32"/>
          <w:szCs w:val="32"/>
          <w:lang w:val="en-US" w:eastAsia="zh-CN" w:bidi="ar-SA"/>
          <w:highlight w:val="auto"/>
        </w:rPr>
        <w:t>17.67万元</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sz w:val="32"/>
          <w:szCs w:val="32"/>
        </w:rPr>
        <w:t>职工基本医疗保险缴费19.28万元、</w:t>
      </w:r>
      <w:r>
        <w:rPr>
          <w:rFonts w:ascii="Times New Roman" w:eastAsia="仿宋_GB2312" w:cs="仿宋_GB2312" w:hAnsi="Times New Roman" w:hint="eastAsia"/>
          <w:color w:val="auto"/>
          <w:kern w:val="2"/>
          <w:sz w:val="32"/>
          <w:szCs w:val="32"/>
          <w:lang w:val="en-US" w:eastAsia="zh-CN" w:bidi="ar-SA"/>
          <w:highlight w:val="auto"/>
        </w:rPr>
        <w:t>其他社会保障缴费</w:t>
      </w:r>
      <w:r>
        <w:rPr>
          <w:rFonts w:ascii="Times New Roman" w:eastAsia="仿宋_GB2312" w:cs="仿宋_GB2312" w:hAnsi="Times New Roman"/>
          <w:color w:val="auto"/>
          <w:kern w:val="2"/>
          <w:sz w:val="32"/>
          <w:szCs w:val="32"/>
          <w:lang w:val="en-US" w:eastAsia="zh-CN" w:bidi="ar-SA"/>
          <w:highlight w:val="auto"/>
        </w:rPr>
        <w:t>8.3万元</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sz w:val="32"/>
          <w:szCs w:val="32"/>
        </w:rPr>
        <w:t>住房公积金</w:t>
      </w:r>
      <w:r>
        <w:rPr>
          <w:rFonts w:eastAsia="仿宋_GB2312" w:cs="仿宋_GB2312"/>
          <w:sz w:val="32"/>
          <w:szCs w:val="32"/>
        </w:rPr>
        <w:t>30.98万元、</w:t>
      </w:r>
      <w:r>
        <w:rPr>
          <w:rFonts w:ascii="Times New Roman" w:eastAsia="仿宋_GB2312" w:cs="仿宋_GB2312" w:hAnsi="Times New Roman" w:hint="eastAsia"/>
          <w:color w:val="auto"/>
          <w:kern w:val="2"/>
          <w:sz w:val="32"/>
          <w:szCs w:val="32"/>
          <w:lang w:val="en-US" w:eastAsia="zh-CN" w:bidi="ar-SA"/>
          <w:highlight w:val="auto"/>
        </w:rPr>
        <w:t>抚恤金</w:t>
      </w:r>
      <w:r>
        <w:rPr>
          <w:rFonts w:ascii="Times New Roman" w:eastAsia="仿宋_GB2312" w:cs="仿宋_GB2312" w:hAnsi="Times New Roman"/>
          <w:color w:val="auto"/>
          <w:kern w:val="2"/>
          <w:sz w:val="32"/>
          <w:szCs w:val="32"/>
          <w:lang w:val="en-US" w:eastAsia="zh-CN" w:bidi="ar-SA"/>
          <w:highlight w:val="auto"/>
        </w:rPr>
        <w:t>6.93万元</w:t>
      </w:r>
      <w:r>
        <w:rPr>
          <w:rFonts w:ascii="Times New Roman" w:eastAsia="仿宋_GB2312" w:cs="仿宋_GB2312" w:hAnsi="Times New Roman" w:hint="eastAsia"/>
          <w:color w:val="auto"/>
          <w:kern w:val="2"/>
          <w:sz w:val="32"/>
          <w:szCs w:val="32"/>
          <w:lang w:val="en-US" w:eastAsia="zh-CN" w:bidi="ar-SA"/>
          <w:highlight w:val="auto"/>
        </w:rPr>
        <w:t>、生活补助</w:t>
      </w:r>
      <w:r>
        <w:rPr>
          <w:rFonts w:ascii="Times New Roman" w:eastAsia="仿宋_GB2312" w:cs="仿宋_GB2312" w:hAnsi="Times New Roman"/>
          <w:color w:val="auto"/>
          <w:kern w:val="2"/>
          <w:sz w:val="32"/>
          <w:szCs w:val="32"/>
          <w:lang w:val="en-US" w:eastAsia="zh-CN" w:bidi="ar-SA"/>
          <w:highlight w:val="auto"/>
        </w:rPr>
        <w:t>53.52万元</w:t>
      </w:r>
      <w:r>
        <w:rPr>
          <w:rFonts w:ascii="Times New Roman" w:eastAsia="仿宋_GB2312" w:cs="仿宋_GB2312" w:hAnsi="Times New Roman" w:hint="eastAsia"/>
          <w:color w:val="auto"/>
          <w:kern w:val="2"/>
          <w:sz w:val="32"/>
          <w:szCs w:val="32"/>
          <w:lang w:val="en-US" w:eastAsia="zh-CN" w:bidi="ar-SA"/>
          <w:highlight w:val="auto"/>
        </w:rPr>
        <w:t>、奖励金</w:t>
      </w:r>
      <w:r>
        <w:rPr>
          <w:rFonts w:ascii="Times New Roman" w:eastAsia="仿宋_GB2312" w:cs="仿宋_GB2312" w:hAnsi="Times New Roman"/>
          <w:color w:val="auto"/>
          <w:kern w:val="2"/>
          <w:sz w:val="32"/>
          <w:szCs w:val="32"/>
          <w:lang w:val="en-US" w:eastAsia="zh-CN" w:bidi="ar-SA"/>
          <w:highlight w:val="auto"/>
        </w:rPr>
        <w:t>0.01万元</w:t>
      </w:r>
      <w:r>
        <w:rPr>
          <w:rFonts w:ascii="Times New Roman" w:eastAsia="仿宋_GB2312" w:cs="仿宋_GB2312" w:hAnsi="Times New Roman" w:hint="eastAsia"/>
          <w:color w:val="auto"/>
          <w:kern w:val="2"/>
          <w:sz w:val="32"/>
          <w:szCs w:val="32"/>
          <w:lang w:val="en-US" w:eastAsia="zh-CN" w:bidi="ar-SA"/>
          <w:highlight w:val="auto"/>
        </w:rPr>
        <w:t>。</w:t>
        <w:br/>
        <w:t>　　公用经费</w:t>
      </w:r>
      <w:r>
        <w:rPr>
          <w:rFonts w:ascii="Times New Roman" w:eastAsia="仿宋_GB2312" w:cs="仿宋_GB2312" w:hAnsi="Times New Roman"/>
          <w:color w:val="auto"/>
          <w:kern w:val="2"/>
          <w:sz w:val="32"/>
          <w:szCs w:val="32"/>
          <w:lang w:val="en-US" w:eastAsia="zh-CN" w:bidi="ar-SA"/>
        </w:rPr>
        <w:t>30.19</w:t>
      </w:r>
      <w:r>
        <w:rPr>
          <w:rFonts w:ascii="Times New Roman" w:eastAsia="仿宋_GB2312" w:cs="仿宋_GB2312" w:hAnsi="Times New Roman" w:hint="eastAsia"/>
          <w:color w:val="auto"/>
          <w:kern w:val="2"/>
          <w:sz w:val="32"/>
          <w:szCs w:val="32"/>
          <w:lang w:val="en-US" w:eastAsia="zh-CN" w:bidi="ar-SA"/>
          <w:highlight w:val="auto"/>
        </w:rPr>
        <w:t>万元，主要包括：办公费</w:t>
      </w:r>
      <w:r>
        <w:rPr>
          <w:rFonts w:ascii="Times New Roman" w:eastAsia="仿宋_GB2312" w:cs="仿宋_GB2312" w:hAnsi="Times New Roman"/>
          <w:color w:val="auto"/>
          <w:kern w:val="2"/>
          <w:sz w:val="32"/>
          <w:szCs w:val="32"/>
          <w:lang w:val="en-US" w:eastAsia="zh-CN" w:bidi="ar-SA"/>
          <w:highlight w:val="auto"/>
        </w:rPr>
        <w:t>1.47万元</w:t>
      </w:r>
      <w:r>
        <w:rPr>
          <w:rFonts w:ascii="Times New Roman" w:eastAsia="仿宋_GB2312" w:cs="仿宋_GB2312" w:hAnsi="Times New Roman" w:hint="eastAsia"/>
          <w:color w:val="auto"/>
          <w:kern w:val="2"/>
          <w:sz w:val="32"/>
          <w:szCs w:val="32"/>
          <w:lang w:val="en-US" w:eastAsia="zh-CN" w:bidi="ar-SA"/>
          <w:highlight w:val="auto"/>
        </w:rPr>
        <w:t>、电费</w:t>
      </w:r>
      <w:r>
        <w:rPr>
          <w:rFonts w:ascii="Times New Roman" w:eastAsia="仿宋_GB2312" w:cs="仿宋_GB2312" w:hAnsi="Times New Roman"/>
          <w:color w:val="auto"/>
          <w:kern w:val="2"/>
          <w:sz w:val="32"/>
          <w:szCs w:val="32"/>
          <w:lang w:val="en-US" w:eastAsia="zh-CN" w:bidi="ar-SA"/>
          <w:highlight w:val="auto"/>
        </w:rPr>
        <w:t>1.23万元</w:t>
      </w:r>
      <w:r>
        <w:rPr>
          <w:rFonts w:ascii="Times New Roman" w:eastAsia="仿宋_GB2312" w:cs="仿宋_GB2312" w:hAnsi="Times New Roman" w:hint="eastAsia"/>
          <w:color w:val="auto"/>
          <w:kern w:val="2"/>
          <w:sz w:val="32"/>
          <w:szCs w:val="32"/>
          <w:lang w:val="en-US" w:eastAsia="zh-CN" w:bidi="ar-SA"/>
          <w:highlight w:val="auto"/>
        </w:rPr>
        <w:t>、邮电费</w:t>
      </w:r>
      <w:r>
        <w:rPr>
          <w:rFonts w:ascii="Times New Roman" w:eastAsia="仿宋_GB2312" w:cs="仿宋_GB2312" w:hAnsi="Times New Roman"/>
          <w:color w:val="auto"/>
          <w:kern w:val="2"/>
          <w:sz w:val="32"/>
          <w:szCs w:val="32"/>
          <w:lang w:val="en-US" w:eastAsia="zh-CN" w:bidi="ar-SA"/>
          <w:highlight w:val="auto"/>
        </w:rPr>
        <w:t>1.76万元</w:t>
      </w:r>
      <w:r>
        <w:rPr>
          <w:rFonts w:ascii="Times New Roman" w:eastAsia="仿宋_GB2312" w:cs="仿宋_GB2312" w:hAnsi="Times New Roman" w:hint="eastAsia"/>
          <w:color w:val="auto"/>
          <w:kern w:val="2"/>
          <w:sz w:val="32"/>
          <w:szCs w:val="32"/>
          <w:lang w:val="en-US" w:eastAsia="zh-CN" w:bidi="ar-SA"/>
          <w:highlight w:val="auto"/>
        </w:rPr>
        <w:t>、物业管理费</w:t>
      </w:r>
      <w:r>
        <w:rPr>
          <w:rFonts w:ascii="Times New Roman" w:eastAsia="仿宋_GB2312" w:cs="仿宋_GB2312" w:hAnsi="Times New Roman"/>
          <w:color w:val="auto"/>
          <w:kern w:val="2"/>
          <w:sz w:val="32"/>
          <w:szCs w:val="32"/>
          <w:lang w:val="en-US" w:eastAsia="zh-CN" w:bidi="ar-SA"/>
          <w:highlight w:val="auto"/>
        </w:rPr>
        <w:t>0.28万元</w:t>
      </w:r>
      <w:r>
        <w:rPr>
          <w:rFonts w:ascii="Times New Roman" w:eastAsia="仿宋_GB2312" w:cs="仿宋_GB2312" w:hAnsi="Times New Roman" w:hint="eastAsia"/>
          <w:color w:val="auto"/>
          <w:kern w:val="2"/>
          <w:sz w:val="32"/>
          <w:szCs w:val="32"/>
          <w:lang w:val="en-US" w:eastAsia="zh-CN" w:bidi="ar-SA"/>
          <w:highlight w:val="auto"/>
        </w:rPr>
        <w:t>、差旅费</w:t>
      </w:r>
      <w:r>
        <w:rPr>
          <w:rFonts w:ascii="Times New Roman" w:eastAsia="仿宋_GB2312" w:cs="仿宋_GB2312" w:hAnsi="Times New Roman"/>
          <w:color w:val="auto"/>
          <w:kern w:val="2"/>
          <w:sz w:val="32"/>
          <w:szCs w:val="32"/>
          <w:lang w:val="en-US" w:eastAsia="zh-CN" w:bidi="ar-SA"/>
          <w:highlight w:val="auto"/>
        </w:rPr>
        <w:t>6.65万元</w:t>
      </w:r>
      <w:r>
        <w:rPr>
          <w:rFonts w:ascii="Times New Roman" w:eastAsia="仿宋_GB2312" w:cs="仿宋_GB2312" w:hAnsi="Times New Roman" w:hint="eastAsia"/>
          <w:color w:val="auto"/>
          <w:kern w:val="2"/>
          <w:sz w:val="32"/>
          <w:szCs w:val="32"/>
          <w:lang w:val="en-US" w:eastAsia="zh-CN" w:bidi="ar-SA"/>
          <w:highlight w:val="auto"/>
        </w:rPr>
        <w:t>、维修（护）费</w:t>
      </w:r>
      <w:r>
        <w:rPr>
          <w:rFonts w:ascii="Times New Roman" w:eastAsia="仿宋_GB2312" w:cs="仿宋_GB2312" w:hAnsi="Times New Roman"/>
          <w:color w:val="auto"/>
          <w:kern w:val="2"/>
          <w:sz w:val="32"/>
          <w:szCs w:val="32"/>
          <w:lang w:val="en-US" w:eastAsia="zh-CN" w:bidi="ar-SA"/>
          <w:highlight w:val="auto"/>
        </w:rPr>
        <w:t>1.59万元</w:t>
      </w:r>
      <w:r>
        <w:rPr>
          <w:rFonts w:ascii="Times New Roman" w:eastAsia="仿宋_GB2312" w:cs="仿宋_GB2312" w:hAnsi="Times New Roman" w:hint="eastAsia"/>
          <w:color w:val="auto"/>
          <w:kern w:val="2"/>
          <w:sz w:val="32"/>
          <w:szCs w:val="32"/>
          <w:lang w:val="en-US" w:eastAsia="zh-CN" w:bidi="ar-SA"/>
          <w:highlight w:val="auto"/>
        </w:rPr>
        <w:t>、培训费</w:t>
      </w:r>
      <w:r>
        <w:rPr>
          <w:rFonts w:ascii="Times New Roman" w:eastAsia="仿宋_GB2312" w:cs="仿宋_GB2312" w:hAnsi="Times New Roman"/>
          <w:color w:val="auto"/>
          <w:kern w:val="2"/>
          <w:sz w:val="32"/>
          <w:szCs w:val="32"/>
          <w:lang w:val="en-US" w:eastAsia="zh-CN" w:bidi="ar-SA"/>
          <w:highlight w:val="auto"/>
        </w:rPr>
        <w:t>0.8万元</w:t>
      </w:r>
      <w:r>
        <w:rPr>
          <w:rFonts w:ascii="Times New Roman" w:eastAsia="仿宋_GB2312" w:cs="仿宋_GB2312" w:hAnsi="Times New Roman" w:hint="eastAsia"/>
          <w:color w:val="auto"/>
          <w:kern w:val="2"/>
          <w:sz w:val="32"/>
          <w:szCs w:val="32"/>
          <w:lang w:val="en-US" w:eastAsia="zh-CN" w:bidi="ar-SA"/>
          <w:highlight w:val="auto"/>
        </w:rPr>
        <w:t>、劳务费</w:t>
      </w:r>
      <w:r>
        <w:rPr>
          <w:rFonts w:ascii="Times New Roman" w:eastAsia="仿宋_GB2312" w:cs="仿宋_GB2312" w:hAnsi="Times New Roman"/>
          <w:color w:val="auto"/>
          <w:kern w:val="2"/>
          <w:sz w:val="32"/>
          <w:szCs w:val="32"/>
          <w:lang w:val="en-US" w:eastAsia="zh-CN" w:bidi="ar-SA"/>
          <w:highlight w:val="auto"/>
        </w:rPr>
        <w:t>0.24万元</w:t>
      </w:r>
      <w:r>
        <w:rPr>
          <w:rFonts w:ascii="Times New Roman" w:eastAsia="仿宋_GB2312" w:cs="仿宋_GB2312" w:hAnsi="Times New Roman" w:hint="eastAsia"/>
          <w:color w:val="auto"/>
          <w:kern w:val="2"/>
          <w:sz w:val="32"/>
          <w:szCs w:val="32"/>
          <w:lang w:val="en-US" w:eastAsia="zh-CN" w:bidi="ar-SA"/>
          <w:highlight w:val="auto"/>
        </w:rPr>
        <w:t>、工会经费</w:t>
      </w:r>
      <w:r>
        <w:rPr>
          <w:rFonts w:ascii="Times New Roman" w:eastAsia="仿宋_GB2312" w:cs="仿宋_GB2312" w:hAnsi="Times New Roman"/>
          <w:color w:val="auto"/>
          <w:kern w:val="2"/>
          <w:sz w:val="32"/>
          <w:szCs w:val="32"/>
          <w:lang w:val="en-US" w:eastAsia="zh-CN" w:bidi="ar-SA"/>
          <w:highlight w:val="auto"/>
        </w:rPr>
        <w:t>5.33万元</w:t>
      </w:r>
      <w:r>
        <w:rPr>
          <w:rFonts w:ascii="Times New Roman" w:eastAsia="仿宋_GB2312" w:cs="仿宋_GB2312" w:hAnsi="Times New Roman" w:hint="eastAsia"/>
          <w:color w:val="auto"/>
          <w:kern w:val="2"/>
          <w:sz w:val="32"/>
          <w:szCs w:val="32"/>
          <w:lang w:val="en-US" w:eastAsia="zh-CN" w:bidi="ar-SA"/>
          <w:highlight w:val="auto"/>
        </w:rPr>
        <w:t>、福利费</w:t>
      </w:r>
      <w:r>
        <w:rPr>
          <w:rFonts w:ascii="Times New Roman" w:eastAsia="仿宋_GB2312" w:cs="仿宋_GB2312" w:hAnsi="Times New Roman"/>
          <w:color w:val="auto"/>
          <w:kern w:val="2"/>
          <w:sz w:val="32"/>
          <w:szCs w:val="32"/>
          <w:lang w:val="en-US" w:eastAsia="zh-CN" w:bidi="ar-SA"/>
          <w:highlight w:val="auto"/>
        </w:rPr>
        <w:t>4.05万元</w:t>
      </w:r>
      <w:r>
        <w:rPr>
          <w:rFonts w:ascii="Times New Roman" w:eastAsia="仿宋_GB2312" w:cs="仿宋_GB2312" w:hAnsi="Times New Roman" w:hint="eastAsia"/>
          <w:color w:val="auto"/>
          <w:kern w:val="2"/>
          <w:sz w:val="32"/>
          <w:szCs w:val="32"/>
          <w:lang w:val="en-US" w:eastAsia="zh-CN" w:bidi="ar-SA"/>
          <w:highlight w:val="auto"/>
        </w:rPr>
        <w:t>、公务用车运行维护费</w:t>
      </w:r>
      <w:r>
        <w:rPr>
          <w:rFonts w:ascii="Times New Roman" w:eastAsia="仿宋_GB2312" w:cs="仿宋_GB2312" w:hAnsi="Times New Roman"/>
          <w:color w:val="auto"/>
          <w:kern w:val="2"/>
          <w:sz w:val="32"/>
          <w:szCs w:val="32"/>
          <w:lang w:val="en-US" w:eastAsia="zh-CN" w:bidi="ar-SA"/>
          <w:highlight w:val="auto"/>
        </w:rPr>
        <w:t>4.63万元</w:t>
      </w:r>
      <w:r>
        <w:rPr>
          <w:rFonts w:ascii="Times New Roman" w:eastAsia="仿宋_GB2312" w:cs="仿宋_GB2312" w:hAnsi="Times New Roman" w:hint="eastAsia"/>
          <w:color w:val="auto"/>
          <w:kern w:val="2"/>
          <w:sz w:val="32"/>
          <w:szCs w:val="32"/>
          <w:lang w:val="en-US" w:eastAsia="zh-CN" w:bidi="ar-SA"/>
          <w:highlight w:val="auto"/>
        </w:rPr>
        <w:t>、其他商品和服务支出</w:t>
      </w:r>
      <w:r>
        <w:rPr>
          <w:rFonts w:ascii="Times New Roman" w:eastAsia="仿宋_GB2312" w:cs="仿宋_GB2312" w:hAnsi="Times New Roman"/>
          <w:color w:val="auto"/>
          <w:kern w:val="2"/>
          <w:sz w:val="32"/>
          <w:szCs w:val="32"/>
          <w:lang w:val="en-US" w:eastAsia="zh-CN" w:bidi="ar-SA"/>
          <w:highlight w:val="auto"/>
        </w:rPr>
        <w:t>2.16万元</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（注：仅罗列本部门实际支出涉及的经济分类科目）</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outlineLvl w:val="1"/>
        <w:rPr>
          <w:rStyle w:val="2Char"/>
          <w:rFonts w:ascii="Times New Roman" w:eastAsia="黑体" w:hAnsi="Times New Roman"/>
          <w:b w:val="0"/>
          <w:color w:val="auto"/>
          <w:highlight w:val="auto"/>
        </w:rPr>
      </w:pPr>
      <w:bookmarkStart w:id="55" w:name="_Toc15396609"/>
      <w:bookmarkStart w:id="56" w:name="_Toc15377215"/>
      <w:bookmarkStart w:id="57" w:name="_Toc46114063"/>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55"/>
      <w:bookmarkEnd w:id="56"/>
      <w:bookmarkEnd w:id="5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8"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5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Times New Roman" w:eastAsia="仿宋_GB2312" w:cs="仿宋_GB2312" w:hAnsi="Times New Roman"/>
          <w:color w:val="auto"/>
          <w:kern w:val="2"/>
          <w:sz w:val="32"/>
          <w:szCs w:val="32"/>
          <w:lang w:val="en-US" w:eastAsia="zh-CN" w:bidi="ar-SA"/>
        </w:rPr>
        <w:t>5.14</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%，较上年度增加</w:t>
      </w:r>
      <w:r>
        <w:rPr>
          <w:rFonts w:ascii="Times New Roman" w:eastAsia="仿宋_GB2312" w:cs="仿宋_GB2312" w:hAnsi="Times New Roman"/>
          <w:color w:val="auto"/>
          <w:kern w:val="2"/>
          <w:sz w:val="32"/>
          <w:szCs w:val="32"/>
          <w:lang w:val="en-US" w:eastAsia="zh-CN" w:bidi="ar-SA"/>
          <w:highlight w:val="auto"/>
        </w:rPr>
        <w:t>0.14</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2.8</w:t>
      </w:r>
      <w:r>
        <w:rPr>
          <w:rFonts w:ascii="Times New Roman" w:eastAsia="仿宋_GB2312" w:cs="仿宋_GB2312" w:hAnsi="Times New Roman" w:hint="eastAsia"/>
          <w:color w:val="auto"/>
          <w:kern w:val="2"/>
          <w:sz w:val="32"/>
          <w:szCs w:val="32"/>
          <w:lang w:val="en-US" w:eastAsia="zh-CN" w:bidi="ar-SA"/>
          <w:highlight w:val="auto"/>
        </w:rPr>
        <w:t>%。决算数与预算数持平</w:t>
      </w:r>
      <w:r>
        <w:rPr>
          <w:rFonts w:ascii="Times New Roman" w:eastAsia="仿宋_GB2312" w:cs="仿宋_GB2312" w:hAnsi="Times New Roman"/>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（注：上述“预算”口径为全年预算数，包括一般公共预算和政府性基金预算财政拨款支出决算情况，与预算数持平可以不写原因）</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9"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5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Times New Roman" w:eastAsia="仿宋_GB2312" w:cs="仿宋_GB2312" w:hAnsi="Times New Roman"/>
          <w:color w:val="auto"/>
          <w:kern w:val="2"/>
          <w:sz w:val="32"/>
          <w:szCs w:val="32"/>
          <w:lang w:val="en-US" w:eastAsia="zh-CN" w:bidi="ar-SA"/>
          <w:highlight w:val="auto"/>
        </w:rPr>
        <w:t>5.14</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pStyle w:val="15"/>
      </w:pPr>
      <w:r>
        <w:drawing>
          <wp:inline distT="0" distB="0" distL="85723" distR="85723">
            <wp:extent cx="4124261" cy="1809722"/>
            <wp:effectExtent l="0" t="0" r="0" b="0"/>
            <wp:docPr id="10" name="对象"/>
            <wp:cNvGraphicFramePr>
              <a:graphicFrameLocks noChangeAspect="1"/>
            </wp:cNvGraphicFramePr>
            <a:graphic>
              <a:graphicData uri="http://schemas.openxmlformats.org/drawingml/2006/chart">
                <c:chart xmlns:c="http://schemas.openxmlformats.org/drawingml/2006/chart" r:id="rId11"/>
              </a:graphicData>
            </a:graphic>
          </wp:inline>
        </w:drawing>
      </w:r>
    </w:p>
    <w:p>
      <w:pPr>
        <w:pStyle w:val="15"/>
        <w:rPr>
          <w:rFonts w:hint="eastAsia"/>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人。因公出国（境）支出决算比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sz w:val="32"/>
          <w:szCs w:val="32"/>
        </w:rPr>
        <w:t>不涉及</w:t>
      </w:r>
      <w:r>
        <w:rPr>
          <w:rFonts w:eastAsia="仿宋_GB2312" w:cs="仿宋_GB2312" w:hint="eastAsia"/>
          <w:sz w:val="32"/>
          <w:szCs w:val="32"/>
        </w:rPr>
        <w:t>因公出国（境）</w:t>
      </w:r>
      <w:r>
        <w:rPr>
          <w:rFonts w:eastAsia="仿宋_GB2312" w:cs="仿宋_GB2312"/>
          <w:sz w:val="32"/>
          <w:szCs w:val="32"/>
        </w:rPr>
        <w:t>业务。</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Times New Roman" w:eastAsia="仿宋_GB2312" w:cs="仿宋_GB2312" w:hAnsi="Times New Roman"/>
          <w:b/>
          <w:bCs/>
          <w:color w:val="auto"/>
          <w:kern w:val="2"/>
          <w:sz w:val="32"/>
          <w:szCs w:val="32"/>
          <w:lang w:val="en-US" w:eastAsia="zh-CN" w:bidi="ar-SA"/>
          <w:highlight w:val="auto"/>
        </w:rPr>
        <w:t>5.14</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ascii="Times New Roman" w:eastAsia="仿宋_GB2312" w:cs="仿宋_GB2312" w:hAnsi="Times New Roman"/>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ascii="Times New Roman" w:eastAsia="仿宋_GB2312" w:cs="仿宋_GB2312" w:hAnsi="Times New Roman"/>
          <w:color w:val="auto"/>
          <w:kern w:val="2"/>
          <w:sz w:val="32"/>
          <w:szCs w:val="32"/>
          <w:lang w:val="en-US" w:eastAsia="zh-CN" w:bidi="ar-SA"/>
          <w:highlight w:val="auto"/>
        </w:rPr>
        <w:t>0.14</w:t>
      </w:r>
      <w:r>
        <w:rPr>
          <w:rFonts w:ascii="Times New Roman" w:eastAsia="仿宋_GB2312" w:cs="仿宋_GB2312" w:hAnsi="Times New Roman" w:hint="eastAsia"/>
          <w:color w:val="auto"/>
          <w:kern w:val="2"/>
          <w:sz w:val="32"/>
          <w:szCs w:val="32"/>
          <w:lang w:val="en-US" w:eastAsia="zh-CN" w:bidi="ar-SA"/>
          <w:highlight w:val="auto"/>
        </w:rPr>
        <w:t>万元，增长</w:t>
      </w:r>
      <w:r>
        <w:rPr>
          <w:rFonts w:ascii="Times New Roman" w:eastAsia="仿宋_GB2312" w:cs="仿宋_GB2312" w:hAnsi="Times New Roman"/>
          <w:color w:val="auto"/>
          <w:kern w:val="2"/>
          <w:sz w:val="32"/>
          <w:szCs w:val="32"/>
          <w:lang w:val="en-US" w:eastAsia="zh-CN" w:bidi="ar-SA"/>
          <w:highlight w:val="auto"/>
        </w:rPr>
        <w:t>2.8</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sz w:val="32"/>
          <w:szCs w:val="32"/>
          <w:lang w:eastAsia="zh-CN"/>
        </w:rPr>
        <w:t>业务活动</w:t>
      </w:r>
      <w:r>
        <w:rPr>
          <w:rFonts w:eastAsia="仿宋_GB2312" w:cs="仿宋_GB2312"/>
          <w:sz w:val="32"/>
          <w:szCs w:val="32"/>
          <w:lang w:eastAsia="zh-CN"/>
        </w:rPr>
        <w:t>增加。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辆，其中：轿车</w:t>
      </w:r>
      <w:r>
        <w:rPr>
          <w:rFonts w:ascii="Times New Roman" w:eastAsia="仿宋_GB2312" w:cs="仿宋_GB2312" w:hAnsi="Times New Roman"/>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辆、越野车</w:t>
      </w:r>
      <w:r>
        <w:rPr>
          <w:rFonts w:ascii="Times New Roman" w:eastAsia="仿宋_GB2312" w:cs="仿宋_GB2312" w:hAnsi="Times New Roman"/>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辆、</w:t>
      </w:r>
      <w:r>
        <w:rPr>
          <w:rFonts w:ascii="仿宋_GB2312" w:eastAsia="仿宋_GB2312" w:hint="eastAsia"/>
          <w:color w:val="auto"/>
          <w:sz w:val="32"/>
          <w:szCs w:val="32"/>
          <w:highlight w:val="auto"/>
        </w:rPr>
        <w:t>中型箱式货车1辆</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仿宋_GB2312" w:eastAsia="仿宋_GB2312"/>
          <w:color w:val="auto"/>
          <w:sz w:val="32"/>
          <w:szCs w:val="32"/>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Times New Roman" w:eastAsia="仿宋_GB2312" w:cs="仿宋_GB2312" w:hAnsi="Times New Roman"/>
          <w:color w:val="auto"/>
          <w:kern w:val="2"/>
          <w:sz w:val="32"/>
          <w:szCs w:val="32"/>
          <w:lang w:val="en-US" w:eastAsia="zh-CN" w:bidi="ar-SA"/>
          <w:highlight w:val="auto"/>
        </w:rPr>
        <w:t>5.14</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仿宋_GB2312" w:eastAsia="仿宋_GB2312" w:hint="eastAsia"/>
          <w:color w:val="auto"/>
          <w:sz w:val="32"/>
          <w:szCs w:val="32"/>
        </w:rPr>
        <w:t>到各县新华书店调研及指导业务工作，到</w:t>
      </w:r>
      <w:r>
        <w:rPr>
          <w:rFonts w:ascii="仿宋_GB2312" w:eastAsia="仿宋_GB2312"/>
          <w:color w:val="auto"/>
          <w:sz w:val="32"/>
          <w:szCs w:val="32"/>
        </w:rPr>
        <w:t>上级业务对口单位四川新华</w:t>
      </w:r>
      <w:r>
        <w:rPr>
          <w:rFonts w:ascii="仿宋_GB2312" w:eastAsia="仿宋_GB2312" w:hint="eastAsia"/>
          <w:color w:val="auto"/>
          <w:sz w:val="32"/>
          <w:szCs w:val="32"/>
        </w:rPr>
        <w:t>文轩公司联系业务、培训、开会，“送书下乡”到乡镇，开展</w:t>
      </w:r>
      <w:r>
        <w:rPr>
          <w:rFonts w:ascii="仿宋_GB2312" w:eastAsia="仿宋_GB2312"/>
          <w:color w:val="auto"/>
          <w:sz w:val="32"/>
          <w:szCs w:val="32"/>
        </w:rPr>
        <w:t>图书中转</w:t>
      </w:r>
      <w:r>
        <w:rPr>
          <w:rFonts w:ascii="仿宋_GB2312" w:eastAsia="仿宋_GB2312" w:hint="eastAsia"/>
          <w:color w:val="auto"/>
          <w:sz w:val="32"/>
          <w:szCs w:val="32"/>
        </w:rPr>
        <w:t>业务</w:t>
      </w:r>
      <w:r>
        <w:rPr>
          <w:rFonts w:ascii="仿宋_GB2312" w:eastAsia="仿宋_GB2312" w:hint="eastAsia"/>
          <w:color w:val="auto"/>
          <w:sz w:val="32"/>
          <w:szCs w:val="32"/>
          <w:highlight w:val="auto"/>
        </w:rPr>
        <w:t>等所需的公务用车燃料费、维修费、过路过桥费、保险费等支出。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ascii="Times New Roman" w:eastAsia="仿宋_GB2312" w:cs="仿宋_GB2312" w:hAnsi="Times New Roman"/>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sz w:val="32"/>
          <w:szCs w:val="32"/>
        </w:rPr>
        <w:t>无</w:t>
      </w:r>
      <w:r>
        <w:rPr>
          <w:rFonts w:eastAsia="仿宋_GB2312" w:cs="仿宋_GB2312" w:hint="eastAsia"/>
          <w:sz w:val="32"/>
          <w:szCs w:val="32"/>
        </w:rPr>
        <w:t>公务接待费</w:t>
      </w:r>
      <w:r>
        <w:rPr>
          <w:rFonts w:eastAsia="仿宋_GB2312" w:cs="仿宋_GB2312"/>
          <w:sz w:val="32"/>
          <w:szCs w:val="32"/>
        </w:rPr>
        <w:t>产生</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万元。国内公务接待</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批次，</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外事接待支出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万元。外事接待</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批次，</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人次（不包括陪同人员），共计支出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60" w:name="_Toc15396610"/>
      <w:bookmarkStart w:id="61" w:name="_Toc15377218"/>
    </w:p>
    <w:p>
      <w:pPr>
        <w:spacing w:line="600" w:lineRule="exact"/>
        <w:ind w:firstLine="640"/>
        <w:outlineLvl w:val="1"/>
        <w:rPr>
          <w:rStyle w:val="2Char"/>
          <w:rFonts w:ascii="Times New Roman" w:eastAsia="黑体" w:hAnsi="Times New Roman"/>
          <w:color w:val="auto"/>
          <w:highlight w:val="auto"/>
        </w:rPr>
      </w:pPr>
      <w:bookmarkStart w:id="62" w:name="_Toc46114064"/>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60"/>
      <w:bookmarkEnd w:id="61"/>
      <w:bookmarkEnd w:id="62"/>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rPr>
        <w:t>与上年持平</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b w:val="0"/>
          <w:color w:val="auto"/>
          <w:highlight w:val="auto"/>
        </w:rPr>
      </w:pPr>
      <w:bookmarkStart w:id="63" w:name="_Toc15396611"/>
      <w:bookmarkStart w:id="64" w:name="_Toc15377219"/>
      <w:bookmarkStart w:id="65" w:name="_Toc46114065"/>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63"/>
      <w:bookmarkEnd w:id="64"/>
      <w:bookmarkEnd w:id="65"/>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年度相比，国有资本经营预算财政拨款支出增加/减少</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万元，增长/下降</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rPr>
        <w:t>与上年持平</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left="630"/>
        <w:outlineLvl w:val="1"/>
        <w:rPr>
          <w:rStyle w:val="2Char"/>
          <w:rFonts w:ascii="Times New Roman" w:eastAsia="黑体" w:hAnsi="Times New Roman" w:hint="eastAsia"/>
          <w:b w:val="0"/>
          <w:color w:val="auto"/>
          <w:highlight w:val="auto"/>
        </w:rPr>
      </w:pPr>
      <w:bookmarkStart w:id="66" w:name="_Toc15396612"/>
      <w:bookmarkStart w:id="67" w:name="_Toc15377221"/>
      <w:bookmarkStart w:id="68" w:name="_Toc46114066"/>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66"/>
      <w:bookmarkEnd w:id="67"/>
      <w:bookmarkEnd w:id="6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9" w:name="_Toc15377222"/>
      <w:r>
        <w:rPr>
          <w:rFonts w:ascii="Times New Roman" w:eastAsia="楷体_GB2312" w:cs="楷体_GB2312" w:hAnsi="Times New Roman" w:hint="eastAsia"/>
          <w:b/>
          <w:color w:val="auto"/>
          <w:sz w:val="32"/>
          <w:szCs w:val="32"/>
          <w:highlight w:val="auto"/>
        </w:rPr>
        <w:t>（一）机关运行经费支出情况</w:t>
      </w:r>
      <w:bookmarkEnd w:id="6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color w:val="auto"/>
          <w:kern w:val="2"/>
          <w:sz w:val="32"/>
          <w:szCs w:val="32"/>
          <w:lang w:val="en-US" w:eastAsia="zh-CN" w:bidi="ar-SA"/>
          <w:highlight w:val="auto"/>
        </w:rPr>
        <w:t>阿坝州新华书店</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万元，比与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年度决算数持平。</w:t>
      </w:r>
      <w:r>
        <w:rPr>
          <w:rFonts w:eastAsia="仿宋_GB2312" w:cs="仿宋_GB2312" w:hint="eastAsia"/>
          <w:sz w:val="32"/>
          <w:szCs w:val="32"/>
        </w:rPr>
        <w:t>主要原因是</w:t>
      </w:r>
      <w:r>
        <w:rPr>
          <w:rFonts w:ascii="仿宋_GB2312" w:eastAsia="仿宋_GB2312" w:hint="eastAsia"/>
          <w:color w:val="auto"/>
          <w:sz w:val="32"/>
          <w:szCs w:val="32"/>
          <w:highlight w:val="auto"/>
        </w:rPr>
        <w:t>州新华书店为事业单位</w:t>
      </w:r>
      <w:r>
        <w:rPr>
          <w:rFonts w:ascii="仿宋_GB2312" w:eastAsia="仿宋_GB2312"/>
          <w:color w:val="auto"/>
          <w:sz w:val="32"/>
          <w:szCs w:val="32"/>
          <w:highlight w:val="auto"/>
        </w:rPr>
        <w:t>。</w:t>
      </w:r>
      <w:r>
        <w:rPr>
          <w:rFonts w:ascii="Times New Roman" w:eastAsia="仿宋_GB2312" w:cs="仿宋_GB2312" w:hAnsi="Times New Roman" w:hint="eastAsia"/>
          <w:b/>
          <w:bCs/>
          <w:color w:val="auto"/>
          <w:kern w:val="2"/>
          <w:sz w:val="32"/>
          <w:szCs w:val="32"/>
          <w:lang w:val="en-US" w:eastAsia="zh-CN" w:bidi="ar-SA"/>
          <w:highlight w:val="auto"/>
        </w:rPr>
        <w:t>（注：支出数与上年持平可以不写原因）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0" w:name="_Toc15377223"/>
      <w:r>
        <w:rPr>
          <w:rFonts w:ascii="Times New Roman" w:eastAsia="楷体_GB2312" w:cs="楷体_GB2312" w:hAnsi="Times New Roman" w:hint="eastAsia"/>
          <w:b/>
          <w:color w:val="auto"/>
          <w:sz w:val="32"/>
          <w:szCs w:val="32"/>
          <w:highlight w:val="auto"/>
        </w:rPr>
        <w:t>（二）政府采购支出情况</w:t>
      </w:r>
      <w:bookmarkEnd w:id="7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阿坝州新华书店</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Times New Roman" w:eastAsia="仿宋_GB2312" w:cs="仿宋_GB2312" w:hAnsi="Times New Roman"/>
          <w:color w:val="auto"/>
          <w:kern w:val="2"/>
          <w:sz w:val="32"/>
          <w:szCs w:val="32"/>
          <w:lang w:val="en-US" w:eastAsia="zh-CN" w:bidi="ar-SA"/>
          <w:highlight w:val="auto"/>
        </w:rPr>
        <w:t>40.36</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Times New Roman" w:eastAsia="仿宋_GB2312" w:cs="仿宋_GB2312" w:hAnsi="Times New Roman"/>
          <w:color w:val="auto"/>
          <w:kern w:val="2"/>
          <w:sz w:val="32"/>
          <w:szCs w:val="32"/>
          <w:lang w:val="en-US" w:eastAsia="zh-CN" w:bidi="ar-SA"/>
          <w:highlight w:val="auto"/>
        </w:rPr>
        <w:t>2.17</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Times New Roman" w:eastAsia="仿宋_GB2312" w:cs="仿宋_GB2312" w:hAnsi="Times New Roman"/>
          <w:color w:val="auto"/>
          <w:kern w:val="2"/>
          <w:sz w:val="32"/>
          <w:szCs w:val="32"/>
          <w:lang w:val="en-US" w:eastAsia="zh-CN" w:bidi="ar-SA"/>
          <w:highlight w:val="auto"/>
        </w:rPr>
        <w:t>38.19</w:t>
      </w:r>
      <w:r>
        <w:rPr>
          <w:rFonts w:ascii="Times New Roman" w:eastAsia="仿宋_GB2312" w:cs="仿宋_GB2312" w:hAnsi="Times New Roman" w:hint="eastAsia"/>
          <w:color w:val="auto"/>
          <w:kern w:val="2"/>
          <w:sz w:val="32"/>
          <w:szCs w:val="32"/>
          <w:lang w:val="en-US" w:eastAsia="zh-CN" w:bidi="ar-SA"/>
          <w:highlight w:val="auto"/>
        </w:rPr>
        <w:t>万元。主要用于</w:t>
      </w:r>
      <w:r>
        <w:rPr>
          <w:rFonts w:ascii="Times New Roman" w:eastAsia="仿宋_GB2312" w:cs="仿宋_GB2312" w:hAnsi="Times New Roman"/>
          <w:color w:val="auto"/>
          <w:kern w:val="2"/>
          <w:sz w:val="32"/>
          <w:szCs w:val="32"/>
          <w:lang w:val="en-US" w:eastAsia="zh-CN" w:bidi="ar-SA"/>
          <w:highlight w:val="auto"/>
        </w:rPr>
        <w:t>公务用车维修费、中转运输费、办公设备采购费</w:t>
      </w:r>
      <w:r>
        <w:rPr>
          <w:rFonts w:ascii="Times New Roman" w:eastAsia="仿宋_GB2312" w:cs="仿宋_GB2312" w:hAnsi="Times New Roman" w:hint="eastAsia"/>
          <w:color w:val="auto"/>
          <w:kern w:val="2"/>
          <w:sz w:val="32"/>
          <w:szCs w:val="32"/>
          <w:lang w:val="en-US" w:eastAsia="zh-CN" w:bidi="ar-SA"/>
          <w:highlight w:val="auto"/>
        </w:rPr>
        <w:t>。授予中小企业合同金额</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Times New Roman" w:eastAsia="仿宋_GB2312" w:cs="仿宋_GB2312" w:hAnsi="Times New Roman"/>
          <w:color w:val="auto"/>
          <w:kern w:val="2"/>
          <w:sz w:val="32"/>
          <w:szCs w:val="32"/>
          <w:lang w:val="en-US" w:eastAsia="zh-CN" w:bidi="ar-SA"/>
          <w:highlight w:val="auto"/>
        </w:rPr>
        <w:t>40.36</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Times New Roman" w:eastAsia="仿宋_GB2312" w:cs="仿宋_GB2312" w:hAnsi="Times New Roman"/>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1" w:name="_Toc15377224"/>
      <w:r>
        <w:rPr>
          <w:rFonts w:ascii="Times New Roman" w:eastAsia="楷体_GB2312" w:cs="楷体_GB2312" w:hAnsi="Times New Roman" w:hint="eastAsia"/>
          <w:b/>
          <w:color w:val="auto"/>
          <w:sz w:val="32"/>
          <w:szCs w:val="32"/>
          <w:highlight w:val="auto"/>
        </w:rPr>
        <w:t>（三）国有资产占有使用情况</w:t>
      </w:r>
      <w:bookmarkEnd w:id="7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阿坝州新华书店</w:t>
      </w:r>
      <w:r>
        <w:rPr>
          <w:rFonts w:ascii="Times New Roman" w:eastAsia="仿宋_GB2312" w:cs="仿宋_GB2312" w:hAnsi="Times New Roman" w:hint="eastAsia"/>
          <w:color w:val="auto"/>
          <w:kern w:val="2"/>
          <w:sz w:val="32"/>
          <w:szCs w:val="32"/>
          <w:lang w:val="en-US" w:eastAsia="zh-CN" w:bidi="ar-SA"/>
          <w:highlight w:val="auto"/>
        </w:rPr>
        <w:t>共有车辆</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Times New Roman" w:eastAsia="仿宋_GB2312" w:cs="仿宋_GB2312" w:hAnsi="Times New Roman"/>
          <w:color w:val="auto"/>
          <w:kern w:val="2"/>
          <w:sz w:val="32"/>
          <w:szCs w:val="32"/>
          <w:lang w:val="en-US" w:eastAsia="zh-CN" w:bidi="ar-SA"/>
          <w:highlight w:val="auto"/>
        </w:rPr>
        <w:t>4</w:t>
      </w:r>
      <w:r>
        <w:rPr>
          <w:rFonts w:ascii="Times New Roman" w:eastAsia="仿宋_GB2312" w:cs="仿宋_GB2312" w:hAnsi="Times New Roman" w:hint="eastAsia"/>
          <w:color w:val="auto"/>
          <w:kern w:val="2"/>
          <w:sz w:val="32"/>
          <w:szCs w:val="32"/>
          <w:lang w:val="en-US" w:eastAsia="zh-CN" w:bidi="ar-SA"/>
          <w:highlight w:val="auto"/>
        </w:rPr>
        <w:t>辆，其他用车主要是用于</w:t>
      </w:r>
      <w:r>
        <w:rPr>
          <w:rFonts w:ascii="仿宋_GB2312" w:eastAsia="仿宋_GB2312" w:cs="仿宋_GB2312"/>
          <w:sz w:val="32"/>
          <w:szCs w:val="32"/>
        </w:rPr>
        <w:t>到各县店</w:t>
      </w:r>
      <w:r>
        <w:rPr>
          <w:rFonts w:ascii="仿宋_GB2312" w:eastAsia="仿宋_GB2312" w:cs="仿宋_GB2312" w:hint="eastAsia"/>
          <w:sz w:val="32"/>
          <w:szCs w:val="32"/>
        </w:rPr>
        <w:t>到</w:t>
      </w:r>
      <w:r>
        <w:rPr>
          <w:rFonts w:ascii="仿宋_GB2312" w:eastAsia="仿宋_GB2312" w:cs="仿宋_GB2312"/>
          <w:sz w:val="32"/>
          <w:szCs w:val="32"/>
        </w:rPr>
        <w:t>上级业务对口单位四川新华</w:t>
      </w:r>
      <w:r>
        <w:rPr>
          <w:rFonts w:ascii="仿宋_GB2312" w:eastAsia="仿宋_GB2312" w:cs="仿宋_GB2312" w:hint="eastAsia"/>
          <w:sz w:val="32"/>
          <w:szCs w:val="32"/>
        </w:rPr>
        <w:t>文轩公司联系业务、开会，“送书下乡”到各乡镇，开展</w:t>
      </w:r>
      <w:r>
        <w:rPr>
          <w:rFonts w:ascii="仿宋_GB2312" w:eastAsia="仿宋_GB2312" w:cs="仿宋_GB2312"/>
          <w:sz w:val="32"/>
          <w:szCs w:val="32"/>
        </w:rPr>
        <w:t>图书中转</w:t>
      </w:r>
      <w:r>
        <w:rPr>
          <w:rFonts w:ascii="仿宋_GB2312" w:eastAsia="仿宋_GB2312" w:cs="仿宋_GB2312" w:hint="eastAsia"/>
          <w:sz w:val="32"/>
          <w:szCs w:val="32"/>
        </w:rPr>
        <w:t>业务等</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ascii="仿宋_GB2312" w:eastAsia="仿宋_GB2312" w:cs="仿宋_GB2312" w:hint="eastAsia"/>
          <w:sz w:val="32"/>
          <w:szCs w:val="32"/>
        </w:rPr>
        <w:t>阿坝州新华书店</w:t>
      </w:r>
      <w:r>
        <w:rPr>
          <w:rFonts w:ascii="Times New Roman" w:eastAsia="仿宋_GB2312" w:cs="仿宋_GB2312" w:hAnsi="Times New Roman" w:hint="eastAsia"/>
          <w:color w:val="auto"/>
          <w:kern w:val="2"/>
          <w:sz w:val="32"/>
          <w:szCs w:val="32"/>
          <w:lang w:val="en-US" w:eastAsia="zh-CN" w:bidi="ar-SA"/>
          <w:highlight w:val="auto"/>
        </w:rPr>
        <w:t>在2025年度，组织对</w:t>
      </w:r>
      <w:r>
        <w:rPr>
          <w:rFonts w:ascii="Times New Roman" w:eastAsia="仿宋_GB2312" w:cs="仿宋_GB2312" w:hAnsi="Times New Roman"/>
          <w:color w:val="auto"/>
          <w:kern w:val="2"/>
          <w:sz w:val="32"/>
          <w:szCs w:val="32"/>
          <w:lang w:val="en-US" w:eastAsia="zh-CN" w:bidi="ar-SA"/>
        </w:rPr>
        <w:t>图书货款、中转站教材教辅及一般图书运费</w:t>
      </w:r>
      <w:r>
        <w:rPr>
          <w:rFonts w:ascii="Times New Roman" w:eastAsia="仿宋_GB2312" w:cs="仿宋_GB2312" w:hAnsi="Times New Roman" w:hint="eastAsia"/>
          <w:color w:val="auto"/>
          <w:kern w:val="2"/>
          <w:sz w:val="32"/>
          <w:szCs w:val="32"/>
          <w:lang w:val="en-US" w:eastAsia="zh-CN" w:bidi="ar-SA"/>
          <w:highlight w:val="auto"/>
        </w:rPr>
        <w:t>等</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个项目涉及金额</w:t>
      </w:r>
      <w:r>
        <w:rPr>
          <w:rFonts w:ascii="Times New Roman" w:eastAsia="仿宋_GB2312" w:cs="仿宋_GB2312" w:hAnsi="Times New Roman"/>
          <w:color w:val="auto"/>
          <w:kern w:val="2"/>
          <w:sz w:val="32"/>
          <w:szCs w:val="32"/>
          <w:lang w:val="en-US" w:eastAsia="zh-CN" w:bidi="ar-SA"/>
        </w:rPr>
        <w:t>314.78</w:t>
      </w:r>
      <w:r>
        <w:rPr>
          <w:rFonts w:ascii="Times New Roman" w:eastAsia="仿宋_GB2312" w:cs="仿宋_GB2312" w:hAnsi="Times New Roman" w:hint="eastAsia"/>
          <w:color w:val="auto"/>
          <w:kern w:val="2"/>
          <w:sz w:val="32"/>
          <w:szCs w:val="32"/>
          <w:lang w:val="en-US" w:eastAsia="zh-CN" w:bidi="ar-SA"/>
          <w:highlight w:val="auto"/>
        </w:rPr>
        <w:t>万元开展了事前绩效评估，对</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个项目编制了绩效目标，预算执行过程中，选取</w:t>
      </w:r>
      <w:r>
        <w:rPr>
          <w:rFonts w:ascii="Times New Roman" w:eastAsia="仿宋_GB2312" w:cs="仿宋_GB2312" w:hAnsi="Times New Roman"/>
          <w:color w:val="auto"/>
          <w:kern w:val="2"/>
          <w:sz w:val="32"/>
          <w:szCs w:val="32"/>
          <w:lang w:val="en-US" w:eastAsia="zh-CN" w:bidi="ar-SA"/>
          <w:highlight w:val="auto"/>
        </w:rPr>
        <w:t>11</w:t>
      </w:r>
      <w:r>
        <w:rPr>
          <w:rFonts w:ascii="Times New Roman" w:eastAsia="仿宋_GB2312" w:cs="仿宋_GB2312" w:hAnsi="Times New Roman" w:hint="eastAsia"/>
          <w:color w:val="auto"/>
          <w:kern w:val="2"/>
          <w:sz w:val="32"/>
          <w:szCs w:val="32"/>
          <w:lang w:val="en-US" w:eastAsia="zh-CN" w:bidi="ar-SA"/>
          <w:highlight w:val="auto"/>
        </w:rPr>
        <w:t>个项目开展绩效监控。</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组织对2025年度一般公共预算、政府性基金预算、国有资本经营预算、社会保险基金预算以及资本资产、债券资金等全面开展绩效自评，形成</w:t>
      </w:r>
      <w:r>
        <w:rPr>
          <w:rFonts w:eastAsia="仿宋_GB2312" w:cs="仿宋_GB2312"/>
          <w:sz w:val="32"/>
          <w:szCs w:val="32"/>
        </w:rPr>
        <w:t>阿坝州新华书店</w:t>
      </w:r>
      <w:r>
        <w:rPr>
          <w:rFonts w:eastAsia="仿宋_GB2312" w:cs="仿宋_GB2312" w:hint="eastAsia"/>
          <w:sz w:val="32"/>
          <w:szCs w:val="32"/>
        </w:rPr>
        <w:t>整体</w:t>
      </w:r>
      <w:r>
        <w:rPr>
          <w:rFonts w:eastAsia="仿宋_GB2312" w:cs="仿宋_GB2312"/>
          <w:sz w:val="32"/>
          <w:szCs w:val="32"/>
        </w:rPr>
        <w:t>单位</w:t>
      </w:r>
      <w:r>
        <w:rPr>
          <w:rFonts w:ascii="Times New Roman" w:eastAsia="仿宋_GB2312" w:cs="仿宋_GB2312" w:hAnsi="Times New Roman" w:hint="eastAsia"/>
          <w:color w:val="auto"/>
          <w:kern w:val="2"/>
          <w:sz w:val="32"/>
          <w:szCs w:val="32"/>
          <w:lang w:val="en-US" w:eastAsia="zh-CN" w:bidi="ar-SA"/>
          <w:highlight w:val="auto"/>
        </w:rPr>
        <w:t>预算（含</w:t>
      </w:r>
      <w:r>
        <w:rPr>
          <w:rFonts w:ascii="Times New Roman" w:eastAsia="仿宋_GB2312" w:cs="仿宋_GB2312" w:hAnsi="Times New Roman"/>
          <w:color w:val="auto"/>
          <w:kern w:val="2"/>
          <w:sz w:val="32"/>
          <w:szCs w:val="32"/>
          <w:lang w:val="en-US" w:eastAsia="zh-CN" w:bidi="ar-SA"/>
          <w:highlight w:val="auto"/>
        </w:rPr>
        <w:t>单位</w:t>
      </w:r>
      <w:r>
        <w:rPr>
          <w:rFonts w:ascii="Times New Roman" w:eastAsia="仿宋_GB2312" w:cs="仿宋_GB2312" w:hAnsi="Times New Roman" w:hint="eastAsia"/>
          <w:color w:val="auto"/>
          <w:kern w:val="2"/>
          <w:sz w:val="32"/>
          <w:szCs w:val="32"/>
          <w:lang w:val="en-US" w:eastAsia="zh-CN" w:bidi="ar-SA"/>
          <w:highlight w:val="auto"/>
        </w:rPr>
        <w:t>预算项目）绩效自评报告、</w:t>
      </w:r>
      <w:r>
        <w:rPr>
          <w:rFonts w:ascii="Times New Roman" w:eastAsia="仿宋_GB2312" w:cs="仿宋_GB2312" w:hAnsi="Times New Roman"/>
          <w:color w:val="auto"/>
          <w:kern w:val="2"/>
          <w:sz w:val="32"/>
          <w:szCs w:val="32"/>
          <w:lang w:val="en-US" w:eastAsia="zh-CN" w:bidi="ar-SA"/>
        </w:rPr>
        <w:t>图书货款、中转站教材教辅及一般图书运费</w:t>
      </w:r>
      <w:r>
        <w:rPr>
          <w:rFonts w:ascii="Times New Roman" w:eastAsia="仿宋_GB2312" w:cs="仿宋_GB2312" w:hAnsi="Times New Roman" w:hint="eastAsia"/>
          <w:color w:val="auto"/>
          <w:kern w:val="2"/>
          <w:sz w:val="32"/>
          <w:szCs w:val="32"/>
          <w:lang w:val="en-US" w:eastAsia="zh-CN" w:bidi="ar-SA"/>
          <w:highlight w:val="auto"/>
        </w:rPr>
        <w:t>等专项预算项目绩效自评报告，其中，</w:t>
      </w:r>
      <w:r>
        <w:rPr>
          <w:rFonts w:eastAsia="仿宋_GB2312" w:cs="仿宋_GB2312"/>
          <w:sz w:val="32"/>
          <w:szCs w:val="32"/>
        </w:rPr>
        <w:t>阿坝州新华书店</w:t>
      </w:r>
      <w:r>
        <w:rPr>
          <w:rFonts w:ascii="Times New Roman" w:eastAsia="仿宋_GB2312" w:cs="仿宋_GB2312" w:hAnsi="Times New Roman"/>
          <w:color w:val="auto"/>
          <w:kern w:val="2"/>
          <w:sz w:val="32"/>
          <w:szCs w:val="32"/>
          <w:lang w:val="en-US" w:eastAsia="zh-CN" w:bidi="ar-SA"/>
          <w:highlight w:val="auto"/>
        </w:rPr>
        <w:t>单位</w:t>
      </w:r>
      <w:r>
        <w:rPr>
          <w:rFonts w:ascii="Times New Roman" w:eastAsia="仿宋_GB2312" w:cs="仿宋_GB2312" w:hAnsi="Times New Roman" w:hint="eastAsia"/>
          <w:color w:val="auto"/>
          <w:kern w:val="2"/>
          <w:sz w:val="32"/>
          <w:szCs w:val="32"/>
          <w:lang w:val="en-US" w:eastAsia="zh-CN" w:bidi="ar-SA"/>
          <w:highlight w:val="auto"/>
        </w:rPr>
        <w:t>预算（含</w:t>
      </w:r>
      <w:r>
        <w:rPr>
          <w:rFonts w:ascii="Times New Roman" w:eastAsia="仿宋_GB2312" w:cs="仿宋_GB2312" w:hAnsi="Times New Roman"/>
          <w:color w:val="auto"/>
          <w:kern w:val="2"/>
          <w:sz w:val="32"/>
          <w:szCs w:val="32"/>
          <w:lang w:val="en-US" w:eastAsia="zh-CN" w:bidi="ar-SA"/>
          <w:highlight w:val="auto"/>
        </w:rPr>
        <w:t>单位</w:t>
      </w:r>
      <w:r>
        <w:rPr>
          <w:rFonts w:ascii="Times New Roman" w:eastAsia="仿宋_GB2312" w:cs="仿宋_GB2312" w:hAnsi="Times New Roman" w:hint="eastAsia"/>
          <w:color w:val="auto"/>
          <w:kern w:val="2"/>
          <w:sz w:val="32"/>
          <w:szCs w:val="32"/>
          <w:lang w:val="en-US" w:eastAsia="zh-CN" w:bidi="ar-SA"/>
          <w:highlight w:val="auto"/>
        </w:rPr>
        <w:t>预算项目）绩效自评得分为</w:t>
      </w:r>
      <w:r>
        <w:rPr>
          <w:rFonts w:ascii="仿宋_GB2312" w:cs="仿宋_GB2312" w:hAnsi="仿宋_GB2312"/>
          <w:b w:val="0"/>
          <w:bCs w:val="0"/>
          <w:kern w:val="0"/>
          <w:position w:val="0"/>
          <w:sz w:val="32"/>
          <w:szCs w:val="32"/>
          <w:lang w:val="en-US" w:eastAsia="zh-CN" w:bidi="ar-SA"/>
          <w:highlight w:val="auto"/>
        </w:rPr>
        <w:t>94</w:t>
      </w:r>
      <w:r>
        <w:rPr>
          <w:rFonts w:ascii="Times New Roman" w:eastAsia="仿宋_GB2312" w:cs="仿宋_GB2312" w:hAnsi="Times New Roman" w:hint="eastAsia"/>
          <w:color w:val="auto"/>
          <w:kern w:val="2"/>
          <w:sz w:val="32"/>
          <w:szCs w:val="32"/>
          <w:lang w:val="en-US" w:eastAsia="zh-CN" w:bidi="ar-SA"/>
          <w:highlight w:val="auto"/>
        </w:rPr>
        <w:t>分，绩效自评综述</w:t>
      </w:r>
      <w:r>
        <w:rPr>
          <w:rFonts w:eastAsia="仿宋_GB2312" w:cs="仿宋_GB2312" w:hint="eastAsia"/>
          <w:sz w:val="32"/>
          <w:szCs w:val="32"/>
        </w:rPr>
        <w:t>州新华书店按照国家的法律法规加强预算管理，严格开支标准，加强经费使用的监督管理，不断完善内控制度及单位会计核算制度，认真完成州委、州政府赋予的各项工作任务，项目支出绩效和财政资金使用情况较好</w:t>
      </w:r>
      <w:r>
        <w:rPr>
          <w:rFonts w:ascii="Times New Roman" w:eastAsia="仿宋_GB2312" w:cs="仿宋_GB2312" w:hAnsi="Times New Roman" w:hint="eastAsia"/>
          <w:color w:val="auto"/>
          <w:kern w:val="2"/>
          <w:sz w:val="32"/>
          <w:szCs w:val="32"/>
          <w:lang w:val="en-US" w:eastAsia="zh-CN" w:bidi="ar-SA"/>
          <w:highlight w:val="auto"/>
        </w:rPr>
        <w:t>。绩效自评报告详见附件。（注：如不涉及，可根据实际修改表述。）</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72" w:name="_Toc15377225"/>
      <w:bookmarkStart w:id="73" w:name="_Toc15396613"/>
      <w:bookmarkStart w:id="74" w:name="_Toc46114067"/>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72"/>
      <w:bookmarkEnd w:id="73"/>
      <w:bookmarkEnd w:id="74"/>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2.事业收入：指事业单位开展专业业务活动及辅助活动取得的收入。如……（二级预算单位事业收入情况）等。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3.经营收入：指事业单位在专业业务活动及其辅助活动之外开展非独立核算经营活动取得的收入。如……（二级预算单位经营收入情况）等。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4.其他收入：指单位取得的除上述收入以外的各项收入。主要是……（收入类型）等。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5.使用非财政拨款结余（含专用结余）：指事业单位使用以前年度积累的非财政拨款结余弥补当年收支差额的金额。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6.年初结转和结余：指以前年度尚未完成、结转到本年按有关规定继续使用的资金。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7.结余分配：指事业单位按照会计制度规定缴纳的所得税、提取的专用结余以及转入非财政拨款结余的金额等。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8.年末结转和结余：指单位按有关规定结转到下年或以后年度继续使用的资金。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9.一般公共服务（类）……（款）……（项）：指……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10.外交（类）……（款）……（项）：指……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11.公共安全（类）……（款）……（项）：指……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12.教育（类）……（款）……（项）：指……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13.科学技术（类）……（款）……（项）：指……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14.文化旅游体育与传媒（类）……（款）……（项）：指……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15.社会保障和就业（类）……（款）……（项）：指……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16.卫生健康（类）……（款）……（项）：指……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17.节能环保（类）……（款）……（项）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18.城乡社区（类）……（款）……（项）：指……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19.农林水（类）……（款）……（项）：指……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20.交通运输（类）……（款）……（项）：指……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21.资源勘探工业信息等（类）……（款）……（项）：指……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22.商业服务业（类）……（款）……（项）：指……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23.金融（类）……（款）……（项）：指……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24.自然资源海洋气象等（类）……（款）……（项）：指……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25.住房保障（类）……（款）……（项）：指……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26.粮油物资储备（类）……（款）……（项）：指……</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w:t>
      </w:r>
      <w:r>
        <w:rPr>
          <w:rFonts w:eastAsia="仿宋_GB2312" w:cs="仿宋_GB2312" w:hint="eastAsia"/>
          <w:b/>
          <w:bCs/>
          <w:color w:val="auto"/>
          <w:kern w:val="2"/>
          <w:sz w:val="32"/>
          <w:szCs w:val="32"/>
          <w:lang w:val="en-US" w:eastAsia="zh-CN" w:bidi="ar-SA"/>
          <w:highlight w:val="auto"/>
        </w:rPr>
        <w:t>注：</w:t>
      </w:r>
      <w:r>
        <w:rPr>
          <w:rFonts w:ascii="Times New Roman" w:eastAsia="仿宋_GB2312" w:cs="仿宋_GB2312" w:hAnsi="Times New Roman" w:hint="eastAsia"/>
          <w:b/>
          <w:bCs/>
          <w:color w:val="auto"/>
          <w:kern w:val="2"/>
          <w:sz w:val="32"/>
          <w:szCs w:val="32"/>
          <w:lang w:val="en-US" w:eastAsia="zh-CN" w:bidi="ar-SA"/>
          <w:highlight w:val="auto"/>
        </w:rPr>
        <w:t>解释本部门决算报表中涉及的全部功能分类科目至项级，不涉及的科目请自行删除。请参照</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202</w:t>
      </w:r>
      <w:r>
        <w:rPr>
          <w:rFonts w:eastAsia="仿宋_GB2312" w:cs="仿宋_GB2312" w:hint="eastAsia"/>
          <w:b/>
          <w:bCs/>
          <w:color w:val="auto"/>
          <w:kern w:val="2"/>
          <w:sz w:val="32"/>
          <w:szCs w:val="32"/>
          <w:lang w:val="en-US" w:eastAsia="zh-CN" w:bidi="ar-SA"/>
          <w:highlight w:val="auto"/>
        </w:rPr>
        <w:t>5</w:t>
      </w:r>
      <w:r>
        <w:rPr>
          <w:rFonts w:ascii="Times New Roman" w:eastAsia="仿宋_GB2312" w:cs="仿宋_GB2312" w:hAnsi="Times New Roman" w:hint="eastAsia"/>
          <w:b/>
          <w:bCs/>
          <w:color w:val="auto"/>
          <w:kern w:val="2"/>
          <w:sz w:val="32"/>
          <w:szCs w:val="32"/>
          <w:lang w:val="en-US" w:eastAsia="zh-CN" w:bidi="ar-SA"/>
          <w:highlight w:val="auto"/>
        </w:rPr>
        <w:t>年政府收支分类科目</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增减内容）</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27.基本支出：指为保障机构正常运转、完成日常工作任务而发生的人员支出和公用支出。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28.项目支出：指在基本支出之外为完成特定行政任务和事业发展目标所发生的支出。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29.经营支出：指事业单位在专业业务活动及其辅助活动之外开展非独立核算经营活动发生的支出。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32.……</w:t>
      </w:r>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（注：名词解释部分请根据各部门实际列支情况罗列，并根据本部门职责职能增减名词解释内容）</w:t>
      </w:r>
    </w:p>
    <w:p>
      <w:pPr>
        <w:pStyle w:val="1"/>
        <w:spacing w:line="578" w:lineRule="auto"/>
        <w:jc w:val="center"/>
        <w:rPr>
          <w:rStyle w:val="1Char"/>
          <w:rFonts w:ascii="Times New Roman" w:eastAsia="黑体" w:hAnsi="Times New Roman" w:hint="eastAsia"/>
          <w:b w:val="0"/>
          <w:color w:val="auto"/>
          <w:lang w:eastAsia="zh-CN"/>
          <w:highlight w:val="auto"/>
        </w:rPr>
      </w:pPr>
      <w:bookmarkStart w:id="75" w:name="_Toc15377226"/>
      <w:r>
        <w:rPr>
          <w:rFonts w:hint="eastAsia"/>
        </w:rPr>
        <w:br w:type="page"/>
      </w:r>
      <w:bookmarkStart w:id="76" w:name="_Toc15396614"/>
      <w:bookmarkStart w:id="77" w:name="_Toc46114068"/>
      <w:r>
        <w:rPr>
          <w:rFonts w:eastAsia="方正小标宋简体" w:cs="方正小标宋简体" w:hint="eastAsia"/>
          <w:b w:val="0"/>
        </w:rPr>
        <w:t>第四部分  附件</w:t>
      </w:r>
      <w:bookmarkEnd w:id="76"/>
      <w:bookmarkEnd w:id="77"/>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方正小标宋简体" w:hAnsi="Times New Roman" w:hint="eastAsia"/>
          <w:color w:val="auto"/>
          <w:sz w:val="44"/>
          <w:szCs w:val="44"/>
          <w:lang w:val="en-US" w:eastAsia="zh-CN"/>
          <w:highlight w:val="auto"/>
        </w:rPr>
      </w:pPr>
      <w:bookmarkStart w:id="78" w:name="_Toc46114069"/>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bookmarkEnd w:id="78"/>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ascii="Times New Roman" w:eastAsia="宋体" w:cs="Times New Roman" w:hAnsi="Times New Roman"/>
          <w:b/>
          <w:sz w:val="44"/>
          <w:szCs w:val="44"/>
          <w:highlight w:val="auto"/>
        </w:rPr>
      </w:pPr>
    </w:p>
    <w:p>
      <w:pPr>
        <w:keepNext w:val="0"/>
        <w:keepLines w:val="0"/>
        <w:pageBreakBefore w:val="0"/>
        <w:widowControl/>
        <w:kinsoku/>
        <w:wordWrap/>
        <w:overflowPunct/>
        <w:topLinePunct w:val="0"/>
        <w:autoSpaceDE/>
        <w:autoSpaceDN/>
        <w:spacing w:line="578" w:lineRule="exact"/>
        <w:contextualSpacing/>
        <w:jc w:val="center"/>
        <w:rPr>
          <w:rFonts w:eastAsia="方正小标宋简体"/>
          <w:sz w:val="44"/>
          <w:szCs w:val="44"/>
        </w:rPr>
      </w:pPr>
      <w:r>
        <w:rPr>
          <w:rFonts w:eastAsia="方正小标宋简体"/>
          <w:sz w:val="44"/>
          <w:szCs w:val="44"/>
        </w:rPr>
        <w:t>阿坝州新华书店</w:t>
      </w:r>
    </w:p>
    <w:p>
      <w:pPr>
        <w:keepNext w:val="0"/>
        <w:keepLines w:val="0"/>
        <w:pageBreakBefore w:val="0"/>
        <w:widowControl/>
        <w:kinsoku/>
        <w:wordWrap/>
        <w:overflowPunct/>
        <w:topLinePunct w:val="0"/>
        <w:autoSpaceDE/>
        <w:autoSpaceDN/>
        <w:spacing w:line="578" w:lineRule="exact"/>
        <w:contextualSpacing/>
        <w:jc w:val="center"/>
        <w:rPr>
          <w:rFonts w:eastAsia="方正小标宋简体"/>
          <w:sz w:val="44"/>
          <w:szCs w:val="44"/>
        </w:rPr>
      </w:pPr>
      <w:r>
        <w:rPr>
          <w:rFonts w:eastAsia="方正小标宋简体"/>
          <w:sz w:val="44"/>
          <w:szCs w:val="44"/>
        </w:rPr>
        <w:t>2025年</w:t>
      </w:r>
      <w:r>
        <w:rPr>
          <w:rFonts w:ascii="Times New Roman" w:eastAsia="方正小标宋简体" w:cs="Times New Roman" w:hAnsi="Times New Roman"/>
          <w:b w:val="0"/>
          <w:bCs/>
          <w:sz w:val="44"/>
          <w:szCs w:val="44"/>
          <w:lang w:eastAsia="zh-CN"/>
          <w:highlight w:val="auto"/>
        </w:rPr>
        <w:t>预算</w:t>
      </w:r>
      <w:r>
        <w:rPr>
          <w:rFonts w:ascii="Times New Roman" w:eastAsia="方正小标宋简体" w:cs="Times New Roman" w:hAnsi="Times New Roman"/>
          <w:b w:val="0"/>
          <w:bCs/>
          <w:sz w:val="44"/>
          <w:szCs w:val="44"/>
          <w:highlight w:val="auto"/>
        </w:rPr>
        <w:t>绩效</w:t>
      </w:r>
      <w:r>
        <w:rPr>
          <w:rFonts w:eastAsia="方正小标宋简体" w:cs="Times New Roman" w:hint="eastAsia"/>
          <w:b w:val="0"/>
          <w:bCs/>
          <w:sz w:val="44"/>
          <w:szCs w:val="44"/>
          <w:lang w:eastAsia="zh-CN"/>
          <w:highlight w:val="auto"/>
        </w:rPr>
        <w:t>自评</w:t>
      </w:r>
      <w:r>
        <w:rPr>
          <w:rFonts w:ascii="Times New Roman" w:eastAsia="方正小标宋简体" w:cs="Times New Roman" w:hAnsi="Times New Roman"/>
          <w:b w:val="0"/>
          <w:bCs/>
          <w:sz w:val="44"/>
          <w:szCs w:val="44"/>
          <w:highlight w:val="auto"/>
        </w:rPr>
        <w:t>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cs="Times New Roman" w:hAnsi="Times New Roman"/>
          <w:szCs w:val="32"/>
          <w:highlight w:val="auto"/>
        </w:rPr>
      </w:pP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cs="Times New Roman" w:hAnsi="Times New Roman"/>
          <w:sz w:val="32"/>
          <w:szCs w:val="32"/>
        </w:rPr>
      </w:pPr>
      <w:r>
        <w:rPr>
          <w:rFonts w:ascii="Times New Roman" w:eastAsia="黑体" w:cs="Times New Roman" w:hAnsi="Times New Roman"/>
          <w:color w:val="000000"/>
          <w:kern w:val="0"/>
          <w:sz w:val="32"/>
          <w:szCs w:val="32"/>
          <w:lang w:val="zh-CN"/>
          <w:highlight w:val="auto"/>
        </w:rPr>
        <w:t>一、部门（单位）基本情况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_GB2312" w:eastAsia="仿宋_GB2312" w:cs="Times New Roman" w:hint="eastAsia"/>
          <w:sz w:val="32"/>
          <w:szCs w:val="32"/>
        </w:rPr>
      </w:pPr>
      <w:r>
        <w:rPr>
          <w:rFonts w:ascii="Times New Roman" w:eastAsia="楷体_GB2312" w:cs="Times New Roman" w:hAnsi="Times New Roman"/>
          <w:b/>
          <w:bCs/>
          <w:color w:val="000000"/>
          <w:kern w:val="0"/>
          <w:sz w:val="32"/>
          <w:szCs w:val="32"/>
          <w:lang w:val="zh-CN"/>
          <w:highlight w:val="auto"/>
        </w:rPr>
        <w:t>（一）机构组成。</w:t>
      </w:r>
      <w:r>
        <w:rPr>
          <w:color w:val="000000"/>
          <w:kern w:val="0"/>
          <w:sz w:val="32"/>
          <w:szCs w:val="32"/>
        </w:rPr>
        <w:t>阿</w:t>
      </w:r>
      <w:r>
        <w:rPr>
          <w:rFonts w:ascii="仿宋_GB2312" w:eastAsia="仿宋_GB2312" w:hint="eastAsia"/>
          <w:color w:val="000000"/>
          <w:kern w:val="0"/>
          <w:sz w:val="32"/>
          <w:szCs w:val="32"/>
        </w:rPr>
        <w:t>坝州新华书店属差额拨款事业单位，纳入预算管理，预算编码201004。</w:t>
      </w:r>
      <w:r>
        <w:rPr>
          <w:rFonts w:ascii="仿宋_GB2312" w:eastAsia="仿宋_GB2312" w:cs="Times New Roman" w:hint="eastAsia"/>
          <w:sz w:val="32"/>
          <w:szCs w:val="32"/>
          <w:lang w:val="en-US" w:eastAsia="zh-CN"/>
        </w:rPr>
        <w:t>单位</w:t>
      </w:r>
      <w:r>
        <w:rPr>
          <w:rFonts w:ascii="仿宋_GB2312" w:eastAsia="仿宋_GB2312" w:cs="Times New Roman" w:hint="eastAsia"/>
          <w:sz w:val="32"/>
          <w:szCs w:val="32"/>
          <w:lang w:eastAsia="zh-CN"/>
        </w:rPr>
        <w:t>内设5个</w:t>
      </w:r>
      <w:r>
        <w:rPr>
          <w:rFonts w:ascii="仿宋_GB2312" w:eastAsia="仿宋_GB2312" w:cs="Times New Roman" w:hint="eastAsia"/>
          <w:sz w:val="32"/>
          <w:szCs w:val="32"/>
        </w:rPr>
        <w:t>科室，分别为办公室、财务室、图书经营部、教材发行室、图书中转室。</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hint="eastAsia"/>
          <w:bCs/>
          <w:color w:val="000000"/>
          <w:kern w:val="0"/>
          <w:sz w:val="32"/>
          <w:szCs w:val="32"/>
          <w:lang w:val="zh-CN"/>
          <w:highlight w:val="auto"/>
        </w:rPr>
      </w:pPr>
      <w:r>
        <w:rPr>
          <w:rFonts w:ascii="Times New Roman" w:eastAsia="楷体_GB2312" w:cs="Times New Roman" w:hAnsi="Times New Roman"/>
          <w:b/>
          <w:bCs/>
          <w:color w:val="000000"/>
          <w:kern w:val="0"/>
          <w:sz w:val="32"/>
          <w:szCs w:val="32"/>
          <w:lang w:val="zh-CN"/>
          <w:highlight w:val="auto"/>
        </w:rPr>
        <w:t>（二）机构职能。</w:t>
      </w:r>
      <w:r>
        <w:rPr>
          <w:rFonts w:ascii="仿宋_GB2312" w:eastAsia="仿宋_GB2312" w:hint="eastAsia"/>
          <w:color w:val="000000"/>
          <w:kern w:val="0"/>
          <w:sz w:val="32"/>
          <w:szCs w:val="32"/>
        </w:rPr>
        <w:t>阿坝州新华书店主要负责全州新华书店中小学教材教辅、一般图书、藏文图书等出版物发行工作的业务指导；负责全州新华书店教材教辅、一般图书的中转运输；全州寺庙书屋补充出版物工作；负责马尔康地区中小学教材教辅、一般图书、藏文图书等出版物的发行工作</w:t>
      </w:r>
      <w:r>
        <w:rPr>
          <w:rFonts w:ascii="仿宋_GB2312" w:eastAsia="仿宋_GB2312" w:hint="eastAsia"/>
          <w:color w:val="00000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ascii="仿宋_GB2312" w:eastAsia="仿宋_GB2312" w:hint="eastAsia"/>
          <w:color w:val="000000"/>
          <w:kern w:val="0"/>
          <w:sz w:val="32"/>
          <w:szCs w:val="32"/>
        </w:rPr>
      </w:pPr>
      <w:r>
        <w:rPr>
          <w:rFonts w:ascii="Times New Roman" w:eastAsia="楷体_GB2312" w:cs="Times New Roman" w:hAnsi="Times New Roman"/>
          <w:b/>
          <w:bCs/>
          <w:color w:val="000000"/>
          <w:kern w:val="0"/>
          <w:sz w:val="32"/>
          <w:szCs w:val="32"/>
          <w:lang w:val="zh-CN"/>
          <w:highlight w:val="auto"/>
        </w:rPr>
        <w:t>（三）人员概况。</w:t>
      </w:r>
      <w:r>
        <w:rPr>
          <w:rFonts w:ascii="仿宋_GB2312" w:eastAsia="仿宋_GB2312" w:hint="eastAsia"/>
          <w:color w:val="000000"/>
          <w:kern w:val="0"/>
          <w:sz w:val="32"/>
          <w:szCs w:val="32"/>
        </w:rPr>
        <w:t>截至2025年末，阿坝</w:t>
      </w:r>
      <w:r>
        <w:rPr>
          <w:rFonts w:ascii="仿宋_GB2312" w:eastAsia="仿宋_GB2312" w:hint="eastAsia"/>
          <w:color w:val="000000"/>
          <w:kern w:val="0"/>
          <w:sz w:val="32"/>
          <w:szCs w:val="32"/>
          <w:lang w:val="en-US" w:eastAsia="zh-CN"/>
        </w:rPr>
        <w:t>州新华书店</w:t>
      </w:r>
      <w:r>
        <w:rPr>
          <w:rFonts w:ascii="仿宋_GB2312" w:eastAsia="仿宋_GB2312" w:hint="eastAsia"/>
          <w:color w:val="000000"/>
          <w:kern w:val="0"/>
          <w:sz w:val="32"/>
          <w:szCs w:val="32"/>
        </w:rPr>
        <w:t>编制数19个，实有人数</w:t>
      </w:r>
      <w:r>
        <w:rPr>
          <w:rFonts w:ascii="仿宋_GB2312" w:eastAsia="仿宋_GB2312" w:hint="eastAsia"/>
          <w:color w:val="000000"/>
          <w:kern w:val="0"/>
          <w:sz w:val="32"/>
          <w:szCs w:val="32"/>
          <w:lang w:val="en-US" w:eastAsia="zh-CN"/>
        </w:rPr>
        <w:t>16人；退休人员19人。</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黑体" w:cs="Times New Roman" w:hAnsi="Times New Roman"/>
          <w:color w:val="000000"/>
          <w:kern w:val="0"/>
          <w:sz w:val="32"/>
          <w:szCs w:val="32"/>
          <w:highlight w:val="auto"/>
        </w:rPr>
      </w:pPr>
      <w:r>
        <w:rPr>
          <w:rFonts w:ascii="Times New Roman" w:eastAsia="黑体" w:cs="Times New Roman" w:hAnsi="Times New Roman"/>
          <w:color w:val="000000"/>
          <w:kern w:val="0"/>
          <w:sz w:val="32"/>
          <w:szCs w:val="32"/>
          <w:highlight w:val="auto"/>
        </w:rPr>
        <w:t>二、</w:t>
      </w:r>
      <w:r>
        <w:rPr>
          <w:rFonts w:ascii="Times New Roman" w:eastAsia="黑体" w:cs="Times New Roman" w:hAnsi="Times New Roman"/>
          <w:color w:val="000000"/>
          <w:kern w:val="0"/>
          <w:sz w:val="32"/>
          <w:szCs w:val="32"/>
          <w:lang w:eastAsia="zh-CN"/>
          <w:highlight w:val="auto"/>
        </w:rPr>
        <w:t>部门</w:t>
      </w:r>
      <w:r>
        <w:rPr>
          <w:rFonts w:ascii="Times New Roman" w:eastAsia="黑体" w:cs="Times New Roman" w:hAnsi="Times New Roman"/>
          <w:color w:val="000000"/>
          <w:kern w:val="0"/>
          <w:sz w:val="32"/>
          <w:szCs w:val="32"/>
          <w:highlight w:val="auto"/>
        </w:rPr>
        <w:t>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hint="eastAsia"/>
          <w:bCs/>
          <w:color w:val="000000"/>
          <w:kern w:val="0"/>
          <w:sz w:val="32"/>
          <w:szCs w:val="32"/>
          <w:lang w:val="en-US"/>
          <w:highlight w:val="auto"/>
        </w:rPr>
      </w:pPr>
      <w:r>
        <w:rPr>
          <w:rFonts w:ascii="Times New Roman" w:eastAsia="楷体_GB2312" w:cs="Times New Roman" w:hAnsi="Times New Roman"/>
          <w:b/>
          <w:bCs/>
          <w:color w:val="000000"/>
          <w:kern w:val="0"/>
          <w:sz w:val="32"/>
          <w:szCs w:val="32"/>
          <w:lang w:val="zh-CN"/>
          <w:highlight w:val="auto"/>
        </w:rPr>
        <w:t>（一）收入情况。</w:t>
      </w:r>
      <w:r>
        <w:rPr>
          <w:rFonts w:ascii="仿宋_GB2312" w:eastAsia="仿宋_GB2312" w:hint="eastAsia"/>
          <w:color w:val="000000"/>
          <w:kern w:val="0"/>
          <w:sz w:val="32"/>
          <w:szCs w:val="32"/>
          <w:lang w:val="en-US" w:eastAsia="zh-CN"/>
        </w:rPr>
        <w:t>阿坝州新华书店2025年年初一般公共预算财政拨款收入831.98万元、决算报表收入936.91万元。</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hint="eastAsia"/>
          <w:color w:val="000000"/>
          <w:kern w:val="0"/>
          <w:sz w:val="32"/>
          <w:szCs w:val="32"/>
        </w:rPr>
      </w:pPr>
      <w:r>
        <w:rPr>
          <w:rFonts w:ascii="Times New Roman" w:eastAsia="楷体_GB2312" w:cs="Times New Roman" w:hAnsi="Times New Roman"/>
          <w:b/>
          <w:bCs/>
          <w:color w:val="000000"/>
          <w:kern w:val="0"/>
          <w:sz w:val="32"/>
          <w:szCs w:val="32"/>
          <w:lang w:val="zh-CN"/>
          <w:highlight w:val="auto"/>
        </w:rPr>
        <w:t>（二）支出情况。</w:t>
      </w:r>
      <w:r>
        <w:rPr>
          <w:rFonts w:ascii="仿宋_GB2312" w:eastAsia="仿宋_GB2312" w:hint="eastAsia"/>
          <w:color w:val="000000"/>
          <w:kern w:val="0"/>
          <w:sz w:val="32"/>
          <w:szCs w:val="32"/>
          <w:lang w:val="en-US" w:eastAsia="zh-CN"/>
        </w:rPr>
        <w:t>阿坝州新华书店2025年年初预算支出831.98万元，其中：人员经费支出为436.73万元，公用经费支出为48.24万元，项目支出347.01万元</w:t>
      </w:r>
      <w:r>
        <w:rPr>
          <w:rFonts w:ascii="仿宋_GB2312" w:eastAsia="仿宋_GB2312" w:hint="eastAsia"/>
          <w:color w:val="000000"/>
          <w:kern w:val="0"/>
          <w:sz w:val="32"/>
          <w:szCs w:val="32"/>
        </w:rPr>
        <w:t>；</w:t>
      </w:r>
      <w:r>
        <w:rPr>
          <w:rFonts w:ascii="仿宋_GB2312" w:eastAsia="仿宋_GB2312" w:hint="eastAsia"/>
          <w:color w:val="000000"/>
          <w:kern w:val="0"/>
          <w:sz w:val="32"/>
          <w:szCs w:val="32"/>
          <w:lang w:val="en-US" w:eastAsia="zh-CN"/>
        </w:rPr>
        <w:t>决算报表支出789.70万元，其中：人员经费支出为444.73万元，公用经费支出为30.19万元，项目支出314.78万元</w:t>
      </w:r>
      <w:r>
        <w:rPr>
          <w:rFonts w:ascii="仿宋_GB2312" w:eastAsia="仿宋_GB2312" w:hint="eastAsia"/>
          <w:color w:val="000000"/>
          <w:kern w:val="0"/>
          <w:sz w:val="32"/>
          <w:szCs w:val="32"/>
        </w:rPr>
        <w:t>。</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hint="eastAsia"/>
          <w:color w:val="000000"/>
          <w:kern w:val="0"/>
          <w:sz w:val="32"/>
          <w:szCs w:val="32"/>
          <w:lang w:val="en-US" w:eastAsia="zh-CN"/>
          <w:highlight w:val="auto"/>
        </w:rPr>
      </w:pPr>
      <w:r>
        <w:rPr>
          <w:rFonts w:ascii="Times New Roman" w:eastAsia="楷体_GB2312" w:cs="Times New Roman" w:hAnsi="Times New Roman"/>
          <w:b/>
          <w:bCs/>
          <w:color w:val="000000"/>
          <w:kern w:val="0"/>
          <w:sz w:val="32"/>
          <w:szCs w:val="32"/>
          <w:lang w:val="zh-CN"/>
          <w:highlight w:val="auto"/>
        </w:rPr>
        <w:t>（三）</w:t>
      </w:r>
      <w:r>
        <w:rPr>
          <w:rFonts w:ascii="Times New Roman" w:eastAsia="楷体_GB2312" w:cs="Times New Roman" w:hAnsi="Times New Roman"/>
          <w:b/>
          <w:sz w:val="32"/>
          <w:szCs w:val="32"/>
        </w:rPr>
        <w:t>结余分配和结转结余情况</w:t>
      </w:r>
      <w:r>
        <w:rPr>
          <w:rFonts w:ascii="Times New Roman" w:eastAsia="楷体_GB2312" w:cs="Times New Roman" w:hAnsi="Times New Roman"/>
          <w:b/>
          <w:sz w:val="32"/>
          <w:szCs w:val="32"/>
          <w:lang w:eastAsia="zh-CN"/>
        </w:rPr>
        <w:t>。</w:t>
      </w:r>
      <w:r>
        <w:rPr>
          <w:rFonts w:ascii="仿宋_GB2312" w:eastAsia="仿宋_GB2312" w:hint="eastAsia"/>
          <w:color w:val="000000"/>
          <w:kern w:val="0"/>
          <w:sz w:val="32"/>
          <w:szCs w:val="32"/>
          <w:lang w:val="en-US" w:eastAsia="zh-CN"/>
        </w:rPr>
        <w:t>阿坝州新华书店2025年决算报表含上年非财政拨款收入</w:t>
      </w:r>
      <w:r>
        <w:rPr>
          <w:rFonts w:ascii="仿宋_GB2312" w:eastAsia="仿宋_GB2312" w:hint="eastAsia"/>
          <w:color w:val="000000"/>
          <w:kern w:val="0"/>
          <w:sz w:val="32"/>
          <w:szCs w:val="32"/>
          <w:lang w:val="en-US" w:eastAsia="zh-CN"/>
          <w:highlight w:val="auto"/>
        </w:rPr>
        <w:t>结转</w:t>
      </w:r>
      <w:r>
        <w:rPr>
          <w:rFonts w:ascii="仿宋_GB2312" w:eastAsia="仿宋_GB2312" w:hint="eastAsia"/>
          <w:color w:val="000000"/>
          <w:kern w:val="0"/>
          <w:sz w:val="32"/>
          <w:szCs w:val="32"/>
          <w:lang w:val="en-US" w:eastAsia="zh-CN"/>
        </w:rPr>
        <w:t>902.32万元，非财政拨款收入</w:t>
      </w:r>
      <w:r>
        <w:rPr>
          <w:rFonts w:ascii="仿宋_GB2312" w:eastAsia="仿宋_GB2312" w:hint="eastAsia"/>
          <w:color w:val="000000"/>
          <w:kern w:val="0"/>
          <w:sz w:val="32"/>
          <w:szCs w:val="32"/>
          <w:lang w:val="en-US" w:eastAsia="zh-CN"/>
          <w:highlight w:val="auto"/>
        </w:rPr>
        <w:t>结余</w:t>
      </w:r>
      <w:r>
        <w:rPr>
          <w:rFonts w:ascii="仿宋_GB2312" w:eastAsia="仿宋_GB2312" w:hint="eastAsia"/>
          <w:color w:val="000000"/>
          <w:kern w:val="0"/>
          <w:sz w:val="32"/>
          <w:szCs w:val="32"/>
          <w:lang w:val="en-US" w:eastAsia="zh-CN"/>
        </w:rPr>
        <w:t>147.20万元，为经营收入用于人员工资、货款等运行使用</w:t>
      </w:r>
      <w:r>
        <w:rPr>
          <w:rFonts w:ascii="仿宋_GB2312" w:eastAsia="仿宋_GB2312" w:hint="eastAsia"/>
          <w:color w:val="000000"/>
          <w:kern w:val="0"/>
          <w:sz w:val="32"/>
          <w:szCs w:val="32"/>
          <w:lang w:val="en-US" w:eastAsia="zh-CN"/>
          <w:highlight w:val="auto"/>
        </w:rPr>
        <w:t>。</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黑体" w:cs="Times New Roman" w:hAnsi="Times New Roman"/>
          <w:color w:val="000000"/>
          <w:kern w:val="0"/>
          <w:sz w:val="32"/>
          <w:szCs w:val="32"/>
          <w14:textFill>
            <w14:solidFill>
              <w14:srgbClr w14:val="000000"/>
            </w14:solidFill>
          </w14:textFill>
          <w:highlight w:val="auto"/>
        </w:rPr>
      </w:pPr>
      <w:r>
        <w:rPr>
          <w:rFonts w:ascii="Times New Roman" w:eastAsia="黑体" w:cs="Times New Roman" w:hAnsi="Times New Roman"/>
          <w:color w:val="000000"/>
          <w:kern w:val="0"/>
          <w:sz w:val="32"/>
          <w:szCs w:val="32"/>
          <w:highlight w:val="auto"/>
        </w:rPr>
        <w:t>三、</w:t>
      </w:r>
      <w:r>
        <w:rPr>
          <w:rFonts w:ascii="Times New Roman" w:eastAsia="黑体" w:cs="Times New Roman" w:hAnsi="Times New Roman"/>
          <w:color w:val="000000"/>
          <w:kern w:val="0"/>
          <w:sz w:val="32"/>
          <w:szCs w:val="32"/>
          <w:u w:val="none"/>
          <w:highlight w:val="auto"/>
        </w:rPr>
        <w:t>部门</w:t>
      </w:r>
      <w:r>
        <w:rPr>
          <w:rFonts w:ascii="Times New Roman" w:eastAsia="黑体" w:cs="Times New Roman" w:hAnsi="Times New Roman"/>
          <w:color w:val="000000"/>
          <w:kern w:val="0"/>
          <w:sz w:val="32"/>
          <w:szCs w:val="32"/>
          <w:u w:val="none"/>
          <w:lang w:eastAsia="zh-CN"/>
          <w:highlight w:val="auto"/>
        </w:rPr>
        <w:t>预算</w:t>
      </w:r>
      <w:r>
        <w:rPr>
          <w:rFonts w:ascii="Times New Roman" w:eastAsia="黑体" w:cs="Times New Roman" w:hAnsi="Times New Roman"/>
          <w:color w:val="000000"/>
          <w:kern w:val="0"/>
          <w:sz w:val="32"/>
          <w:szCs w:val="32"/>
          <w:u w:val="none"/>
          <w:highlight w:val="auto"/>
        </w:rPr>
        <w:t>绩效</w:t>
      </w:r>
      <w:r>
        <w:rPr>
          <w:rFonts w:ascii="Times New Roman" w:eastAsia="黑体" w:cs="Times New Roman" w:hAnsi="Times New Roman"/>
          <w:color w:val="000000"/>
          <w:kern w:val="0"/>
          <w:sz w:val="32"/>
          <w:szCs w:val="32"/>
          <w:u w:val="none"/>
          <w:lang w:eastAsia="zh-CN"/>
          <w:highlight w:val="auto"/>
        </w:rPr>
        <w:t>分析</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_GB2312" w:eastAsia="仿宋_GB2312" w:hint="eastAsia"/>
          <w:color w:val="000000"/>
          <w:kern w:val="0"/>
          <w:sz w:val="32"/>
          <w:szCs w:val="32"/>
          <w:lang w:val="zh-CN"/>
          <w:highlight w:val="auto"/>
        </w:rPr>
      </w:pPr>
      <w:r>
        <w:rPr>
          <w:rFonts w:ascii="Times New Roman" w:eastAsia="楷体_GB2312" w:cs="Times New Roman" w:hAnsi="Times New Roman"/>
          <w:b/>
          <w:bCs/>
          <w:color w:val="000000"/>
          <w:kern w:val="0"/>
          <w:sz w:val="32"/>
          <w:szCs w:val="32"/>
          <w:lang w:val="zh-CN"/>
          <w:highlight w:val="auto"/>
        </w:rPr>
        <w:t>（一）部门预算总体绩效分析。</w:t>
      </w:r>
      <w:r>
        <w:rPr>
          <w:rFonts w:ascii="仿宋_GB2312" w:eastAsia="仿宋_GB2312" w:hint="eastAsia"/>
          <w:color w:val="000000"/>
          <w:kern w:val="0"/>
          <w:sz w:val="32"/>
          <w:szCs w:val="32"/>
          <w:lang w:val="zh-CN"/>
          <w:highlight w:val="auto"/>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rPr>
          <w:rFonts w:ascii="仿宋_GB2312" w:eastAsia="仿宋_GB2312" w:hint="eastAsia"/>
          <w:color w:val="000000"/>
          <w:kern w:val="0"/>
          <w:sz w:val="32"/>
          <w:szCs w:val="32"/>
          <w:lang w:val="zh-CN"/>
          <w:highlight w:val="auto"/>
        </w:rPr>
      </w:pPr>
      <w:r>
        <w:rPr>
          <w:rFonts w:ascii="Times New Roman" w:eastAsia="楷体_GB2312" w:cs="Times New Roman" w:hAnsi="Times New Roman"/>
          <w:color w:val="000000"/>
          <w:kern w:val="0"/>
          <w:sz w:val="32"/>
          <w:szCs w:val="32"/>
          <w:lang w:val="en-US" w:eastAsia="zh-CN"/>
          <w:highlight w:val="auto"/>
        </w:rPr>
        <w:t>1.</w:t>
      </w:r>
      <w:r>
        <w:rPr>
          <w:rFonts w:ascii="Times New Roman" w:eastAsia="楷体_GB2312" w:cs="Times New Roman" w:hAnsi="Times New Roman"/>
          <w:color w:val="000000"/>
          <w:kern w:val="0"/>
          <w:sz w:val="32"/>
          <w:szCs w:val="32"/>
          <w:lang w:val="zh-CN"/>
          <w:highlight w:val="auto"/>
        </w:rPr>
        <w:t>履职效能。</w:t>
      </w:r>
      <w:r>
        <w:rPr>
          <w:rFonts w:ascii="仿宋_GB2312" w:eastAsia="仿宋_GB2312" w:hint="eastAsia"/>
          <w:color w:val="000000"/>
          <w:kern w:val="0"/>
          <w:sz w:val="32"/>
          <w:szCs w:val="32"/>
          <w:lang w:val="zh-CN"/>
        </w:rPr>
        <w:t>社会效益指标，单位</w:t>
      </w:r>
      <w:r>
        <w:rPr>
          <w:rFonts w:ascii="仿宋_GB2312" w:eastAsia="仿宋_GB2312" w:cs="仿宋_GB2312" w:hint="eastAsia"/>
          <w:bCs/>
          <w:color w:val="000000"/>
          <w:kern w:val="0"/>
          <w:sz w:val="32"/>
          <w:szCs w:val="32"/>
          <w:lang w:eastAsia="zh-CN"/>
        </w:rPr>
        <w:t>作为</w:t>
      </w:r>
      <w:r>
        <w:rPr>
          <w:rFonts w:ascii="仿宋_GB2312" w:eastAsia="仿宋_GB2312" w:cs="仿宋_GB2312" w:hint="eastAsia"/>
          <w:bCs/>
          <w:color w:val="000000"/>
          <w:kern w:val="0"/>
          <w:sz w:val="32"/>
          <w:szCs w:val="32"/>
        </w:rPr>
        <w:t>党和政府</w:t>
      </w:r>
      <w:r>
        <w:rPr>
          <w:rFonts w:ascii="仿宋_GB2312" w:eastAsia="仿宋_GB2312" w:cs="仿宋_GB2312" w:hint="eastAsia"/>
          <w:bCs/>
          <w:color w:val="000000"/>
          <w:kern w:val="0"/>
          <w:sz w:val="32"/>
          <w:szCs w:val="32"/>
          <w:lang w:eastAsia="zh-CN"/>
        </w:rPr>
        <w:t>重要</w:t>
      </w:r>
      <w:r>
        <w:rPr>
          <w:rFonts w:ascii="仿宋_GB2312" w:eastAsia="仿宋_GB2312" w:cs="仿宋_GB2312" w:hint="eastAsia"/>
          <w:bCs/>
          <w:color w:val="000000"/>
          <w:kern w:val="0"/>
          <w:sz w:val="32"/>
          <w:szCs w:val="32"/>
        </w:rPr>
        <w:t>传播精神文明的窗口和宣传阵地，对</w:t>
      </w:r>
      <w:r>
        <w:rPr>
          <w:rFonts w:ascii="仿宋_GB2312" w:eastAsia="仿宋_GB2312" w:hint="eastAsia"/>
          <w:color w:val="000000"/>
          <w:kern w:val="0"/>
          <w:sz w:val="32"/>
          <w:szCs w:val="32"/>
          <w:lang w:val="zh-CN"/>
        </w:rPr>
        <w:t>全州社会经济文化的发展，发挥了社会效益职能；质量指标，单位为广大读者提供热情周到的服务，发行的图书确保正版无印装质量问题；时效指标，单位为学校提供的春秋两季教材教辅能够做到“课前到书”、为党政机关企事业单位提供的时</w:t>
      </w:r>
      <w:r>
        <w:rPr>
          <w:rFonts w:ascii="仿宋_GB2312" w:eastAsia="仿宋_GB2312" w:cs="仿宋_GB2312" w:hint="eastAsia"/>
          <w:color w:val="000000"/>
          <w:kern w:val="0"/>
          <w:sz w:val="32"/>
          <w:szCs w:val="32"/>
          <w:lang w:bidi="ar-SA"/>
        </w:rPr>
        <w:t>政读物和为读者提供的个性化需求能够得到及时充分满足</w:t>
      </w:r>
      <w:r>
        <w:rPr>
          <w:rFonts w:ascii="仿宋_GB2312" w:eastAsia="仿宋_GB2312" w:hint="eastAsia"/>
          <w:color w:val="000000"/>
          <w:kern w:val="0"/>
          <w:sz w:val="32"/>
          <w:szCs w:val="32"/>
          <w:lang w:val="zh-CN"/>
          <w:highlight w:val="auto"/>
        </w:rPr>
        <w:t>。</w:t>
      </w:r>
      <w:r>
        <w:rPr>
          <w:rFonts w:ascii="仿宋_GB2312" w:eastAsia="仿宋_GB2312" w:hint="eastAsia"/>
          <w:color w:val="000000"/>
          <w:kern w:val="0"/>
          <w:sz w:val="32"/>
          <w:szCs w:val="32"/>
          <w:lang w:val="zh-CN"/>
        </w:rPr>
        <w:t>履职效能</w:t>
      </w:r>
      <w:r>
        <w:rPr>
          <w:rFonts w:ascii="仿宋_GB2312" w:eastAsia="仿宋_GB2312" w:hint="eastAsia"/>
          <w:color w:val="000000"/>
          <w:kern w:val="0"/>
          <w:sz w:val="32"/>
          <w:szCs w:val="32"/>
          <w:lang w:val="zh-CN"/>
          <w:highlight w:val="auto"/>
        </w:rPr>
        <w:t>评分总计15分。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textAlignment w:val="auto"/>
        <w:outlineLvl w:val="9"/>
        <w:rPr>
          <w:rFonts w:ascii="仿宋_GB2312" w:eastAsia="仿宋_GB2312" w:hint="eastAsia"/>
          <w:color w:val="000000"/>
          <w:kern w:val="0"/>
          <w:sz w:val="32"/>
          <w:szCs w:val="32"/>
          <w:lang w:val="zh-CN"/>
          <w:highlight w:val="auto"/>
        </w:rPr>
      </w:pPr>
      <w:r>
        <w:rPr>
          <w:rFonts w:ascii="Times New Roman" w:eastAsia="楷体_GB2312" w:cs="Times New Roman" w:hAnsi="Times New Roman"/>
          <w:color w:val="000000"/>
          <w:kern w:val="0"/>
          <w:sz w:val="32"/>
          <w:szCs w:val="32"/>
          <w:lang w:val="en-US" w:eastAsia="zh-CN"/>
          <w:highlight w:val="auto"/>
        </w:rPr>
        <w:t>2.</w:t>
      </w:r>
      <w:r>
        <w:rPr>
          <w:rFonts w:ascii="Times New Roman" w:eastAsia="楷体_GB2312" w:cs="Times New Roman" w:hAnsi="Times New Roman"/>
          <w:color w:val="000000"/>
          <w:kern w:val="0"/>
          <w:sz w:val="32"/>
          <w:szCs w:val="32"/>
          <w:lang w:val="zh-CN"/>
          <w:highlight w:val="auto"/>
        </w:rPr>
        <w:t>预算管理。</w:t>
      </w:r>
      <w:r>
        <w:rPr>
          <w:rFonts w:ascii="仿宋_GB2312" w:eastAsia="仿宋_GB2312" w:hint="eastAsia"/>
          <w:color w:val="000000"/>
          <w:kern w:val="0"/>
          <w:sz w:val="32"/>
          <w:szCs w:val="32"/>
          <w:lang w:val="zh-CN"/>
          <w:highlight w:val="auto"/>
        </w:rPr>
        <w:t>预算编制质量：单位严格按照要求编制年初单位预算，严格做到使用资金必须先预算再使用，评分8分。单位收入统筹：单位预算资金中自筹部分均已足额上缴财政并按预算资金使用，剩余的收入资金按要求上缴财政代管，评分4分。支出执行进度：1至6月预算执行率85.02%，支出预警率0%，1至10月预算执行率88.25%，支出预警率0%，评分5.6分。预算年终结余：2025年财政拨款全年预算</w:t>
      </w:r>
      <w:r>
        <w:rPr>
          <w:rFonts w:ascii="仿宋_GB2312" w:eastAsia="仿宋_GB2312" w:hint="eastAsia"/>
          <w:color w:val="000000"/>
          <w:kern w:val="0"/>
          <w:sz w:val="32"/>
          <w:szCs w:val="32"/>
          <w:lang w:val="zh-CN"/>
        </w:rPr>
        <w:t>789.70</w:t>
      </w:r>
      <w:r>
        <w:rPr>
          <w:rFonts w:ascii="仿宋_GB2312" w:eastAsia="仿宋_GB2312" w:hint="eastAsia"/>
          <w:color w:val="000000"/>
          <w:kern w:val="0"/>
          <w:sz w:val="32"/>
          <w:szCs w:val="32"/>
          <w:lang w:val="zh-CN"/>
          <w:highlight w:val="auto"/>
        </w:rPr>
        <w:t>万元，决算数据</w:t>
      </w:r>
      <w:r>
        <w:rPr>
          <w:rFonts w:ascii="仿宋_GB2312" w:eastAsia="仿宋_GB2312" w:hint="eastAsia"/>
          <w:color w:val="000000"/>
          <w:kern w:val="0"/>
          <w:sz w:val="32"/>
          <w:szCs w:val="32"/>
          <w:lang w:val="zh-CN"/>
        </w:rPr>
        <w:t>789.70</w:t>
      </w:r>
      <w:r>
        <w:rPr>
          <w:rFonts w:ascii="仿宋_GB2312" w:eastAsia="仿宋_GB2312" w:hint="eastAsia"/>
          <w:color w:val="000000"/>
          <w:kern w:val="0"/>
          <w:sz w:val="32"/>
          <w:szCs w:val="32"/>
          <w:lang w:val="zh-CN"/>
          <w:highlight w:val="auto"/>
        </w:rPr>
        <w:t>万元，单位整体预算结余率0%，评分2分。严控一般性支出：“三公”经费、培训费、差旅费等一般性支出财政拨款中2024年年初预算</w:t>
      </w:r>
      <w:r>
        <w:rPr>
          <w:rFonts w:ascii="仿宋_GB2312" w:eastAsia="仿宋_GB2312" w:hint="eastAsia"/>
          <w:color w:val="000000"/>
          <w:kern w:val="0"/>
          <w:sz w:val="32"/>
          <w:szCs w:val="32"/>
          <w:lang w:val="zh-CN"/>
        </w:rPr>
        <w:t>24.55</w:t>
      </w:r>
      <w:r>
        <w:rPr>
          <w:rFonts w:ascii="仿宋_GB2312" w:eastAsia="仿宋_GB2312" w:hint="eastAsia"/>
          <w:color w:val="000000"/>
          <w:kern w:val="0"/>
          <w:sz w:val="32"/>
          <w:szCs w:val="32"/>
          <w:lang w:val="zh-CN"/>
          <w:highlight w:val="auto"/>
        </w:rPr>
        <w:t>万元，2025年年初预算</w:t>
      </w:r>
      <w:r>
        <w:rPr>
          <w:rFonts w:ascii="仿宋_GB2312" w:eastAsia="仿宋_GB2312" w:hint="eastAsia"/>
          <w:color w:val="000000"/>
          <w:kern w:val="0"/>
          <w:sz w:val="32"/>
          <w:szCs w:val="32"/>
          <w:lang w:val="zh-CN"/>
        </w:rPr>
        <w:t>30.19</w:t>
      </w:r>
      <w:r>
        <w:rPr>
          <w:rFonts w:ascii="仿宋_GB2312" w:eastAsia="仿宋_GB2312" w:hint="eastAsia"/>
          <w:color w:val="000000"/>
          <w:kern w:val="0"/>
          <w:sz w:val="32"/>
          <w:szCs w:val="32"/>
          <w:lang w:val="zh-CN"/>
          <w:highlight w:val="auto"/>
        </w:rPr>
        <w:t>万元，“三公”经费、培训费、差旅费、办公费的一般性支出财政拨款2024年预算执行14.03万元，2025年预算执行13.55万元，均实现压减，评分4</w:t>
      </w:r>
      <w:r>
        <w:rPr>
          <w:rFonts w:ascii="仿宋_GB2312" w:eastAsia="仿宋_GB2312" w:cs="楷体_GB2312" w:hint="eastAsia"/>
          <w:color w:val="000000"/>
          <w:kern w:val="0"/>
          <w:sz w:val="32"/>
          <w:szCs w:val="32"/>
          <w:lang w:val="zh-CN"/>
          <w:highlight w:val="auto"/>
        </w:rPr>
        <w:t>分。</w:t>
      </w:r>
      <w:r>
        <w:rPr>
          <w:rFonts w:ascii="仿宋_GB2312" w:eastAsia="仿宋_GB2312" w:hint="eastAsia"/>
          <w:color w:val="000000"/>
          <w:kern w:val="0"/>
          <w:sz w:val="32"/>
          <w:szCs w:val="32"/>
          <w:lang w:val="zh-CN"/>
          <w:highlight w:val="auto"/>
        </w:rPr>
        <w:t>预算管理评分总计23.6分。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textAlignment w:val="auto"/>
        <w:outlineLvl w:val="9"/>
        <w:rPr>
          <w:rFonts w:ascii="楷体_GB2312" w:eastAsia="楷体_GB2312" w:cs="楷体_GB2312" w:hint="eastAsia"/>
          <w:color w:val="000000"/>
          <w:kern w:val="0"/>
          <w:sz w:val="32"/>
          <w:szCs w:val="32"/>
          <w:lang w:val="zh-CN"/>
          <w:highlight w:val="auto"/>
        </w:rPr>
      </w:pPr>
      <w:r>
        <w:rPr>
          <w:rFonts w:ascii="Times New Roman" w:eastAsia="楷体_GB2312" w:cs="Times New Roman" w:hAnsi="Times New Roman"/>
          <w:color w:val="000000"/>
          <w:kern w:val="0"/>
          <w:sz w:val="32"/>
          <w:szCs w:val="32"/>
          <w:lang w:val="en-US" w:eastAsia="zh-CN"/>
          <w:highlight w:val="auto"/>
        </w:rPr>
        <w:t>3.</w:t>
      </w:r>
      <w:r>
        <w:rPr>
          <w:rFonts w:ascii="Times New Roman" w:eastAsia="楷体_GB2312" w:cs="Times New Roman" w:hAnsi="Times New Roman"/>
          <w:color w:val="000000"/>
          <w:kern w:val="0"/>
          <w:sz w:val="32"/>
          <w:szCs w:val="32"/>
          <w:lang w:val="zh-CN"/>
          <w:highlight w:val="auto"/>
        </w:rPr>
        <w:t>财务管理。</w:t>
      </w:r>
      <w:r>
        <w:rPr>
          <w:rFonts w:ascii="仿宋_GB2312" w:eastAsia="仿宋_GB2312" w:hint="eastAsia"/>
          <w:color w:val="000000"/>
          <w:kern w:val="0"/>
          <w:sz w:val="32"/>
          <w:szCs w:val="32"/>
          <w:lang w:val="zh-CN"/>
          <w:highlight w:val="auto"/>
        </w:rPr>
        <w:t>财务管理制度：单位已</w:t>
      </w:r>
      <w:r>
        <w:rPr>
          <w:rFonts w:ascii="仿宋_GB2312" w:eastAsia="仿宋_GB2312" w:hint="eastAsia"/>
          <w:color w:val="000000"/>
          <w:kern w:val="0"/>
          <w:sz w:val="32"/>
          <w:szCs w:val="32"/>
          <w:lang w:val="zh-CN"/>
        </w:rPr>
        <w:t>制定并执行内部财务管理制度等制度机制，评分4分。</w:t>
      </w:r>
      <w:r>
        <w:rPr>
          <w:rFonts w:ascii="仿宋_GB2312" w:eastAsia="仿宋_GB2312" w:hint="eastAsia"/>
          <w:color w:val="000000"/>
          <w:kern w:val="0"/>
          <w:sz w:val="32"/>
          <w:szCs w:val="32"/>
          <w:lang w:val="zh-CN"/>
          <w:highlight w:val="auto"/>
        </w:rPr>
        <w:t>财务岗位设置：</w:t>
      </w:r>
      <w:r>
        <w:rPr>
          <w:rFonts w:ascii="仿宋_GB2312" w:eastAsia="仿宋_GB2312" w:hint="eastAsia"/>
          <w:color w:val="000000"/>
          <w:kern w:val="0"/>
          <w:sz w:val="32"/>
          <w:szCs w:val="32"/>
          <w:lang w:val="zh-CN"/>
        </w:rPr>
        <w:t>单位合理设置财务工作岗位，明确职责权限，并严格落实不相容岗位相分离的原则，评分2分。</w:t>
      </w:r>
      <w:r>
        <w:rPr>
          <w:rFonts w:ascii="仿宋_GB2312" w:eastAsia="仿宋_GB2312" w:hint="eastAsia"/>
          <w:color w:val="000000"/>
          <w:kern w:val="0"/>
          <w:sz w:val="32"/>
          <w:szCs w:val="32"/>
          <w:lang w:val="zh-CN"/>
          <w:highlight w:val="auto"/>
        </w:rPr>
        <w:t>资金使用规范：</w:t>
      </w:r>
      <w:r>
        <w:rPr>
          <w:rFonts w:ascii="仿宋_GB2312" w:eastAsia="仿宋_GB2312" w:hint="eastAsia"/>
          <w:color w:val="000000"/>
          <w:kern w:val="0"/>
          <w:sz w:val="32"/>
          <w:szCs w:val="32"/>
          <w:lang w:val="zh-CN"/>
        </w:rPr>
        <w:t>单位资金使用符合相关财务管理制度规定，未滥发津补贴，报销符合财务规定，评分4分。财务管理</w:t>
      </w:r>
      <w:r>
        <w:rPr>
          <w:rFonts w:ascii="仿宋_GB2312" w:eastAsia="仿宋_GB2312" w:hint="eastAsia"/>
          <w:color w:val="000000"/>
          <w:kern w:val="0"/>
          <w:sz w:val="32"/>
          <w:szCs w:val="32"/>
          <w:lang w:val="zh-CN"/>
          <w:highlight w:val="auto"/>
        </w:rPr>
        <w:t>评分总计10分</w:t>
      </w:r>
      <w:r>
        <w:rPr>
          <w:rFonts w:ascii="Times New Roman" w:cs="Times New Roman" w:hAnsi="Times New Roman" w:hint="eastAsia"/>
          <w:color w:val="000000"/>
          <w:kern w:val="0"/>
          <w:sz w:val="32"/>
          <w:szCs w:val="32"/>
          <w:lang w:val="zh-CN"/>
          <w:highlight w:val="auto"/>
        </w:rPr>
        <w:t>。</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rPr>
          <w:rFonts w:ascii="仿宋_GB2312" w:eastAsia="仿宋_GB2312" w:hint="eastAsia"/>
          <w:color w:val="000000"/>
          <w:kern w:val="0"/>
          <w:sz w:val="32"/>
          <w:szCs w:val="32"/>
          <w:lang w:val="zh-CN"/>
        </w:rPr>
      </w:pPr>
      <w:r>
        <w:rPr>
          <w:rFonts w:ascii="Times New Roman" w:eastAsia="楷体_GB2312" w:cs="Times New Roman" w:hAnsi="Times New Roman"/>
          <w:color w:val="000000"/>
          <w:kern w:val="0"/>
          <w:sz w:val="32"/>
          <w:szCs w:val="32"/>
          <w:lang w:val="en-US" w:eastAsia="zh-CN"/>
          <w:highlight w:val="auto"/>
        </w:rPr>
        <w:t>4.</w:t>
      </w:r>
      <w:r>
        <w:rPr>
          <w:rFonts w:ascii="Times New Roman" w:eastAsia="楷体_GB2312" w:cs="Times New Roman" w:hAnsi="Times New Roman"/>
          <w:color w:val="000000"/>
          <w:kern w:val="0"/>
          <w:sz w:val="32"/>
          <w:szCs w:val="32"/>
          <w:lang w:val="zh-CN"/>
          <w:highlight w:val="auto"/>
        </w:rPr>
        <w:t>资产管理。</w:t>
      </w:r>
      <w:r>
        <w:rPr>
          <w:rFonts w:ascii="仿宋_GB2312" w:eastAsia="仿宋_GB2312" w:cs="楷体_GB2312" w:hint="eastAsia"/>
          <w:color w:val="000000"/>
          <w:kern w:val="0"/>
          <w:sz w:val="32"/>
          <w:szCs w:val="32"/>
          <w:lang w:val="zh-CN"/>
        </w:rPr>
        <w:t>人均资产变化率：</w:t>
      </w:r>
      <w:r>
        <w:rPr>
          <w:rFonts w:ascii="仿宋_GB2312" w:eastAsia="仿宋_GB2312" w:hint="eastAsia"/>
          <w:color w:val="000000"/>
          <w:kern w:val="0"/>
          <w:sz w:val="32"/>
          <w:szCs w:val="32"/>
          <w:lang w:val="zh-CN"/>
          <w:highlight w:val="auto"/>
        </w:rPr>
        <w:t>州直行政事业单位人均资产变化率为-3.49%，2025年单位人均资产变化率6.24%，低于州直行政事业单位人均资产变化率，评分1.5分；单位人均资产增长率为0.16%，州</w:t>
      </w:r>
      <w:r>
        <w:rPr>
          <w:rFonts w:ascii="仿宋_GB2312" w:eastAsia="仿宋_GB2312" w:hint="eastAsia"/>
          <w:color w:val="000000"/>
          <w:kern w:val="0"/>
          <w:sz w:val="32"/>
          <w:szCs w:val="32"/>
          <w:lang w:val="zh-CN"/>
        </w:rPr>
        <w:t>级财政收入增长率为17.1%，评分0.9分</w:t>
      </w:r>
      <w:r>
        <w:rPr>
          <w:rFonts w:ascii="仿宋_GB2312" w:eastAsia="仿宋_GB2312" w:hint="eastAsia"/>
          <w:color w:val="000000"/>
          <w:kern w:val="0"/>
          <w:sz w:val="32"/>
          <w:szCs w:val="32"/>
          <w:lang w:val="zh-CN"/>
          <w:highlight w:val="auto"/>
        </w:rPr>
        <w:t>。资产利用率：2025年单位</w:t>
      </w:r>
      <w:r>
        <w:rPr>
          <w:rFonts w:ascii="仿宋_GB2312" w:eastAsia="仿宋_GB2312" w:hint="eastAsia"/>
          <w:color w:val="000000"/>
          <w:kern w:val="0"/>
          <w:sz w:val="32"/>
          <w:szCs w:val="32"/>
          <w:lang w:val="zh-CN"/>
        </w:rPr>
        <w:t>办公家具超最低使用年限的办公家具账面价值5.09万元，办公家具账面价值6.90万元，</w:t>
      </w:r>
      <w:r>
        <w:rPr>
          <w:rFonts w:ascii="仿宋_GB2312" w:eastAsia="仿宋_GB2312" w:hint="eastAsia"/>
          <w:color w:val="000000"/>
          <w:kern w:val="0"/>
          <w:sz w:val="32"/>
          <w:szCs w:val="32"/>
          <w:lang w:val="zh-CN"/>
          <w:highlight w:val="auto"/>
        </w:rPr>
        <w:t>单位</w:t>
      </w:r>
      <w:r>
        <w:rPr>
          <w:rFonts w:ascii="仿宋_GB2312" w:eastAsia="仿宋_GB2312" w:hint="eastAsia"/>
          <w:color w:val="000000"/>
          <w:kern w:val="0"/>
          <w:sz w:val="32"/>
          <w:szCs w:val="32"/>
          <w:lang w:val="zh-CN"/>
        </w:rPr>
        <w:t>办公家具超最低使用年限资产利用率为73.76%，州直行政事业单位办公家具资产利用率平均值为12.93%，评分1.5分；超最低使用年限的办公设备账面价值为23.63万元，办公设备账面价值为30.13万元，办公设备超最低使用年限资产利用率为78.42%，州直行政事业单位办公设备资产利用率平均值为53.14%，评分1.5分</w:t>
      </w:r>
      <w:r>
        <w:rPr>
          <w:rFonts w:ascii="仿宋_GB2312" w:eastAsia="仿宋_GB2312" w:hint="eastAsia"/>
          <w:color w:val="000000"/>
          <w:kern w:val="0"/>
          <w:sz w:val="32"/>
          <w:szCs w:val="32"/>
          <w:lang w:val="zh-CN"/>
          <w:highlight w:val="auto"/>
        </w:rPr>
        <w:t>。资产盘活率：</w:t>
      </w:r>
      <w:r>
        <w:rPr>
          <w:rFonts w:ascii="仿宋_GB2312" w:eastAsia="仿宋_GB2312" w:hint="eastAsia"/>
          <w:color w:val="000000"/>
          <w:kern w:val="0"/>
          <w:sz w:val="32"/>
          <w:szCs w:val="32"/>
          <w:lang w:val="zh-CN"/>
        </w:rPr>
        <w:t>2025年无闲置资产，评分3分</w:t>
      </w:r>
      <w:r>
        <w:rPr>
          <w:rFonts w:ascii="仿宋_GB2312" w:eastAsia="仿宋_GB2312" w:hint="eastAsia"/>
          <w:color w:val="000000"/>
          <w:kern w:val="0"/>
          <w:sz w:val="32"/>
          <w:szCs w:val="32"/>
          <w:lang w:val="zh-CN"/>
          <w:highlight w:val="auto"/>
        </w:rPr>
        <w:t>。</w:t>
      </w:r>
      <w:r>
        <w:rPr>
          <w:rFonts w:ascii="仿宋_GB2312" w:eastAsia="仿宋_GB2312" w:hint="eastAsia"/>
          <w:color w:val="000000"/>
          <w:kern w:val="0"/>
          <w:sz w:val="32"/>
          <w:szCs w:val="32"/>
          <w:lang w:val="zh-CN"/>
        </w:rPr>
        <w:t>资产管理</w:t>
      </w:r>
      <w:r>
        <w:rPr>
          <w:rFonts w:ascii="仿宋_GB2312" w:eastAsia="仿宋_GB2312" w:hint="eastAsia"/>
          <w:color w:val="000000"/>
          <w:kern w:val="0"/>
          <w:sz w:val="32"/>
          <w:szCs w:val="32"/>
          <w:lang w:val="zh-CN"/>
          <w:highlight w:val="auto"/>
        </w:rPr>
        <w:t>评分总计8.4分。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_GB2312" w:eastAsia="仿宋_GB2312" w:hint="eastAsia"/>
          <w:color w:val="000000"/>
          <w:kern w:val="0"/>
          <w:sz w:val="32"/>
          <w:szCs w:val="32"/>
          <w:lang w:val="zh-CN"/>
          <w:highlight w:val="auto"/>
        </w:rPr>
      </w:pPr>
      <w:r>
        <w:rPr>
          <w:rFonts w:ascii="Times New Roman" w:eastAsia="楷体_GB2312" w:cs="Times New Roman" w:hAnsi="Times New Roman"/>
          <w:color w:val="000000"/>
          <w:kern w:val="0"/>
          <w:sz w:val="32"/>
          <w:szCs w:val="32"/>
          <w:lang w:val="en-US" w:eastAsia="zh-CN"/>
          <w:highlight w:val="auto"/>
        </w:rPr>
        <w:t>5.</w:t>
      </w:r>
      <w:r>
        <w:rPr>
          <w:rFonts w:ascii="Times New Roman" w:eastAsia="楷体_GB2312" w:cs="Times New Roman" w:hAnsi="Times New Roman"/>
          <w:color w:val="000000"/>
          <w:kern w:val="0"/>
          <w:sz w:val="32"/>
          <w:szCs w:val="32"/>
          <w:lang w:val="zh-CN"/>
          <w:highlight w:val="auto"/>
        </w:rPr>
        <w:t>采购管理。</w:t>
      </w:r>
      <w:r>
        <w:rPr>
          <w:rFonts w:ascii="仿宋_GB2312" w:eastAsia="仿宋_GB2312" w:hint="eastAsia"/>
          <w:color w:val="000000"/>
          <w:kern w:val="0"/>
          <w:sz w:val="32"/>
          <w:szCs w:val="32"/>
          <w:lang w:val="zh-CN"/>
          <w:highlight w:val="auto"/>
        </w:rPr>
        <w:t>单位在采购中认真执行支持中小企业发展的政策，并在采购预算中单独列示，得3分，采购执行率为100%，评分3分。</w:t>
      </w:r>
      <w:r>
        <w:rPr>
          <w:rFonts w:ascii="仿宋_GB2312" w:eastAsia="仿宋_GB2312" w:hint="eastAsia"/>
          <w:color w:val="000000"/>
          <w:kern w:val="0"/>
          <w:sz w:val="32"/>
          <w:szCs w:val="32"/>
          <w:lang w:val="zh-CN"/>
        </w:rPr>
        <w:t>采购管理</w:t>
      </w:r>
      <w:r>
        <w:rPr>
          <w:rFonts w:ascii="仿宋_GB2312" w:eastAsia="仿宋_GB2312" w:hint="eastAsia"/>
          <w:color w:val="000000"/>
          <w:kern w:val="0"/>
          <w:sz w:val="32"/>
          <w:szCs w:val="32"/>
          <w:lang w:val="zh-CN"/>
          <w:highlight w:val="auto"/>
        </w:rPr>
        <w:t>评分总计6分。</w:t>
      </w:r>
    </w:p>
    <w:p>
      <w:pPr>
        <w:keepNext w:val="0"/>
        <w:keepLines w:val="0"/>
        <w:pageBreakBefore w:val="0"/>
        <w:widowControl/>
        <w:kinsoku/>
        <w:wordWrap/>
        <w:overflowPunct/>
        <w:topLinePunct w:val="0"/>
        <w:autoSpaceDE/>
        <w:autoSpaceDN/>
        <w:adjustRightInd w:val="0"/>
        <w:snapToGrid w:val="0"/>
        <w:spacing w:line="578" w:lineRule="exact"/>
        <w:ind w:firstLineChars="200" w:firstLine="640"/>
        <w:contextualSpacing/>
        <w:jc w:val="left"/>
        <w:rPr>
          <w:color w:val="000000"/>
          <w:kern w:val="0"/>
          <w:sz w:val="32"/>
          <w:szCs w:val="32"/>
          <w:lang w:val="zh-CN"/>
        </w:rPr>
      </w:pPr>
      <w:r>
        <w:rPr>
          <w:rFonts w:ascii="Times New Roman" w:eastAsia="楷体_GB2312" w:cs="Times New Roman" w:hAnsi="Times New Roman"/>
          <w:b/>
          <w:bCs/>
          <w:color w:val="000000"/>
          <w:kern w:val="0"/>
          <w:sz w:val="32"/>
          <w:szCs w:val="32"/>
          <w:lang w:val="zh-CN"/>
          <w:highlight w:val="auto"/>
        </w:rPr>
        <w:t>（二）部门预算项目绩效分析。</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_GB2312" w:eastAsia="仿宋_GB2312" w:hint="eastAsia"/>
          <w:color w:val="000000"/>
          <w:kern w:val="0"/>
          <w:sz w:val="32"/>
          <w:szCs w:val="32"/>
          <w:lang w:val="zh-CN" w:eastAsia="zh-CN"/>
          <w:highlight w:val="auto"/>
        </w:rPr>
      </w:pPr>
      <w:r>
        <w:rPr>
          <w:rFonts w:ascii="仿宋_GB2312" w:eastAsia="仿宋_GB2312" w:hint="eastAsia"/>
          <w:color w:val="000000"/>
          <w:kern w:val="0"/>
          <w:sz w:val="32"/>
          <w:szCs w:val="32"/>
          <w:lang w:val="en-US" w:eastAsia="zh-CN"/>
          <w:highlight w:val="auto"/>
        </w:rPr>
        <w:t>常年项目绩效分析。</w:t>
      </w:r>
      <w:r>
        <w:rPr>
          <w:rFonts w:ascii="仿宋_GB2312" w:eastAsia="仿宋_GB2312" w:hint="eastAsia"/>
          <w:color w:val="000000"/>
          <w:kern w:val="0"/>
          <w:sz w:val="32"/>
          <w:szCs w:val="32"/>
          <w:lang w:val="zh-CN" w:eastAsia="zh-CN"/>
          <w:highlight w:val="auto"/>
        </w:rPr>
        <w:t>该类项目总数</w:t>
      </w:r>
      <w:r>
        <w:rPr>
          <w:rFonts w:ascii="仿宋_GB2312" w:eastAsia="仿宋_GB2312" w:hint="eastAsia"/>
          <w:color w:val="000000"/>
          <w:kern w:val="0"/>
          <w:sz w:val="32"/>
          <w:szCs w:val="32"/>
          <w:lang w:val="en-US" w:eastAsia="zh-CN"/>
          <w:highlight w:val="auto"/>
        </w:rPr>
        <w:t>5</w:t>
      </w:r>
      <w:r>
        <w:rPr>
          <w:rFonts w:ascii="仿宋_GB2312" w:eastAsia="仿宋_GB2312" w:hint="eastAsia"/>
          <w:color w:val="000000"/>
          <w:kern w:val="0"/>
          <w:sz w:val="32"/>
          <w:szCs w:val="32"/>
          <w:lang w:val="zh-CN" w:eastAsia="zh-CN"/>
          <w:highlight w:val="auto"/>
        </w:rPr>
        <w:t>个，涉及预算总金额307.33万元，</w:t>
      </w:r>
      <w:r>
        <w:rPr>
          <w:rFonts w:ascii="仿宋_GB2312" w:eastAsia="仿宋_GB2312" w:hint="eastAsia"/>
          <w:color w:val="000000"/>
          <w:kern w:val="0"/>
          <w:sz w:val="32"/>
          <w:szCs w:val="32"/>
          <w:lang w:val="zh-CN"/>
          <w:highlight w:val="auto"/>
        </w:rPr>
        <w:t>1</w:t>
      </w:r>
      <w:r>
        <w:rPr>
          <w:rFonts w:ascii="仿宋_GB2312" w:eastAsia="仿宋_GB2312" w:hint="eastAsia"/>
          <w:color w:val="000000"/>
          <w:kern w:val="0"/>
          <w:sz w:val="32"/>
          <w:szCs w:val="32"/>
          <w:lang w:val="zh-CN" w:eastAsia="zh-CN"/>
          <w:highlight w:val="auto"/>
        </w:rPr>
        <w:t>—</w:t>
      </w:r>
      <w:r>
        <w:rPr>
          <w:rFonts w:ascii="仿宋_GB2312" w:eastAsia="仿宋_GB2312" w:hint="eastAsia"/>
          <w:color w:val="000000"/>
          <w:kern w:val="0"/>
          <w:sz w:val="32"/>
          <w:szCs w:val="32"/>
          <w:lang w:val="zh-CN"/>
          <w:highlight w:val="auto"/>
        </w:rPr>
        <w:t>1</w:t>
      </w:r>
      <w:r>
        <w:rPr>
          <w:rFonts w:ascii="仿宋_GB2312" w:eastAsia="仿宋_GB2312" w:hint="eastAsia"/>
          <w:color w:val="000000"/>
          <w:kern w:val="0"/>
          <w:sz w:val="32"/>
          <w:szCs w:val="32"/>
          <w:lang w:val="en-US" w:eastAsia="zh-CN"/>
          <w:highlight w:val="auto"/>
        </w:rPr>
        <w:t>2</w:t>
      </w:r>
      <w:r>
        <w:rPr>
          <w:rFonts w:ascii="仿宋_GB2312" w:eastAsia="仿宋_GB2312" w:hint="eastAsia"/>
          <w:color w:val="000000"/>
          <w:kern w:val="0"/>
          <w:sz w:val="32"/>
          <w:szCs w:val="32"/>
          <w:lang w:val="zh-CN"/>
          <w:highlight w:val="auto"/>
        </w:rPr>
        <w:t>月预算执行总体进度为</w:t>
      </w:r>
      <w:r>
        <w:rPr>
          <w:rFonts w:ascii="仿宋_GB2312" w:eastAsia="仿宋_GB2312" w:hint="eastAsia"/>
          <w:color w:val="000000"/>
          <w:kern w:val="0"/>
          <w:sz w:val="32"/>
          <w:szCs w:val="32"/>
          <w:lang w:val="en-US" w:eastAsia="zh-CN"/>
          <w:highlight w:val="auto"/>
        </w:rPr>
        <w:t>100</w:t>
      </w:r>
      <w:r>
        <w:rPr>
          <w:rFonts w:ascii="仿宋_GB2312" w:eastAsia="仿宋_GB2312" w:hint="eastAsia"/>
          <w:color w:val="000000"/>
          <w:kern w:val="0"/>
          <w:sz w:val="32"/>
          <w:szCs w:val="32"/>
          <w:lang w:val="zh-CN"/>
          <w:highlight w:val="auto"/>
        </w:rPr>
        <w:t>%。</w:t>
      </w:r>
    </w:p>
    <w:p>
      <w:pPr>
        <w:keepNext w:val="0"/>
        <w:keepLines w:val="0"/>
        <w:pageBreakBefore w:val="0"/>
        <w:widowControl w:val="0"/>
        <w:kinsoku/>
        <w:wordWrap/>
        <w:overflowPunct/>
        <w:topLinePunct w:val="0"/>
        <w:autoSpaceDE/>
        <w:autoSpaceDN/>
        <w:adjustRightInd w:val="0"/>
        <w:snapToGrid w:val="0"/>
        <w:spacing w:line="578" w:lineRule="exact"/>
        <w:ind w:left="0" w:firstLineChars="200" w:firstLine="640"/>
        <w:contextualSpacing/>
        <w:jc w:val="left"/>
        <w:rPr>
          <w:rFonts w:ascii="仿宋_GB2312" w:eastAsia="仿宋_GB2312" w:hint="eastAsia"/>
          <w:color w:val="000000"/>
          <w:kern w:val="0"/>
          <w:sz w:val="32"/>
          <w:szCs w:val="32"/>
          <w:lang w:val="zh-CN"/>
        </w:rPr>
      </w:pPr>
      <w:r>
        <w:rPr>
          <w:rFonts w:ascii="仿宋_GB2312" w:eastAsia="仿宋_GB2312" w:hint="eastAsia"/>
          <w:color w:val="000000"/>
          <w:kern w:val="0"/>
          <w:sz w:val="32"/>
          <w:szCs w:val="32"/>
          <w:lang w:val="en-US" w:eastAsia="zh-CN"/>
          <w:highlight w:val="auto"/>
        </w:rPr>
        <w:t>阶段（含一次性）项目绩效分析。</w:t>
      </w:r>
      <w:r>
        <w:rPr>
          <w:rFonts w:ascii="仿宋_GB2312" w:eastAsia="仿宋_GB2312" w:hint="eastAsia"/>
          <w:color w:val="000000"/>
          <w:kern w:val="0"/>
          <w:sz w:val="32"/>
          <w:szCs w:val="32"/>
          <w:lang w:val="zh-CN" w:eastAsia="zh-CN"/>
          <w:highlight w:val="auto"/>
        </w:rPr>
        <w:t>该类项目总数</w:t>
      </w:r>
      <w:r>
        <w:rPr>
          <w:rFonts w:ascii="仿宋_GB2312" w:eastAsia="仿宋_GB2312" w:hint="eastAsia"/>
          <w:color w:val="000000"/>
          <w:kern w:val="0"/>
          <w:sz w:val="32"/>
          <w:szCs w:val="32"/>
          <w:lang w:val="en-US" w:eastAsia="zh-CN"/>
          <w:highlight w:val="auto"/>
        </w:rPr>
        <w:t>6</w:t>
      </w:r>
      <w:r>
        <w:rPr>
          <w:rFonts w:ascii="仿宋_GB2312" w:eastAsia="仿宋_GB2312" w:hint="eastAsia"/>
          <w:color w:val="000000"/>
          <w:kern w:val="0"/>
          <w:sz w:val="32"/>
          <w:szCs w:val="32"/>
          <w:lang w:val="zh-CN" w:eastAsia="zh-CN"/>
          <w:highlight w:val="auto"/>
        </w:rPr>
        <w:t>个，涉及预算总金额</w:t>
      </w:r>
      <w:r>
        <w:rPr>
          <w:rFonts w:ascii="仿宋_GB2312" w:eastAsia="仿宋_GB2312" w:hint="eastAsia"/>
          <w:color w:val="000000"/>
          <w:kern w:val="0"/>
          <w:sz w:val="32"/>
          <w:szCs w:val="32"/>
          <w:lang w:val="en-US" w:eastAsia="zh-CN"/>
          <w:highlight w:val="auto"/>
        </w:rPr>
        <w:t>7.44</w:t>
      </w:r>
      <w:r>
        <w:rPr>
          <w:rFonts w:ascii="仿宋_GB2312" w:eastAsia="仿宋_GB2312" w:hint="eastAsia"/>
          <w:color w:val="000000"/>
          <w:kern w:val="0"/>
          <w:sz w:val="32"/>
          <w:szCs w:val="32"/>
          <w:lang w:val="zh-CN" w:eastAsia="zh-CN"/>
          <w:highlight w:val="auto"/>
        </w:rPr>
        <w:t>万元，</w:t>
      </w:r>
      <w:r>
        <w:rPr>
          <w:rFonts w:ascii="仿宋_GB2312" w:eastAsia="仿宋_GB2312" w:hint="eastAsia"/>
          <w:color w:val="000000"/>
          <w:kern w:val="0"/>
          <w:sz w:val="32"/>
          <w:szCs w:val="32"/>
          <w:lang w:val="zh-CN"/>
          <w:highlight w:val="auto"/>
        </w:rPr>
        <w:t>1</w:t>
      </w:r>
      <w:r>
        <w:rPr>
          <w:rFonts w:ascii="仿宋_GB2312" w:eastAsia="仿宋_GB2312" w:hint="eastAsia"/>
          <w:color w:val="000000"/>
          <w:kern w:val="0"/>
          <w:sz w:val="32"/>
          <w:szCs w:val="32"/>
          <w:lang w:val="zh-CN" w:eastAsia="zh-CN"/>
          <w:highlight w:val="auto"/>
        </w:rPr>
        <w:t>—</w:t>
      </w:r>
      <w:r>
        <w:rPr>
          <w:rFonts w:ascii="仿宋_GB2312" w:eastAsia="仿宋_GB2312" w:hint="eastAsia"/>
          <w:color w:val="000000"/>
          <w:kern w:val="0"/>
          <w:sz w:val="32"/>
          <w:szCs w:val="32"/>
          <w:lang w:val="zh-CN"/>
          <w:highlight w:val="auto"/>
        </w:rPr>
        <w:t>1</w:t>
      </w:r>
      <w:r>
        <w:rPr>
          <w:rFonts w:ascii="仿宋_GB2312" w:eastAsia="仿宋_GB2312" w:hint="eastAsia"/>
          <w:color w:val="000000"/>
          <w:kern w:val="0"/>
          <w:sz w:val="32"/>
          <w:szCs w:val="32"/>
          <w:lang w:val="en-US" w:eastAsia="zh-CN"/>
          <w:highlight w:val="auto"/>
        </w:rPr>
        <w:t>2</w:t>
      </w:r>
      <w:r>
        <w:rPr>
          <w:rFonts w:ascii="仿宋_GB2312" w:eastAsia="仿宋_GB2312" w:hint="eastAsia"/>
          <w:color w:val="000000"/>
          <w:kern w:val="0"/>
          <w:sz w:val="32"/>
          <w:szCs w:val="32"/>
          <w:lang w:val="zh-CN"/>
          <w:highlight w:val="auto"/>
        </w:rPr>
        <w:t>月预算执行总体进度为</w:t>
      </w:r>
      <w:r>
        <w:rPr>
          <w:rFonts w:ascii="仿宋_GB2312" w:eastAsia="仿宋_GB2312" w:hint="eastAsia"/>
          <w:color w:val="000000"/>
          <w:kern w:val="0"/>
          <w:sz w:val="32"/>
          <w:szCs w:val="32"/>
          <w:lang w:val="en-US" w:eastAsia="zh-CN"/>
          <w:highlight w:val="auto"/>
        </w:rPr>
        <w:t>100</w:t>
      </w:r>
      <w:r>
        <w:rPr>
          <w:rFonts w:ascii="仿宋_GB2312" w:eastAsia="仿宋_GB2312" w:hint="eastAsia"/>
          <w:color w:val="000000"/>
          <w:kern w:val="0"/>
          <w:sz w:val="32"/>
          <w:szCs w:val="32"/>
          <w:lang w:val="zh-CN"/>
          <w:highlight w:val="auto"/>
        </w:rPr>
        <w:t>%，</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textAlignment w:val="auto"/>
        <w:outlineLvl w:val="9"/>
        <w:rPr>
          <w:rFonts w:ascii="仿宋_GB2312" w:eastAsia="仿宋_GB2312" w:hint="eastAsia"/>
          <w:color w:val="000000"/>
          <w:kern w:val="0"/>
          <w:sz w:val="32"/>
          <w:szCs w:val="32"/>
          <w:lang w:val="zh-CN"/>
          <w:highlight w:val="auto"/>
        </w:rPr>
      </w:pPr>
      <w:r>
        <w:rPr>
          <w:rFonts w:ascii="仿宋_GB2312" w:eastAsia="仿宋_GB2312" w:hint="eastAsia"/>
          <w:color w:val="000000"/>
          <w:kern w:val="0"/>
          <w:sz w:val="32"/>
          <w:szCs w:val="32"/>
          <w:lang w:val="zh-CN" w:eastAsia="zh-CN"/>
        </w:rPr>
        <w:t>1.2025年单位常规性项目和一次性项目共11个，于2024年9月27日召开单位预算会议，会议针对各科室拟提交的预算项目的立项必要性、投入的经济性、绩效目标科学性、实施可行性、筹资合规性等进行讨论，履行事前评估程序并上传评估报告</w:t>
      </w:r>
      <w:r>
        <w:rPr>
          <w:rFonts w:ascii="仿宋_GB2312" w:eastAsia="仿宋_GB2312" w:hint="eastAsia"/>
          <w:color w:val="000000"/>
          <w:kern w:val="0"/>
          <w:sz w:val="32"/>
          <w:szCs w:val="32"/>
          <w:lang w:val="zh-CN"/>
          <w:highlight w:val="auto"/>
        </w:rPr>
        <w:t>。自评得分11分。</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textAlignment w:val="auto"/>
        <w:outlineLvl w:val="9"/>
        <w:rPr>
          <w:rFonts w:ascii="仿宋_GB2312" w:eastAsia="仿宋_GB2312" w:cs="楷体_GB2312" w:hint="eastAsia"/>
          <w:color w:val="000000"/>
          <w:kern w:val="0"/>
          <w:sz w:val="32"/>
          <w:szCs w:val="32"/>
          <w:lang w:val="zh-CN"/>
          <w:highlight w:val="auto"/>
        </w:rPr>
      </w:pPr>
      <w:r>
        <w:rPr>
          <w:rFonts w:ascii="楷体_GB2312" w:eastAsia="楷体_GB2312" w:cs="楷体_GB2312" w:hint="eastAsia"/>
          <w:color w:val="000000"/>
          <w:kern w:val="0"/>
          <w:sz w:val="32"/>
          <w:szCs w:val="32"/>
          <w:lang w:val="en-US" w:eastAsia="zh-CN"/>
          <w:highlight w:val="auto"/>
        </w:rPr>
        <w:t>2.项目执行</w:t>
      </w:r>
      <w:r>
        <w:rPr>
          <w:rFonts w:ascii="楷体_GB2312" w:eastAsia="楷体_GB2312" w:cs="楷体_GB2312" w:hint="eastAsia"/>
          <w:color w:val="000000"/>
          <w:kern w:val="0"/>
          <w:sz w:val="32"/>
          <w:szCs w:val="32"/>
          <w:lang w:val="zh-CN"/>
          <w:highlight w:val="auto"/>
        </w:rPr>
        <w:t>。</w:t>
      </w:r>
      <w:r>
        <w:rPr>
          <w:rFonts w:ascii="仿宋_GB2312" w:eastAsia="仿宋_GB2312" w:hint="eastAsia"/>
          <w:color w:val="000000"/>
          <w:kern w:val="0"/>
          <w:sz w:val="32"/>
          <w:szCs w:val="32"/>
          <w:lang w:val="zh-CN"/>
          <w:highlight w:val="auto"/>
        </w:rPr>
        <w:t>单位预算项目总预算数为314.91万元，预算执行数为314.77万元，执行率99.95%，</w:t>
      </w:r>
      <w:r>
        <w:rPr>
          <w:rFonts w:ascii="仿宋_GB2312" w:eastAsia="仿宋_GB2312" w:hint="eastAsia"/>
          <w:color w:val="000000"/>
          <w:kern w:val="0"/>
          <w:sz w:val="32"/>
          <w:szCs w:val="32"/>
          <w:lang w:val="zh-CN"/>
        </w:rPr>
        <w:t>实际列支内容与绩效目标设置方向相符，单位没有应采取未采取收回预算、调整目标等处置措施预算阶段项目，均已按项目目标完成，无结余</w:t>
      </w:r>
      <w:r>
        <w:rPr>
          <w:rFonts w:ascii="仿宋_GB2312" w:eastAsia="仿宋_GB2312" w:hint="eastAsia"/>
          <w:color w:val="000000"/>
          <w:kern w:val="0"/>
          <w:sz w:val="32"/>
          <w:szCs w:val="32"/>
          <w:lang w:val="zh-CN"/>
          <w:highlight w:val="auto"/>
        </w:rPr>
        <w:t>。自评得分10分。</w:t>
      </w:r>
    </w:p>
    <w:p>
      <w:pPr>
        <w:keepNext w:val="0"/>
        <w:keepLines w:val="0"/>
        <w:pageBreakBefore w:val="0"/>
        <w:widowControl w:val="0"/>
        <w:kinsoku/>
        <w:wordWrap/>
        <w:overflowPunct/>
        <w:topLinePunct w:val="0"/>
        <w:autoSpaceDE/>
        <w:autoSpaceDN/>
        <w:bidi w:val="0"/>
        <w:adjustRightInd w:val="0"/>
        <w:snapToGrid w:val="0"/>
        <w:spacing w:line="578" w:lineRule="exact"/>
        <w:ind w:firstLineChars="200" w:firstLine="640"/>
        <w:contextualSpacing/>
        <w:textAlignment w:val="auto"/>
        <w:outlineLvl w:val="9"/>
        <w:rPr>
          <w:rFonts w:ascii="仿宋_GB2312" w:eastAsia="仿宋_GB2312" w:hint="eastAsia"/>
          <w:color w:val="000000"/>
          <w:kern w:val="0"/>
          <w:sz w:val="32"/>
          <w:szCs w:val="32"/>
          <w:lang w:val="zh-CN"/>
          <w:highlight w:val="auto"/>
        </w:rPr>
      </w:pPr>
      <w:r>
        <w:rPr>
          <w:rFonts w:ascii="楷体_GB2312" w:eastAsia="楷体_GB2312" w:cs="楷体_GB2312" w:hint="eastAsia"/>
          <w:color w:val="000000"/>
          <w:kern w:val="0"/>
          <w:sz w:val="32"/>
          <w:szCs w:val="32"/>
          <w:lang w:val="en-US" w:eastAsia="zh-CN"/>
          <w:highlight w:val="auto"/>
        </w:rPr>
        <w:t>3.</w:t>
      </w:r>
      <w:r>
        <w:rPr>
          <w:rFonts w:ascii="楷体_GB2312" w:eastAsia="楷体_GB2312" w:cs="楷体_GB2312" w:hint="eastAsia"/>
          <w:color w:val="000000"/>
          <w:kern w:val="0"/>
          <w:sz w:val="32"/>
          <w:szCs w:val="32"/>
          <w:lang w:val="zh-CN"/>
          <w:highlight w:val="auto"/>
        </w:rPr>
        <w:t>目标实现。</w:t>
      </w:r>
      <w:r>
        <w:rPr>
          <w:rFonts w:ascii="仿宋_GB2312" w:eastAsia="仿宋_GB2312" w:hint="eastAsia"/>
          <w:color w:val="000000"/>
          <w:kern w:val="0"/>
          <w:sz w:val="32"/>
          <w:szCs w:val="32"/>
          <w:lang w:val="zh-CN"/>
        </w:rPr>
        <w:t>完成绩效目标数量指标的部门预算阶段项目（含一次性项目）11个，部门预算阶段项目（含一次性项目）总数11个。11个项目均已实现单位预算项目绩效目标效益指标。</w:t>
      </w:r>
      <w:r>
        <w:rPr>
          <w:rFonts w:ascii="仿宋_GB2312" w:eastAsia="仿宋_GB2312" w:hint="eastAsia"/>
          <w:color w:val="000000"/>
          <w:kern w:val="0"/>
          <w:sz w:val="32"/>
          <w:szCs w:val="32"/>
          <w:lang w:val="zh-CN"/>
          <w:highlight w:val="auto"/>
        </w:rPr>
        <w:t>自评得分10分。</w:t>
      </w:r>
    </w:p>
    <w:p>
      <w:pPr>
        <w:keepNext w:val="0"/>
        <w:keepLines w:val="0"/>
        <w:pageBreakBefore w:val="0"/>
        <w:widowControl w:val="0"/>
        <w:kinsoku/>
        <w:wordWrap/>
        <w:overflowPunct/>
        <w:topLinePunct w:val="0"/>
        <w:autoSpaceDE/>
        <w:autoSpaceDN/>
        <w:bidi w:val="0"/>
        <w:snapToGrid w:val="0"/>
        <w:spacing w:line="600" w:lineRule="exact"/>
        <w:ind w:firstLineChars="200" w:firstLine="640"/>
        <w:textAlignment w:val="auto"/>
        <w:rPr>
          <w:rFonts w:ascii="仿宋_GB2312" w:eastAsia="仿宋_GB2312" w:hint="eastAsia"/>
          <w:color w:val="000000"/>
          <w:kern w:val="0"/>
          <w:sz w:val="32"/>
          <w:szCs w:val="32"/>
        </w:rPr>
      </w:pPr>
      <w:r>
        <w:rPr>
          <w:rFonts w:ascii="Times New Roman" w:eastAsia="楷体_GB2312" w:cs="Times New Roman" w:hAnsi="Times New Roman"/>
          <w:b/>
          <w:bCs/>
          <w:color w:val="000000"/>
          <w:kern w:val="0"/>
          <w:sz w:val="32"/>
          <w:szCs w:val="32"/>
          <w:lang w:val="zh-CN"/>
          <w:highlight w:val="auto"/>
        </w:rPr>
        <w:t>（三）</w:t>
      </w:r>
      <w:r>
        <w:rPr>
          <w:rFonts w:ascii="Times New Roman" w:eastAsia="楷体_GB2312" w:cs="Times New Roman" w:hAnsi="Times New Roman"/>
          <w:b/>
          <w:bCs/>
          <w:sz w:val="32"/>
          <w:szCs w:val="32"/>
          <w:lang w:val="zh-CN"/>
        </w:rPr>
        <w:t>绩效结果应用情况。</w:t>
      </w:r>
      <w:r>
        <w:rPr>
          <w:rFonts w:ascii="仿宋_GB2312" w:eastAsia="仿宋_GB2312" w:hint="eastAsia"/>
          <w:color w:val="000000"/>
          <w:kern w:val="0"/>
          <w:sz w:val="32"/>
          <w:szCs w:val="32"/>
        </w:rPr>
        <w:t>我单位严格按照相关文件规定将预决算、绩效评价情况在上级部门门户网站及相关网站进行了公开。</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黑体" w:cs="Times New Roman" w:hAnsi="Times New Roman"/>
          <w:color w:val="000000"/>
          <w:kern w:val="0"/>
          <w:sz w:val="32"/>
          <w:szCs w:val="32"/>
          <w:highlight w:val="auto"/>
        </w:rPr>
      </w:pPr>
      <w:r>
        <w:rPr>
          <w:rFonts w:ascii="Times New Roman" w:eastAsia="黑体" w:cs="Times New Roman" w:hAnsi="Times New Roman"/>
          <w:color w:val="000000"/>
          <w:kern w:val="0"/>
          <w:sz w:val="32"/>
          <w:szCs w:val="32"/>
          <w:lang w:eastAsia="zh-CN"/>
          <w:highlight w:val="auto"/>
        </w:rPr>
        <w:t>四、</w:t>
      </w:r>
      <w:r>
        <w:rPr>
          <w:rFonts w:ascii="Times New Roman" w:eastAsia="黑体" w:cs="Times New Roman" w:hAnsi="Times New Roman"/>
          <w:color w:val="000000"/>
          <w:kern w:val="0"/>
          <w:sz w:val="32"/>
          <w:szCs w:val="32"/>
          <w:highlight w:val="auto"/>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textAlignment w:val="auto"/>
        <w:outlineLvl w:val="9"/>
        <w:rPr>
          <w:rFonts w:ascii="仿宋_GB2312" w:eastAsia="仿宋_GB2312" w:hint="eastAsia"/>
          <w:color w:val="000000"/>
          <w:kern w:val="0"/>
          <w:sz w:val="32"/>
          <w:szCs w:val="32"/>
        </w:rPr>
      </w:pPr>
      <w:r>
        <w:rPr>
          <w:rFonts w:ascii="Times New Roman" w:eastAsia="楷体_GB2312" w:cs="Times New Roman" w:hAnsi="Times New Roman"/>
          <w:b/>
          <w:bCs/>
          <w:color w:val="000000"/>
          <w:kern w:val="0"/>
          <w:sz w:val="32"/>
          <w:szCs w:val="32"/>
          <w:lang w:val="zh-CN"/>
          <w:highlight w:val="auto"/>
        </w:rPr>
        <w:t>（一）评价结论。</w:t>
      </w:r>
      <w:r>
        <w:rPr>
          <w:rFonts w:ascii="仿宋_GB2312" w:eastAsia="仿宋_GB2312" w:hint="eastAsia"/>
          <w:color w:val="000000"/>
          <w:kern w:val="0"/>
          <w:sz w:val="32"/>
          <w:szCs w:val="32"/>
        </w:rPr>
        <w:t>近年来，州新华书店按照国家的法律法规加强预算管理，严格开支标准，加强经费使用的监督管理，不断完善内控制度及行政单位会计核算制度，认真完成州委、州政府赋予的各项工作任务，项目支出绩效和财政资金使用情况较好。</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textAlignment w:val="auto"/>
        <w:outlineLvl w:val="9"/>
        <w:rPr>
          <w:rFonts w:ascii="仿宋_GB2312" w:eastAsia="仿宋_GB2312" w:hint="eastAsia"/>
          <w:bCs/>
          <w:color w:val="000000"/>
          <w:kern w:val="0"/>
          <w:sz w:val="32"/>
          <w:szCs w:val="32"/>
          <w:lang w:val="en-US"/>
          <w:highlight w:val="auto"/>
        </w:rPr>
      </w:pPr>
      <w:r>
        <w:rPr>
          <w:rFonts w:ascii="仿宋_GB2312" w:eastAsia="仿宋_GB2312" w:cs="仿宋_GB2312" w:hint="eastAsia"/>
          <w:color w:val="000000"/>
          <w:kern w:val="0"/>
          <w:sz w:val="32"/>
          <w:szCs w:val="32"/>
          <w:lang w:val="en-US" w:eastAsia="zh-CN" w:bidi="ar-SA"/>
          <w:highlight w:val="auto"/>
        </w:rPr>
        <w:t>此次预算绩效自评总体自评得分94分，其中总体绩效满分65分，自评得63分，项目绩效满分35分，自评得分31分。</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楷体_GB2312" w:cs="Times New Roman" w:hAnsi="Times New Roman"/>
          <w:b/>
          <w:bCs/>
          <w:color w:val="000000"/>
          <w:kern w:val="0"/>
          <w:sz w:val="32"/>
          <w:szCs w:val="32"/>
          <w:lang w:val="en-US" w:eastAsia="zh-CN"/>
          <w:highlight w:val="auto"/>
        </w:rPr>
      </w:pPr>
      <w:r>
        <w:rPr>
          <w:rFonts w:ascii="Times New Roman" w:eastAsia="楷体_GB2312" w:cs="Times New Roman" w:hAnsi="Times New Roman"/>
          <w:b/>
          <w:bCs/>
          <w:color w:val="000000"/>
          <w:kern w:val="0"/>
          <w:sz w:val="32"/>
          <w:szCs w:val="32"/>
          <w:lang w:val="zh-CN"/>
          <w:highlight w:val="auto"/>
        </w:rPr>
        <w:t>（二）存在问题。</w:t>
      </w:r>
      <w:r>
        <w:rPr>
          <w:rFonts w:ascii="仿宋_GB2312" w:eastAsia="仿宋_GB2312" w:hint="eastAsia"/>
          <w:color w:val="000000"/>
          <w:kern w:val="0"/>
          <w:sz w:val="32"/>
          <w:szCs w:val="32"/>
        </w:rPr>
        <w:t>一是资金使用效益有待进一步提高。二是进一步加强资产管理</w:t>
      </w:r>
      <w:r>
        <w:rPr>
          <w:rFonts w:ascii="仿宋_GB2312" w:eastAsia="仿宋_GB2312" w:hint="eastAsia"/>
          <w:color w:val="000000"/>
          <w:kern w:val="0"/>
          <w:sz w:val="32"/>
          <w:szCs w:val="32"/>
          <w:lang w:val="en-US" w:eastAsia="zh-CN" w:bidi="ar-SA"/>
          <w:highlight w:val="auto"/>
        </w:rPr>
        <w:t>。</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hint="eastAsia"/>
          <w:color w:val="000000"/>
          <w:kern w:val="0"/>
          <w:sz w:val="32"/>
          <w:szCs w:val="32"/>
          <w:lang w:eastAsia="zh-CN" w:bidi="ar-SA"/>
          <w:highlight w:val="auto"/>
        </w:rPr>
      </w:pPr>
      <w:r>
        <w:rPr>
          <w:rFonts w:ascii="Times New Roman" w:eastAsia="楷体_GB2312" w:cs="Times New Roman" w:hAnsi="Times New Roman"/>
          <w:b/>
          <w:bCs/>
          <w:color w:val="000000"/>
          <w:kern w:val="0"/>
          <w:sz w:val="32"/>
          <w:szCs w:val="32"/>
          <w:lang w:val="zh-CN" w:eastAsia="zh-CN"/>
          <w:highlight w:val="auto"/>
        </w:rPr>
        <w:t>（三）改进建议。</w:t>
      </w:r>
      <w:bookmarkStart w:id="79" w:name="_Hlk110546638"/>
      <w:r>
        <w:rPr>
          <w:rFonts w:ascii="仿宋_GB2312" w:eastAsia="仿宋_GB2312" w:hint="eastAsia"/>
          <w:color w:val="000000"/>
          <w:kern w:val="0"/>
          <w:sz w:val="32"/>
          <w:szCs w:val="32"/>
        </w:rPr>
        <w:t>进一步完善内部管理制度，建立长效机制，提高资金使用绩效，强化绩效管理，及时</w:t>
      </w:r>
      <w:r>
        <w:rPr>
          <w:rFonts w:ascii="仿宋_GB2312" w:eastAsia="仿宋_GB2312" w:cs="仿宋_GB2312" w:hint="eastAsia"/>
          <w:color w:val="000000"/>
          <w:kern w:val="0"/>
          <w:sz w:val="32"/>
          <w:szCs w:val="32"/>
          <w:lang w:val="en-US" w:eastAsia="zh-CN" w:bidi="ar-SA"/>
        </w:rPr>
        <w:t>调整（修改）绩效目标，细化指标值</w:t>
      </w:r>
      <w:r>
        <w:rPr>
          <w:rFonts w:ascii="仿宋_GB2312" w:eastAsia="仿宋_GB2312" w:hint="eastAsia"/>
          <w:color w:val="000000"/>
          <w:kern w:val="0"/>
          <w:sz w:val="32"/>
          <w:szCs w:val="32"/>
        </w:rPr>
        <w:t>。</w:t>
      </w:r>
    </w:p>
    <w:p>
      <w:pPr>
        <w:keepNext w:val="0"/>
        <w:keepLines w:val="0"/>
        <w:pageBreakBefore w:val="0"/>
        <w:widowControl w:val="0"/>
        <w:kinsoku/>
        <w:wordWrap/>
        <w:overflowPunct/>
        <w:topLinePunct w:val="0"/>
        <w:autoSpaceDE/>
        <w:autoSpaceDN/>
        <w:bidi w:val="0"/>
        <w:spacing w:line="578" w:lineRule="exact"/>
        <w:contextualSpacing/>
        <w:textAlignment w:val="auto"/>
        <w:outlineLvl w:val="9"/>
        <w:rPr>
          <w:rFonts w:ascii="Times New Roman" w:eastAsia="黑体" w:cs="Times New Roman" w:hAnsi="Times New Roman"/>
          <w:sz w:val="32"/>
          <w:szCs w:val="32"/>
          <w:lang w:val="en-US" w:eastAsia="zh-CN"/>
          <w:highlight w:val="auto"/>
        </w:rPr>
      </w:pPr>
      <w:bookmarkEnd w:id="79"/>
    </w:p>
    <w:p>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eastAsia="黑体" w:cs="Times New Roman" w:hAnsi="Times New Roman" w:hint="eastAsia"/>
          <w:kern w:val="2"/>
          <w:sz w:val="32"/>
          <w:szCs w:val="24"/>
          <w:lang w:val="en-US" w:eastAsia="zh-CN" w:bidi="ar-SA"/>
          <w:highlight w:val="auto"/>
        </w:rPr>
      </w:pPr>
      <w:r>
        <w:rPr>
          <w:rFonts w:ascii="Times New Roman" w:cs="Times New Roman" w:hAnsi="Times New Roman"/>
          <w:color w:val="000000"/>
          <w:kern w:val="0"/>
          <w:szCs w:val="32"/>
          <w:lang w:val="en-US" w:eastAsia="zh-CN"/>
          <w:highlight w:val="auto"/>
        </w:rPr>
        <w:br w:type="page"/>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eastAsia="方正小标宋简体" w:cs="Times New Roman" w:hAnsi="Times New Roman" w:hint="eastAsia"/>
          <w:i w:val="0"/>
          <w:color w:val="000000"/>
          <w:kern w:val="0"/>
          <w:sz w:val="44"/>
          <w:szCs w:val="44"/>
          <w:u w:val="none"/>
          <w:lang w:val="en-US" w:eastAsia="zh-CN"/>
        </w:rPr>
      </w:pPr>
      <w:r>
        <w:rPr>
          <w:rFonts w:ascii="Times New Roman" w:eastAsia="方正小标宋简体" w:cs="Times New Roman" w:hAnsi="Times New Roman" w:hint="eastAsia"/>
          <w:i w:val="0"/>
          <w:color w:val="000000"/>
          <w:kern w:val="0"/>
          <w:sz w:val="44"/>
          <w:szCs w:val="44"/>
          <w:u w:val="none"/>
          <w:lang w:val="en-US" w:eastAsia="zh-CN"/>
        </w:rPr>
        <w:t>部门预算绩效自评打分表</w:t>
      </w:r>
    </w:p>
    <w:tbl>
      <w:tblPr>
        <w:jc w:val="center"/>
        <w:tblW w:w="10819"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trPr>
          <w:trHeight w:val="23"/>
        </w:trPr>
        <w:tc>
          <w:tcPr>
            <w:tcW w:w="4851"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ascii="黑体" w:eastAsia="黑体" w:cs="黑体" w:hint="eastAsia"/>
                <w:i w:val="0"/>
                <w:color w:val="000000"/>
                <w:kern w:val="0"/>
                <w:sz w:val="24"/>
                <w:szCs w:val="24"/>
                <w:u w:val="none"/>
                <w:lang w:val="en-US" w:eastAsia="zh-CN"/>
              </w:rPr>
              <w:t>绩效评价指标指标分值</w:t>
            </w:r>
          </w:p>
        </w:tc>
        <w:tc>
          <w:tcPr>
            <w:tcW w:w="47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指标解释</w:t>
            </w:r>
          </w:p>
        </w:tc>
        <w:tc>
          <w:tcPr>
            <w:tcW w:w="756"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kern w:val="0"/>
                <w:sz w:val="24"/>
                <w:szCs w:val="24"/>
                <w:u w:val="none"/>
                <w:lang w:val="en-US" w:eastAsia="zh-CN"/>
              </w:rPr>
            </w:pPr>
            <w:r>
              <w:rPr>
                <w:rFonts w:ascii="黑体" w:eastAsia="黑体" w:cs="黑体" w:hint="eastAsia"/>
                <w:i w:val="0"/>
                <w:color w:val="000000"/>
                <w:kern w:val="0"/>
                <w:sz w:val="24"/>
                <w:szCs w:val="24"/>
                <w:u w:val="none"/>
                <w:lang w:val="en-US" w:eastAsia="zh-CN"/>
              </w:rPr>
              <w:t>自评得分</w:t>
            </w:r>
          </w:p>
        </w:tc>
        <w:tc>
          <w:tcPr>
            <w:tcW w:w="478"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kern w:val="0"/>
                <w:sz w:val="24"/>
                <w:szCs w:val="24"/>
                <w:u w:val="none"/>
                <w:lang w:val="en-US" w:eastAsia="zh-CN"/>
              </w:rPr>
            </w:pPr>
            <w:r>
              <w:rPr>
                <w:rFonts w:ascii="黑体" w:eastAsia="黑体" w:cs="黑体" w:hint="eastAsia"/>
                <w:i w:val="0"/>
                <w:color w:val="000000"/>
                <w:kern w:val="0"/>
                <w:sz w:val="24"/>
                <w:szCs w:val="24"/>
                <w:u w:val="none"/>
                <w:lang w:val="en-US" w:eastAsia="zh-CN"/>
              </w:rPr>
              <w:t>备注</w:t>
            </w:r>
          </w:p>
        </w:tc>
      </w:tr>
      <w:tr>
        <w:trPr>
          <w:trHeight w:val="23"/>
        </w:trPr>
        <w:tc>
          <w:tcPr>
            <w:tcW w:w="1004"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一级指标</w:t>
            </w:r>
          </w:p>
        </w:tc>
        <w:tc>
          <w:tcPr>
            <w:tcW w:w="14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二级指标</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三级指标</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hint="eastAsia"/>
                <w:i w:val="0"/>
                <w:color w:val="000000"/>
                <w:sz w:val="24"/>
                <w:szCs w:val="24"/>
                <w:u w:val="none"/>
              </w:rPr>
            </w:pPr>
            <w:r>
              <w:rPr>
                <w:rFonts w:ascii="黑体" w:eastAsia="黑体" w:cs="黑体" w:hint="eastAsia"/>
                <w:i w:val="0"/>
                <w:color w:val="000000"/>
                <w:kern w:val="0"/>
                <w:sz w:val="24"/>
                <w:szCs w:val="24"/>
                <w:u w:val="none"/>
                <w:lang w:val="en-US" w:eastAsia="zh-CN"/>
              </w:rPr>
              <w:t>指标</w:t>
              <w:br/>
              <w:t>分值</w:t>
            </w:r>
          </w:p>
        </w:tc>
        <w:tc>
          <w:tcPr>
            <w:tcW w:w="47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756" w:type="dxa"/>
            <w:vMerge/>
            <w:tcBorders>
              <w:top w:val="nil"/>
              <w:left w:val="single" w:sz="4" w:space="0" w:color="000000"/>
              <w:bottom w:val="single" w:sz="4" w:space="0" w:color="000000"/>
              <w:right w:val="single" w:sz="4" w:space="0" w:color="000000"/>
            </w:tcBorders>
            <w:shd w:val="clear" w:color="auto" w:fill="auto"/>
            <w:noWrap/>
            <w:vAlign w:val="center"/>
          </w:tcPr>
          <w:p/>
        </w:tc>
        <w:tc>
          <w:tcPr>
            <w:tcW w:w="478" w:type="dxa"/>
            <w:vMerge/>
            <w:tcBorders>
              <w:top w:val="nil"/>
              <w:left w:val="single" w:sz="4" w:space="0" w:color="000000"/>
              <w:bottom w:val="single" w:sz="4" w:space="0" w:color="000000"/>
              <w:right w:val="single" w:sz="4" w:space="0" w:color="000000"/>
            </w:tcBorders>
            <w:shd w:val="clear" w:color="auto" w:fill="auto"/>
            <w:noWrap/>
            <w:vAlign w:val="center"/>
          </w:tc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总体绩效</w:t>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履职效能</w:t>
              <w:br/>
              <w:t>（15分）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XX履职效果</w:t>
            </w:r>
          </w:p>
        </w:tc>
        <w:tc>
          <w:tcPr>
            <w:tcW w:w="720"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15</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部门整体绩效目标中选定3-5个核心职能目标，反映该项职能目标完成效果情况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15</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预算管理</w:t>
              <w:br/>
              <w:t>（25分）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预算编制质量</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8</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部门是否严格按要求编制年初部门预算，年初预算编制的科学性和准确性</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8</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单位收入统筹</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部门统筹自有收入程度</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支出执行进度</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6</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部门1至6月、1至10月预算执行情况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5.6</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预算年终结余</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2</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部门整体年终预算结余情况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严控一般性支出</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5</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财务管理</w:t>
              <w:br/>
              <w:t>（10分）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财务管理制度</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部门财务管理制度建立情况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财务岗位设置</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2</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部门财务岗位设置是否符合相关财务管理制度要求</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资金使用规范</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部门资金使用是否符合相关财务管理制度规定</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资产管理</w:t>
              <w:br/>
              <w:t>（9分）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人均资产变化率</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部门人均资产变化情况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资产利用率</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部门资产超最低使用年限情况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总体绩效</w:t>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资产管理</w:t>
              <w:br/>
              <w:t>（9分）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资产盘活率</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部门闲置一年以上的资产盘活情况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采购管理</w:t>
              <w:br/>
              <w:t>（6分）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支持中小企业发展</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部门是否严格执行政府采购促进中小企业发展相关管理办法</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采购执行率</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部门政府采购项目资金支付比例情况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项目绩效</w:t>
              <w:br/>
              <w:t>（35分）</w:t>
            </w:r>
          </w:p>
        </w:tc>
        <w:tc>
          <w:tcPr>
            <w:tcW w:w="1462"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项目决策</w:t>
              <w:br/>
              <w:t>（12分）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决策程序</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部门预算项目设立是否按规定履行评估论证、申报程序</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目标设置</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项目入库</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部门预算项目是否在规定时间完成项目入库</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项目执行</w:t>
              <w:br/>
              <w:t>（12分）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执行同向</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部门预算项目实际列支内容是否与绩效目标设置方向相符</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65" w:type="dxa"/>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项目调整</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部门预算项目是否采取对应调整措施</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nil"/>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执行结果</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部门预算项目预算执行情况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目标实现</w:t>
              <w:br/>
              <w:t>（11分）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目标完成</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部门预算项目绩效目标数量指标完成情况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目标偏离</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部门预算项目绩效目标数量指标实现程度与预期目标的偏离情况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实现效果</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部门预算项目绩效目标效益指标实施效果</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r>
        <w:trPr>
          <w:trHeight w:val="23"/>
        </w:trPr>
        <w:tc>
          <w:tcPr>
            <w:tcW w:w="10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b/>
                <w:i w:val="0"/>
                <w:color w:val="000000"/>
                <w:sz w:val="24"/>
                <w:szCs w:val="24"/>
                <w:u w:val="none"/>
              </w:rPr>
            </w:pPr>
            <w:r>
              <w:rPr>
                <w:rFonts w:ascii="宋体" w:eastAsia="宋体" w:cs="宋体" w:hint="eastAsia"/>
                <w:b/>
                <w:i w:val="0"/>
                <w:color w:val="000000"/>
                <w:kern w:val="0"/>
                <w:sz w:val="24"/>
                <w:szCs w:val="24"/>
                <w:u w:val="none"/>
                <w:lang w:val="en-US" w:eastAsia="zh-CN"/>
              </w:rPr>
              <w:t>扣分项</w:t>
              <w:br/>
              <w:t>（10分）</w:t>
            </w:r>
          </w:p>
        </w:tc>
        <w:tc>
          <w:tcPr>
            <w:tcW w:w="312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被评价部门配合度</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w:t>
            </w:r>
          </w:p>
        </w:tc>
        <w:tc>
          <w:tcPr>
            <w:tcW w:w="47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sz w:val="24"/>
                <w:szCs w:val="24"/>
                <w:u w:val="none"/>
              </w:rPr>
            </w:pPr>
            <w:r>
              <w:rPr>
                <w:rFonts w:ascii="宋体" w:eastAsia="宋体" w:cs="宋体" w:hint="eastAsia"/>
                <w:i w:val="0"/>
                <w:color w:val="000000"/>
                <w:kern w:val="0"/>
                <w:sz w:val="24"/>
                <w:szCs w:val="24"/>
                <w:u w:val="none"/>
                <w:lang w:val="en-US" w:eastAsia="zh-CN"/>
              </w:rPr>
              <w:t>被评价对象工作配合情况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c>
          <w:tcPr>
            <w:tcW w:w="4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eastAsia="宋体" w:cs="宋体" w:hint="eastAsia"/>
                <w:i w:val="0"/>
                <w:color w:val="000000"/>
                <w:kern w:val="0"/>
                <w:sz w:val="24"/>
                <w:szCs w:val="24"/>
                <w:u w:val="none"/>
                <w:lang w:val="en-US" w:eastAsia="zh-CN"/>
              </w:rPr>
            </w:pPr>
          </w:p>
        </w:tc>
      </w:tr>
    </w:tbl>
    <w:p>
      <w:pPr>
        <w:pStyle w:val="27"/>
        <w:keepNext/>
        <w:keepLines/>
        <w:pageBreakBefore w:val="0"/>
        <w:widowControl w:val="0"/>
        <w:kinsoku/>
        <w:wordWrap/>
        <w:overflowPunct/>
        <w:topLinePunct w:val="0"/>
        <w:autoSpaceDE/>
        <w:autoSpaceDN/>
        <w:bidi w:val="0"/>
        <w:adjustRightInd/>
        <w:snapToGrid/>
        <w:spacing w:line="20" w:lineRule="exact"/>
        <w:textAlignment w:val="auto"/>
        <w:rPr>
          <w:lang w:val="en-US" w:eastAsia="zh-CN"/>
        </w:rPr>
      </w:pPr>
    </w:p>
    <w:p>
      <w:pPr>
        <w:rPr>
          <w:rFonts w:ascii="Times New Roman" w:eastAsia="黑体" w:cs="Times New Roman" w:hAnsi="Times New Roman"/>
          <w:kern w:val="2"/>
          <w:sz w:val="32"/>
          <w:szCs w:val="24"/>
          <w:lang w:val="en-US" w:eastAsia="zh-CN" w:bidi="ar-SA"/>
          <w:highlight w:val="auto"/>
        </w:rPr>
      </w:pPr>
      <w:r>
        <w:rPr>
          <w:rFonts w:ascii="Times New Roman" w:eastAsia="黑体" w:cs="Times New Roman" w:hAnsi="Times New Roman"/>
          <w:kern w:val="2"/>
          <w:sz w:val="32"/>
          <w:szCs w:val="24"/>
          <w:lang w:val="en-US" w:eastAsia="zh-CN" w:bidi="ar-SA"/>
          <w:highlight w:val="auto"/>
        </w:rPr>
        <w:br w:type="page"/>
      </w:r>
    </w:p>
    <w:tbl>
      <w:tblPr>
        <w:jc w:val="center"/>
        <w:tblW w:w="10559" w:type="dxa"/>
        <w:tblBorders>
          <w:top w:val="none" w:sz="0" w:space="0" w:color="auto"/>
          <w:left w:val="none" w:sz="0" w:space="0" w:color="auto"/>
          <w:bottom w:val="none" w:sz="0" w:space="0" w:color="auto"/>
          <w:right w:val="none" w:sz="0" w:space="0" w:color="auto"/>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trPr>
          <w:trHeight w:hRule="exact" w:val="762"/>
        </w:trPr>
        <w:tc>
          <w:tcPr>
            <w:tcW w:w="10559"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eastAsia="黑体" w:cs="Times New Roman" w:hAnsi="Times New Roman"/>
                <w:i w:val="0"/>
                <w:color w:val="000000"/>
                <w:sz w:val="28"/>
                <w:szCs w:val="28"/>
                <w:u w:val="none"/>
              </w:rPr>
            </w:pPr>
            <w:r>
              <w:rPr>
                <w:rFonts w:ascii="Times New Roman" w:eastAsia="方正小标宋简体" w:cs="Times New Roman" w:hAnsi="Times New Roman"/>
                <w:i w:val="0"/>
                <w:color w:val="000000"/>
                <w:kern w:val="0"/>
                <w:sz w:val="44"/>
                <w:szCs w:val="44"/>
                <w:u w:val="none"/>
                <w:lang w:val="en-US" w:eastAsia="zh-CN"/>
              </w:rPr>
              <w:t>部门整体绩效目标完成情况自评表</w:t>
            </w:r>
          </w:p>
        </w:tc>
      </w:tr>
      <w:tr>
        <w:trPr>
          <w:trHeight w:val="23"/>
        </w:trPr>
        <w:tc>
          <w:tcPr>
            <w:tcW w:w="10559"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8"/>
                <w:szCs w:val="28"/>
                <w:u w:val="none"/>
              </w:rPr>
            </w:pPr>
            <w:r>
              <w:rPr>
                <w:rFonts w:ascii="Times New Roman" w:eastAsia="宋体" w:cs="Times New Roman" w:hAnsi="Times New Roman"/>
                <w:i w:val="0"/>
                <w:color w:val="000000"/>
                <w:kern w:val="0"/>
                <w:sz w:val="28"/>
                <w:szCs w:val="28"/>
                <w:u w:val="none"/>
                <w:lang w:val="en-US" w:eastAsia="zh-CN"/>
              </w:rPr>
              <w:t>（202</w:t>
            </w:r>
            <w:r>
              <w:rPr>
                <w:rFonts w:eastAsia="宋体" w:cs="Times New Roman"/>
                <w:i w:val="0"/>
                <w:color w:val="000000"/>
                <w:kern w:val="0"/>
                <w:sz w:val="28"/>
                <w:szCs w:val="28"/>
                <w:u w:val="none"/>
                <w:lang w:val="en-US" w:eastAsia="zh-CN"/>
              </w:rPr>
              <w:t>5</w:t>
            </w:r>
            <w:r>
              <w:rPr>
                <w:rFonts w:ascii="Times New Roman" w:eastAsia="宋体" w:cs="Times New Roman" w:hAnsi="Times New Roman"/>
                <w:i w:val="0"/>
                <w:color w:val="000000"/>
                <w:kern w:val="0"/>
                <w:sz w:val="28"/>
                <w:szCs w:val="28"/>
                <w:u w:val="none"/>
                <w:lang w:val="en-US" w:eastAsia="zh-CN"/>
              </w:rPr>
              <w:t>年度）</w:t>
            </w:r>
          </w:p>
        </w:tc>
      </w:tr>
      <w:tr>
        <w:trPr>
          <w:trHeight w:val="23"/>
        </w:trPr>
        <w:tc>
          <w:tcPr>
            <w:tcW w:w="10559" w:type="dxa"/>
            <w:gridSpan w:val="10"/>
            <w:tcBorders>
              <w:top w:val="nil"/>
              <w:left w:val="nil"/>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eastAsia="宋体" w:cs="Times New Roman" w:hAnsi="Times New Roman"/>
                <w:i w:val="0"/>
                <w:color w:val="000000"/>
                <w:sz w:val="21"/>
                <w:szCs w:val="21"/>
                <w:u w:val="none"/>
              </w:rPr>
            </w:pPr>
            <w:r>
              <w:rPr>
                <w:rFonts w:ascii="Times New Roman" w:eastAsia="宋体" w:cs="Times New Roman" w:hAnsi="Times New Roman"/>
                <w:i w:val="0"/>
                <w:color w:val="000000"/>
                <w:kern w:val="0"/>
                <w:sz w:val="21"/>
                <w:szCs w:val="21"/>
                <w:u w:val="none"/>
                <w:lang w:val="en-US" w:eastAsia="zh-CN"/>
              </w:rPr>
              <w:t>单位：万元</w:t>
            </w:r>
          </w:p>
        </w:tc>
      </w:tr>
      <w:tr>
        <w:trPr>
          <w:trHeight w:val="23"/>
        </w:trPr>
        <w:tc>
          <w:tcPr>
            <w:tcW w:w="3929"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部门名称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州新华书店</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年度部门整体支出预算</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资金总额</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财政拨款</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其他资金</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789.70</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789.70</w:t>
            </w:r>
          </w:p>
        </w:tc>
        <w:tc>
          <w:tcPr>
            <w:tcW w:w="4387"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0</w:t>
            </w:r>
          </w:p>
        </w:tc>
      </w:tr>
      <w:tr>
        <w:trPr>
          <w:trHeight w:val="23"/>
        </w:trPr>
        <w:tc>
          <w:tcPr>
            <w:tcW w:w="13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目标</w:t>
            </w:r>
          </w:p>
        </w:tc>
        <w:tc>
          <w:tcPr>
            <w:tcW w:w="9250"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负责马尔康地区中小学教材教辅、一般图书、藏文图书等出版物的发行工作；负责全州新华书店教材教辅、一般图书的中转运输。</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任务</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任务名称</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主要内容</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图书货款、中转站教材教辅及一般图书运费</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教材教辅货款及运费为季节性支付，一般图书等货款为灵活性支付。</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送书下乡专项经费</w:t>
            </w:r>
          </w:p>
        </w:tc>
        <w:tc>
          <w:tcPr>
            <w:tcW w:w="6631"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hint="eastAsia"/>
                <w:i w:val="0"/>
                <w:color w:val="000000"/>
                <w:sz w:val="24"/>
                <w:szCs w:val="24"/>
                <w:u w:val="none"/>
              </w:rPr>
              <w:t>将购买的书籍赠送给单位以及州委宣传部组织的“三下乡”活动期间赠送给广大农牧民群众。</w:t>
            </w:r>
          </w:p>
        </w:tc>
      </w:tr>
      <w:tr>
        <w:trPr>
          <w:trHeight w:val="23"/>
        </w:trPr>
        <w:tc>
          <w:tcPr>
            <w:tcW w:w="13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w:t>
            </w:r>
          </w:p>
        </w:tc>
        <w:tc>
          <w:tcPr>
            <w:tcW w:w="13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一级指标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二级指标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三级指标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性质</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绩效指标值</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绩效度量单位</w:t>
            </w:r>
          </w:p>
        </w:tc>
        <w:tc>
          <w:tcPr>
            <w:tcW w:w="926" w:type="dxa"/>
            <w:tcBorders>
              <w:top w:val="single" w:sz="4" w:space="0" w:color="000000"/>
              <w:left w:val="single" w:sz="4" w:space="0" w:color="000000"/>
              <w:bottom w:val="single" w:sz="4" w:space="0" w:color="00000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权重</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指标值</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pPr>
            <w:r>
              <w:rPr>
                <w:rFonts w:ascii="Times New Roman" w:eastAsia="宋体" w:cs="Times New Roman" w:hAnsi="Times New Roman"/>
                <w:i w:val="0"/>
                <w:color w:val="000000"/>
                <w:kern w:val="0"/>
                <w:sz w:val="24"/>
                <w:szCs w:val="24"/>
                <w:u w:val="none"/>
                <w:lang w:val="en-US" w:eastAsia="zh-CN"/>
              </w:rPr>
              <w:t>产出指标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效益指标</w:t>
            </w:r>
          </w:p>
        </w:tc>
        <w:tc>
          <w:tcPr>
            <w:tcW w:w="12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数量指标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配送学校和单位数量</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SimSun" w:eastAsia="SimSun" w:cs="Arial"/>
                <w:color w:val="000000"/>
                <w:sz w:val="18"/>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2</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个</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nil"/>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5个</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转运图书数量</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3</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万件</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5万件</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质量指标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图书质量合格率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99.99</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99.99%</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tcBorders>
              <w:top w:val="single" w:sz="4" w:space="0" w:color="000000"/>
              <w:left w:val="single" w:sz="4" w:space="0" w:color="000000"/>
              <w:bottom w:val="single" w:sz="4" w:space="0" w:color="auto"/>
              <w:right w:val="single" w:sz="4" w:space="0" w:color="000000"/>
            </w:tcBorders>
            <w:shd w:val="clear" w:color="auto" w:fill="auto"/>
            <w:noWrap/>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时效指标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转运教材教辅及时发放率</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90%</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val="restart"/>
            <w:tcBorders>
              <w:top w:val="single" w:sz="4" w:space="0" w:color="auto"/>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效益指标</w:t>
            </w:r>
          </w:p>
        </w:tc>
        <w:tc>
          <w:tcPr>
            <w:tcW w:w="1273" w:type="dxa"/>
            <w:vMerge w:val="restart"/>
            <w:tcBorders>
              <w:top w:val="single" w:sz="4" w:space="0" w:color="000000"/>
              <w:left w:val="single" w:sz="4" w:space="0" w:color="000000"/>
              <w:bottom w:val="nil"/>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kern w:val="0"/>
                <w:sz w:val="24"/>
                <w:szCs w:val="24"/>
                <w:u w:val="none"/>
                <w:lang w:val="en-US" w:eastAsia="zh-CN"/>
              </w:rPr>
              <w:t>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提供图书及学习场地</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定性</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效果好</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20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效果好</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vMerge/>
            <w:tcBorders>
              <w:left w:val="single" w:sz="4" w:space="0" w:color="000000"/>
              <w:bottom w:val="single" w:sz="4" w:space="0" w:color="auto"/>
              <w:right w:val="single" w:sz="4" w:space="0" w:color="000000"/>
            </w:tcBorders>
            <w:shd w:val="clear" w:color="auto" w:fill="auto"/>
            <w:noWrap/>
            <w:vAlign w:val="center"/>
          </w:tcPr>
          <w:p/>
        </w:tc>
        <w:tc>
          <w:tcPr>
            <w:tcW w:w="1273" w:type="dxa"/>
            <w:vMerge/>
            <w:tcBorders>
              <w:left w:val="single" w:sz="4" w:space="0" w:color="000000"/>
              <w:bottom w:val="single" w:sz="4" w:space="0" w:color="auto"/>
              <w:right w:val="single" w:sz="4" w:space="0" w:color="000000"/>
            </w:tcBorders>
            <w:shd w:val="clear" w:color="auto" w:fill="auto"/>
            <w:noWrap/>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推广宣传效果</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
              <w:rPr>
                <w:rFonts w:ascii="SimSun" w:eastAsia="SimSun" w:cs="Arial"/>
                <w:color w:val="000000"/>
                <w:sz w:val="18"/>
              </w:rPr>
              <w:t>定性</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群众反应效果显著</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群众反应效果显著</w:t>
            </w:r>
          </w:p>
        </w:tc>
      </w:tr>
      <w:tr>
        <w:trPr>
          <w:trHeight w:val="23"/>
        </w:trPr>
        <w:tc>
          <w:tcPr>
            <w:tcW w:w="13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47" w:type="dxa"/>
            <w:tcBorders>
              <w:top w:val="single" w:sz="4" w:space="0" w:color="auto"/>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ascii="Times New Roman" w:eastAsia="宋体" w:cs="Times New Roman" w:hAnsi="Times New Roman"/>
                <w:i w:val="0"/>
                <w:color w:val="000000"/>
                <w:kern w:val="0"/>
                <w:sz w:val="24"/>
                <w:szCs w:val="24"/>
                <w:u w:val="none"/>
                <w:lang w:val="en-US" w:eastAsia="zh-CN"/>
              </w:rPr>
            </w:pPr>
            <w:r>
              <w:rPr>
                <w:rFonts w:ascii="Times New Roman" w:eastAsia="宋体" w:cs="Times New Roman" w:hAnsi="Times New Roman"/>
                <w:i w:val="0"/>
                <w:color w:val="000000"/>
                <w:kern w:val="0"/>
                <w:sz w:val="24"/>
                <w:szCs w:val="24"/>
                <w:u w:val="none"/>
                <w:lang w:val="en-US" w:eastAsia="zh-CN"/>
              </w:rPr>
              <w:t>满意度指标</w:t>
            </w:r>
          </w:p>
        </w:tc>
        <w:tc>
          <w:tcPr>
            <w:tcW w:w="1273" w:type="dxa"/>
            <w:tcBorders>
              <w:top w:val="single" w:sz="4" w:space="0" w:color="auto"/>
              <w:left w:val="single" w:sz="4" w:space="0" w:color="000000"/>
              <w:bottom w:val="single" w:sz="4" w:space="0" w:color="auto"/>
              <w:right w:val="single" w:sz="4" w:space="0" w:color="000000"/>
            </w:tcBorders>
            <w:shd w:val="clear" w:color="auto" w:fill="auto"/>
            <w:noWrap/>
            <w:vAlign w:val="center"/>
          </w:tcPr>
          <w:p>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服务对象满意度指标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读者满意度</w:t>
            </w:r>
          </w:p>
        </w:tc>
        <w:tc>
          <w:tcPr>
            <w:tcW w:w="1145"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SimSun" w:eastAsia="SimSun" w:cs="Arial"/>
                <w:color w:val="000000"/>
                <w:sz w:val="18"/>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90</w:t>
            </w:r>
          </w:p>
        </w:tc>
        <w:tc>
          <w:tcPr>
            <w:tcW w:w="105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10</w:t>
            </w:r>
          </w:p>
        </w:tc>
        <w:tc>
          <w:tcPr>
            <w:tcW w:w="11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ascii="Times New Roman" w:eastAsia="宋体" w:cs="Times New Roman" w:hAnsi="Times New Roman"/>
                <w:i w:val="0"/>
                <w:color w:val="000000"/>
                <w:sz w:val="24"/>
                <w:szCs w:val="24"/>
                <w:u w:val="none"/>
              </w:rPr>
            </w:pPr>
            <w:r>
              <w:rPr>
                <w:rFonts w:ascii="Times New Roman" w:eastAsia="宋体" w:cs="Times New Roman" w:hAnsi="Times New Roman"/>
                <w:i w:val="0"/>
                <w:color w:val="000000"/>
                <w:sz w:val="24"/>
                <w:szCs w:val="24"/>
                <w:u w:val="none"/>
              </w:rPr>
              <w:t>90%</w:t>
            </w:r>
          </w:p>
        </w:tc>
      </w:tr>
    </w:tbl>
    <w:p>
      <w:pPr>
        <w:rPr>
          <w:rFonts w:ascii="Times New Roman" w:eastAsia="黑体" w:cs="Times New Roman" w:hAnsi="Times New Roman"/>
          <w:sz w:val="24"/>
          <w:szCs w:val="24"/>
          <w:lang w:val="en-US" w:eastAsia="zh-CN"/>
          <w:highlight w:val="auto"/>
        </w:rPr>
      </w:pPr>
      <w:r>
        <w:rPr>
          <w:rFonts w:ascii="Times New Roman" w:eastAsia="黑体" w:cs="Times New Roman" w:hAnsi="Times New Roman"/>
          <w:sz w:val="24"/>
          <w:szCs w:val="24"/>
          <w:lang w:val="en-US" w:eastAsia="zh-CN"/>
          <w:highlight w:val="auto"/>
        </w:rPr>
        <w:br w:type="page"/>
      </w:r>
    </w:p>
    <w:p>
      <w:pPr>
        <w:pStyle w:val="1"/>
        <w:keepNext/>
        <w:keepLines/>
        <w:pageBreakBefore w:val="0"/>
        <w:widowControl w:val="0"/>
        <w:suppressLineNumbers w:val="0"/>
        <w:suppressAutoHyphens w:val="0"/>
        <w:jc w:val="center"/>
        <w:rPr>
          <w:rFonts w:ascii="Times New Roman" w:eastAsia="仿宋" w:hAnsi="Times New Roman" w:hint="eastAsia"/>
          <w:b w:val="0"/>
          <w:color w:val="auto"/>
          <w:highlight w:val="auto"/>
        </w:rPr>
      </w:pPr>
      <w:bookmarkStart w:id="80" w:name="_Toc15396618"/>
      <w:bookmarkStart w:id="81" w:name="_Toc46114070"/>
      <w:r>
        <w:rPr>
          <w:rFonts w:eastAsia="方正小标宋简体" w:cs="方正小标宋简体" w:hint="eastAsia"/>
          <w:b w:val="0"/>
        </w:rPr>
        <w:t>第五部分 附表</w:t>
      </w:r>
      <w:bookmarkStart w:id="82" w:name="_Toc15396619"/>
      <w:bookmarkEnd w:id="75"/>
      <w:bookmarkEnd w:id="80"/>
      <w:bookmarkEnd w:id="8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8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3" w:name="_Toc15396620"/>
      <w:r>
        <w:rPr>
          <w:rFonts w:ascii="Times New Roman" w:eastAsia="仿宋_GB2312" w:cs="仿宋_GB2312" w:hAnsi="Times New Roman" w:hint="eastAsia"/>
          <w:color w:val="auto"/>
          <w:sz w:val="32"/>
          <w:szCs w:val="32"/>
          <w:highlight w:val="auto"/>
        </w:rPr>
        <w:t>二、收入决算表</w:t>
      </w:r>
      <w:bookmarkEnd w:id="8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4" w:name="_Toc15396621"/>
      <w:r>
        <w:rPr>
          <w:rFonts w:ascii="Times New Roman" w:eastAsia="仿宋_GB2312" w:cs="仿宋_GB2312" w:hAnsi="Times New Roman" w:hint="eastAsia"/>
          <w:color w:val="auto"/>
          <w:sz w:val="32"/>
          <w:szCs w:val="32"/>
          <w:highlight w:val="auto"/>
        </w:rPr>
        <w:t>三、支出决算表</w:t>
      </w:r>
      <w:bookmarkEnd w:id="8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5" w:name="_Toc15396622"/>
      <w:r>
        <w:rPr>
          <w:rFonts w:ascii="Times New Roman" w:eastAsia="仿宋_GB2312" w:cs="仿宋_GB2312" w:hAnsi="Times New Roman" w:hint="eastAsia"/>
          <w:color w:val="auto"/>
          <w:sz w:val="32"/>
          <w:szCs w:val="32"/>
          <w:highlight w:val="auto"/>
        </w:rPr>
        <w:t>四、财政拨款收入支出决算总表</w:t>
      </w:r>
      <w:bookmarkEnd w:id="8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6" w:name="_Toc15396623"/>
      <w:r>
        <w:rPr>
          <w:rFonts w:ascii="Times New Roman" w:eastAsia="仿宋_GB2312" w:cs="仿宋_GB2312" w:hAnsi="Times New Roman" w:hint="eastAsia"/>
          <w:color w:val="auto"/>
          <w:sz w:val="32"/>
          <w:szCs w:val="32"/>
          <w:highlight w:val="auto"/>
        </w:rPr>
        <w:t>五、财政拨款支出决算明细表</w:t>
      </w:r>
      <w:bookmarkStart w:id="87" w:name="_Toc15396624"/>
      <w:bookmarkEnd w:id="8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8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8" w:name="_Toc15396625"/>
      <w:r>
        <w:rPr>
          <w:rFonts w:ascii="Times New Roman" w:eastAsia="仿宋_GB2312" w:cs="仿宋_GB2312" w:hAnsi="Times New Roman" w:hint="eastAsia"/>
          <w:color w:val="auto"/>
          <w:sz w:val="32"/>
          <w:szCs w:val="32"/>
          <w:highlight w:val="auto"/>
        </w:rPr>
        <w:t>七、一般公共预算财政拨款支出决算明细表</w:t>
      </w:r>
      <w:bookmarkEnd w:id="8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89" w:name="_Toc15396626"/>
      <w:r>
        <w:rPr>
          <w:rFonts w:ascii="Times New Roman" w:eastAsia="仿宋_GB2312" w:cs="仿宋_GB2312" w:hAnsi="Times New Roman" w:hint="eastAsia"/>
          <w:color w:val="auto"/>
          <w:sz w:val="32"/>
          <w:szCs w:val="32"/>
          <w:highlight w:val="auto"/>
        </w:rPr>
        <w:t>八、一般公共预算财政拨款基本支出决算表</w:t>
      </w:r>
      <w:bookmarkEnd w:id="8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0" w:name="_Toc15396627"/>
      <w:r>
        <w:rPr>
          <w:rFonts w:ascii="Times New Roman" w:eastAsia="仿宋_GB2312" w:cs="仿宋_GB2312" w:hAnsi="Times New Roman" w:hint="eastAsia"/>
          <w:color w:val="auto"/>
          <w:sz w:val="32"/>
          <w:szCs w:val="32"/>
          <w:highlight w:val="auto"/>
        </w:rPr>
        <w:t>九、一般公共预算财政拨款项目支出决算表</w:t>
      </w:r>
      <w:bookmarkEnd w:id="9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1" w:name="_Toc15396628"/>
      <w:r>
        <w:rPr>
          <w:rFonts w:ascii="Times New Roman" w:eastAsia="仿宋_GB2312" w:cs="仿宋_GB2312" w:hAnsi="Times New Roman" w:hint="eastAsia"/>
          <w:color w:val="auto"/>
          <w:sz w:val="32"/>
          <w:szCs w:val="32"/>
          <w:highlight w:val="auto"/>
        </w:rPr>
        <w:t>十、</w:t>
      </w:r>
      <w:bookmarkEnd w:id="91"/>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2" w:name="_Toc15396629"/>
      <w:r>
        <w:rPr>
          <w:rFonts w:ascii="Times New Roman" w:eastAsia="仿宋_GB2312" w:cs="仿宋_GB2312" w:hAnsi="Times New Roman" w:hint="eastAsia"/>
          <w:color w:val="auto"/>
          <w:sz w:val="32"/>
          <w:szCs w:val="32"/>
          <w:highlight w:val="auto"/>
        </w:rPr>
        <w:t>十一、</w:t>
      </w:r>
      <w:bookmarkEnd w:id="92"/>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3" w:name="_Toc15396630"/>
      <w:r>
        <w:rPr>
          <w:rFonts w:ascii="Times New Roman" w:eastAsia="仿宋_GB2312" w:cs="仿宋_GB2312" w:hAnsi="Times New Roman" w:hint="eastAsia"/>
          <w:color w:val="auto"/>
          <w:sz w:val="32"/>
          <w:szCs w:val="32"/>
          <w:highlight w:val="auto"/>
        </w:rPr>
        <w:t>十二、</w:t>
      </w:r>
      <w:bookmarkEnd w:id="93"/>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94" w:name="_Toc15396631"/>
      <w:r>
        <w:rPr>
          <w:rFonts w:ascii="Times New Roman" w:eastAsia="仿宋_GB2312" w:cs="仿宋_GB2312" w:hAnsi="Times New Roman" w:hint="eastAsia"/>
          <w:color w:val="auto"/>
          <w:sz w:val="32"/>
          <w:szCs w:val="32"/>
          <w:highlight w:val="auto"/>
        </w:rPr>
        <w:t>十三、</w:t>
      </w:r>
      <w:bookmarkEnd w:id="94"/>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footerReference w:type="default" r:id="rId3"/>
      <w:footerReference w:type="first" r:id="rId4"/>
      <w:pgSz w:w="11906" w:h="16838"/>
      <w:pgMar w:top="1440" w:right="1800" w:bottom="1440" w:left="1800" w:header="851" w:footer="992" w:gutter="0"/>
      <w:pgNumType w:fmt="numberInDash"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86"/>
    <w:family w:val="auto"/>
    <w:pitch w:val="variable"/>
    <w:sig w:usb0="E0002EFF" w:usb1="C000785B"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7A"/>
    <w:family w:val="auto"/>
    <w:pitch w:val="variable"/>
    <w:sig w:usb0="00000003" w:usb1="288F0000" w:usb2="00000006" w:usb3="00000000" w:csb0="00040001" w:csb1="00000000"/>
  </w:font>
  <w:font w:name="Arial">
    <w:panose1 w:val="020B0604020202020204"/>
    <w:charset w:val="01"/>
    <w:family w:val="swiss"/>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SimSun">
    <w:panose1 w:val="00000000000000000000"/>
    <w:charset w:val="00"/>
    <w:family w:val="auto"/>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
    <w:altName w:val="Segoe Print"/>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r>
      <w:fldChar w:fldCharType="begin"/>
    </w:r>
    <w:r>
      <w:instrText>Page</w:instrText>
    </w:r>
    <w:r>
      <w:fldChar w:fldCharType="separate"/>
    </w:r>
    <w:r>
      <w:rPr>
        <w:rFonts w:hint="eastAsia"/>
      </w:rPr>
      <w:t>— 1 —</w:t>
    </w:r>
    <w:r>
      <w:fldChar w:fldCharType="end"/>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338213" cy="157048"/>
              <wp:effectExtent l="0" t="0" r="0" b="0"/>
              <wp:wrapNone/>
              <wp:docPr id="1" name="文本框 6"/>
              <wp:cNvGraphicFramePr>
                <a:graphicFrameLocks noChangeAspect="0"/>
              </wp:cNvGraphicFramePr>
              <a:graphic>
                <a:graphicData uri="http://schemas.microsoft.com/office/word/2010/wordprocessingShape">
                  <wps:wsp>
                    <wps:cNvSpPr/>
                    <wps:spPr>
                      <a:xfrm rot="0">
                        <a:off x="0" y="0"/>
                        <a:ext cx="338213" cy="157048"/>
                      </a:xfrm>
                      <a:prstGeom prst="rect"/>
                      <a:noFill/>
                      <a:ln w="6350" cmpd="sng" cap="flat">
                        <a:noFill/>
                        <a:prstDash val="solid"/>
                        <a:round/>
                      </a:ln>
                    </wps:spPr>
                    <wps:txbx id="2">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Page</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3" o:spid="_x0000_s3" filled="f" stroked="f" strokeweight="0.5pt" style="position:absolute;margin-left:0.0pt;margin-top:0.0pt;width:26.631002pt;height:12.366pt;z-index:27;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Page</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862012CC"/>
    <w:multiLevelType w:val="hybridMultilevel"/>
    <w:tmpl w:val="00000000"/>
    <w:lvl w:ilvl="0">
      <w:start w:val="1"/>
      <w:numFmt w:val="chineseCountingThousand"/>
      <w:lvlRestart w:val="0"/>
      <w:lvlText w:val="%1、"/>
      <w:lvlJc w:val="left"/>
      <w:pPr>
        <w:ind w:left="640" w:hanging="640"/>
      </w:pPr>
      <w:rPr>
        <w:rFonts w:eastAsia="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next w:val="0"/>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chart" Target="charts/chart3.xml"/><Relationship Id="rId8" Type="http://schemas.openxmlformats.org/officeDocument/2006/relationships/chart" Target="charts/chart4.xml"/><Relationship Id="rId9" Type="http://schemas.openxmlformats.org/officeDocument/2006/relationships/chart" Target="charts/chart5.xml"/><Relationship Id="rId10" Type="http://schemas.openxmlformats.org/officeDocument/2006/relationships/chart" Target="charts/chart6.xml"/><Relationship Id="rId11" Type="http://schemas.openxmlformats.org/officeDocument/2006/relationships/chart" Target="charts/chart7.xml"/><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'工作表465537'!$A$2</c:f>
              <c:strCache>
                <c:ptCount val="1"/>
                <c:pt idx="0">
                  <c:v>2025年度</c:v>
                </c:pt>
              </c:strCache>
            </c:strRef>
          </c:tx>
          <c:spPr>
            <a:solidFill>
              <a:srgbClr val="5B9BD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'工作表465537'!$B$1:$C$1</c:f>
              <c:strCache>
                <c:ptCount val="2"/>
                <c:pt idx="0">
                  <c:v>收入决算总计</c:v>
                </c:pt>
                <c:pt idx="1">
                  <c:v>支出决算总计</c:v>
                </c:pt>
              </c:strCache>
            </c:strRef>
          </c:cat>
          <c:val>
            <c:numRef>
              <c:f>'工作表465537'!$B$2:$C$2</c:f>
              <c:numCache>
                <c:formatCode>General</c:formatCode>
                <c:ptCount val="2"/>
                <c:pt idx="0">
                  <c:v>1839.23</c:v>
                </c:pt>
                <c:pt idx="1">
                  <c:v>1839.23</c:v>
                </c:pt>
              </c:numCache>
            </c:numRef>
          </c:val>
        </c:ser>
        <c:ser>
          <c:idx val="1"/>
          <c:order val="1"/>
          <c:tx>
            <c:strRef>
              <c:f>'工作表465537'!$A$3</c:f>
              <c:strCache>
                <c:ptCount val="1"/>
                <c:pt idx="0">
                  <c:v>2024年度</c:v>
                </c:pt>
              </c:strCache>
            </c:strRef>
          </c:tx>
          <c:spPr>
            <a:solidFill>
              <a:srgbClr val="ED7D31"/>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'工作表465537'!$B$1:$C$1</c:f>
              <c:strCache>
                <c:ptCount val="2"/>
                <c:pt idx="0">
                  <c:v>收入决算总计</c:v>
                </c:pt>
                <c:pt idx="1">
                  <c:v>支出决算总计</c:v>
                </c:pt>
              </c:strCache>
            </c:strRef>
          </c:cat>
          <c:val>
            <c:numRef>
              <c:f>'工作表465537'!$B$3:$C$3</c:f>
              <c:numCache>
                <c:formatCode>General</c:formatCode>
                <c:ptCount val="2"/>
                <c:pt idx="0">
                  <c:v>1792.99</c:v>
                </c:pt>
                <c:pt idx="1">
                  <c:v>1792.99</c:v>
                </c:pt>
              </c:numCache>
            </c:numRef>
          </c:val>
        </c:ser>
        <c:ser>
          <c:idx val="2"/>
          <c:order val="2"/>
          <c:tx>
            <c:v>系列3</c:v>
          </c:tx>
          <c:spPr>
            <a:solidFill>
              <a:srgbClr val="A5A5A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'工作表465537'!$B$1:$C$1</c:f>
              <c:strCache>
                <c:ptCount val="2"/>
                <c:pt idx="0">
                  <c:v>收入决算总计</c:v>
                </c:pt>
                <c:pt idx="1">
                  <c:v>支出决算总计</c:v>
                </c:pt>
              </c:strCache>
            </c:strRef>
          </c:cat>
          <c:val>
            <c:numRef>
              <c:f/>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Arial"/>
              </a:defRPr>
            </a:pPr>
            <a:r>
              <a:rPr lang="zh-CN"/>
              <a:t>2025年度</a:t>
            </a:r>
          </a:p>
        </c:rich>
      </c:tx>
      <c:layout/>
      <c:overlay val="0"/>
      <c:spPr>
        <a:ln>
          <a:noFill/>
        </a:ln>
      </c:spPr>
    </c:title>
    <c:autoTitleDeleted val="1"/>
    <c:plotArea>
      <c:layout/>
      <c:pieChart>
        <c:varyColors val="1"/>
        <c:ser>
          <c:idx val="0"/>
          <c:order val="0"/>
          <c:tx>
            <c:strRef>
              <c:f>'工作表465537 (2)'!$A$2</c:f>
              <c:strCache>
                <c:ptCount val="1"/>
                <c:pt idx="0">
                  <c:v>2025年度</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Lbls>
            <c:dLbl>
              <c:idx val="0"/>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1"/>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showLegendKey val="0"/>
            <c:showVal val="0"/>
            <c:showCatName val="0"/>
            <c:showSerName val="0"/>
            <c:showPercent val="0"/>
            <c:showBubbleSize val="0"/>
            <c:showLeaderLines val="1"/>
          </c:dLbls>
          <c:cat>
            <c:strRef>
              <c:f>'工作表465537 (2)'!$B$1:$C$1</c:f>
              <c:strCache>
                <c:ptCount val="2"/>
                <c:pt idx="0">
                  <c:v>一般公共预算财政拨款收入</c:v>
                </c:pt>
                <c:pt idx="1">
                  <c:v>经营收入</c:v>
                </c:pt>
              </c:strCache>
            </c:strRef>
          </c:cat>
          <c:val>
            <c:numRef>
              <c:f>'工作表465537 (2)'!$B$2:$C$2</c:f>
              <c:numCache>
                <c:formatCode>General</c:formatCode>
                <c:ptCount val="2"/>
                <c:pt idx="0">
                  <c:v>789.7</c:v>
                </c:pt>
                <c:pt idx="1">
                  <c:v>147.21</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Ref>
              <c:f>'工作表465537 (2)'!$B$1:$C$1</c:f>
              <c:strCache>
                <c:ptCount val="2"/>
                <c:pt idx="0">
                  <c:v>一般公共预算财政拨款收入</c:v>
                </c:pt>
                <c:pt idx="1">
                  <c:v>经营收入</c:v>
                </c:pt>
              </c:strCache>
            </c:strRef>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Ref>
              <c:f>'工作表465537 (2)'!$B$1:$C$1</c:f>
              <c:strCache>
                <c:ptCount val="2"/>
                <c:pt idx="0">
                  <c:v>一般公共预算财政拨款收入</c:v>
                </c:pt>
                <c:pt idx="1">
                  <c:v>经营收入</c:v>
                </c:pt>
              </c:strCache>
            </c:strRef>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Arial"/>
              </a:defRPr>
            </a:pPr>
            <a:r>
              <a:rPr lang="zh-CN"/>
              <a:t>2025年度</a:t>
            </a:r>
          </a:p>
        </c:rich>
      </c:tx>
      <c:layout/>
      <c:overlay val="0"/>
      <c:spPr>
        <a:ln>
          <a:noFill/>
        </a:ln>
      </c:spPr>
    </c:title>
    <c:autoTitleDeleted val="1"/>
    <c:plotArea>
      <c:layout/>
      <c:pieChart>
        <c:varyColors val="1"/>
        <c:ser>
          <c:idx val="0"/>
          <c:order val="0"/>
          <c:tx>
            <c:strRef>
              <c:f>'工作表465538'!$A$2</c:f>
              <c:strCache>
                <c:ptCount val="1"/>
                <c:pt idx="0">
                  <c:v>2025年度</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Lbls>
            <c:dLbl>
              <c:idx val="0"/>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1"/>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showLegendKey val="0"/>
            <c:showVal val="0"/>
            <c:showCatName val="0"/>
            <c:showSerName val="0"/>
            <c:showPercent val="0"/>
            <c:showBubbleSize val="0"/>
            <c:showLeaderLines val="1"/>
          </c:dLbls>
          <c:cat>
            <c:strRef>
              <c:f>'工作表465538'!$B$1:$C$1</c:f>
              <c:strCache>
                <c:ptCount val="2"/>
                <c:pt idx="0">
                  <c:v>基本支出</c:v>
                </c:pt>
                <c:pt idx="1">
                  <c:v>项目支出</c:v>
                </c:pt>
              </c:strCache>
            </c:strRef>
          </c:cat>
          <c:val>
            <c:numRef>
              <c:f>'工作表465538'!$B$2:$C$2</c:f>
              <c:numCache>
                <c:formatCode>General</c:formatCode>
                <c:ptCount val="2"/>
                <c:pt idx="0">
                  <c:v>474.93</c:v>
                </c:pt>
                <c:pt idx="1">
                  <c:v>314.78</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Ref>
              <c:f>'工作表465538'!$B$1:$C$1</c:f>
              <c:strCache>
                <c:ptCount val="2"/>
                <c:pt idx="0">
                  <c:v>基本支出</c:v>
                </c:pt>
                <c:pt idx="1">
                  <c:v>项目支出</c:v>
                </c:pt>
              </c:strCache>
            </c:strRef>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Ref>
              <c:f>'工作表465538'!$B$1:$C$1</c:f>
              <c:strCache>
                <c:ptCount val="2"/>
                <c:pt idx="0">
                  <c:v>基本支出</c:v>
                </c:pt>
                <c:pt idx="1">
                  <c:v>项目支出</c:v>
                </c:pt>
              </c:strCache>
            </c:strRef>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'工作表465540'!$A$2</c:f>
              <c:strCache>
                <c:ptCount val="1"/>
                <c:pt idx="0">
                  <c:v>2025年度</c:v>
                </c:pt>
              </c:strCache>
            </c:strRef>
          </c:tx>
          <c:spPr>
            <a:solidFill>
              <a:srgbClr val="5B9BD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'工作表465540'!$B$1</c:f>
              <c:strCache>
                <c:ptCount val="1"/>
                <c:pt idx="0">
                  <c:v>一般公共预算财政拨款支出决算</c:v>
                </c:pt>
              </c:strCache>
            </c:strRef>
          </c:cat>
          <c:val>
            <c:numRef>
              <c:f>工作表465540!$B$2</c:f>
              <c:numCache>
                <c:formatCode>General</c:formatCode>
                <c:ptCount val="1"/>
                <c:pt idx="0">
                  <c:v>789.7</c:v>
                </c:pt>
              </c:numCache>
            </c:numRef>
          </c:val>
        </c:ser>
        <c:ser>
          <c:idx val="1"/>
          <c:order val="1"/>
          <c:tx>
            <c:strRef>
              <c:f>'工作表465540'!$A$3</c:f>
              <c:strCache>
                <c:ptCount val="1"/>
                <c:pt idx="0">
                  <c:v>2024年度</c:v>
                </c:pt>
              </c:strCache>
            </c:strRef>
          </c:tx>
          <c:spPr>
            <a:solidFill>
              <a:srgbClr val="ED7D31"/>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'工作表465540'!$B$1</c:f>
              <c:strCache>
                <c:ptCount val="1"/>
                <c:pt idx="0">
                  <c:v>一般公共预算财政拨款支出决算</c:v>
                </c:pt>
              </c:strCache>
            </c:strRef>
          </c:cat>
          <c:val>
            <c:numRef>
              <c:f>工作表465540!$B$3</c:f>
              <c:numCache>
                <c:formatCode>General</c:formatCode>
                <c:ptCount val="1"/>
                <c:pt idx="0">
                  <c:v>762.15</c:v>
                </c:pt>
              </c:numCache>
            </c:numRef>
          </c:val>
        </c:ser>
        <c:ser>
          <c:idx val="2"/>
          <c:order val="2"/>
          <c:tx>
            <c:v>系列3</c:v>
          </c:tx>
          <c:spPr>
            <a:solidFill>
              <a:srgbClr val="A5A5A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'工作表465540'!$B$1</c:f>
              <c:strCache>
                <c:ptCount val="1"/>
                <c:pt idx="0">
                  <c:v>一般公共预算财政拨款支出决算</c:v>
                </c:pt>
              </c:strCache>
            </c:strRef>
          </c:cat>
          <c:val>
            <c:numRef>
              <c:f/>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'工作表465539'!$A$2</c:f>
              <c:strCache>
                <c:ptCount val="1"/>
                <c:pt idx="0">
                  <c:v>2025年度</c:v>
                </c:pt>
              </c:strCache>
            </c:strRef>
          </c:tx>
          <c:spPr>
            <a:solidFill>
              <a:srgbClr val="5B9BD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'工作表465539'!$B$1:$C$1</c:f>
              <c:strCache>
                <c:ptCount val="2"/>
                <c:pt idx="0">
                  <c:v>财政拨款收入决算总计</c:v>
                </c:pt>
                <c:pt idx="1">
                  <c:v>财政拨款支出决算总计</c:v>
                </c:pt>
              </c:strCache>
            </c:strRef>
          </c:cat>
          <c:val>
            <c:numRef>
              <c:f>'工作表465539'!$B$2:$C$2</c:f>
              <c:numCache>
                <c:formatCode>General</c:formatCode>
                <c:ptCount val="2"/>
                <c:pt idx="0">
                  <c:v>789.7</c:v>
                </c:pt>
                <c:pt idx="1">
                  <c:v>789.7</c:v>
                </c:pt>
              </c:numCache>
            </c:numRef>
          </c:val>
        </c:ser>
        <c:ser>
          <c:idx val="1"/>
          <c:order val="1"/>
          <c:tx>
            <c:strRef>
              <c:f>'工作表465539'!$A$3</c:f>
              <c:strCache>
                <c:ptCount val="1"/>
                <c:pt idx="0">
                  <c:v>2024年度</c:v>
                </c:pt>
              </c:strCache>
            </c:strRef>
          </c:tx>
          <c:spPr>
            <a:solidFill>
              <a:srgbClr val="ED7D31"/>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'工作表465539'!$B$1:$C$1</c:f>
              <c:strCache>
                <c:ptCount val="2"/>
                <c:pt idx="0">
                  <c:v>财政拨款收入决算总计</c:v>
                </c:pt>
                <c:pt idx="1">
                  <c:v>财政拨款支出决算总计</c:v>
                </c:pt>
              </c:strCache>
            </c:strRef>
          </c:cat>
          <c:val>
            <c:numRef>
              <c:f>'工作表465539'!$B$3:$C$3</c:f>
              <c:numCache>
                <c:formatCode>General</c:formatCode>
                <c:ptCount val="2"/>
                <c:pt idx="0">
                  <c:v>762.15</c:v>
                </c:pt>
                <c:pt idx="1">
                  <c:v>762.15</c:v>
                </c:pt>
              </c:numCache>
            </c:numRef>
          </c:val>
        </c:ser>
        <c:ser>
          <c:idx val="2"/>
          <c:order val="2"/>
          <c:tx>
            <c:v>系列3</c:v>
          </c:tx>
          <c:spPr>
            <a:solidFill>
              <a:srgbClr val="A5A5A5"/>
            </a:solidFill>
            <a:ln>
              <a:noFill/>
            </a:ln>
          </c:spPr>
          <c:invertIfNegative val="0"/>
          <c:dLbls>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Ref>
              <c:f>'工作表465539'!$B$1:$C$1</c:f>
              <c:strCache>
                <c:ptCount val="2"/>
                <c:pt idx="0">
                  <c:v>财政拨款收入决算总计</c:v>
                </c:pt>
                <c:pt idx="1">
                  <c:v>财政拨款支出决算总计</c:v>
                </c:pt>
              </c:strCache>
            </c:strRef>
          </c:cat>
          <c:val>
            <c:numRef>
              <c:f/>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Arial"/>
              </a:defRPr>
            </a:pPr>
            <a:r>
              <a:rPr lang="zh-CN"/>
              <a:t>东部</a:t>
            </a:r>
          </a:p>
        </c:rich>
      </c:tx>
      <c:layout/>
      <c:overlay val="0"/>
      <c:spPr>
        <a:ln>
          <a:noFill/>
        </a:ln>
      </c:spPr>
    </c:title>
    <c:autoTitleDeleted val="1"/>
    <c:plotArea>
      <c:layout/>
      <c:pieChart>
        <c:varyColors val="1"/>
        <c:ser>
          <c:idx val="0"/>
          <c:order val="0"/>
          <c:tx>
            <c:strRef>
              <c:f>'工作表465541'!$A$2</c:f>
              <c:strCache>
                <c:ptCount val="1"/>
                <c:pt idx="0">
                  <c:v>东部</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Pt>
            <c:idx val="3"/>
            <c:bubble3D val="0"/>
            <c:spPr>
              <a:solidFill>
                <a:srgbClr val="FFC000"/>
              </a:solidFill>
              <a:ln>
                <a:noFill/>
              </a:ln>
            </c:spPr>
          </c:dPt>
          <c:dLbls>
            <c:dLbl>
              <c:idx val="0"/>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1"/>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2"/>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3"/>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showLegendKey val="0"/>
            <c:showVal val="0"/>
            <c:showCatName val="0"/>
            <c:showSerName val="0"/>
            <c:showPercent val="0"/>
            <c:showBubbleSize val="0"/>
            <c:showLeaderLines val="1"/>
          </c:dLbls>
          <c:cat>
            <c:strRef>
              <c:f>'工作表465541'!$B$1:$E$1</c:f>
              <c:strCache>
                <c:ptCount val="4"/>
                <c:pt idx="0">
                  <c:v>文化旅游体育与传媒支出</c:v>
                </c:pt>
                <c:pt idx="1">
                  <c:v>社会保障和就业支出</c:v>
                </c:pt>
                <c:pt idx="2">
                  <c:v>卫生健康支出</c:v>
                </c:pt>
                <c:pt idx="3">
                  <c:v>住房保障支出</c:v>
                </c:pt>
              </c:strCache>
            </c:strRef>
          </c:cat>
          <c:val>
            <c:numRef>
              <c:f>'工作表465541'!$B$2:$E$2</c:f>
              <c:numCache>
                <c:formatCode>General</c:formatCode>
                <c:ptCount val="4"/>
                <c:pt idx="0">
                  <c:v>673.06</c:v>
                </c:pt>
                <c:pt idx="1">
                  <c:v>59.99</c:v>
                </c:pt>
                <c:pt idx="2">
                  <c:v>25.68</c:v>
                </c:pt>
                <c:pt idx="3">
                  <c:v>30.98</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Ref>
              <c:f>'工作表465541'!$B$1:$E$1</c:f>
              <c:strCache>
                <c:ptCount val="4"/>
                <c:pt idx="0">
                  <c:v>文化旅游体育与传媒支出</c:v>
                </c:pt>
                <c:pt idx="1">
                  <c:v>社会保障和就业支出</c:v>
                </c:pt>
                <c:pt idx="2">
                  <c:v>卫生健康支出</c:v>
                </c:pt>
                <c:pt idx="3">
                  <c:v>住房保障支出</c:v>
                </c:pt>
              </c:strCache>
            </c:strRef>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Ref>
              <c:f>'工作表465541'!$B$1:$E$1</c:f>
              <c:strCache>
                <c:ptCount val="4"/>
                <c:pt idx="0">
                  <c:v>文化旅游体育与传媒支出</c:v>
                </c:pt>
                <c:pt idx="1">
                  <c:v>社会保障和就业支出</c:v>
                </c:pt>
                <c:pt idx="2">
                  <c:v>卫生健康支出</c:v>
                </c:pt>
                <c:pt idx="3">
                  <c:v>住房保障支出</c:v>
                </c:pt>
              </c:strCache>
            </c:strRef>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595959"/>
                </a:solidFill>
                <a:latin typeface="Times New Roman"/>
                <a:ea typeface="宋体"/>
                <a:cs typeface="Arial"/>
              </a:defRPr>
            </a:pPr>
            <a:r>
              <a:rPr lang="zh-CN"/>
              <a:t>2025年度三公经费</a:t>
            </a:r>
          </a:p>
        </c:rich>
      </c:tx>
      <c:layout/>
      <c:overlay val="0"/>
      <c:spPr>
        <a:ln>
          <a:noFill/>
        </a:ln>
      </c:spPr>
    </c:title>
    <c:autoTitleDeleted val="1"/>
    <c:plotArea>
      <c:layout/>
      <c:pieChart>
        <c:varyColors val="1"/>
        <c:ser>
          <c:idx val="0"/>
          <c:order val="0"/>
          <c:tx>
            <c:strRef>
              <c:f>'工作表465542'!$A$2</c:f>
              <c:strCache>
                <c:ptCount val="1"/>
                <c:pt idx="0">
                  <c:v>2025年度三公经费</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Lbls>
            <c:dLbl>
              <c:idx val="0"/>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1"/>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dLbl>
              <c:idx val="2"/>
              <c:spPr>
                <a:noFill/>
                <a:ln>
                  <a:noFill/>
                </a:ln>
              </c:spPr>
              <c:txPr>
                <a:bodyPr vert="horz"/>
                <a:lstStyle/>
                <a:p>
                  <a:pPr>
                    <a:defRPr sz="900" b="0" i="0" u="none" strike="noStrike" baseline="0">
                      <a:solidFill>
                        <a:srgbClr val="3F3F3F"/>
                      </a:solidFill>
                      <a:latin typeface="Times New Roman"/>
                      <a:ea typeface="宋体"/>
                      <a:cs typeface="Arial"/>
                    </a:defRPr>
                  </a:pPr>
                  <a:endParaRPr lang="zh-CN"/>
                </a:p>
              </c:txPr>
              <c:showLegendKey val="0"/>
              <c:showVal val="0"/>
              <c:showCatName val="0"/>
              <c:showSerName val="0"/>
              <c:showPercent val="0"/>
              <c:showBubbleSize val="0"/>
            </c:dLbl>
            <c:showLegendKey val="0"/>
            <c:showVal val="0"/>
            <c:showCatName val="0"/>
            <c:showSerName val="0"/>
            <c:showPercent val="0"/>
            <c:showBubbleSize val="0"/>
            <c:showLeaderLines val="1"/>
          </c:dLbls>
          <c:cat>
            <c:strRef>
              <c:f>'工作表465542'!$B$1:$D$1</c:f>
              <c:strCache>
                <c:ptCount val="3"/>
                <c:pt idx="0">
                  <c:v>因公出国（境）费支出决算</c:v>
                </c:pt>
                <c:pt idx="1">
                  <c:v>公务用车购置及运行维护费支出决算</c:v>
                </c:pt>
                <c:pt idx="2">
                  <c:v>公务接待费支出决算</c:v>
                </c:pt>
              </c:strCache>
            </c:strRef>
          </c:cat>
          <c:val>
            <c:numRef>
              <c:f>'工作表465542'!$B$2:$D$2</c:f>
              <c:numCache>
                <c:formatCode>General</c:formatCode>
                <c:ptCount val="3"/>
                <c:pt idx="0">
                  <c:v>0.0</c:v>
                </c:pt>
                <c:pt idx="1">
                  <c:v>5.14</c:v>
                </c:pt>
                <c:pt idx="2">
                  <c:v>0.0</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Ref>
              <c:f>'工作表465542'!$B$1:$D$1</c:f>
              <c:strCache>
                <c:ptCount val="3"/>
                <c:pt idx="0">
                  <c:v>因公出国（境）费支出决算</c:v>
                </c:pt>
                <c:pt idx="1">
                  <c:v>公务用车购置及运行维护费支出决算</c:v>
                </c:pt>
                <c:pt idx="2">
                  <c:v>公务接待费支出决算</c:v>
                </c:pt>
              </c:strCache>
            </c:strRef>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Ref>
              <c:f>'工作表465542'!$B$1:$D$1</c:f>
              <c:strCache>
                <c:ptCount val="3"/>
                <c:pt idx="0">
                  <c:v>因公出国（境）费支出决算</c:v>
                </c:pt>
                <c:pt idx="1">
                  <c:v>公务用车购置及运行维护费支出决算</c:v>
                </c:pt>
                <c:pt idx="2">
                  <c:v>公务接待费支出决算</c:v>
                </c:pt>
              </c:strCache>
            </c:strRef>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sectPr/>
    <sectPr pgNumType="\* ArabicDash2"/>
  </customProps>
</customData>
</file>

<file path=customXml/itemProps1.xml><?xml version="1.0" encoding="utf-8"?>
<ds:datastoreItem xmlns:ds="http://schemas.openxmlformats.org/officeDocument/2006/customXml" ds:itemID="{0B0D4D96-5E9B-46E3-BDFB-706CEE332C6E}">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1207</TotalTime>
  <Application>Yozo_Office27021597764231179</Application>
  <Pages>25</Pages>
  <Words>8963</Words>
  <Characters>9843</Characters>
  <Lines>731</Lines>
  <Paragraphs>371</Paragraphs>
  <CharactersWithSpaces>9942</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admin</cp:lastModifiedBy>
  <cp:revision>32</cp:revision>
  <cp:lastPrinted>2026-08-03T09:27:00Z</cp:lastPrinted>
  <dcterms:created xsi:type="dcterms:W3CDTF">2020-08-08T17:49:00Z</dcterms:created>
  <dcterms:modified xsi:type="dcterms:W3CDTF">2026-09-16T01:11:06Z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2052-12.1.0.21915</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