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ind w:firstLine="1050" w:firstLineChars="500"/>
        <w:rPr>
          <w:rFonts w:hint="default" w:ascii="Times New Roman" w:hAnsi="Times New Roman" w:cs="Times New Roman"/>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阿坝州归国华侨联合会</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2022年预算</w:t>
      </w: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方正小标宋_GBK" w:cs="Times New Roman"/>
          <w:sz w:val="44"/>
          <w:szCs w:val="44"/>
        </w:rPr>
      </w:pPr>
    </w:p>
    <w:p>
      <w:pPr>
        <w:jc w:val="center"/>
        <w:rPr>
          <w:rFonts w:hint="default" w:ascii="Times New Roman" w:hAnsi="Times New Roman" w:eastAsia="楷体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已经保密审</w:t>
      </w:r>
      <w:r>
        <w:rPr>
          <w:rFonts w:hint="default" w:ascii="Times New Roman" w:hAnsi="Times New Roman" w:eastAsia="楷体_GB2312" w:cs="Times New Roman"/>
          <w:sz w:val="32"/>
          <w:szCs w:val="32"/>
          <w:lang w:val="en-US" w:eastAsia="zh-CN"/>
        </w:rPr>
        <w:t>查、内容审定、同意对外公开</w:t>
      </w:r>
      <w:r>
        <w:rPr>
          <w:rFonts w:hint="default" w:ascii="Times New Roman" w:hAnsi="Times New Roman" w:eastAsia="楷体_GB2312" w:cs="Times New Roman"/>
          <w:sz w:val="32"/>
          <w:szCs w:val="32"/>
          <w:lang w:eastAsia="zh-CN"/>
        </w:rPr>
        <w:t>）</w:t>
      </w:r>
    </w:p>
    <w:p>
      <w:pPr>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2022年1月28日</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lang w:val="en-US" w:eastAsia="zh-CN"/>
        </w:rPr>
      </w:pPr>
    </w:p>
    <w:p>
      <w:pPr>
        <w:ind w:firstLine="1760" w:firstLineChars="400"/>
        <w:rPr>
          <w:rFonts w:hint="default" w:ascii="Times New Roman" w:hAnsi="Times New Roman" w:eastAsia="黑体" w:cs="Times New Roman"/>
          <w:sz w:val="44"/>
          <w:szCs w:val="44"/>
          <w:lang w:val="en-US" w:eastAsia="zh-CN"/>
        </w:rPr>
      </w:pPr>
    </w:p>
    <w:p>
      <w:pPr>
        <w:ind w:firstLine="1760" w:firstLineChars="400"/>
        <w:rPr>
          <w:rFonts w:hint="default" w:ascii="Times New Roman" w:hAnsi="Times New Roman" w:eastAsia="黑体" w:cs="Times New Roman"/>
          <w:sz w:val="44"/>
          <w:szCs w:val="44"/>
          <w:lang w:val="en-US" w:eastAsia="zh-CN"/>
        </w:rPr>
      </w:pPr>
    </w:p>
    <w:p>
      <w:pPr>
        <w:ind w:firstLine="1760" w:firstLineChars="400"/>
        <w:rPr>
          <w:rFonts w:hint="default" w:ascii="Times New Roman" w:hAnsi="Times New Roman" w:eastAsia="黑体" w:cs="Times New Roman"/>
          <w:sz w:val="44"/>
          <w:szCs w:val="44"/>
          <w:lang w:val="en-US" w:eastAsia="zh-CN"/>
        </w:rPr>
      </w:pPr>
    </w:p>
    <w:p>
      <w:pPr>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w:t>
      </w:r>
      <w:r>
        <w:rPr>
          <w:rFonts w:hint="default" w:ascii="Times New Roman" w:hAnsi="Times New Roman" w:eastAsia="黑体" w:cs="Times New Roman"/>
          <w:sz w:val="52"/>
          <w:szCs w:val="52"/>
          <w:lang w:val="en-US" w:eastAsia="zh-CN"/>
        </w:rPr>
        <w:t xml:space="preserve">  </w:t>
      </w:r>
      <w:r>
        <w:rPr>
          <w:rFonts w:hint="default" w:ascii="Times New Roman" w:hAnsi="Times New Roman" w:eastAsia="黑体" w:cs="Times New Roman"/>
          <w:sz w:val="52"/>
          <w:szCs w:val="52"/>
        </w:rPr>
        <w:t>录</w:t>
      </w:r>
    </w:p>
    <w:p>
      <w:pPr>
        <w:ind w:firstLine="3080" w:firstLineChars="700"/>
        <w:rPr>
          <w:rFonts w:hint="default" w:ascii="Times New Roman" w:hAnsi="Times New Roman" w:eastAsia="黑体" w:cs="Times New Roman"/>
          <w:sz w:val="44"/>
          <w:szCs w:val="44"/>
        </w:rPr>
      </w:pPr>
    </w:p>
    <w:p>
      <w:pPr>
        <w:pStyle w:val="9"/>
        <w:ind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一、基本职能及主要工作</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黑体" w:cs="Times New Roman"/>
          <w:sz w:val="32"/>
          <w:szCs w:val="32"/>
          <w:lang w:val="en-US" w:eastAsia="zh-CN"/>
        </w:rPr>
        <w:t>1</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（一）部门职能简介</w:t>
      </w:r>
      <w:r>
        <w:rPr>
          <w:rFonts w:hint="default" w:ascii="Times New Roman" w:hAnsi="Times New Roman" w:eastAsia="仿宋_GB2312" w:cs="Times New Roman"/>
          <w:sz w:val="32"/>
          <w:szCs w:val="32"/>
          <w:lang w:val="en-US" w:eastAsia="zh-CN"/>
        </w:rPr>
        <w:t>..................................................................1</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（二）2022年重点工作</w:t>
      </w:r>
      <w:r>
        <w:rPr>
          <w:rFonts w:hint="default" w:ascii="Times New Roman" w:hAnsi="Times New Roman" w:eastAsia="仿宋_GB2312" w:cs="Times New Roman"/>
          <w:sz w:val="32"/>
          <w:szCs w:val="32"/>
          <w:lang w:val="en-US" w:eastAsia="zh-CN"/>
        </w:rPr>
        <w:t>..............................................................1</w:t>
      </w:r>
    </w:p>
    <w:p>
      <w:pPr>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二、部门预算单位构成</w:t>
      </w:r>
      <w:r>
        <w:rPr>
          <w:rFonts w:hint="default" w:ascii="Times New Roman" w:hAnsi="Times New Roman" w:eastAsia="仿宋_GB2312" w:cs="Times New Roman"/>
          <w:sz w:val="32"/>
          <w:szCs w:val="32"/>
          <w:lang w:val="en-US" w:eastAsia="zh-CN"/>
        </w:rPr>
        <w:t>..............................................................1</w:t>
      </w:r>
    </w:p>
    <w:p>
      <w:pPr>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三、收支预算情况说明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一）收入预算情况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（二）支出预算情况</w:t>
      </w:r>
      <w:r>
        <w:rPr>
          <w:rFonts w:hint="default" w:ascii="Times New Roman" w:hAnsi="Times New Roman" w:eastAsia="仿宋_GB2312" w:cs="Times New Roman"/>
          <w:sz w:val="32"/>
          <w:szCs w:val="32"/>
          <w:lang w:val="en-US" w:eastAsia="zh-CN"/>
        </w:rPr>
        <w:t>..................................................................2</w:t>
      </w:r>
    </w:p>
    <w:p>
      <w:pPr>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四、财政拨款收支预算情况说明</w:t>
      </w:r>
      <w:r>
        <w:rPr>
          <w:rFonts w:hint="default" w:ascii="Times New Roman" w:hAnsi="Times New Roman" w:eastAsia="仿宋_GB2312" w:cs="Times New Roman"/>
          <w:sz w:val="32"/>
          <w:szCs w:val="32"/>
          <w:lang w:val="en-US" w:eastAsia="zh-CN"/>
        </w:rPr>
        <w:t>..............................................2</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（一）一般公共预算当年拨款规模变化情况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p>
    <w:p>
      <w:pP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（二）一般公共预算当年拨款结构情况</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（三）一般公共预算当年拨款具体使用情况</w:t>
      </w:r>
      <w:r>
        <w:rPr>
          <w:rFonts w:hint="default" w:ascii="Times New Roman" w:hAnsi="Times New Roman" w:eastAsia="仿宋_GB2312" w:cs="Times New Roman"/>
          <w:sz w:val="32"/>
          <w:szCs w:val="32"/>
          <w:lang w:val="en-US" w:eastAsia="zh-CN"/>
        </w:rPr>
        <w:t>..........................3</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仿宋_GB2312" w:cs="Times New Roman"/>
          <w:sz w:val="32"/>
          <w:szCs w:val="32"/>
          <w:lang w:val="en-US" w:eastAsia="zh-CN"/>
        </w:rPr>
        <w:t>...........................4</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十、名称解释</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5</w:t>
      </w:r>
    </w:p>
    <w:p>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pPr>
        <w:pStyle w:val="9"/>
        <w:keepNext w:val="0"/>
        <w:keepLines w:val="0"/>
        <w:pageBreakBefore w:val="0"/>
        <w:kinsoku/>
        <w:wordWrap/>
        <w:overflowPunct/>
        <w:topLinePunct w:val="0"/>
        <w:autoSpaceDN/>
        <w:bidi w:val="0"/>
        <w:adjustRightInd/>
        <w:snapToGrid/>
        <w:ind w:firstLine="640" w:firstLineChars="200"/>
        <w:textAlignment w:val="auto"/>
        <w:rPr>
          <w:rFonts w:hint="default" w:ascii="Times New Roman" w:hAnsi="Times New Roman" w:eastAsia="黑体" w:cs="Times New Roman"/>
          <w:sz w:val="32"/>
          <w:szCs w:val="32"/>
        </w:rPr>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pPr>
    </w:p>
    <w:p>
      <w:pPr>
        <w:pStyle w:val="9"/>
        <w:keepNext w:val="0"/>
        <w:keepLines w:val="0"/>
        <w:pageBreakBefore w:val="0"/>
        <w:kinsoku/>
        <w:wordWrap/>
        <w:overflowPunct/>
        <w:topLinePunct w:val="0"/>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keepNext w:val="0"/>
        <w:keepLines w:val="0"/>
        <w:pageBreakBefore w:val="0"/>
        <w:numPr>
          <w:ilvl w:val="0"/>
          <w:numId w:val="1"/>
        </w:numPr>
        <w:kinsoku/>
        <w:wordWrap/>
        <w:overflowPunct/>
        <w:topLinePunct w:val="0"/>
        <w:autoSpaceDN/>
        <w:bidi w:val="0"/>
        <w:adjustRightInd/>
        <w:snapToGrid/>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单位</w:t>
      </w:r>
      <w:r>
        <w:rPr>
          <w:rFonts w:hint="default" w:ascii="Times New Roman" w:hAnsi="Times New Roman" w:eastAsia="楷体_GB2312" w:cs="Times New Roman"/>
          <w:sz w:val="32"/>
          <w:szCs w:val="32"/>
        </w:rPr>
        <w:t>职能简介</w:t>
      </w:r>
    </w:p>
    <w:p>
      <w:pPr>
        <w:spacing w:line="576" w:lineRule="exact"/>
        <w:ind w:firstLine="640" w:firstLineChars="200"/>
        <w:rPr>
          <w:rFonts w:hint="default" w:ascii="Times New Roman" w:hAnsi="Times New Roman" w:eastAsia="仿宋" w:cs="Times New Roman"/>
          <w:color w:val="333333"/>
          <w:kern w:val="0"/>
          <w:sz w:val="32"/>
          <w:szCs w:val="32"/>
        </w:rPr>
      </w:pPr>
      <w:r>
        <w:rPr>
          <w:rFonts w:hint="default" w:ascii="Times New Roman" w:hAnsi="Times New Roman" w:eastAsia="仿宋_GB2312" w:cs="Times New Roman"/>
          <w:kern w:val="0"/>
          <w:sz w:val="32"/>
          <w:szCs w:val="32"/>
        </w:rPr>
        <w:t>根据文件规定，主要职责是：</w:t>
      </w:r>
      <w:r>
        <w:rPr>
          <w:rFonts w:hint="default" w:ascii="Times New Roman" w:hAnsi="Times New Roman" w:eastAsia="仿宋_GB2312" w:cs="Times New Roman"/>
          <w:sz w:val="32"/>
        </w:rPr>
        <w:t>阿坝藏族羌族自治州归国华侨联合会（简称州侨联）是中共阿坝州委领导下由归侨侨眷组成的全州性人民团体，是党和政府联系广大归侨、侨眷和海外侨胞的桥梁和纽带。按照中国侨联章程开展工作。依法维护归侨侨眷的合法权益；协助有关部门和单位开展引进海外侨胞的资金、技术、人才工作；开展对归侨侨眷、基层侨联组织和海外华侨、华人及其社团的联系、团结工作；配合有关部门和单位开展对外经济、文化、教育等方面的交流与合作；做好相关联络、宣传和接待服务工作；开展有关专题调研；参与涉侨部门组织的侨法调研；开展涉侨法律、法规、规章、政策咨询服务；承办涉侨信访工作；配合有关部门推荐侨界人大代表、政协委员人选等。</w:t>
      </w:r>
    </w:p>
    <w:p>
      <w:pPr>
        <w:keepNext w:val="0"/>
        <w:keepLines w:val="0"/>
        <w:pageBreakBefore w:val="0"/>
        <w:kinsoku/>
        <w:wordWrap/>
        <w:overflowPunct/>
        <w:topLinePunct w:val="0"/>
        <w:autoSpaceDN/>
        <w:bidi w:val="0"/>
        <w:adjustRightInd/>
        <w:snapToGrid/>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（二）2022年重点工作</w:t>
      </w:r>
    </w:p>
    <w:p>
      <w:pPr>
        <w:keepNext w:val="0"/>
        <w:keepLines w:val="0"/>
        <w:pageBreakBefore w:val="0"/>
        <w:numPr>
          <w:ilvl w:val="0"/>
          <w:numId w:val="0"/>
        </w:numPr>
        <w:kinsoku/>
        <w:wordWrap/>
        <w:overflowPunct/>
        <w:topLinePunct w:val="0"/>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协调州委编办，争取州侨联机构、人员设置。</w:t>
      </w:r>
    </w:p>
    <w:p>
      <w:pPr>
        <w:keepNext w:val="0"/>
        <w:keepLines w:val="0"/>
        <w:pageBreakBefore w:val="0"/>
        <w:numPr>
          <w:ilvl w:val="0"/>
          <w:numId w:val="0"/>
        </w:numPr>
        <w:kinsoku/>
        <w:wordWrap/>
        <w:overflowPunct/>
        <w:topLinePunct w:val="0"/>
        <w:autoSpaceDN/>
        <w:bidi w:val="0"/>
        <w:adjustRightInd/>
        <w:snapToGrid/>
        <w:ind w:left="638" w:leftChars="304"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.筹备州侨联换届工作，力争202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年完成换届工作。</w:t>
      </w:r>
      <w:r>
        <w:rPr>
          <w:rFonts w:hint="eastAsia"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sz w:val="32"/>
          <w:szCs w:val="32"/>
          <w:lang w:val="en-US" w:eastAsia="zh-CN"/>
        </w:rPr>
        <w:t>完成上级侨联组织交办工作</w:t>
      </w:r>
    </w:p>
    <w:p>
      <w:pPr>
        <w:keepNext w:val="0"/>
        <w:keepLines w:val="0"/>
        <w:pageBreakBefore w:val="0"/>
        <w:numPr>
          <w:ilvl w:val="0"/>
          <w:numId w:val="0"/>
        </w:numPr>
        <w:kinsoku/>
        <w:wordWrap/>
        <w:overflowPunct/>
        <w:topLinePunct w:val="0"/>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州侨联为州委统战部下属二级预算单位。</w:t>
      </w:r>
    </w:p>
    <w:p>
      <w:pPr>
        <w:pStyle w:val="9"/>
        <w:keepNext w:val="0"/>
        <w:keepLines w:val="0"/>
        <w:pageBreakBefore w:val="0"/>
        <w:numPr>
          <w:ilvl w:val="0"/>
          <w:numId w:val="0"/>
        </w:numPr>
        <w:kinsoku/>
        <w:wordWrap/>
        <w:overflowPunct/>
        <w:topLinePunct w:val="0"/>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收支预算情况说明</w:t>
      </w:r>
    </w:p>
    <w:p>
      <w:pPr>
        <w:spacing w:line="576"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按照综合预算的原则，</w:t>
      </w:r>
      <w:r>
        <w:rPr>
          <w:rFonts w:hint="default" w:ascii="Times New Roman" w:hAnsi="Times New Roman" w:eastAsia="仿宋_GB2312" w:cs="Times New Roman"/>
          <w:sz w:val="32"/>
          <w:lang w:val="en-US" w:eastAsia="zh-CN"/>
        </w:rPr>
        <w:t>州侨联</w:t>
      </w:r>
      <w:r>
        <w:rPr>
          <w:rFonts w:hint="default" w:ascii="Times New Roman" w:hAnsi="Times New Roman" w:eastAsia="仿宋_GB2312" w:cs="Times New Roman"/>
          <w:sz w:val="32"/>
        </w:rPr>
        <w:t>所有收入和支出均纳入部门预算管理。</w:t>
      </w:r>
    </w:p>
    <w:p>
      <w:pPr>
        <w:spacing w:line="576"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一</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收入预算情况</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州侨联</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rPr>
        <w:t>年收入预算</w:t>
      </w:r>
      <w:r>
        <w:rPr>
          <w:rFonts w:hint="default" w:ascii="Times New Roman" w:hAnsi="Times New Roman" w:eastAsia="仿宋_GB2312" w:cs="Times New Roman"/>
          <w:sz w:val="32"/>
          <w:lang w:val="en-US" w:eastAsia="zh-CN"/>
        </w:rPr>
        <w:t>31.31</w:t>
      </w:r>
      <w:r>
        <w:rPr>
          <w:rFonts w:hint="default" w:ascii="Times New Roman" w:hAnsi="Times New Roman" w:eastAsia="仿宋_GB2312" w:cs="Times New Roman"/>
          <w:sz w:val="32"/>
        </w:rPr>
        <w:t>万元，其中：上年结转0万元；一般公共预算拨款收入</w:t>
      </w:r>
      <w:r>
        <w:rPr>
          <w:rFonts w:hint="default" w:ascii="Times New Roman" w:hAnsi="Times New Roman" w:eastAsia="仿宋_GB2312" w:cs="Times New Roman"/>
          <w:sz w:val="32"/>
          <w:lang w:val="en-US" w:eastAsia="zh-CN"/>
        </w:rPr>
        <w:t>31.31</w:t>
      </w:r>
      <w:r>
        <w:rPr>
          <w:rFonts w:hint="default" w:ascii="Times New Roman" w:hAnsi="Times New Roman" w:eastAsia="仿宋_GB2312" w:cs="Times New Roman"/>
          <w:sz w:val="32"/>
        </w:rPr>
        <w:t>万元，占100%。</w:t>
      </w:r>
    </w:p>
    <w:p>
      <w:pPr>
        <w:spacing w:line="576"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二</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支出预算情况：一般公共服务支出</w:t>
      </w:r>
      <w:r>
        <w:rPr>
          <w:rFonts w:hint="default" w:ascii="Times New Roman" w:hAnsi="Times New Roman" w:eastAsia="仿宋_GB2312" w:cs="Times New Roman"/>
          <w:sz w:val="32"/>
          <w:lang w:val="en-US" w:eastAsia="zh-CN"/>
        </w:rPr>
        <w:t>23.53</w:t>
      </w:r>
      <w:r>
        <w:rPr>
          <w:rFonts w:hint="default" w:ascii="Times New Roman" w:hAnsi="Times New Roman" w:eastAsia="仿宋_GB2312" w:cs="Times New Roman"/>
          <w:sz w:val="32"/>
        </w:rPr>
        <w:t>万元，社会保障和就业支出</w:t>
      </w:r>
      <w:r>
        <w:rPr>
          <w:rFonts w:hint="default" w:ascii="Times New Roman" w:hAnsi="Times New Roman" w:eastAsia="仿宋_GB2312" w:cs="Times New Roman"/>
          <w:sz w:val="32"/>
          <w:lang w:val="en-US" w:eastAsia="zh-CN"/>
        </w:rPr>
        <w:t>4.03</w:t>
      </w:r>
      <w:r>
        <w:rPr>
          <w:rFonts w:hint="default" w:ascii="Times New Roman" w:hAnsi="Times New Roman" w:eastAsia="仿宋_GB2312" w:cs="Times New Roman"/>
          <w:sz w:val="32"/>
        </w:rPr>
        <w:t>万元，卫生健康支出</w:t>
      </w:r>
      <w:r>
        <w:rPr>
          <w:rFonts w:hint="default" w:ascii="Times New Roman" w:hAnsi="Times New Roman" w:eastAsia="仿宋_GB2312" w:cs="Times New Roman"/>
          <w:sz w:val="32"/>
          <w:lang w:val="en-US" w:eastAsia="zh-CN"/>
        </w:rPr>
        <w:t>1.02</w:t>
      </w:r>
      <w:r>
        <w:rPr>
          <w:rFonts w:hint="default" w:ascii="Times New Roman" w:hAnsi="Times New Roman" w:eastAsia="仿宋_GB2312" w:cs="Times New Roman"/>
          <w:sz w:val="32"/>
        </w:rPr>
        <w:t>万元，住房保障支</w:t>
      </w:r>
      <w:r>
        <w:rPr>
          <w:rFonts w:hint="default" w:ascii="Times New Roman" w:hAnsi="Times New Roman" w:eastAsia="仿宋_GB2312" w:cs="Times New Roman"/>
          <w:sz w:val="32"/>
          <w:lang w:val="en-US" w:eastAsia="zh-CN"/>
        </w:rPr>
        <w:t>出2.74</w:t>
      </w:r>
      <w:r>
        <w:rPr>
          <w:rFonts w:hint="default" w:ascii="Times New Roman" w:hAnsi="Times New Roman" w:eastAsia="仿宋_GB2312" w:cs="Times New Roman"/>
          <w:sz w:val="32"/>
        </w:rPr>
        <w:t>万元。州</w:t>
      </w:r>
      <w:r>
        <w:rPr>
          <w:rFonts w:hint="default" w:ascii="Times New Roman" w:hAnsi="Times New Roman" w:eastAsia="仿宋_GB2312" w:cs="Times New Roman"/>
          <w:sz w:val="32"/>
          <w:lang w:val="en-US" w:eastAsia="zh-CN"/>
        </w:rPr>
        <w:t>侨联</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rPr>
        <w:t>年收支总预算</w:t>
      </w:r>
      <w:r>
        <w:rPr>
          <w:rFonts w:hint="default" w:ascii="Times New Roman" w:hAnsi="Times New Roman" w:eastAsia="仿宋_GB2312" w:cs="Times New Roman"/>
          <w:sz w:val="32"/>
          <w:lang w:val="en-US" w:eastAsia="zh-CN"/>
        </w:rPr>
        <w:t>31.31</w:t>
      </w:r>
      <w:r>
        <w:rPr>
          <w:rFonts w:hint="default" w:ascii="Times New Roman" w:hAnsi="Times New Roman" w:eastAsia="仿宋_GB2312" w:cs="Times New Roman"/>
          <w:sz w:val="32"/>
        </w:rPr>
        <w:t>万元,比202</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32.29</w:t>
      </w:r>
      <w:r>
        <w:rPr>
          <w:rFonts w:hint="default" w:ascii="Times New Roman" w:hAnsi="Times New Roman" w:eastAsia="仿宋_GB2312" w:cs="Times New Roman"/>
          <w:sz w:val="32"/>
        </w:rPr>
        <w:t>万元）年收支预算总数</w:t>
      </w:r>
      <w:r>
        <w:rPr>
          <w:rFonts w:hint="default" w:ascii="Times New Roman" w:hAnsi="Times New Roman" w:eastAsia="仿宋_GB2312" w:cs="Times New Roman"/>
          <w:sz w:val="32"/>
          <w:lang w:val="en-US" w:eastAsia="zh-CN"/>
        </w:rPr>
        <w:t>减少0.98</w:t>
      </w:r>
      <w:r>
        <w:rPr>
          <w:rFonts w:hint="default" w:ascii="Times New Roman" w:hAnsi="Times New Roman" w:eastAsia="仿宋_GB2312" w:cs="Times New Roman"/>
          <w:sz w:val="32"/>
        </w:rPr>
        <w:t>万元</w:t>
      </w:r>
      <w:r>
        <w:rPr>
          <w:rFonts w:hint="default" w:ascii="Times New Roman" w:hAnsi="Times New Roman" w:eastAsia="仿宋_GB2312" w:cs="Times New Roman"/>
          <w:sz w:val="32"/>
          <w:lang w:val="en-US" w:eastAsia="zh-CN"/>
        </w:rPr>
        <w:t>。</w:t>
      </w:r>
    </w:p>
    <w:p>
      <w:pPr>
        <w:spacing w:line="576"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州</w:t>
      </w:r>
      <w:r>
        <w:rPr>
          <w:rFonts w:hint="default" w:ascii="Times New Roman" w:hAnsi="Times New Roman" w:eastAsia="仿宋_GB2312" w:cs="Times New Roman"/>
          <w:sz w:val="32"/>
          <w:lang w:val="en-US" w:eastAsia="zh-CN"/>
        </w:rPr>
        <w:t>侨联</w:t>
      </w:r>
      <w:r>
        <w:rPr>
          <w:rFonts w:hint="default" w:ascii="Times New Roman" w:hAnsi="Times New Roman" w:eastAsia="仿宋_GB2312" w:cs="Times New Roman"/>
          <w:sz w:val="32"/>
        </w:rPr>
        <w:t>2021年支出预算</w:t>
      </w:r>
      <w:r>
        <w:rPr>
          <w:rFonts w:hint="default" w:ascii="Times New Roman" w:hAnsi="Times New Roman" w:eastAsia="仿宋_GB2312" w:cs="Times New Roman"/>
          <w:sz w:val="32"/>
          <w:lang w:val="en-US" w:eastAsia="zh-CN"/>
        </w:rPr>
        <w:t>31.31</w:t>
      </w:r>
      <w:r>
        <w:rPr>
          <w:rFonts w:hint="default" w:ascii="Times New Roman" w:hAnsi="Times New Roman" w:eastAsia="仿宋_GB2312" w:cs="Times New Roman"/>
          <w:sz w:val="32"/>
        </w:rPr>
        <w:t>元，其中：基本支出</w:t>
      </w:r>
      <w:r>
        <w:rPr>
          <w:rFonts w:hint="default" w:ascii="Times New Roman" w:hAnsi="Times New Roman" w:eastAsia="仿宋_GB2312" w:cs="Times New Roman"/>
          <w:sz w:val="32"/>
          <w:lang w:val="en-US" w:eastAsia="zh-CN"/>
        </w:rPr>
        <w:t>25.31</w:t>
      </w:r>
      <w:r>
        <w:rPr>
          <w:rFonts w:hint="default" w:ascii="Times New Roman" w:hAnsi="Times New Roman" w:eastAsia="仿宋_GB2312" w:cs="Times New Roman"/>
          <w:sz w:val="32"/>
        </w:rPr>
        <w:t>万元，占</w:t>
      </w:r>
      <w:r>
        <w:rPr>
          <w:rFonts w:hint="default" w:ascii="Times New Roman" w:hAnsi="Times New Roman" w:eastAsia="仿宋_GB2312" w:cs="Times New Roman"/>
          <w:sz w:val="32"/>
          <w:lang w:val="en-US" w:eastAsia="zh-CN"/>
        </w:rPr>
        <w:t>80.84</w:t>
      </w:r>
      <w:r>
        <w:rPr>
          <w:rFonts w:hint="default" w:ascii="Times New Roman" w:hAnsi="Times New Roman" w:eastAsia="仿宋_GB2312" w:cs="Times New Roman"/>
          <w:sz w:val="32"/>
        </w:rPr>
        <w:t>%；项目支出</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万元，占</w:t>
      </w:r>
      <w:r>
        <w:rPr>
          <w:rFonts w:hint="default" w:ascii="Times New Roman" w:hAnsi="Times New Roman" w:eastAsia="仿宋_GB2312" w:cs="Times New Roman"/>
          <w:sz w:val="32"/>
          <w:lang w:val="en-US" w:eastAsia="zh-CN"/>
        </w:rPr>
        <w:t>19.16</w:t>
      </w:r>
      <w:r>
        <w:rPr>
          <w:rFonts w:hint="default" w:ascii="Times New Roman" w:hAnsi="Times New Roman" w:eastAsia="仿宋_GB2312" w:cs="Times New Roman"/>
          <w:sz w:val="32"/>
        </w:rPr>
        <w:t>%。</w:t>
      </w:r>
    </w:p>
    <w:p>
      <w:pPr>
        <w:spacing w:line="576"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黑体" w:cs="Times New Roman"/>
          <w:sz w:val="32"/>
          <w:szCs w:val="32"/>
        </w:rPr>
        <w:t>四、财政拨款收支预算情况说明</w:t>
      </w:r>
      <w:r>
        <w:rPr>
          <w:rFonts w:hint="default" w:ascii="Times New Roman" w:hAnsi="Times New Roman" w:cs="Times New Roman"/>
          <w:sz w:val="16"/>
        </w:rPr>
        <w:br w:type="textWrapping"/>
      </w:r>
      <w:r>
        <w:rPr>
          <w:rFonts w:hint="default" w:ascii="Times New Roman" w:hAnsi="Times New Roman" w:eastAsia="仿宋_GB2312" w:cs="Times New Roman"/>
          <w:sz w:val="32"/>
          <w:lang w:val="en-US" w:eastAsia="zh-CN"/>
        </w:rPr>
        <w:t xml:space="preserve">    2022年财政拨款收支总预算31.31万元,</w:t>
      </w:r>
      <w:r>
        <w:rPr>
          <w:rFonts w:hint="default" w:ascii="Times New Roman" w:hAnsi="Times New Roman" w:eastAsia="仿宋_GB2312" w:cs="Times New Roman"/>
          <w:sz w:val="32"/>
        </w:rPr>
        <w:t>收支预算总数</w:t>
      </w:r>
      <w:r>
        <w:rPr>
          <w:rFonts w:hint="default" w:ascii="Times New Roman" w:hAnsi="Times New Roman" w:eastAsia="仿宋_GB2312" w:cs="Times New Roman"/>
          <w:sz w:val="32"/>
          <w:lang w:val="en-US" w:eastAsia="zh-CN"/>
        </w:rPr>
        <w:t>减少0.98</w:t>
      </w:r>
      <w:r>
        <w:rPr>
          <w:rFonts w:hint="default" w:ascii="Times New Roman" w:hAnsi="Times New Roman" w:eastAsia="仿宋_GB2312" w:cs="Times New Roman"/>
          <w:sz w:val="32"/>
        </w:rPr>
        <w:t>万元</w:t>
      </w:r>
      <w:r>
        <w:rPr>
          <w:rFonts w:hint="default" w:ascii="Times New Roman" w:hAnsi="Times New Roman" w:eastAsia="仿宋_GB2312" w:cs="Times New Roman"/>
          <w:sz w:val="32"/>
          <w:lang w:val="en-US" w:eastAsia="zh-CN"/>
        </w:rPr>
        <w:t>。</w:t>
      </w:r>
    </w:p>
    <w:p>
      <w:pPr>
        <w:spacing w:line="576"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eastAsia="zh-CN"/>
        </w:rPr>
        <w:t>收入包括：</w:t>
      </w:r>
      <w:r>
        <w:rPr>
          <w:rFonts w:hint="default" w:ascii="Times New Roman" w:hAnsi="Times New Roman" w:eastAsia="仿宋_GB2312" w:cs="Times New Roman"/>
          <w:sz w:val="32"/>
          <w:lang w:val="en-US" w:eastAsia="zh-CN"/>
        </w:rPr>
        <w:t>事业运行23.53万元，机关事业单位基本养老保险缴费支出2.88万元，机关事业单位职业年金缴费支出1.15万元，事业单位医疗1.02万元，住房公积金2.74万元。</w:t>
      </w:r>
    </w:p>
    <w:p>
      <w:pPr>
        <w:spacing w:line="576"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支出包括：一般公共服务支出23.53万元，社会保障和就业支出4.03万元，卫生健康支出1.02万元，住房保障支出2.74万元。 </w:t>
      </w:r>
    </w:p>
    <w:p>
      <w:pPr>
        <w:keepNext w:val="0"/>
        <w:keepLines w:val="0"/>
        <w:pageBreakBefore w:val="0"/>
        <w:kinsoku/>
        <w:wordWrap/>
        <w:overflowPunct/>
        <w:topLinePunct w:val="0"/>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（一）一般公共预算当年拨款规模变化情况</w:t>
      </w:r>
    </w:p>
    <w:p>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2022年一般公共预算当年拨款31.31万元，比2021年预算数减少0.98万元。</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sz w:val="32"/>
          <w:szCs w:val="32"/>
        </w:rPr>
        <w:t>一般公共预算当年拨款结构情</w:t>
      </w:r>
      <w:r>
        <w:rPr>
          <w:rFonts w:hint="default" w:ascii="Times New Roman" w:hAnsi="Times New Roman" w:cs="Times New Roman"/>
          <w:sz w:val="32"/>
          <w:szCs w:val="32"/>
          <w:lang w:val="en-US" w:eastAsia="zh-CN"/>
        </w:rPr>
        <w:t>况</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rPr>
        <w:t>一般公共服务支出</w:t>
      </w:r>
      <w:r>
        <w:rPr>
          <w:rFonts w:hint="default" w:ascii="Times New Roman" w:hAnsi="Times New Roman" w:cs="Times New Roman"/>
          <w:sz w:val="32"/>
          <w:szCs w:val="32"/>
          <w:lang w:val="en-US" w:eastAsia="zh-CN"/>
        </w:rPr>
        <w:t>23.53</w:t>
      </w:r>
      <w:r>
        <w:rPr>
          <w:rFonts w:hint="default" w:ascii="Times New Roman" w:hAnsi="Times New Roman" w:cs="Times New Roman"/>
          <w:sz w:val="32"/>
          <w:szCs w:val="32"/>
        </w:rPr>
        <w:t>万元，占</w:t>
      </w:r>
      <w:r>
        <w:rPr>
          <w:rFonts w:hint="default" w:ascii="Times New Roman" w:hAnsi="Times New Roman" w:cs="Times New Roman"/>
          <w:sz w:val="32"/>
          <w:szCs w:val="32"/>
          <w:lang w:val="en-US" w:eastAsia="zh-CN"/>
        </w:rPr>
        <w:t>75.15</w:t>
      </w:r>
      <w:r>
        <w:rPr>
          <w:rFonts w:hint="default" w:ascii="Times New Roman" w:hAnsi="Times New Roman" w:cs="Times New Roman"/>
          <w:sz w:val="32"/>
          <w:szCs w:val="32"/>
        </w:rPr>
        <w:t>%；社会保障和就业支出</w:t>
      </w:r>
      <w:r>
        <w:rPr>
          <w:rFonts w:hint="default" w:ascii="Times New Roman" w:hAnsi="Times New Roman" w:cs="Times New Roman"/>
          <w:sz w:val="32"/>
          <w:szCs w:val="32"/>
          <w:lang w:val="en-US" w:eastAsia="zh-CN"/>
        </w:rPr>
        <w:t>4.03</w:t>
      </w:r>
      <w:r>
        <w:rPr>
          <w:rFonts w:hint="default" w:ascii="Times New Roman" w:hAnsi="Times New Roman" w:cs="Times New Roman"/>
          <w:sz w:val="32"/>
          <w:szCs w:val="32"/>
        </w:rPr>
        <w:t>万元，占</w:t>
      </w:r>
      <w:r>
        <w:rPr>
          <w:rFonts w:hint="default" w:ascii="Times New Roman" w:hAnsi="Times New Roman" w:cs="Times New Roman"/>
          <w:sz w:val="32"/>
          <w:szCs w:val="32"/>
          <w:lang w:val="en-US" w:eastAsia="zh-CN"/>
        </w:rPr>
        <w:t>12.87</w:t>
      </w:r>
      <w:r>
        <w:rPr>
          <w:rFonts w:hint="default" w:ascii="Times New Roman" w:hAnsi="Times New Roman" w:cs="Times New Roman"/>
          <w:sz w:val="32"/>
          <w:szCs w:val="32"/>
        </w:rPr>
        <w:t>%；医疗卫生与计划生育支出</w:t>
      </w:r>
      <w:r>
        <w:rPr>
          <w:rFonts w:hint="default" w:ascii="Times New Roman" w:hAnsi="Times New Roman" w:cs="Times New Roman"/>
          <w:sz w:val="32"/>
          <w:szCs w:val="32"/>
          <w:lang w:val="en-US" w:eastAsia="zh-CN"/>
        </w:rPr>
        <w:t>1.02</w:t>
      </w:r>
      <w:r>
        <w:rPr>
          <w:rFonts w:hint="default" w:ascii="Times New Roman" w:hAnsi="Times New Roman" w:cs="Times New Roman"/>
          <w:sz w:val="32"/>
          <w:szCs w:val="32"/>
        </w:rPr>
        <w:t>万元，占</w:t>
      </w:r>
      <w:r>
        <w:rPr>
          <w:rFonts w:hint="default" w:ascii="Times New Roman" w:hAnsi="Times New Roman" w:cs="Times New Roman"/>
          <w:sz w:val="32"/>
          <w:szCs w:val="32"/>
          <w:lang w:val="en-US" w:eastAsia="zh-CN"/>
        </w:rPr>
        <w:t>3.26</w:t>
      </w:r>
      <w:r>
        <w:rPr>
          <w:rFonts w:hint="default" w:ascii="Times New Roman" w:hAnsi="Times New Roman" w:cs="Times New Roman"/>
          <w:sz w:val="32"/>
          <w:szCs w:val="32"/>
        </w:rPr>
        <w:t>%；住房保障支出</w:t>
      </w:r>
      <w:r>
        <w:rPr>
          <w:rFonts w:hint="default" w:ascii="Times New Roman" w:hAnsi="Times New Roman" w:cs="Times New Roman"/>
          <w:sz w:val="32"/>
          <w:szCs w:val="32"/>
          <w:lang w:val="en-US" w:eastAsia="zh-CN"/>
        </w:rPr>
        <w:t>62.69</w:t>
      </w:r>
      <w:r>
        <w:rPr>
          <w:rFonts w:hint="default" w:ascii="Times New Roman" w:hAnsi="Times New Roman" w:cs="Times New Roman"/>
          <w:sz w:val="32"/>
          <w:szCs w:val="32"/>
        </w:rPr>
        <w:t>万元，占</w:t>
      </w:r>
      <w:r>
        <w:rPr>
          <w:rFonts w:hint="default" w:ascii="Times New Roman" w:hAnsi="Times New Roman" w:cs="Times New Roman"/>
          <w:sz w:val="32"/>
          <w:szCs w:val="32"/>
          <w:lang w:val="en-US" w:eastAsia="zh-CN"/>
        </w:rPr>
        <w:t>8.75</w:t>
      </w:r>
      <w:r>
        <w:rPr>
          <w:rFonts w:hint="default" w:ascii="Times New Roman" w:hAnsi="Times New Roman" w:cs="Times New Roman"/>
          <w:sz w:val="32"/>
          <w:szCs w:val="32"/>
        </w:rPr>
        <w:t>%</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（三）一般公共预算当年拨款具体使用情况</w:t>
      </w:r>
    </w:p>
    <w:p>
      <w:pP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kern w:val="0"/>
          <w:sz w:val="32"/>
          <w:szCs w:val="32"/>
          <w:lang w:val="en-US" w:eastAsia="zh-CN" w:bidi="ar-SA"/>
        </w:rPr>
        <w:t xml:space="preserve">  1．一般公共服务统战事务行政运行经费（2012550）2022年预算数为23.53万元，主要用于:人员经费及日常公用经费支出。</w:t>
      </w:r>
    </w:p>
    <w:p>
      <w:pP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2.一般公共服务统战事务一般行政管理事务经费（2012550）2022年预算数为6万元，主要用于:工作运转类项目经费支出。</w:t>
      </w:r>
    </w:p>
    <w:p>
      <w:pP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3.机关事业单位基本养老保险缴费（2080505）2022年预算数为2.88万元。</w:t>
      </w:r>
    </w:p>
    <w:p>
      <w:pP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4.机关事业单位职业年金缴费（2080506）2022年预算数为1.15万元。</w:t>
      </w:r>
    </w:p>
    <w:p>
      <w:pPr>
        <w:ind w:firstLine="640" w:firstLine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5.卫生健康支出行政事业单位医疗事业单位医疗（2101102）2022年预算数为1.02万元，主要用于事业单位医疗支出。 </w:t>
      </w:r>
    </w:p>
    <w:p>
      <w:pP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6.住房公积金（2210201）2022年预算数为2.74万元。</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2022年一般公共预算基本支出</w:t>
      </w:r>
      <w:r>
        <w:rPr>
          <w:rFonts w:hint="default" w:ascii="Times New Roman" w:hAnsi="Times New Roman" w:cs="Times New Roman"/>
          <w:kern w:val="2"/>
          <w:sz w:val="32"/>
          <w:szCs w:val="32"/>
          <w:lang w:val="en-US" w:eastAsia="zh-CN"/>
        </w:rPr>
        <w:t>25.31</w:t>
      </w:r>
      <w:r>
        <w:rPr>
          <w:rFonts w:hint="default" w:ascii="Times New Roman" w:hAnsi="Times New Roman" w:cs="Times New Roman"/>
          <w:kern w:val="2"/>
          <w:sz w:val="32"/>
          <w:szCs w:val="32"/>
        </w:rPr>
        <w:t>万元，其中：人员经费</w:t>
      </w:r>
      <w:r>
        <w:rPr>
          <w:rFonts w:hint="default" w:ascii="Times New Roman" w:hAnsi="Times New Roman" w:cs="Times New Roman"/>
          <w:kern w:val="2"/>
          <w:sz w:val="32"/>
          <w:szCs w:val="32"/>
          <w:lang w:val="en-US" w:eastAsia="zh-CN"/>
        </w:rPr>
        <w:t>23.35</w:t>
      </w:r>
      <w:r>
        <w:rPr>
          <w:rFonts w:hint="default" w:ascii="Times New Roman" w:hAnsi="Times New Roman" w:cs="Times New Roman"/>
          <w:kern w:val="2"/>
          <w:sz w:val="32"/>
          <w:szCs w:val="32"/>
        </w:rPr>
        <w:t>万元，主要包括：基本工资、津贴补贴、其他社会保障缴费、绩效工资、机关事业单位基本养老保险缴费、职工基本医疗保险缴费</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职业年金缴费、住房公积金。</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cs="Times New Roman"/>
          <w:kern w:val="2"/>
          <w:sz w:val="32"/>
          <w:szCs w:val="32"/>
        </w:rPr>
        <w:t>公用经费</w:t>
      </w:r>
      <w:r>
        <w:rPr>
          <w:rFonts w:hint="default" w:ascii="Times New Roman" w:hAnsi="Times New Roman" w:cs="Times New Roman"/>
          <w:kern w:val="2"/>
          <w:sz w:val="32"/>
          <w:szCs w:val="32"/>
          <w:lang w:val="en-US" w:eastAsia="zh-CN"/>
        </w:rPr>
        <w:t>1.96</w:t>
      </w:r>
      <w:r>
        <w:rPr>
          <w:rFonts w:hint="default" w:ascii="Times New Roman" w:hAnsi="Times New Roman" w:cs="Times New Roman"/>
          <w:kern w:val="2"/>
          <w:sz w:val="32"/>
          <w:szCs w:val="32"/>
        </w:rPr>
        <w:t>万元，主要包括：办公费、水费、邮电费、</w:t>
      </w:r>
      <w:r>
        <w:rPr>
          <w:rFonts w:hint="default" w:ascii="Times New Roman" w:hAnsi="Times New Roman" w:cs="Times New Roman"/>
          <w:kern w:val="2"/>
          <w:sz w:val="32"/>
          <w:szCs w:val="32"/>
          <w:lang w:val="en-US" w:eastAsia="zh-CN"/>
        </w:rPr>
        <w:t>取暖费、</w:t>
      </w:r>
      <w:r>
        <w:rPr>
          <w:rFonts w:hint="default" w:ascii="Times New Roman" w:hAnsi="Times New Roman" w:cs="Times New Roman"/>
          <w:kern w:val="2"/>
          <w:sz w:val="32"/>
          <w:szCs w:val="32"/>
        </w:rPr>
        <w:t>差旅费、培训费、</w:t>
      </w:r>
      <w:r>
        <w:rPr>
          <w:rFonts w:hint="default" w:ascii="Times New Roman" w:hAnsi="Times New Roman" w:cs="Times New Roman"/>
          <w:kern w:val="2"/>
          <w:sz w:val="32"/>
          <w:szCs w:val="32"/>
          <w:lang w:val="en-US" w:eastAsia="zh-CN"/>
        </w:rPr>
        <w:t>公务接待费、福利费、</w:t>
      </w:r>
      <w:r>
        <w:rPr>
          <w:rFonts w:hint="default" w:ascii="Times New Roman" w:hAnsi="Times New Roman" w:cs="Times New Roman"/>
          <w:kern w:val="2"/>
          <w:sz w:val="32"/>
          <w:szCs w:val="32"/>
        </w:rPr>
        <w:t>福利费、</w:t>
      </w:r>
      <w:r>
        <w:rPr>
          <w:rFonts w:hint="default" w:ascii="Times New Roman" w:hAnsi="Times New Roman" w:cs="Times New Roman"/>
          <w:kern w:val="2"/>
          <w:sz w:val="32"/>
          <w:szCs w:val="32"/>
          <w:lang w:val="en-US" w:eastAsia="zh-CN"/>
        </w:rPr>
        <w:t>公务用车</w:t>
      </w:r>
      <w:r>
        <w:rPr>
          <w:rFonts w:hint="default" w:ascii="Times New Roman" w:hAnsi="Times New Roman" w:cs="Times New Roman"/>
          <w:kern w:val="2"/>
          <w:sz w:val="32"/>
          <w:szCs w:val="32"/>
        </w:rPr>
        <w:t>运行维护费、其他商品和服务支出。</w:t>
      </w:r>
      <w:bookmarkStart w:id="0" w:name="_GoBack"/>
      <w:bookmarkEnd w:id="0"/>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lang w:val="en-US" w:eastAsia="zh-CN"/>
        </w:rPr>
        <w:t xml:space="preserve">    </w:t>
      </w:r>
      <w:r>
        <w:rPr>
          <w:rFonts w:hint="default" w:ascii="Times New Roman" w:hAnsi="Times New Roman" w:eastAsia="黑体" w:cs="Times New Roman"/>
          <w:sz w:val="32"/>
          <w:szCs w:val="32"/>
        </w:rPr>
        <w:t>七、“三公”经费财政拨款预算安排情况说明</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2022年“三公”经费财政拨款预算数</w:t>
      </w:r>
      <w:r>
        <w:rPr>
          <w:rFonts w:hint="default" w:ascii="Times New Roman" w:hAnsi="Times New Roman" w:cs="Times New Roman"/>
          <w:kern w:val="2"/>
          <w:sz w:val="32"/>
          <w:szCs w:val="32"/>
          <w:lang w:val="en-US" w:eastAsia="zh-CN"/>
        </w:rPr>
        <w:t>2.03</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0.3</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2</w:t>
      </w:r>
      <w:r>
        <w:rPr>
          <w:rFonts w:hint="default" w:ascii="Times New Roman" w:hAnsi="Times New Roman" w:cs="Times New Roman"/>
          <w:kern w:val="2"/>
          <w:sz w:val="32"/>
          <w:szCs w:val="32"/>
        </w:rPr>
        <w:t>万元。</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（一）2022年因公出国（境）经费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color w:val="000000"/>
          <w:kern w:val="2"/>
          <w:sz w:val="32"/>
          <w:szCs w:val="32"/>
          <w:lang w:val="en-US"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rPr>
        <w:t>2022年公务接待经费</w:t>
      </w:r>
      <w:r>
        <w:rPr>
          <w:rFonts w:hint="default" w:ascii="Times New Roman" w:hAnsi="Times New Roman" w:cs="Times New Roman"/>
          <w:color w:val="000000"/>
          <w:kern w:val="2"/>
          <w:sz w:val="32"/>
          <w:szCs w:val="32"/>
          <w:lang w:val="en-US" w:eastAsia="zh-CN"/>
        </w:rPr>
        <w:t>0.3</w:t>
      </w:r>
      <w:r>
        <w:rPr>
          <w:rFonts w:hint="default" w:ascii="Times New Roman" w:hAnsi="Times New Roman" w:cs="Times New Roman"/>
          <w:color w:val="000000"/>
          <w:kern w:val="2"/>
          <w:sz w:val="32"/>
          <w:szCs w:val="32"/>
        </w:rPr>
        <w:t>万元。较2021年预算经费</w:t>
      </w:r>
      <w:r>
        <w:rPr>
          <w:rFonts w:hint="default" w:ascii="Times New Roman" w:hAnsi="Times New Roman" w:cs="Times New Roman"/>
          <w:color w:val="000000"/>
          <w:kern w:val="2"/>
          <w:sz w:val="32"/>
          <w:szCs w:val="32"/>
          <w:lang w:val="en-US" w:eastAsia="zh-CN"/>
        </w:rPr>
        <w:t>0.05万元增加0.25</w:t>
      </w:r>
      <w:r>
        <w:rPr>
          <w:rFonts w:hint="default" w:ascii="Times New Roman" w:hAnsi="Times New Roman" w:cs="Times New Roman"/>
          <w:color w:val="000000"/>
          <w:kern w:val="2"/>
          <w:sz w:val="32"/>
          <w:szCs w:val="32"/>
        </w:rPr>
        <w:t>万元，</w:t>
      </w:r>
      <w:r>
        <w:rPr>
          <w:rFonts w:hint="default" w:ascii="Times New Roman" w:hAnsi="Times New Roman" w:cs="Times New Roman"/>
          <w:sz w:val="32"/>
          <w:szCs w:val="32"/>
          <w:lang w:val="en-US" w:eastAsia="zh-CN"/>
        </w:rPr>
        <w:t>增加500</w:t>
      </w:r>
      <w:r>
        <w:rPr>
          <w:rFonts w:hint="default" w:ascii="Times New Roman" w:hAnsi="Times New Roman" w:cs="Times New Roman"/>
          <w:color w:val="000000"/>
          <w:kern w:val="2"/>
          <w:sz w:val="32"/>
          <w:szCs w:val="32"/>
        </w:rPr>
        <w:t>%</w:t>
      </w:r>
      <w:r>
        <w:rPr>
          <w:rFonts w:hint="default" w:ascii="Times New Roman" w:hAnsi="Times New Roman" w:cs="Times New Roman"/>
          <w:color w:val="000000"/>
          <w:kern w:val="2"/>
          <w:sz w:val="32"/>
          <w:szCs w:val="32"/>
          <w:lang w:eastAsia="zh-CN"/>
        </w:rPr>
        <w:t>，</w:t>
      </w:r>
      <w:r>
        <w:rPr>
          <w:rFonts w:hint="default" w:ascii="Times New Roman" w:hAnsi="Times New Roman" w:cs="Times New Roman"/>
          <w:color w:val="000000"/>
          <w:kern w:val="2"/>
          <w:sz w:val="32"/>
          <w:szCs w:val="32"/>
          <w:lang w:val="en-US" w:eastAsia="zh-CN"/>
        </w:rPr>
        <w:t>主要原因是保障接待经费</w:t>
      </w:r>
      <w:r>
        <w:rPr>
          <w:rFonts w:hint="default" w:ascii="Times New Roman" w:hAnsi="Times New Roman" w:cs="Times New Roman"/>
          <w:color w:val="000000"/>
          <w:kern w:val="2"/>
          <w:sz w:val="32"/>
          <w:szCs w:val="32"/>
        </w:rPr>
        <w:t>。</w:t>
      </w:r>
      <w:r>
        <w:rPr>
          <w:rFonts w:hint="default" w:ascii="Times New Roman" w:hAnsi="Times New Roman" w:cs="Times New Roman"/>
          <w:color w:val="000000"/>
          <w:kern w:val="2"/>
          <w:sz w:val="32"/>
          <w:szCs w:val="32"/>
        </w:rPr>
        <w:br w:type="textWrapping"/>
      </w:r>
      <w:r>
        <w:rPr>
          <w:rFonts w:hint="default" w:ascii="Times New Roman" w:hAnsi="Times New Roman" w:cs="Times New Roman"/>
          <w:color w:val="FF0000"/>
          <w:kern w:val="2"/>
          <w:sz w:val="32"/>
          <w:szCs w:val="32"/>
        </w:rPr>
        <w:t>　　</w:t>
      </w:r>
      <w:r>
        <w:rPr>
          <w:rFonts w:hint="default" w:ascii="Times New Roman" w:hAnsi="Times New Roman" w:cs="Times New Roman"/>
          <w:color w:val="000000"/>
          <w:kern w:val="2"/>
          <w:sz w:val="32"/>
          <w:szCs w:val="32"/>
        </w:rPr>
        <w:t>（三）2022年公务用车购置及运行维护费</w:t>
      </w:r>
      <w:r>
        <w:rPr>
          <w:rFonts w:hint="default" w:ascii="Times New Roman" w:hAnsi="Times New Roman" w:cs="Times New Roman"/>
          <w:color w:val="000000"/>
          <w:kern w:val="2"/>
          <w:sz w:val="32"/>
          <w:szCs w:val="32"/>
          <w:lang w:val="en-US" w:eastAsia="zh-CN"/>
        </w:rPr>
        <w:t>2</w:t>
      </w:r>
      <w:r>
        <w:rPr>
          <w:rFonts w:hint="default" w:ascii="Times New Roman" w:hAnsi="Times New Roman" w:cs="Times New Roman"/>
          <w:color w:val="000000"/>
          <w:kern w:val="2"/>
          <w:sz w:val="32"/>
          <w:szCs w:val="32"/>
        </w:rPr>
        <w:t>万元。较2021年预算经费</w:t>
      </w:r>
      <w:r>
        <w:rPr>
          <w:rFonts w:hint="default" w:ascii="Times New Roman" w:hAnsi="Times New Roman" w:cs="Times New Roman"/>
          <w:color w:val="000000"/>
          <w:kern w:val="2"/>
          <w:sz w:val="32"/>
          <w:szCs w:val="32"/>
          <w:lang w:val="en-US" w:eastAsia="zh-CN"/>
        </w:rPr>
        <w:t>0万元</w:t>
      </w:r>
      <w:r>
        <w:rPr>
          <w:rFonts w:hint="default" w:ascii="Times New Roman" w:hAnsi="Times New Roman" w:cs="Times New Roman"/>
          <w:sz w:val="32"/>
          <w:szCs w:val="32"/>
        </w:rPr>
        <w:t>增加</w:t>
      </w:r>
      <w:r>
        <w:rPr>
          <w:rFonts w:hint="default" w:ascii="Times New Roman" w:hAnsi="Times New Roman" w:cs="Times New Roman"/>
          <w:sz w:val="32"/>
          <w:szCs w:val="32"/>
          <w:lang w:val="en-US" w:eastAsia="zh-CN"/>
        </w:rPr>
        <w:t>2</w:t>
      </w:r>
      <w:r>
        <w:rPr>
          <w:rFonts w:hint="default" w:ascii="Times New Roman" w:hAnsi="Times New Roman" w:cs="Times New Roman"/>
          <w:color w:val="000000"/>
          <w:kern w:val="2"/>
          <w:sz w:val="32"/>
          <w:szCs w:val="32"/>
        </w:rPr>
        <w:t>万元，增长</w:t>
      </w:r>
      <w:r>
        <w:rPr>
          <w:rFonts w:hint="default" w:ascii="Times New Roman" w:hAnsi="Times New Roman" w:cs="Times New Roman"/>
          <w:color w:val="000000"/>
          <w:kern w:val="2"/>
          <w:sz w:val="32"/>
          <w:szCs w:val="32"/>
          <w:lang w:val="en-US" w:eastAsia="zh-CN"/>
        </w:rPr>
        <w:t>主要原因是保障工作正常开展。</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八、政府性基金预算支出情况说明</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2022年政府性基金预算拨款安排的支出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万元。较2021年预算经费</w:t>
      </w:r>
      <w:r>
        <w:rPr>
          <w:rFonts w:hint="default" w:ascii="Times New Roman" w:hAnsi="Times New Roman" w:cs="Times New Roman"/>
          <w:sz w:val="32"/>
          <w:szCs w:val="32"/>
        </w:rPr>
        <w:t>增加/</w:t>
      </w:r>
      <w:r>
        <w:rPr>
          <w:rFonts w:hint="default" w:ascii="Times New Roman" w:hAnsi="Times New Roman" w:cs="Times New Roman"/>
          <w:color w:val="000000"/>
          <w:kern w:val="2"/>
          <w:sz w:val="32"/>
          <w:szCs w:val="32"/>
        </w:rPr>
        <w:t>减少</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万元，增长</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color w:val="FF0000"/>
          <w:kern w:val="2"/>
          <w:sz w:val="32"/>
          <w:szCs w:val="32"/>
        </w:rPr>
      </w:pPr>
      <w:r>
        <w:rPr>
          <w:rFonts w:hint="default" w:ascii="Times New Roman" w:hAnsi="Times New Roman" w:cs="Times New Roman"/>
          <w:kern w:val="2"/>
          <w:sz w:val="32"/>
          <w:szCs w:val="32"/>
        </w:rPr>
        <w:t>（一）机关运行经费</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2022年机关运行经费财政拨款预算为</w:t>
      </w:r>
      <w:r>
        <w:rPr>
          <w:rFonts w:hint="default" w:ascii="Times New Roman" w:hAnsi="Times New Roman" w:cs="Times New Roman"/>
          <w:kern w:val="2"/>
          <w:sz w:val="32"/>
          <w:szCs w:val="32"/>
          <w:lang w:val="en-US" w:eastAsia="zh-CN"/>
        </w:rPr>
        <w:t>23.53</w:t>
      </w:r>
      <w:r>
        <w:rPr>
          <w:rFonts w:hint="default" w:ascii="Times New Roman" w:hAnsi="Times New Roman" w:cs="Times New Roman"/>
          <w:kern w:val="2"/>
          <w:sz w:val="32"/>
          <w:szCs w:val="32"/>
        </w:rPr>
        <w:t>万元，比2021 年预算</w:t>
      </w:r>
      <w:r>
        <w:rPr>
          <w:rFonts w:hint="default" w:ascii="Times New Roman" w:hAnsi="Times New Roman" w:cs="Times New Roman"/>
          <w:kern w:val="2"/>
          <w:sz w:val="32"/>
          <w:szCs w:val="32"/>
          <w:lang w:val="en-US" w:eastAsia="zh-CN"/>
        </w:rPr>
        <w:t>24.32万元</w:t>
      </w:r>
      <w:r>
        <w:rPr>
          <w:rFonts w:hint="default" w:ascii="Times New Roman" w:hAnsi="Times New Roman" w:cs="Times New Roman"/>
          <w:color w:val="000000"/>
          <w:kern w:val="2"/>
          <w:sz w:val="32"/>
          <w:szCs w:val="32"/>
        </w:rPr>
        <w:t>减少</w:t>
      </w:r>
      <w:r>
        <w:rPr>
          <w:rFonts w:hint="default" w:ascii="Times New Roman" w:hAnsi="Times New Roman" w:cs="Times New Roman"/>
          <w:color w:val="000000"/>
          <w:kern w:val="2"/>
          <w:sz w:val="32"/>
          <w:szCs w:val="32"/>
          <w:lang w:val="en-US" w:eastAsia="zh-CN"/>
        </w:rPr>
        <w:t>0.79</w:t>
      </w:r>
      <w:r>
        <w:rPr>
          <w:rFonts w:hint="default" w:ascii="Times New Roman" w:hAnsi="Times New Roman" w:cs="Times New Roman"/>
          <w:color w:val="000000"/>
          <w:kern w:val="2"/>
          <w:sz w:val="32"/>
          <w:szCs w:val="32"/>
        </w:rPr>
        <w:t>万元，减少</w:t>
      </w:r>
      <w:r>
        <w:rPr>
          <w:rFonts w:hint="default" w:ascii="Times New Roman" w:hAnsi="Times New Roman" w:cs="Times New Roman"/>
          <w:color w:val="000000"/>
          <w:kern w:val="2"/>
          <w:sz w:val="32"/>
          <w:szCs w:val="32"/>
          <w:lang w:val="en-US" w:eastAsia="zh-CN"/>
        </w:rPr>
        <w:t>3.25</w:t>
      </w:r>
      <w:r>
        <w:rPr>
          <w:rFonts w:hint="default" w:ascii="Times New Roman" w:hAnsi="Times New Roman" w:cs="Times New Roman"/>
          <w:color w:val="000000"/>
          <w:kern w:val="2"/>
          <w:sz w:val="32"/>
          <w:szCs w:val="32"/>
        </w:rPr>
        <w:t>%</w:t>
      </w:r>
      <w:r>
        <w:rPr>
          <w:rFonts w:hint="default" w:ascii="Times New Roman" w:hAnsi="Times New Roman" w:cs="Times New Roman"/>
          <w:color w:val="000000"/>
          <w:kern w:val="2"/>
          <w:sz w:val="32"/>
          <w:szCs w:val="32"/>
          <w:lang w:val="en-US" w:eastAsia="zh-CN"/>
        </w:rPr>
        <w:t>。</w:t>
      </w:r>
      <w:r>
        <w:rPr>
          <w:rFonts w:hint="default" w:ascii="Times New Roman" w:hAnsi="Times New Roman" w:cs="Times New Roman"/>
          <w:color w:val="000000"/>
          <w:kern w:val="2"/>
          <w:sz w:val="32"/>
          <w:szCs w:val="32"/>
        </w:rPr>
        <w:t xml:space="preserve"> </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color w:val="000000"/>
          <w:kern w:val="2"/>
          <w:sz w:val="32"/>
          <w:szCs w:val="32"/>
          <w:lang w:val="en-US" w:eastAsia="zh-CN"/>
        </w:rPr>
      </w:pPr>
      <w:r>
        <w:rPr>
          <w:rFonts w:hint="default" w:ascii="Times New Roman" w:hAnsi="Times New Roman" w:cs="Times New Roman"/>
          <w:kern w:val="2"/>
          <w:sz w:val="32"/>
          <w:szCs w:val="32"/>
        </w:rPr>
        <w:t>（二）政府采购情况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2022年安排政府采购预算</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val="en-US" w:eastAsia="zh-CN"/>
        </w:rPr>
        <w:t>。</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（三）国有资产占有使用情况</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截至2021年12月31日，我单位固定资产</w:t>
      </w:r>
      <w:r>
        <w:rPr>
          <w:rFonts w:hint="default" w:ascii="Times New Roman" w:hAnsi="Times New Roman" w:cs="Times New Roman"/>
          <w:kern w:val="0"/>
          <w:sz w:val="32"/>
          <w:szCs w:val="32"/>
          <w:shd w:val="clear" w:fill="FFFFFF"/>
          <w:lang w:val="en-US" w:eastAsia="zh-CN"/>
        </w:rPr>
        <w:t>0</w:t>
      </w:r>
      <w:r>
        <w:rPr>
          <w:rFonts w:hint="default" w:ascii="Times New Roman" w:hAnsi="Times New Roman" w:cs="Times New Roman"/>
          <w:kern w:val="2"/>
          <w:sz w:val="32"/>
          <w:szCs w:val="32"/>
        </w:rPr>
        <w:t>万元。</w:t>
      </w:r>
    </w:p>
    <w:p>
      <w:pPr>
        <w:pStyle w:val="10"/>
        <w:keepNext w:val="0"/>
        <w:keepLines w:val="0"/>
        <w:pageBreakBefore w:val="0"/>
        <w:numPr>
          <w:ilvl w:val="0"/>
          <w:numId w:val="2"/>
        </w:numPr>
        <w:kinsoku/>
        <w:wordWrap/>
        <w:overflowPunct/>
        <w:topLinePunct w:val="0"/>
        <w:autoSpaceDN/>
        <w:bidi w:val="0"/>
        <w:adjustRightInd/>
        <w:snapToGrid/>
        <w:spacing w:before="0" w:line="360" w:lineRule="auto"/>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cs="Times New Roman"/>
          <w:kern w:val="2"/>
          <w:sz w:val="32"/>
          <w:szCs w:val="32"/>
        </w:rPr>
        <w:t>绩效目标设置情况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2022年通用项目和专用项目均按要求实行绩效目标管理，涉及一般公共预算当年拨款</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万元。</w:t>
      </w:r>
    </w:p>
    <w:p>
      <w:pPr>
        <w:pStyle w:val="10"/>
        <w:keepNext w:val="0"/>
        <w:keepLines w:val="0"/>
        <w:pageBreakBefore w:val="0"/>
        <w:kinsoku/>
        <w:wordWrap/>
        <w:overflowPunct/>
        <w:topLinePunct w:val="0"/>
        <w:autoSpaceDN/>
        <w:bidi w:val="0"/>
        <w:adjustRightInd/>
        <w:snapToGrid/>
        <w:spacing w:before="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w:t>
      </w:r>
      <w:r>
        <w:rPr>
          <w:rFonts w:hint="default" w:ascii="Times New Roman" w:hAnsi="Times New Roman" w:eastAsia="宋体" w:cs="Times New Roman"/>
          <w:sz w:val="16"/>
          <w:lang w:val="en-US" w:eastAsia="zh-CN"/>
        </w:rPr>
        <w:t xml:space="preserve">   </w:t>
      </w:r>
      <w:r>
        <w:rPr>
          <w:rFonts w:hint="default" w:ascii="Times New Roman" w:hAnsi="Times New Roman" w:cs="Times New Roman"/>
          <w:kern w:val="2"/>
          <w:sz w:val="32"/>
          <w:szCs w:val="32"/>
        </w:rPr>
        <w:t>（一）财政拨款收入：指由财政拨款形成的部门收入。按现行管理制度，部门预算中反映的财政拨款仅包括一般公共预算拨款和政府性基金预算拨款。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（二）事业收入：指所属事业单位开展专业业务活动及辅助活动所取得的收入。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（三）事业单位经营收入：指所属事业单位在专业业务活动及其辅助活动之外开展非独立核算经营活动取得的收入。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（四）其他收入：指除上述“财政拨款收入”、“事业收入”、“事业单位经营收入”等以外的收入，主要是所属行政事业单位按规定动用的售房收入、存款利息收入等。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（六）上年结转：指所属行政事业单位以前年度尚未完成、结转至本年按原规定用途继续使用的资金和以前年度已完成项目剩余资金经批准用于新用途使用的资金。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N/>
        <w:bidi w:val="0"/>
        <w:adjustRightInd/>
        <w:snapToGrid/>
        <w:ind w:firstLine="640" w:firstLineChars="200"/>
        <w:textAlignment w:val="auto"/>
        <w:rPr>
          <w:rFonts w:hint="default" w:ascii="Times New Roman" w:hAnsi="Times New Roman" w:eastAsia="仿宋_GB2312" w:cs="Times New Roman"/>
          <w:sz w:val="32"/>
          <w:szCs w:val="32"/>
        </w:rPr>
      </w:pPr>
    </w:p>
    <w:sectPr>
      <w:footerReference r:id="rId5"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ADD0"/>
    <w:multiLevelType w:val="singleLevel"/>
    <w:tmpl w:val="A474ADD0"/>
    <w:lvl w:ilvl="0" w:tentative="0">
      <w:start w:val="4"/>
      <w:numFmt w:val="chineseCounting"/>
      <w:suff w:val="nothing"/>
      <w:lvlText w:val="（%1）"/>
      <w:lvlJc w:val="left"/>
      <w:pPr>
        <w:ind w:left="0" w:firstLine="0"/>
      </w:pPr>
      <w:rPr>
        <w:rFonts w:hint="eastAsia" w:ascii="仿宋_GB2312" w:hAnsi="仿宋_GB2312" w:eastAsia="仿宋_GB2312" w:cs="仿宋_GB2312"/>
      </w:rPr>
    </w:lvl>
  </w:abstractNum>
  <w:abstractNum w:abstractNumId="1">
    <w:nsid w:val="AADE4796"/>
    <w:multiLevelType w:val="singleLevel"/>
    <w:tmpl w:val="AADE4796"/>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604E3"/>
    <w:rsid w:val="04515894"/>
    <w:rsid w:val="0BAB5AA7"/>
    <w:rsid w:val="15725076"/>
    <w:rsid w:val="1C425D82"/>
    <w:rsid w:val="1D2A019D"/>
    <w:rsid w:val="23AC5FBC"/>
    <w:rsid w:val="295308CA"/>
    <w:rsid w:val="2BB57425"/>
    <w:rsid w:val="2C840FE5"/>
    <w:rsid w:val="39330459"/>
    <w:rsid w:val="40192D46"/>
    <w:rsid w:val="4A037596"/>
    <w:rsid w:val="55A238CE"/>
    <w:rsid w:val="698677FD"/>
    <w:rsid w:val="714F4CEB"/>
    <w:rsid w:val="7C362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 w:type="character" w:customStyle="1" w:styleId="11">
    <w:name w:val="font1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3</Words>
  <Characters>3</Characters>
  <Lines>1</Lines>
  <Paragraphs>1</Paragraphs>
  <TotalTime>1</TotalTime>
  <ScaleCrop>false</ScaleCrop>
  <LinksUpToDate>false</LinksUpToDate>
  <CharactersWithSpaces>3</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幽然</cp:lastModifiedBy>
  <cp:lastPrinted>2022-01-28T07:13:00Z</cp:lastPrinted>
  <dcterms:modified xsi:type="dcterms:W3CDTF">2022-01-28T07:59:41Z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0C318E3C94584960B55A9535B928632D</vt:lpwstr>
  </property>
</Properties>
</file>