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ind w:firstLine="1050" w:firstLineChars="500"/>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州委办2020年部门预算</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left"/>
        <w:rPr>
          <w:rFonts w:hint="default" w:ascii="Times New Roman" w:hAnsi="Times New Roman" w:eastAsia="黑体" w:cs="Times New Roman"/>
          <w:sz w:val="44"/>
          <w:szCs w:val="44"/>
        </w:rPr>
      </w:pPr>
    </w:p>
    <w:p>
      <w:pPr>
        <w:jc w:val="left"/>
        <w:rPr>
          <w:rFonts w:hint="default" w:ascii="Times New Roman" w:hAnsi="Times New Roman" w:eastAsia="黑体" w:cs="Times New Roman"/>
          <w:sz w:val="44"/>
          <w:szCs w:val="44"/>
        </w:rPr>
      </w:pPr>
    </w:p>
    <w:p>
      <w:pPr>
        <w:ind w:firstLine="2720" w:firstLineChars="85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2020年 2月</w:t>
      </w:r>
      <w:r>
        <w:rPr>
          <w:rFonts w:hint="default" w:ascii="Times New Roman" w:hAnsi="Times New Roman" w:eastAsia="黑体" w:cs="Times New Roman"/>
          <w:sz w:val="32"/>
          <w:szCs w:val="32"/>
          <w:lang w:val="en-US" w:eastAsia="zh-CN"/>
        </w:rPr>
        <w:t>20</w:t>
      </w:r>
      <w:r>
        <w:rPr>
          <w:rFonts w:hint="default" w:ascii="Times New Roman" w:hAnsi="Times New Roman" w:eastAsia="黑体" w:cs="Times New Roman"/>
          <w:sz w:val="32"/>
          <w:szCs w:val="32"/>
        </w:rPr>
        <w:t>日</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 录</w:t>
      </w:r>
    </w:p>
    <w:p>
      <w:pPr>
        <w:ind w:firstLine="3080" w:firstLineChars="700"/>
        <w:rPr>
          <w:rFonts w:hint="default" w:ascii="Times New Roman" w:hAnsi="Times New Roman" w:eastAsia="黑体" w:cs="Times New Roman"/>
          <w:sz w:val="44"/>
          <w:szCs w:val="44"/>
        </w:rPr>
      </w:pPr>
    </w:p>
    <w:p>
      <w:pPr>
        <w:pStyle w:val="10"/>
        <w:numPr>
          <w:numId w:val="0"/>
        </w:numPr>
        <w:ind w:left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基本职能及主要工作</w:t>
      </w:r>
    </w:p>
    <w:p>
      <w:pP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（一）部门职能简介</w:t>
      </w:r>
    </w:p>
    <w:p>
      <w:pP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（二）2019年重点工作</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p>
    <w:p>
      <w:pP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方正楷体_GBK" w:cs="Times New Roman"/>
          <w:sz w:val="32"/>
          <w:szCs w:val="32"/>
        </w:rPr>
        <w:t>一）收入预算情况</w:t>
      </w:r>
    </w:p>
    <w:p>
      <w:pP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（二）支出预算情况</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方正楷体_GBK" w:cs="Times New Roman"/>
          <w:sz w:val="32"/>
          <w:szCs w:val="32"/>
        </w:rPr>
        <w:t>（一）一般公共预算当年拨款规模变化情况</w:t>
      </w:r>
      <w:r>
        <w:rPr>
          <w:rFonts w:hint="default" w:ascii="Times New Roman" w:hAnsi="Times New Roman" w:eastAsia="仿宋_GB2312" w:cs="Times New Roman"/>
          <w:sz w:val="32"/>
          <w:szCs w:val="32"/>
        </w:rPr>
        <w:br/>
      </w:r>
      <w:r>
        <w:rPr>
          <w:rFonts w:hint="default" w:ascii="Times New Roman" w:hAnsi="Times New Roman" w:eastAsia="方正楷体_GBK" w:cs="Times New Roman"/>
          <w:sz w:val="32"/>
          <w:szCs w:val="32"/>
        </w:rPr>
        <w:t>（二）一般公共预算当年拨款结构情况</w:t>
      </w:r>
      <w:r>
        <w:rPr>
          <w:rFonts w:hint="default" w:ascii="Times New Roman" w:hAnsi="Times New Roman" w:eastAsia="仿宋_GB2312" w:cs="Times New Roman"/>
          <w:sz w:val="32"/>
          <w:szCs w:val="32"/>
        </w:rPr>
        <w:br/>
      </w:r>
      <w:r>
        <w:rPr>
          <w:rFonts w:hint="default" w:ascii="Times New Roman" w:hAnsi="Times New Roman" w:eastAsia="方正楷体_GBK" w:cs="Times New Roman"/>
          <w:sz w:val="32"/>
          <w:szCs w:val="32"/>
        </w:rPr>
        <w:t>（三）一般公共预算当年拨款具体使用情况</w:t>
      </w:r>
      <w:r>
        <w:rPr>
          <w:rFonts w:hint="default" w:ascii="Times New Roman" w:hAnsi="Times New Roman" w:cs="Times New Roman"/>
          <w:kern w:val="0"/>
          <w:sz w:val="16"/>
          <w:szCs w:val="16"/>
        </w:rPr>
        <w:br/>
      </w:r>
      <w:r>
        <w:rPr>
          <w:rFonts w:hint="default" w:ascii="Times New Roman" w:hAnsi="Times New Roman" w:eastAsia="方正黑体_GBK" w:cs="Times New Roman"/>
          <w:sz w:val="32"/>
          <w:szCs w:val="32"/>
        </w:rPr>
        <w:t>六、一般公共预算基本支出情况说明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七、“三公”经费财政拨款预算安排情况说明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八、政府性基金预算支出情况说明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九、其他重要事项的情况说明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十、名称解释</w:t>
      </w:r>
    </w:p>
    <w:p>
      <w:pPr>
        <w:rPr>
          <w:rFonts w:hint="default" w:ascii="Times New Roman" w:hAnsi="Times New Roman" w:eastAsia="黑体" w:cs="Times New Roman"/>
          <w:sz w:val="32"/>
          <w:szCs w:val="32"/>
        </w:rPr>
      </w:pPr>
    </w:p>
    <w:p>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tbl>
      <w:tblPr>
        <w:tblStyle w:val="8"/>
        <w:tblpPr w:leftFromText="30" w:rightFromText="230" w:vertAnchor="text" w:tblpXSpec="right" w:tblpYSpec="center"/>
        <w:tblW w:w="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1"/>
        <w:gridCol w:w="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96" w:type="dxa"/>
            <w:vAlign w:val="center"/>
          </w:tcPr>
          <w:p>
            <w:pPr>
              <w:widowControl/>
              <w:spacing w:line="180" w:lineRule="atLeast"/>
              <w:jc w:val="both"/>
              <w:rPr>
                <w:rFonts w:hint="default" w:ascii="Times New Roman" w:hAnsi="Times New Roman" w:cs="Times New Roman"/>
                <w:kern w:val="0"/>
                <w:sz w:val="12"/>
                <w:szCs w:val="12"/>
              </w:rPr>
            </w:pPr>
          </w:p>
        </w:tc>
        <w:tc>
          <w:tcPr>
            <w:tcW w:w="50" w:type="dxa"/>
            <w:vAlign w:val="center"/>
          </w:tcPr>
          <w:p>
            <w:pPr>
              <w:widowControl/>
              <w:spacing w:line="180" w:lineRule="atLeast"/>
              <w:jc w:val="center"/>
              <w:rPr>
                <w:rFonts w:hint="default" w:ascii="Times New Roman" w:hAnsi="Times New Roman" w:cs="Times New Roman"/>
                <w:kern w:val="0"/>
                <w:sz w:val="12"/>
                <w:szCs w:val="12"/>
              </w:rPr>
            </w:pPr>
          </w:p>
        </w:tc>
      </w:tr>
    </w:tbl>
    <w:p>
      <w:pPr>
        <w:pStyle w:val="9"/>
        <w:spacing w:before="0" w:line="360" w:lineRule="auto"/>
        <w:ind w:firstLine="643" w:firstLineChars="200"/>
        <w:rPr>
          <w:rFonts w:hint="default" w:ascii="Times New Roman" w:hAnsi="Times New Roman" w:eastAsia="宋体" w:cs="Times New Roman"/>
          <w:sz w:val="32"/>
          <w:szCs w:val="32"/>
        </w:rPr>
      </w:pPr>
      <w:r>
        <w:rPr>
          <w:rFonts w:hint="default" w:ascii="Times New Roman" w:hAnsi="Times New Roman" w:eastAsia="方正黑体_GBK" w:cs="Times New Roman"/>
          <w:b/>
          <w:bCs/>
          <w:sz w:val="32"/>
          <w:szCs w:val="32"/>
        </w:rPr>
        <w:t>一、基本职能及主要工作</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（一）基本职能</w:t>
      </w:r>
    </w:p>
    <w:p>
      <w:pPr>
        <w:pStyle w:val="9"/>
        <w:spacing w:before="0" w:line="360" w:lineRule="auto"/>
        <w:ind w:firstLine="640" w:firstLineChars="200"/>
        <w:rPr>
          <w:rFonts w:hint="default" w:ascii="Times New Roman" w:hAnsi="Times New Roman" w:eastAsia="宋体" w:cs="Times New Roman"/>
          <w:sz w:val="32"/>
          <w:szCs w:val="32"/>
        </w:rPr>
      </w:pPr>
      <w:r>
        <w:rPr>
          <w:rFonts w:hint="default" w:ascii="Times New Roman" w:hAnsi="Times New Roman" w:eastAsia="方正仿宋_GBK" w:cs="Times New Roman"/>
          <w:sz w:val="32"/>
          <w:szCs w:val="32"/>
          <w:lang w:eastAsia="zh-CN"/>
        </w:rPr>
        <w:t>负责推动州委决策部署落实，按照州委要求协调有关方面开展工作，承担州委运行保障具体事务的州委综合部门</w:t>
      </w:r>
      <w:r>
        <w:rPr>
          <w:rFonts w:hint="default" w:ascii="Times New Roman" w:hAnsi="Times New Roman" w:eastAsia="华文仿宋" w:cs="Times New Roman"/>
          <w:sz w:val="32"/>
          <w:szCs w:val="32"/>
          <w:lang w:eastAsia="zh-CN"/>
        </w:rPr>
        <w:t>。</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（二）2019年重点工作</w:t>
      </w:r>
      <w:bookmarkStart w:id="0" w:name="_GoBack"/>
      <w:bookmarkEnd w:id="0"/>
    </w:p>
    <w:p>
      <w:pPr>
        <w:spacing w:after="0" w:line="58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SA"/>
        </w:rPr>
        <w:t>2019年，在州委坚强领导和省委办公厅悉心指导下，州委办公室坚持以习近平新时代中国特色社会主义思想为指导，深入贯彻习近平总书记“五个坚持”、省委彭清华书记“六个机关”、州委刘坪书记“七个争当示范、走在前列”要求，紧紧围绕州委工作全局，承关怀而奋起、化重托为力量，服务发展、服务决策、服务落实，以更高的标准找位置、定目标，以更严的要求争先进、创一流，努力打造政治上、工作上、作风上全面过硬的模范机关。一年来，党委信息、“两刊”征订工作被评为全省先进集体，党组织建设、民族团结进步、“两联一进”等工作被评为全州先进集体，2名同志受到全省表彰，有关工作及21期信息专报得到州委领导肯定性批示。</w:t>
      </w:r>
      <w:r>
        <w:rPr>
          <w:rFonts w:hint="default" w:ascii="Times New Roman" w:hAnsi="Times New Roman" w:eastAsia="方正仿宋_GBK" w:cs="Times New Roman"/>
          <w:kern w:val="0"/>
          <w:sz w:val="32"/>
          <w:szCs w:val="32"/>
          <w:lang w:val="en-US" w:eastAsia="zh-CN" w:bidi="ar-SA"/>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0"/>
          <w:sz w:val="32"/>
          <w:szCs w:val="32"/>
          <w:lang w:val="en-US" w:eastAsia="zh-CN" w:bidi="ar-SA"/>
        </w:rPr>
        <w:t>二、部门预算单位构成</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 xml:space="preserve"> 中共阿坝州委办公室属一级预算单位，下属二级预算单位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个，其中：行政单位0个；参照公务员法管理的事业单位0个；其他事业单位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个。分别是：阿坝州通信专用中心</w:t>
      </w:r>
      <w:r>
        <w:rPr>
          <w:rFonts w:hint="default" w:ascii="Times New Roman" w:hAnsi="Times New Roman" w:eastAsia="方正仿宋_GBK" w:cs="Times New Roman"/>
          <w:sz w:val="32"/>
          <w:szCs w:val="32"/>
          <w:lang w:eastAsia="zh-CN"/>
        </w:rPr>
        <w:t>、阿坝州涉密文档专管中心</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0"/>
          <w:sz w:val="32"/>
          <w:szCs w:val="32"/>
          <w:lang w:val="en-US" w:eastAsia="zh-CN" w:bidi="ar-SA"/>
        </w:rPr>
        <w:t>三、收支预算情况说明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按照综合预算的原则，中共阿坝州委办公室所有收入和支出均纳入部门预算管理。收入包括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公共预算拨款收入4378.03万元，无事业收入，无其他收入，上年结转20万元；支出包括：一般公共服务支出4001.97万元，无教育支出，无文化体育与传媒支出，社会保障和就业支出196.9万元，医疗卫生与计划生育支出60.95万元，住房保障支出138.21万元。中共阿坝州委办公室2020年收支总预算4398.03万元,　比2019年收支预算总数增加1696.76万元，增加原因：机构改革新增下属二级预算单位</w:t>
      </w:r>
      <w:r>
        <w:rPr>
          <w:rFonts w:hint="default" w:ascii="Times New Roman" w:hAnsi="Times New Roman" w:eastAsia="方正仿宋_GBK" w:cs="Times New Roman"/>
          <w:sz w:val="32"/>
          <w:szCs w:val="32"/>
          <w:lang w:eastAsia="zh-CN"/>
        </w:rPr>
        <w:t>阿坝州通信专用中心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（一）收入预算情况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中共阿坝州委办公室2020年收入预算4398.03万元，其中：上年结转20万元，占0.45%；一般公共预算拨款收入4378.03万元，占99.55%；无其他收入。</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（二）支出预算情况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中共阿坝州委办公室2020年支出预算4398.03万元，其中：基本支出1953.03万元，占44.41%；项目支出2445.00万元，占55.59%。</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四、财政拨款收支预算情况说明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中共阿坝州委办公室2020年财政拨款收支总预算4398.03万元,比2019年财政拨款收支总预算增加1696.76万元。</w:t>
      </w:r>
    </w:p>
    <w:p>
      <w:pPr>
        <w:pStyle w:val="9"/>
        <w:spacing w:before="0" w:line="360" w:lineRule="auto"/>
        <w:ind w:firstLine="640"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收入包括：本年一般公共预算拨款收入4378.03万元，上年结转财政拨款资金20.00万元。</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支出包括：一般公共服务支出4001.97万元，无教育支出，无文化体育与传媒支出，社会保障和就业支出196.9万元，医疗卫生与计划生育支出60.95万元，住房保障支出138.21万元。</w:t>
      </w:r>
      <w:r>
        <w:rPr>
          <w:rFonts w:hint="default" w:ascii="Times New Roman" w:hAnsi="Times New Roman" w:eastAsia="方正仿宋_GBK" w:cs="Times New Roman"/>
          <w:b/>
          <w:bCs/>
          <w:sz w:val="32"/>
          <w:szCs w:val="32"/>
        </w:rPr>
        <w:t>　　</w:t>
      </w:r>
    </w:p>
    <w:p>
      <w:pPr>
        <w:pStyle w:val="9"/>
        <w:spacing w:before="0" w:line="360" w:lineRule="auto"/>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黑体_GBK" w:cs="Times New Roman"/>
          <w:b/>
          <w:bCs/>
          <w:sz w:val="32"/>
          <w:szCs w:val="32"/>
        </w:rPr>
        <w:t>五、一般公共预算当年拨款情况说明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（一）一般公共预算当年拨款规模变化情况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2020年一般公共预算当年拨款4378.03万元，比2019年预算数增加1715.79万元，主要是项目支出增加1715.00万元，主要原因:2019年机构改革，新设阿坝州通信专用中心，增加预算数为该部门本年度项目建设资金。</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（二）一般公共预算当年拨款结构情况</w:t>
      </w:r>
      <w:r>
        <w:rPr>
          <w:rFonts w:hint="default" w:ascii="Times New Roman" w:hAnsi="Times New Roman" w:eastAsia="方正楷体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一般公共服务支出4001.97万元，占90.99%；无教育支出；无文化体育与传媒支出；社会保障和就业支出196.9万元，占4.48%；医疗卫生与计划生育支出60.95万元，占1.39%；住房保障支出138.21万元，占3.14%。</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（三）一般公共预算当年拨款具体使用情况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b/>
          <w:bCs/>
          <w:sz w:val="32"/>
          <w:szCs w:val="32"/>
        </w:rPr>
        <w:t>一般公共服务支出</w:t>
      </w:r>
    </w:p>
    <w:p>
      <w:pPr>
        <w:pStyle w:val="9"/>
        <w:spacing w:before="0" w:line="36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     党委办公厅（室）及相关机构事</w:t>
      </w:r>
      <w:r>
        <w:rPr>
          <w:rFonts w:hint="default" w:ascii="Times New Roman" w:hAnsi="Times New Roman" w:eastAsia="方正仿宋_GBK" w:cs="Times New Roman"/>
          <w:sz w:val="32"/>
          <w:szCs w:val="32"/>
        </w:rPr>
        <w:t>务</w:t>
      </w:r>
    </w:p>
    <w:p>
      <w:pPr>
        <w:pStyle w:val="9"/>
        <w:spacing w:before="0"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行政运行</w:t>
      </w:r>
      <w:r>
        <w:rPr>
          <w:rFonts w:hint="default" w:ascii="Times New Roman" w:hAnsi="Times New Roman" w:eastAsia="方正仿宋_GBK" w:cs="Times New Roman"/>
          <w:sz w:val="32"/>
          <w:szCs w:val="32"/>
        </w:rPr>
        <w:t xml:space="preserve"> 2020年预算数为1820.28万元，主要用于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工资福利支出1234.88万元；商品和服务支出559.98万元；对个人和家庭的补助支出25.41万元。</w:t>
      </w:r>
    </w:p>
    <w:p>
      <w:pPr>
        <w:pStyle w:val="9"/>
        <w:spacing w:before="0" w:line="360" w:lineRule="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　 2．</w:t>
      </w:r>
      <w:r>
        <w:rPr>
          <w:rFonts w:hint="default" w:ascii="Times New Roman" w:hAnsi="Times New Roman" w:eastAsia="方正仿宋_GBK" w:cs="Times New Roman"/>
          <w:b/>
          <w:bCs/>
          <w:sz w:val="32"/>
          <w:szCs w:val="32"/>
        </w:rPr>
        <w:t>一般公共服务支出</w:t>
      </w:r>
    </w:p>
    <w:p>
      <w:pPr>
        <w:pStyle w:val="9"/>
        <w:spacing w:before="0" w:line="360" w:lineRule="auto"/>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党委办公厅（室）及相关机构事务</w:t>
      </w:r>
    </w:p>
    <w:p>
      <w:pPr>
        <w:pStyle w:val="9"/>
        <w:spacing w:before="0" w:line="36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       一般行政管理事务</w:t>
      </w:r>
      <w:r>
        <w:rPr>
          <w:rFonts w:hint="default" w:ascii="Times New Roman" w:hAnsi="Times New Roman" w:eastAsia="方正仿宋_GBK" w:cs="Times New Roman"/>
          <w:sz w:val="32"/>
          <w:szCs w:val="32"/>
        </w:rPr>
        <w:t xml:space="preserve"> 2020年预算数为540.4万元，主要用于：商品和服务支出539.2万元；资本性支出1.2万元。</w:t>
      </w:r>
    </w:p>
    <w:p>
      <w:pPr>
        <w:pStyle w:val="9"/>
        <w:spacing w:before="0" w:line="360" w:lineRule="auto"/>
        <w:ind w:firstLine="640"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bCs/>
          <w:sz w:val="32"/>
          <w:szCs w:val="32"/>
        </w:rPr>
        <w:t>一般公共服务支出</w:t>
      </w:r>
    </w:p>
    <w:p>
      <w:pPr>
        <w:pStyle w:val="9"/>
        <w:spacing w:before="0" w:line="360" w:lineRule="auto"/>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党委办公厅（室）及相关机构事务</w:t>
      </w:r>
    </w:p>
    <w:p>
      <w:pPr>
        <w:pStyle w:val="9"/>
        <w:spacing w:before="0" w:line="360" w:lineRule="auto"/>
        <w:ind w:firstLine="643" w:firstLineChars="200"/>
        <w:rPr>
          <w:rFonts w:hint="default" w:ascii="Times New Roman" w:hAnsi="Times New Roman" w:eastAsia="宋体" w:cs="Times New Roman"/>
          <w:sz w:val="32"/>
          <w:szCs w:val="32"/>
        </w:rPr>
      </w:pPr>
      <w:r>
        <w:rPr>
          <w:rFonts w:hint="default" w:ascii="Times New Roman" w:hAnsi="Times New Roman" w:eastAsia="方正仿宋_GBK" w:cs="Times New Roman"/>
          <w:b/>
          <w:bCs/>
          <w:sz w:val="32"/>
          <w:szCs w:val="32"/>
        </w:rPr>
        <w:t xml:space="preserve">       事业运行</w:t>
      </w:r>
      <w:r>
        <w:rPr>
          <w:rFonts w:hint="default" w:ascii="Times New Roman" w:hAnsi="Times New Roman" w:eastAsia="方正仿宋_GBK" w:cs="Times New Roman"/>
          <w:sz w:val="32"/>
          <w:szCs w:val="32"/>
        </w:rPr>
        <w:t xml:space="preserve"> 2020年预算数为93.25万元，主要用于：工资福利支出79.33万元；商品和服务支出13.92万元。</w:t>
      </w:r>
      <w:r>
        <w:rPr>
          <w:rFonts w:hint="default" w:ascii="Times New Roman" w:hAnsi="Times New Roman" w:eastAsia="方正仿宋_GBK" w:cs="Times New Roman"/>
          <w:b/>
          <w:bCs/>
          <w:sz w:val="32"/>
          <w:szCs w:val="32"/>
        </w:rPr>
        <w:t>一般行政管理事务</w:t>
      </w:r>
      <w:r>
        <w:rPr>
          <w:rFonts w:hint="default" w:ascii="Times New Roman" w:hAnsi="Times New Roman" w:eastAsia="方正仿宋_GBK" w:cs="Times New Roman"/>
          <w:sz w:val="32"/>
          <w:szCs w:val="32"/>
        </w:rPr>
        <w:t xml:space="preserve"> 2020年预算数为1884.6万元，主要用于：商品和服务支出358.00万元，资本性支出1526.6万元。</w:t>
      </w:r>
    </w:p>
    <w:p>
      <w:pPr>
        <w:pStyle w:val="9"/>
        <w:spacing w:before="0" w:line="360" w:lineRule="auto"/>
        <w:ind w:firstLine="320" w:firstLineChars="100"/>
        <w:rPr>
          <w:rFonts w:hint="default" w:ascii="Times New Roman" w:hAnsi="Times New Roman" w:eastAsia="方正仿宋_GBK" w:cs="Times New Roman"/>
          <w:sz w:val="32"/>
          <w:szCs w:val="32"/>
        </w:rPr>
      </w:pPr>
      <w:r>
        <w:rPr>
          <w:rFonts w:hint="default" w:ascii="Times New Roman" w:hAnsi="Times New Roman" w:eastAsia="宋体" w:cs="Times New Roman"/>
          <w:sz w:val="32"/>
          <w:szCs w:val="32"/>
        </w:rPr>
        <w:t>　</w:t>
      </w:r>
      <w:r>
        <w:rPr>
          <w:rFonts w:hint="default" w:ascii="Times New Roman" w:hAnsi="Times New Roman" w:eastAsia="方正黑体_GBK" w:cs="Times New Roman"/>
          <w:b/>
          <w:bCs/>
          <w:sz w:val="32"/>
          <w:szCs w:val="32"/>
        </w:rPr>
        <w:t>六、一般公共预算基本支出情况说明</w:t>
      </w:r>
      <w:r>
        <w:rPr>
          <w:rFonts w:hint="default" w:ascii="Times New Roman" w:hAnsi="Times New Roman" w:eastAsia="宋体" w:cs="Times New Roman"/>
          <w:b/>
          <w:bCs/>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2020年一般公共预算基本支出1953.03万元，其中：人员经费1379.13万元，主要包括：基本工资305.89万元、津贴补贴465.07万元、奖金22.45万元、其他社会保障缴费78.18万元、绩效工资32.98万元、机关事业单位基本养老保险缴费140.64万元、职业年金缴费56.26万元、其他工资福利支出114.04万元、离休费22.65万元、退休费2.16万元、生活补助0.6万元、无奖励金、住房公积金138.21万元、无其他对个人和家庭的补助支出。公用经费573.9万元，主要包括：办公费14.26万元、无印刷费、无手续费、水电费2.24万元、邮电费27.42万元、取暖费2.98万元、物业管理费20.00万元、差旅费118.81万元、维修（护）费3.62万元、无租赁费、无会议费、培训费9.72万元、公务接待费10.27万元、公务用车运行维护费248.4万元、无劳务费、无工会经费、福利费16.17万元、无其他交通工具运行维护费、其他商品和服务支出100.02万元。</w:t>
      </w:r>
      <w:r>
        <w:rPr>
          <w:rFonts w:hint="default" w:ascii="Times New Roman" w:hAnsi="Times New Roman" w:eastAsia="方正仿宋_GBK"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七、“三公”经费财政拨款预算安排情况说明</w:t>
      </w:r>
      <w:r>
        <w:rPr>
          <w:rFonts w:hint="default" w:ascii="Times New Roman" w:hAnsi="Times New Roman" w:eastAsia="方正黑体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中共阿坝州委办公室2020年“三公”经费财政拨款预算数258.67万元，其中：无因公出国（境）经费，公务接待费10.27万元，公务用车购置及运行维护费248.4万元。</w:t>
      </w:r>
    </w:p>
    <w:p>
      <w:pPr>
        <w:pStyle w:val="9"/>
        <w:spacing w:before="0"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（一）2020年因公出国（境）经费0万元。较2019年预算经费持平。</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xml:space="preserve">    （二）2020年公务接待费10.27万元。较2019年预算经费12.36万元下降16.9%，主要原因是：机构改革，我办实有人数减少。</w:t>
      </w:r>
    </w:p>
    <w:p>
      <w:pPr>
        <w:pStyle w:val="9"/>
        <w:spacing w:before="0" w:line="360" w:lineRule="auto"/>
        <w:rPr>
          <w:rFonts w:hint="default" w:ascii="Times New Roman" w:hAnsi="Times New Roman" w:eastAsia="宋体" w:cs="Times New Roman"/>
          <w:sz w:val="32"/>
          <w:szCs w:val="32"/>
        </w:rPr>
      </w:pPr>
      <w:r>
        <w:rPr>
          <w:rFonts w:hint="default" w:ascii="Times New Roman" w:hAnsi="Times New Roman" w:eastAsia="方正仿宋_GBK" w:cs="Times New Roman"/>
          <w:sz w:val="32"/>
          <w:szCs w:val="32"/>
        </w:rPr>
        <w:t xml:space="preserve">    （三）2020年公务用车购置及运行维护费248.4万元。较2019年预算经费308.00万元减少19.35%，主要原因是：机构改革，划出3辆公务用车。</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八、政府性基金预算支出情况说明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中共阿坝州委办公室2020年无政府性基金预算拨款安排的支出。</w:t>
      </w:r>
    </w:p>
    <w:p>
      <w:pPr>
        <w:pStyle w:val="9"/>
        <w:spacing w:before="0" w:line="360" w:lineRule="auto"/>
        <w:ind w:firstLine="321" w:firstLineChars="100"/>
        <w:rPr>
          <w:rFonts w:hint="default" w:ascii="Times New Roman" w:hAnsi="Times New Roman" w:eastAsia="宋体" w:cs="Times New Roman"/>
          <w:sz w:val="32"/>
          <w:szCs w:val="32"/>
        </w:rPr>
      </w:pP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九、其他重要事项的情况说明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（一）机关运行经费</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中共阿坝州委办公室2020年机关运行经费财政拨款预算为573.9万元，比2019年预算减少105.21万元，下降15.49%。</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（二）政府采购情况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2020年中共阿坝州委办公室安排政府采购预算185.8万元，主要用于：州委会议室维修改造费160万元；办公设备购置费8.6万元；大修公务公车维修（护）费16万元；专用设备购置费1.2万元。</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（三）国有资产占有使用情况</w:t>
      </w:r>
    </w:p>
    <w:p>
      <w:pPr>
        <w:pStyle w:val="9"/>
        <w:spacing w:before="0" w:line="360" w:lineRule="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2020年中共阿坝州委办公室国有资产年初数4077.48万元，其中：房屋12482.54平方米，原值1552.57万元；车辆16台，原值1316.39万元；其他国有资产价值1208.52万元。</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（四）绩效目标设置情况</w:t>
      </w:r>
      <w:r>
        <w:rPr>
          <w:rFonts w:hint="default" w:ascii="Times New Roman" w:hAnsi="Times New Roman" w:eastAsia="宋体" w:cs="Times New Roman"/>
          <w:sz w:val="32"/>
          <w:szCs w:val="32"/>
        </w:rPr>
        <w:t>　</w:t>
      </w:r>
    </w:p>
    <w:p>
      <w:pPr>
        <w:pStyle w:val="9"/>
        <w:spacing w:before="0" w:line="360" w:lineRule="auto"/>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中共阿坝州委办公室</w:t>
      </w:r>
      <w:r>
        <w:rPr>
          <w:rFonts w:hint="default" w:ascii="Times New Roman" w:hAnsi="Times New Roman" w:eastAsia="方正仿宋_GBK" w:cs="Times New Roman"/>
          <w:sz w:val="32"/>
          <w:szCs w:val="32"/>
        </w:rPr>
        <w:t>通用项目和专用项目均按要求实行绩效目标管理，涉及一般公共预算当年拨款</w:t>
      </w:r>
      <w:r>
        <w:rPr>
          <w:rFonts w:hint="default" w:ascii="Times New Roman" w:hAnsi="Times New Roman" w:eastAsia="方正仿宋_GBK" w:cs="Times New Roman"/>
          <w:sz w:val="32"/>
          <w:szCs w:val="32"/>
        </w:rPr>
        <w:t>2425.00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其中：行政运行102.00万元，包括四川省县域经济学会会费2.00万元、州委重点工作经费100.00万元；一般行政管理事务2323.00万元，包括办公设备购置费8.6万元、国家安全宣传工作经费5.00万元、大修公务公车16.00万元、 会议费60.00万元、全州党委系统督查工作经费6.00万元、全州党委系统信息工作经费8.00万元、视频会议系统维护及服务费7.20万元，移动办公及保密通讯安全服务40.00万元，中央空调运行维护费95.00万元，州委大院零星维修（护）费40.00万元，州委会议室维修改造费160.00万元，专用办公设备购置1.20万元，其他</w:t>
      </w:r>
      <w:r>
        <w:rPr>
          <w:rFonts w:hint="default" w:ascii="Times New Roman" w:hAnsi="Times New Roman" w:eastAsia="方正仿宋_GBK" w:cs="Times New Roman"/>
          <w:sz w:val="32"/>
          <w:szCs w:val="32"/>
          <w:lang w:eastAsia="zh-CN"/>
        </w:rPr>
        <w:t>经费按有关规定不予公开</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十、名词解释</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（一）财政拨款收入：指由财政拨款形成的部门收入。按现行管理制度，部门预算中反映的财政拨款仅包括一般公共预算拨款和政府性基金预算拨款。</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（二）事业收入：指所属事业单位开展专业业务活动及辅助活动所取得的收入。</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（三）事业单位经营收入：指所属事业单位在专业业务活动及其辅助活动之外开展非独立核算经营活动取得的收入。</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（四）其他收入：指除上述“财政拨款收入”、“事业收入”、“事业单位经营收入”等以外的收入，主要是所属行政事业单位按规定动用的售房收入、存款利息收入等。</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ngsana New">
    <w:panose1 w:val="02020603050405020304"/>
    <w:charset w:val="00"/>
    <w:family w:val="auto"/>
    <w:pitch w:val="default"/>
    <w:sig w:usb0="81000003" w:usb1="00000000" w:usb2="00000000" w:usb3="00000000" w:csb0="0001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方正超粗黑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Sylfaen">
    <w:panose1 w:val="010A0502050306030303"/>
    <w:charset w:val="00"/>
    <w:family w:val="auto"/>
    <w:pitch w:val="default"/>
    <w:sig w:usb0="04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2854"/>
    <w:rsid w:val="00025B29"/>
    <w:rsid w:val="00085137"/>
    <w:rsid w:val="0019585F"/>
    <w:rsid w:val="00291AF0"/>
    <w:rsid w:val="002C06EA"/>
    <w:rsid w:val="00352854"/>
    <w:rsid w:val="003762A5"/>
    <w:rsid w:val="00424F18"/>
    <w:rsid w:val="004C5E33"/>
    <w:rsid w:val="0053029E"/>
    <w:rsid w:val="006F14BC"/>
    <w:rsid w:val="007B3677"/>
    <w:rsid w:val="00887A60"/>
    <w:rsid w:val="008F63EB"/>
    <w:rsid w:val="00987B5A"/>
    <w:rsid w:val="00A60456"/>
    <w:rsid w:val="00C8183B"/>
    <w:rsid w:val="00D06D76"/>
    <w:rsid w:val="00D22494"/>
    <w:rsid w:val="00DB6419"/>
    <w:rsid w:val="00E051C8"/>
    <w:rsid w:val="00F267C7"/>
    <w:rsid w:val="00F40C09"/>
    <w:rsid w:val="00F743F0"/>
    <w:rsid w:val="00F85776"/>
    <w:rsid w:val="00F96BE5"/>
    <w:rsid w:val="00FF11B9"/>
    <w:rsid w:val="012F3F7C"/>
    <w:rsid w:val="03697895"/>
    <w:rsid w:val="03C956CE"/>
    <w:rsid w:val="060D18FC"/>
    <w:rsid w:val="11D626D2"/>
    <w:rsid w:val="16252961"/>
    <w:rsid w:val="183710C7"/>
    <w:rsid w:val="387C443B"/>
    <w:rsid w:val="3E5D4E61"/>
    <w:rsid w:val="447A65E5"/>
    <w:rsid w:val="46C87181"/>
    <w:rsid w:val="46E976B6"/>
    <w:rsid w:val="474A58A4"/>
    <w:rsid w:val="4A2523B4"/>
    <w:rsid w:val="55F820E7"/>
    <w:rsid w:val="5DAA43BA"/>
    <w:rsid w:val="5EDE0F33"/>
    <w:rsid w:val="5FBC509E"/>
    <w:rsid w:val="64566379"/>
    <w:rsid w:val="665E5B82"/>
    <w:rsid w:val="6FF034B5"/>
    <w:rsid w:val="752A154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ody Text"/>
    <w:basedOn w:val="1"/>
    <w:unhideWhenUsed/>
    <w:uiPriority w:val="0"/>
    <w:pPr>
      <w:autoSpaceDE w:val="0"/>
      <w:autoSpaceDN w:val="0"/>
      <w:adjustRightInd w:val="0"/>
      <w:snapToGrid w:val="0"/>
      <w:spacing w:line="588" w:lineRule="atLeast"/>
    </w:pPr>
    <w:rPr>
      <w:rFonts w:ascii="宋体" w:hAnsi="宋体" w:eastAsia="仿宋_GB2312"/>
      <w:spacing w:val="-2"/>
      <w:sz w:val="32"/>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0"/>
    <w:rPr/>
  </w:style>
  <w:style w:type="character" w:styleId="7">
    <w:name w:val="Emphasis"/>
    <w:basedOn w:val="5"/>
    <w:qFormat/>
    <w:uiPriority w:val="20"/>
    <w:rPr/>
  </w:style>
  <w:style w:type="paragraph" w:customStyle="1" w:styleId="9">
    <w:name w:val="正文文本1"/>
    <w:basedOn w:val="1"/>
    <w:uiPriority w:val="0"/>
    <w:pPr>
      <w:spacing w:before="93"/>
    </w:pPr>
    <w:rPr>
      <w:rFonts w:ascii="仿宋_GB2312" w:hAnsi="仿宋_GB2312" w:eastAsia="仿宋_GB2312" w:cs="Times New Roman"/>
      <w:kern w:val="0"/>
      <w:sz w:val="30"/>
      <w:szCs w:val="20"/>
    </w:rPr>
  </w:style>
  <w:style w:type="paragraph" w:customStyle="1" w:styleId="10">
    <w:name w:val="列出段落1"/>
    <w:basedOn w:val="1"/>
    <w:qFormat/>
    <w:uiPriority w:val="34"/>
    <w:pPr>
      <w:ind w:firstLine="420" w:firstLineChars="200"/>
    </w:pPr>
  </w:style>
  <w:style w:type="character" w:customStyle="1" w:styleId="11">
    <w:name w:val="页眉 Char"/>
    <w:basedOn w:val="5"/>
    <w:link w:val="4"/>
    <w:uiPriority w:val="99"/>
    <w:rPr>
      <w:sz w:val="18"/>
      <w:szCs w:val="18"/>
    </w:rPr>
  </w:style>
  <w:style w:type="character" w:customStyle="1" w:styleId="12">
    <w:name w:val="页脚 Char"/>
    <w:basedOn w:val="5"/>
    <w:link w:val="3"/>
    <w:uiPriority w:val="99"/>
    <w:rPr>
      <w:sz w:val="18"/>
      <w:szCs w:val="18"/>
    </w:rPr>
  </w:style>
  <w:style w:type="character" w:customStyle="1" w:styleId="13">
    <w:name w:val="默认段落字体1"/>
    <w:uiPriority w:val="0"/>
    <w:rPr>
      <w:sz w:val="2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636</Words>
  <Characters>3628</Characters>
  <Lines>30</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Administrator</cp:lastModifiedBy>
  <cp:lastPrinted>2020-02-21T09:05:00Z</cp:lastPrinted>
  <dcterms:modified xsi:type="dcterms:W3CDTF">2020-02-24T08:33:22Z</dcterms:modified>
  <dc:title>州委办2019年部门预算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