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方正小标宋_GBK" w:eastAsia="方正小标宋_GBK" w:cs="方正小标宋_GBK"/>
          <w:sz w:val="44"/>
          <w:szCs w:val="44"/>
        </w:rPr>
      </w:pPr>
      <w:r>
        <w:rPr>
          <w:rFonts w:hint="eastAsia" w:ascii="方正小标宋_GBK" w:eastAsia="方正小标宋_GBK" w:cs="方正小标宋_GBK"/>
          <w:sz w:val="44"/>
          <w:szCs w:val="44"/>
        </w:rPr>
        <w:t>中共阿坝州委办公室</w:t>
      </w:r>
      <w:r>
        <w:rPr>
          <w:rFonts w:hint="eastAsia" w:ascii="方正小标宋_GBK" w:eastAsia="方正小标宋_GBK" w:cs="方正小标宋_GBK"/>
          <w:sz w:val="44"/>
          <w:szCs w:val="44"/>
          <w:lang w:val="en-US" w:eastAsia="zh-CN"/>
        </w:rPr>
        <w:t>(本级）</w:t>
      </w:r>
    </w:p>
    <w:p>
      <w:pPr>
        <w:jc w:val="center"/>
        <w:rPr>
          <w:rFonts w:hint="eastAsia" w:ascii="方正小标宋_GBK" w:eastAsia="方正小标宋_GBK" w:cs="方正小标宋_GBK"/>
          <w:sz w:val="44"/>
          <w:szCs w:val="44"/>
        </w:rPr>
      </w:pPr>
      <w:r>
        <w:rPr>
          <w:rFonts w:hint="eastAsia" w:ascii="方正小标宋_GBK" w:eastAsia="方正小标宋_GBK" w:cs="方正小标宋_GBK"/>
          <w:sz w:val="44"/>
          <w:szCs w:val="44"/>
        </w:rPr>
        <w:t>2023年部门预算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jc w:val="center"/>
        <w:rPr>
          <w:rFonts w:ascii="黑体" w:eastAsia="黑体"/>
          <w:sz w:val="52"/>
          <w:szCs w:val="52"/>
        </w:rPr>
      </w:pPr>
      <w:r>
        <w:rPr>
          <w:rFonts w:hint="eastAsia" w:ascii="方正小标宋_GBK" w:eastAsia="方正小标宋_GBK" w:cs="方正小标宋_GBK"/>
          <w:sz w:val="44"/>
          <w:szCs w:val="44"/>
        </w:rPr>
        <w:t>目录</w:t>
      </w:r>
    </w:p>
    <w:p>
      <w:pPr>
        <w:ind w:firstLine="3080" w:firstLineChars="700"/>
        <w:rPr>
          <w:rFonts w:ascii="黑体" w:eastAsia="黑体"/>
          <w:sz w:val="44"/>
          <w:szCs w:val="44"/>
        </w:rPr>
      </w:pPr>
    </w:p>
    <w:p>
      <w:pPr>
        <w:pStyle w:val="11"/>
        <w:spacing w:line="576" w:lineRule="exact"/>
        <w:ind w:left="0" w:firstLine="0" w:firstLineChars="0"/>
        <w:rPr>
          <w:rFonts w:hint="eastAsia" w:ascii="方正黑体_GBK" w:eastAsia="方正黑体_GBK" w:cs="方正黑体_GBK"/>
          <w:sz w:val="32"/>
          <w:szCs w:val="32"/>
          <w:shd w:val="clear" w:color="auto" w:fill="auto"/>
        </w:rPr>
      </w:pPr>
      <w:r>
        <w:rPr>
          <w:rFonts w:hint="eastAsia" w:ascii="方正黑体_GBK" w:eastAsia="方正黑体_GBK" w:cs="方正黑体_GBK"/>
          <w:sz w:val="32"/>
          <w:szCs w:val="32"/>
          <w:shd w:val="clear" w:color="auto" w:fill="auto"/>
        </w:rPr>
        <w:t>一、基本职能及主要工作</w:t>
      </w:r>
    </w:p>
    <w:p>
      <w:pPr>
        <w:spacing w:line="576" w:lineRule="exact"/>
        <w:rPr>
          <w:rFonts w:hint="eastAsia" w:ascii="方正楷体_GBK" w:eastAsia="方正楷体_GBK" w:cs="方正楷体_GBK"/>
          <w:b/>
          <w:sz w:val="32"/>
          <w:szCs w:val="32"/>
          <w:shd w:val="clear" w:color="auto" w:fill="auto"/>
        </w:rPr>
      </w:pPr>
      <w:r>
        <w:rPr>
          <w:rFonts w:hint="eastAsia" w:ascii="方正楷体_GBK" w:eastAsia="方正楷体_GBK" w:cs="方正楷体_GBK"/>
          <w:b/>
          <w:sz w:val="32"/>
          <w:szCs w:val="32"/>
          <w:shd w:val="clear" w:color="auto" w:fill="auto"/>
        </w:rPr>
        <w:t>（一）部门职能简介</w:t>
      </w:r>
    </w:p>
    <w:p>
      <w:pPr>
        <w:spacing w:line="576" w:lineRule="exact"/>
        <w:rPr>
          <w:rFonts w:hint="eastAsia" w:ascii="方正楷体_GBK" w:eastAsia="方正楷体_GBK" w:cs="方正楷体_GBK"/>
          <w:b/>
          <w:sz w:val="32"/>
          <w:szCs w:val="32"/>
          <w:shd w:val="clear" w:color="auto" w:fill="auto"/>
        </w:rPr>
      </w:pPr>
      <w:r>
        <w:rPr>
          <w:rFonts w:hint="eastAsia" w:ascii="方正楷体_GBK" w:eastAsia="方正楷体_GBK" w:cs="方正楷体_GBK"/>
          <w:b/>
          <w:sz w:val="32"/>
          <w:szCs w:val="32"/>
          <w:shd w:val="clear" w:color="auto" w:fill="auto"/>
        </w:rPr>
        <w:t>（二）2023年重点工作</w:t>
      </w:r>
    </w:p>
    <w:p>
      <w:pPr>
        <w:pStyle w:val="11"/>
        <w:spacing w:line="576" w:lineRule="exact"/>
        <w:ind w:left="0" w:firstLine="0" w:firstLineChars="0"/>
        <w:rPr>
          <w:rFonts w:hint="eastAsia" w:ascii="方正黑体_GBK" w:eastAsia="方正黑体_GBK" w:cs="方正黑体_GBK"/>
          <w:sz w:val="32"/>
          <w:szCs w:val="32"/>
          <w:shd w:val="clear" w:color="auto" w:fill="auto"/>
        </w:rPr>
      </w:pPr>
      <w:r>
        <w:rPr>
          <w:rFonts w:hint="eastAsia" w:ascii="方正黑体_GBK" w:eastAsia="方正黑体_GBK" w:cs="方正黑体_GBK"/>
          <w:sz w:val="32"/>
          <w:szCs w:val="32"/>
          <w:shd w:val="clear" w:color="auto" w:fill="auto"/>
        </w:rPr>
        <w:t>二、部门预算单位构成</w:t>
      </w:r>
    </w:p>
    <w:p>
      <w:pPr>
        <w:pStyle w:val="11"/>
        <w:spacing w:line="576" w:lineRule="exact"/>
        <w:ind w:left="0" w:firstLine="0" w:firstLineChars="0"/>
        <w:rPr>
          <w:rFonts w:hint="eastAsia" w:ascii="方正黑体_GBK" w:eastAsia="方正黑体_GBK" w:cs="方正黑体_GBK"/>
          <w:sz w:val="32"/>
          <w:szCs w:val="32"/>
          <w:shd w:val="clear" w:color="auto" w:fill="auto"/>
        </w:rPr>
      </w:pPr>
      <w:r>
        <w:rPr>
          <w:rFonts w:hint="eastAsia" w:ascii="方正黑体_GBK" w:eastAsia="方正黑体_GBK" w:cs="方正黑体_GBK"/>
          <w:sz w:val="32"/>
          <w:szCs w:val="32"/>
          <w:shd w:val="clear" w:color="auto" w:fill="auto"/>
        </w:rPr>
        <w:t>三、收支预算情况说明</w:t>
      </w:r>
    </w:p>
    <w:p>
      <w:pPr>
        <w:spacing w:line="576" w:lineRule="exact"/>
        <w:rPr>
          <w:rFonts w:hint="eastAsia" w:ascii="方正楷体_GBK" w:eastAsia="方正楷体_GBK" w:cs="方正楷体_GBK"/>
          <w:b/>
          <w:sz w:val="32"/>
          <w:szCs w:val="32"/>
          <w:shd w:val="clear" w:color="auto" w:fill="auto"/>
        </w:rPr>
      </w:pPr>
      <w:r>
        <w:rPr>
          <w:rFonts w:hint="eastAsia" w:ascii="方正楷体_GBK" w:eastAsia="方正楷体_GBK" w:cs="方正楷体_GBK"/>
          <w:b/>
          <w:sz w:val="32"/>
          <w:szCs w:val="32"/>
          <w:shd w:val="clear" w:color="auto" w:fill="auto"/>
        </w:rPr>
        <w:t>（一）收入预算情况</w:t>
      </w:r>
    </w:p>
    <w:p>
      <w:pPr>
        <w:spacing w:line="576" w:lineRule="exact"/>
        <w:rPr>
          <w:rFonts w:hint="eastAsia" w:ascii="方正楷体_GBK" w:eastAsia="方正楷体_GBK" w:cs="方正楷体_GBK"/>
          <w:b/>
          <w:sz w:val="32"/>
          <w:szCs w:val="32"/>
          <w:shd w:val="clear" w:color="auto" w:fill="auto"/>
        </w:rPr>
      </w:pPr>
      <w:r>
        <w:rPr>
          <w:rFonts w:hint="eastAsia" w:ascii="方正楷体_GBK" w:eastAsia="方正楷体_GBK" w:cs="方正楷体_GBK"/>
          <w:b/>
          <w:sz w:val="32"/>
          <w:szCs w:val="32"/>
          <w:shd w:val="clear" w:color="auto" w:fill="auto"/>
        </w:rPr>
        <w:t>（二）支出预算情况</w:t>
      </w:r>
    </w:p>
    <w:p>
      <w:pPr>
        <w:pStyle w:val="11"/>
        <w:spacing w:line="576" w:lineRule="exact"/>
        <w:ind w:left="0" w:firstLine="0" w:firstLineChars="0"/>
        <w:rPr>
          <w:rFonts w:hint="eastAsia" w:ascii="方正黑体_GBK" w:eastAsia="方正黑体_GBK" w:cs="方正黑体_GBK"/>
          <w:sz w:val="32"/>
          <w:szCs w:val="32"/>
          <w:shd w:val="clear" w:color="auto" w:fill="auto"/>
        </w:rPr>
      </w:pPr>
      <w:r>
        <w:rPr>
          <w:rFonts w:hint="eastAsia" w:ascii="方正黑体_GBK" w:eastAsia="方正黑体_GBK" w:cs="方正黑体_GBK"/>
          <w:sz w:val="32"/>
          <w:szCs w:val="32"/>
          <w:shd w:val="clear" w:color="auto" w:fill="auto"/>
        </w:rPr>
        <w:t>四、财政拨款收支预算情况说明</w:t>
      </w:r>
    </w:p>
    <w:p>
      <w:pPr>
        <w:pStyle w:val="11"/>
        <w:spacing w:line="576" w:lineRule="exact"/>
        <w:ind w:left="0" w:firstLine="0" w:firstLineChars="0"/>
        <w:rPr>
          <w:rFonts w:hint="eastAsia" w:ascii="方正黑体_GBK" w:eastAsia="方正黑体_GBK" w:cs="方正黑体_GBK"/>
          <w:sz w:val="32"/>
          <w:szCs w:val="32"/>
          <w:shd w:val="clear" w:color="auto" w:fill="auto"/>
        </w:rPr>
      </w:pPr>
      <w:r>
        <w:rPr>
          <w:rFonts w:hint="eastAsia" w:ascii="方正黑体_GBK" w:eastAsia="方正黑体_GBK" w:cs="方正黑体_GBK"/>
          <w:sz w:val="32"/>
          <w:szCs w:val="32"/>
          <w:shd w:val="clear" w:color="auto" w:fill="auto"/>
        </w:rPr>
        <w:t>五、一般公共预算当年拨款情况说明</w:t>
      </w:r>
    </w:p>
    <w:p>
      <w:pPr>
        <w:rPr>
          <w:rFonts w:ascii="黑体" w:eastAsia="黑体"/>
          <w:sz w:val="32"/>
          <w:szCs w:val="32"/>
        </w:rPr>
      </w:pPr>
      <w:r>
        <w:rPr>
          <w:rFonts w:hint="eastAsia" w:ascii="方正楷体_GBK" w:eastAsia="方正楷体_GBK" w:cs="方正楷体_GBK"/>
          <w:b/>
          <w:sz w:val="32"/>
          <w:szCs w:val="32"/>
          <w:shd w:val="clear" w:color="auto" w:fill="auto"/>
        </w:rPr>
        <w:t>（一）一般公共预算当年拨款规模变化情况</w:t>
      </w:r>
      <w:r>
        <w:rPr>
          <w:rFonts w:hint="eastAsia" w:ascii="方正楷体_GBK" w:eastAsia="方正楷体_GBK" w:cs="方正楷体_GBK"/>
          <w:b/>
          <w:sz w:val="32"/>
          <w:szCs w:val="32"/>
          <w:shd w:val="clear" w:color="auto" w:fill="auto"/>
        </w:rPr>
        <w:br w:type="textWrapping"/>
      </w:r>
      <w:r>
        <w:rPr>
          <w:rFonts w:hint="eastAsia" w:ascii="方正楷体_GBK" w:eastAsia="方正楷体_GBK" w:cs="方正楷体_GBK"/>
          <w:b/>
          <w:sz w:val="32"/>
          <w:szCs w:val="32"/>
          <w:shd w:val="clear" w:color="auto" w:fill="auto"/>
        </w:rPr>
        <w:t>（二）一般公共预算当年拨款结构情况</w:t>
      </w:r>
      <w:r>
        <w:rPr>
          <w:rFonts w:hint="eastAsia" w:ascii="方正楷体_GBK" w:eastAsia="方正楷体_GBK" w:cs="方正楷体_GBK"/>
          <w:b/>
          <w:sz w:val="32"/>
          <w:szCs w:val="32"/>
          <w:shd w:val="clear" w:color="auto" w:fill="auto"/>
        </w:rPr>
        <w:br w:type="textWrapping"/>
      </w:r>
      <w:r>
        <w:rPr>
          <w:rFonts w:hint="eastAsia" w:ascii="方正楷体_GBK" w:eastAsia="方正楷体_GBK" w:cs="方正楷体_GBK"/>
          <w:b/>
          <w:sz w:val="32"/>
          <w:szCs w:val="32"/>
          <w:shd w:val="clear" w:color="auto" w:fill="auto"/>
        </w:rPr>
        <w:t>（三）一般公共预算当年拨款具体使用情况</w:t>
      </w:r>
      <w:r>
        <w:rPr>
          <w:rFonts w:ascii="??" w:hAnsi="??" w:cs="宋体"/>
          <w:kern w:val="0"/>
          <w:sz w:val="16"/>
          <w:szCs w:val="16"/>
        </w:rPr>
        <w:br w:type="textWrapping"/>
      </w:r>
      <w:r>
        <w:rPr>
          <w:rFonts w:hint="eastAsia" w:ascii="方正黑体_GBK" w:eastAsia="方正黑体_GBK" w:cs="方正黑体_GBK"/>
          <w:kern w:val="2"/>
          <w:sz w:val="32"/>
          <w:szCs w:val="32"/>
          <w:shd w:val="clear" w:color="auto" w:fill="auto"/>
          <w:lang w:val="en-US" w:eastAsia="zh-CN" w:bidi="ar-SA"/>
        </w:rPr>
        <w:t>六、一般公共预算基本支出情况说明</w:t>
      </w:r>
      <w:r>
        <w:rPr>
          <w:rFonts w:ascii="黑体" w:eastAsia="黑体"/>
          <w:sz w:val="32"/>
          <w:szCs w:val="32"/>
        </w:rPr>
        <w:br w:type="textWrapping"/>
      </w:r>
      <w:r>
        <w:rPr>
          <w:rFonts w:hint="eastAsia" w:ascii="方正黑体_GBK" w:eastAsia="方正黑体_GBK" w:cs="方正黑体_GBK"/>
          <w:kern w:val="2"/>
          <w:sz w:val="32"/>
          <w:szCs w:val="32"/>
          <w:shd w:val="clear" w:color="auto" w:fill="auto"/>
          <w:lang w:val="en-US" w:eastAsia="zh-CN" w:bidi="ar-SA"/>
        </w:rPr>
        <w:t>七、“三公”经费财政拨款预算安排情况说明</w:t>
      </w:r>
      <w:r>
        <w:rPr>
          <w:rFonts w:ascii="黑体" w:eastAsia="黑体"/>
          <w:sz w:val="32"/>
          <w:szCs w:val="32"/>
        </w:rPr>
        <w:br w:type="textWrapping"/>
      </w:r>
      <w:r>
        <w:rPr>
          <w:rFonts w:hint="eastAsia" w:ascii="方正黑体_GBK" w:eastAsia="方正黑体_GBK" w:cs="方正黑体_GBK"/>
          <w:kern w:val="2"/>
          <w:sz w:val="32"/>
          <w:szCs w:val="32"/>
          <w:shd w:val="clear" w:color="auto" w:fill="auto"/>
          <w:lang w:val="en-US" w:eastAsia="zh-CN" w:bidi="ar-SA"/>
        </w:rPr>
        <w:t>八、政府性基金预算支出情况说明</w:t>
      </w:r>
      <w:r>
        <w:rPr>
          <w:rFonts w:ascii="黑体" w:eastAsia="黑体"/>
          <w:sz w:val="32"/>
          <w:szCs w:val="32"/>
        </w:rPr>
        <w:br w:type="textWrapping"/>
      </w:r>
      <w:r>
        <w:rPr>
          <w:rFonts w:hint="eastAsia" w:ascii="方正黑体_GBK" w:eastAsia="方正黑体_GBK" w:cs="方正黑体_GBK"/>
          <w:kern w:val="2"/>
          <w:sz w:val="32"/>
          <w:szCs w:val="32"/>
          <w:shd w:val="clear" w:color="auto" w:fill="auto"/>
          <w:lang w:val="en-US" w:eastAsia="zh-CN" w:bidi="ar-SA"/>
        </w:rPr>
        <w:t>九、其他重要事项的情况说明</w:t>
      </w:r>
      <w:r>
        <w:rPr>
          <w:rFonts w:ascii="黑体" w:eastAsia="黑体"/>
          <w:sz w:val="32"/>
          <w:szCs w:val="32"/>
        </w:rPr>
        <w:br w:type="textWrapping"/>
      </w:r>
      <w:r>
        <w:rPr>
          <w:rFonts w:hint="eastAsia" w:ascii="方正黑体_GBK" w:eastAsia="方正黑体_GBK" w:cs="方正黑体_GBK"/>
          <w:kern w:val="2"/>
          <w:sz w:val="32"/>
          <w:szCs w:val="32"/>
          <w:shd w:val="clear" w:color="auto" w:fill="auto"/>
          <w:lang w:val="en-US" w:eastAsia="zh-CN" w:bidi="ar-SA"/>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1"/>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一、基本职能及主要工作</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（一）部门职能简介</w:t>
      </w:r>
    </w:p>
    <w:p>
      <w:pPr>
        <w:widowControl w:val="0"/>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一是负责中央、省委、州委重要决策部署贯彻落实的协调、督促、检查，中央、省委、州委领导同志批示的传达和督办。二是负责州委会议、重大活动的准备和实施，州委领导活动的协调安排，州委各类文稿的撰写、修改和印制。三是围绕省委和州委的工作部署，综合调研、收集信息、反映动态，为州委决策提供参考建议。四是负责上级公文的承办和州委文件的草拟、印制、分发、管理等工作。五是负责全州党内法规工作，负责督促指导全州党内规范性文件的制定、审查、备案等工作。六是承担州委值班工作，负责全州党委办公室系统值班指导，对突出事件紧急情况跟踪了解、协调处理。七是负责州委与民主党派中央、民主党派四川省委之间战略合作事项的协调、落实。八是负责省委藏区办工作的对接和办理。九是负责贯彻执行《中华人民共和国档案法》等相关法律法规；负责制定全州档案事业发展规划和年度计划组织实施；负责全州档案工作的统筹规划和宏观管理，依法对全州档案工作进行监督检查并查处违法行为。十是负责并协调州委办公室办公区、生活区的社会治安综合治理和安全防范。十一是承办州委交办的其他任务。</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（二）2023年重点工作</w:t>
      </w:r>
    </w:p>
    <w:p>
      <w:pPr>
        <w:wordWrap/>
        <w:adjustRightInd/>
        <w:snapToGrid/>
        <w:spacing w:line="576" w:lineRule="exact"/>
        <w:ind w:left="0" w:right="0" w:firstLine="640" w:firstLineChars="200"/>
        <w:jc w:val="both"/>
        <w:textAlignment w:val="auto"/>
        <w:outlineLvl w:val="9"/>
        <w:rPr>
          <w:rFonts w:ascii="Times New Roman" w:hAnsi="Times New Roman" w:eastAsia="仿宋_GB2312" w:cs="Times New Roman"/>
          <w:sz w:val="32"/>
          <w:szCs w:val="32"/>
        </w:rPr>
      </w:pPr>
      <w:r>
        <w:rPr>
          <w:rFonts w:ascii="方正仿宋_GBK" w:eastAsia="方正仿宋_GBK" w:cs="方正仿宋_GBK"/>
          <w:b/>
          <w:bCs/>
          <w:sz w:val="32"/>
          <w:szCs w:val="32"/>
        </w:rPr>
        <w:t>1.</w:t>
      </w:r>
      <w:r>
        <w:rPr>
          <w:rFonts w:hint="eastAsia" w:ascii="方正仿宋_GBK" w:eastAsia="方正仿宋_GBK" w:cs="方正仿宋_GBK"/>
          <w:b/>
          <w:bCs/>
          <w:sz w:val="32"/>
          <w:szCs w:val="32"/>
        </w:rPr>
        <w:t>围绕绝对忠诚，着力争做政治过硬的模范。</w:t>
      </w:r>
      <w:r>
        <w:rPr>
          <w:rFonts w:ascii="Times New Roman" w:hAnsi="Times New Roman" w:eastAsia="方正仿宋_GBK" w:cs="Times New Roman"/>
          <w:sz w:val="32"/>
          <w:szCs w:val="32"/>
        </w:rPr>
        <w:t>坚持以习近平新时代中国特色社会主义思想为指引，深入学习贯彻党的二十大精神，不断提高“政治三力”，做“两个确立”坚定拥护者、“两个维护”的坚定践行者。坚持从政治的角度进行思考、分析和处理，把讲政治、守规矩、顾大局贯穿实际工作始终，时时处处维护中央、省委和州委的权威和形象。</w:t>
      </w:r>
    </w:p>
    <w:p>
      <w:pPr>
        <w:wordWrap/>
        <w:adjustRightInd/>
        <w:snapToGrid/>
        <w:spacing w:line="576" w:lineRule="exact"/>
        <w:ind w:left="0" w:right="0" w:firstLine="640" w:firstLineChars="200"/>
        <w:jc w:val="both"/>
        <w:textAlignment w:val="auto"/>
        <w:outlineLvl w:val="9"/>
        <w:rPr>
          <w:rFonts w:ascii="Times New Roman" w:hAnsi="Times New Roman" w:eastAsia="仿宋_GB2312" w:cs="Times New Roman"/>
          <w:sz w:val="32"/>
          <w:szCs w:val="32"/>
        </w:rPr>
      </w:pPr>
      <w:r>
        <w:rPr>
          <w:rFonts w:ascii="方正仿宋_GBK" w:eastAsia="方正仿宋_GBK" w:cs="方正仿宋_GBK"/>
          <w:b/>
          <w:bCs/>
          <w:sz w:val="32"/>
          <w:szCs w:val="32"/>
        </w:rPr>
        <w:t>2.围绕中心大局，着力争做服务过硬的模范。</w:t>
      </w:r>
      <w:r>
        <w:rPr>
          <w:rFonts w:ascii="Times New Roman" w:hAnsi="Times New Roman" w:eastAsia="方正仿宋_GBK" w:cs="Times New Roman"/>
          <w:sz w:val="32"/>
          <w:szCs w:val="32"/>
        </w:rPr>
        <w:t>始终围绕中心、服务大局，进一步增强“两个服务”工作的主动性、前瞻性，全力以赴做好办文办会、统筹协调、督查督办、信息服务、值班应急、后勤保障等各项工作，该协调的积极协调、该牵头的主动牵头、该督办的马上督办，确保服务工作更有质量、更高标准、更富效率。</w:t>
      </w:r>
    </w:p>
    <w:p>
      <w:pPr>
        <w:wordWrap/>
        <w:adjustRightInd/>
        <w:snapToGrid/>
        <w:spacing w:line="576" w:lineRule="exact"/>
        <w:ind w:left="0" w:right="0" w:firstLine="640" w:firstLineChars="200"/>
        <w:jc w:val="both"/>
        <w:textAlignment w:val="auto"/>
        <w:outlineLvl w:val="9"/>
        <w:rPr>
          <w:rFonts w:ascii="Times New Roman" w:hAnsi="Times New Roman" w:eastAsia="仿宋_GB2312" w:cs="Times New Roman"/>
          <w:sz w:val="32"/>
          <w:szCs w:val="32"/>
        </w:rPr>
      </w:pPr>
      <w:r>
        <w:rPr>
          <w:rFonts w:ascii="方正仿宋_GBK" w:eastAsia="方正仿宋_GBK" w:cs="方正仿宋_GBK"/>
          <w:b/>
          <w:bCs/>
          <w:sz w:val="32"/>
          <w:szCs w:val="32"/>
        </w:rPr>
        <w:t>3.围绕效能提升，着力争做作风过硬的模范。</w:t>
      </w:r>
      <w:r>
        <w:rPr>
          <w:rFonts w:ascii="Times New Roman" w:hAnsi="Times New Roman" w:eastAsia="方正仿宋_GBK" w:cs="Times New Roman"/>
          <w:sz w:val="32"/>
          <w:szCs w:val="32"/>
        </w:rPr>
        <w:t>持续改进作风、提升效能，严格执行“四个当天”要求，大力倡导雷厉风行、紧张快干、马上就办工作作风，力戒形式主义、官僚主义、主观主义，不断提升机关凝聚力、战斗力。树牢正确导向，突出实干实绩，在选准用好上下功夫，强化关心关爱，充分调动激励干部职工干事创业积极性。</w:t>
      </w:r>
    </w:p>
    <w:p>
      <w:pPr>
        <w:wordWrap/>
        <w:adjustRightInd/>
        <w:snapToGrid/>
        <w:spacing w:line="576" w:lineRule="exact"/>
        <w:ind w:left="0" w:right="0" w:firstLine="640" w:firstLineChars="200"/>
        <w:jc w:val="both"/>
        <w:textAlignment w:val="auto"/>
        <w:outlineLvl w:val="9"/>
        <w:rPr>
          <w:rFonts w:ascii="Times New Roman" w:hAnsi="Times New Roman" w:eastAsia="仿宋_GB2312" w:cs="Times New Roman"/>
          <w:sz w:val="32"/>
          <w:szCs w:val="32"/>
        </w:rPr>
      </w:pPr>
      <w:r>
        <w:rPr>
          <w:rFonts w:ascii="方正仿宋_GBK" w:eastAsia="方正仿宋_GBK" w:cs="方正仿宋_GBK"/>
          <w:b/>
          <w:bCs/>
          <w:sz w:val="32"/>
          <w:szCs w:val="32"/>
        </w:rPr>
        <w:t>4.围绕素质建设，着力争做能力过硬的模范。</w:t>
      </w:r>
      <w:r>
        <w:rPr>
          <w:rFonts w:ascii="Times New Roman" w:hAnsi="Times New Roman" w:eastAsia="方正仿宋_GBK" w:cs="Times New Roman"/>
          <w:sz w:val="32"/>
          <w:szCs w:val="32"/>
        </w:rPr>
        <w:t>经常性组织跟班学习、自主培训、干部教育培训和“机关大讲堂”等多形式培训，破除惯性思维和路径依赖，敢于创新、推陈出新，不断提升干部职工综合素质能力。坚持以极端负责、极其用心、极为精细的态度对待每一项工作，进一步提高工作制度化、规范化、科学化、程序化水平，站好每个岗位、把好每个关口、守好每道防线，做到“文经我手无差错、事交我办请放心”。</w:t>
      </w:r>
    </w:p>
    <w:p>
      <w:pPr>
        <w:wordWrap/>
        <w:adjustRightInd/>
        <w:snapToGrid/>
        <w:spacing w:line="576" w:lineRule="exact"/>
        <w:ind w:left="0" w:right="0" w:firstLine="640" w:firstLineChars="200"/>
        <w:jc w:val="both"/>
        <w:textAlignment w:val="auto"/>
        <w:outlineLvl w:val="9"/>
        <w:rPr>
          <w:rFonts w:ascii="Times New Roman" w:hAnsi="Times New Roman" w:eastAsia="仿宋_GB2312" w:cs="Times New Roman"/>
          <w:sz w:val="32"/>
          <w:szCs w:val="32"/>
        </w:rPr>
      </w:pPr>
      <w:r>
        <w:rPr>
          <w:rFonts w:ascii="方正仿宋_GBK" w:eastAsia="方正仿宋_GBK" w:cs="方正仿宋_GBK"/>
          <w:b/>
          <w:bCs/>
          <w:sz w:val="32"/>
          <w:szCs w:val="32"/>
        </w:rPr>
        <w:t>5.围绕廉洁自律，着力争做纪律过硬的模范。</w:t>
      </w:r>
      <w:r>
        <w:rPr>
          <w:rFonts w:ascii="Times New Roman" w:hAnsi="Times New Roman" w:eastAsia="方正仿宋_GBK" w:cs="Times New Roman"/>
          <w:sz w:val="32"/>
          <w:szCs w:val="32"/>
        </w:rPr>
        <w:t>始终把纪律规矩挺在前，在大是大非面前旗帜鲜明，在风浪考验面前无所畏惧，在各种诱惑面前立场坚定，坚决守住政治生命线。带头践行全心全意为人民服务的宗旨，带头厉行法治、依法办事。持续加强政德教育、家风教育，教育引导党员干部廉洁自律、廉洁用权、廉洁齐家。</w:t>
      </w:r>
    </w:p>
    <w:p>
      <w:pPr>
        <w:pStyle w:val="11"/>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二、部门预算单位构成</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中共阿坝州委办公室属一级预算单位，下属预算单位1个，其中：行政单位1个；参照公务员法管理的事业单位0个；其他事业单位0个。</w:t>
      </w:r>
    </w:p>
    <w:p>
      <w:pPr>
        <w:pStyle w:val="11"/>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三、收支预算情况说明</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按照综合预算的原则，中共阿坝州委办公室所有收入和支出均纳入部门预算管理。收入包括：一般公共预算拨款收入2611.00万元；支出包括：一般公共服务支出2204.47万元，社会保障和就业支出217.60万元，医疗卫生与计划生育支出82.73万元，住房保障支出106.20万元。</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（一）收入预算情况</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中共阿坝州委办公室2023年收入预算2611.00万元，其中：一般公共预算拨款收入2611.00万元，占100%；无其他收入。</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（二）支出预算情况</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中共阿坝州委办公室2023年支出预算2611.00万元，其中：基本支出2097.00万元，占80.31%；项目支出514.00万元，占19.69%。</w:t>
      </w:r>
    </w:p>
    <w:p>
      <w:pPr>
        <w:pStyle w:val="11"/>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四、财政拨款收支预算情况说明</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中共阿坝州委办公室2023年财政拨款收支总预算2611.00万元,比2022年财政拨款收支总预算增加224.96万元，主要原因:2023年人员经费及退休人员生活补助增加。</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收入包括：本年一般公共预算拨款收入2611.00万元。</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支出包括：一般公共服务支出2204.47万元，社会保障和就业支出217.60万元，医疗卫生与计划生育支出82.73万元，住房保障支出106.20万元。</w:t>
      </w:r>
    </w:p>
    <w:p>
      <w:pPr>
        <w:pStyle w:val="11"/>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五、一般公共预算当年拨款情况说明</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（一）一般公共预算当年拨款规模变化情况</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中共阿坝州委办公室2023年一般公共预算当年拨款2611.00万元，比2022年预算数增加224.96万元，主要原因:</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023年人员经费及退休人员生活补助增加。</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（二）一般公共预算当年拨款结构情况</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一般公共服务支出2204.47万元，占84.43%；社会保障和就业支出217.60万元，占8.33%；医疗卫生与计划生育支出82.73万元，占3.17%；住房保障支出106.20万元，占4.07%。</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（三）一般公共预算当年拨款具体使用情况</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1．一般公共服务支出</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行政运行，2023年预算数为1970.47万元，主要用于：工资福利支出1021.41万元；商品和服务支出851.20万元；对个人和家庭的补助支出97.86万元。</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bCs/>
          <w:sz w:val="32"/>
          <w:szCs w:val="32"/>
        </w:rPr>
        <w:t>一般行政管理事务，</w:t>
      </w:r>
      <w:r>
        <w:rPr>
          <w:rFonts w:ascii="Times New Roman" w:hAnsi="Times New Roman" w:eastAsia="方正仿宋_GBK" w:cs="Times New Roman"/>
          <w:sz w:val="32"/>
          <w:szCs w:val="32"/>
        </w:rPr>
        <w:t>2023年预算数为234万元，主要用于：商品和服务支出196万元；资本性支出38万元。</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2.社会保障和就业支出</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2023年机关事业单位基本养老保险缴费支出预算数为145.07万元，主要用于缴纳干部职工2023年基本养老保险。</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2023年机关事业单位职业年金缴费支出预算数为72.53万元，主要用于缴纳干部职工2023年职业年金。</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3.卫生健康支出</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行政单位医疗，2023年预算数为63.47万元，主要用于缴纳行政人员</w:t>
      </w:r>
      <w:r>
        <w:rPr>
          <w:rFonts w:hint="eastAsia" w:ascii="Times New Roman" w:hAnsi="Times New Roman" w:eastAsia="方正仿宋_GBK" w:cs="Times New Roman"/>
          <w:sz w:val="32"/>
          <w:szCs w:val="32"/>
          <w:lang w:val="en-US" w:eastAsia="zh-CN"/>
        </w:rPr>
        <w:t>2023年</w:t>
      </w:r>
      <w:r>
        <w:rPr>
          <w:rFonts w:ascii="Times New Roman" w:hAnsi="Times New Roman" w:eastAsia="方正仿宋_GBK" w:cs="Times New Roman"/>
          <w:sz w:val="32"/>
          <w:szCs w:val="32"/>
        </w:rPr>
        <w:t>基本医疗保险。</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公务员医疗补助，2023年预算数为19.26万元，主要用于缴纳行政人员</w:t>
      </w:r>
      <w:r>
        <w:rPr>
          <w:rFonts w:hint="eastAsia" w:ascii="Times New Roman" w:hAnsi="Times New Roman" w:eastAsia="方正仿宋_GBK" w:cs="Times New Roman"/>
          <w:sz w:val="32"/>
          <w:szCs w:val="32"/>
          <w:lang w:val="en-US" w:eastAsia="zh-CN"/>
        </w:rPr>
        <w:t>2023年</w:t>
      </w:r>
      <w:r>
        <w:rPr>
          <w:rFonts w:ascii="Times New Roman" w:hAnsi="Times New Roman" w:eastAsia="方正仿宋_GBK" w:cs="Times New Roman"/>
          <w:sz w:val="32"/>
          <w:szCs w:val="32"/>
        </w:rPr>
        <w:t>医疗补助。</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4.住房保障支出</w:t>
      </w:r>
    </w:p>
    <w:p>
      <w:pPr>
        <w:pStyle w:val="12"/>
        <w:widowControl w:val="0"/>
        <w:wordWrap/>
        <w:adjustRightInd/>
        <w:snapToGrid/>
        <w:spacing w:before="0" w:line="576" w:lineRule="exact"/>
        <w:ind w:left="0" w:right="0" w:firstLine="640" w:firstLineChars="200"/>
        <w:jc w:val="both"/>
        <w:textAlignment w:val="auto"/>
        <w:outlineLvl w:val="9"/>
        <w:rPr>
          <w:rFonts w:ascii="Times New Roman" w:hAnsi="Times New Roman" w:cs="Times New Roman"/>
          <w:kern w:val="2"/>
          <w:sz w:val="32"/>
          <w:szCs w:val="32"/>
        </w:rPr>
      </w:pPr>
      <w:r>
        <w:rPr>
          <w:rFonts w:ascii="Times New Roman" w:hAnsi="Times New Roman" w:eastAsia="方正仿宋_GBK" w:cs="Times New Roman"/>
          <w:kern w:val="2"/>
          <w:sz w:val="32"/>
          <w:szCs w:val="32"/>
          <w:lang w:val="en-US" w:eastAsia="zh-CN" w:bidi="ar-SA"/>
        </w:rPr>
        <w:t>2023年住房公积金预算数为19.26万元，主要用于缴纳干部职工2023年住房公积金。</w:t>
      </w:r>
    </w:p>
    <w:p>
      <w:pPr>
        <w:pStyle w:val="11"/>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六、一般公共预算基本支出情况说明</w:t>
      </w:r>
    </w:p>
    <w:p>
      <w:pPr>
        <w:pStyle w:val="12"/>
        <w:wordWrap/>
        <w:adjustRightInd/>
        <w:snapToGrid/>
        <w:spacing w:before="0" w:line="576" w:lineRule="exact"/>
        <w:ind w:left="0" w:right="0" w:firstLine="640" w:firstLineChars="200"/>
        <w:jc w:val="both"/>
        <w:textAlignment w:val="auto"/>
        <w:outlineLvl w:val="9"/>
        <w:rPr>
          <w:rFonts w:ascii="Times New Roman" w:hAnsi="Times New Roman" w:cs="Times New Roman"/>
          <w:kern w:val="2"/>
          <w:sz w:val="32"/>
          <w:szCs w:val="32"/>
        </w:rPr>
      </w:pPr>
      <w:r>
        <w:rPr>
          <w:rFonts w:ascii="Times New Roman" w:hAnsi="Times New Roman" w:eastAsia="方正仿宋_GBK" w:cs="Times New Roman"/>
          <w:kern w:val="2"/>
          <w:sz w:val="32"/>
          <w:szCs w:val="32"/>
          <w:lang w:val="en-US" w:eastAsia="zh-CN" w:bidi="ar-SA"/>
        </w:rPr>
        <w:t>中共阿坝州委办公室2023年一般公共预算基本支出2097.00万元，其中：人员经费1525.80万元，主要包括：基本工资288.53万元、津贴补贴593.79万元、奖金24.04万元、其他社会保障缴费16.37万元、机关事业单位基本养老保险缴费145.07万元、职业年金缴费72.53万元、职工基本医疗保险缴费63.47万元、公务员医疗补助缴费19.26万元、其他工资福利支出98.68万元、退休人员生活补助97.80万元、奖励金0.06万元、住房公积金106.20万元。</w:t>
      </w:r>
    </w:p>
    <w:p>
      <w:pPr>
        <w:pStyle w:val="12"/>
        <w:wordWrap/>
        <w:adjustRightInd/>
        <w:snapToGrid/>
        <w:spacing w:before="0" w:line="576" w:lineRule="exact"/>
        <w:ind w:left="0" w:right="0" w:firstLine="640" w:firstLineChars="200"/>
        <w:jc w:val="both"/>
        <w:textAlignment w:val="auto"/>
        <w:outlineLvl w:val="9"/>
        <w:rPr>
          <w:rFonts w:ascii="Times New Roman" w:hAnsi="Times New Roman" w:eastAsia="黑体" w:cs="Times New Roman"/>
          <w:sz w:val="32"/>
          <w:szCs w:val="32"/>
        </w:rPr>
      </w:pPr>
      <w:r>
        <w:rPr>
          <w:rFonts w:ascii="Times New Roman" w:hAnsi="Times New Roman" w:eastAsia="方正仿宋_GBK" w:cs="Times New Roman"/>
          <w:kern w:val="2"/>
          <w:sz w:val="32"/>
          <w:szCs w:val="32"/>
          <w:lang w:val="en-US" w:eastAsia="zh-CN" w:bidi="ar-SA"/>
        </w:rPr>
        <w:t>公用经费571.20万元，主要包括：办公费12.74万元、水费1.91万元、邮电费28.38万元、取暖费2.55万元、差旅费109.23万元、维修（护）费3.68万元、培训费11.87万元、公务接待费10.42万元、福利费20.01万元、公务用车运行维护费262.80万元、其他商品和服务支出107.61万元。</w:t>
      </w:r>
      <w:r>
        <w:rPr>
          <w:rFonts w:ascii="Times New Roman" w:hAnsi="Times New Roman" w:eastAsia="方正仿宋_GBK" w:cs="Times New Roman"/>
          <w:kern w:val="2"/>
          <w:sz w:val="32"/>
          <w:szCs w:val="32"/>
          <w:lang w:val="en-US" w:eastAsia="zh-CN" w:bidi="ar-SA"/>
        </w:rPr>
        <w:br w:type="textWrapping"/>
      </w:r>
      <w:r>
        <w:rPr>
          <w:rFonts w:ascii="Times New Roman" w:hAnsi="Times New Roman" w:eastAsia="黑体" w:cs="Times New Roman"/>
          <w:sz w:val="32"/>
          <w:szCs w:val="32"/>
        </w:rPr>
        <w:t xml:space="preserve">    </w:t>
      </w:r>
      <w:r>
        <w:rPr>
          <w:rFonts w:ascii="Times New Roman" w:hAnsi="Times New Roman" w:eastAsia="方正黑体_GBK" w:cs="Times New Roman"/>
          <w:kern w:val="2"/>
          <w:sz w:val="32"/>
          <w:szCs w:val="32"/>
          <w:shd w:val="clear" w:color="auto" w:fill="auto"/>
          <w:lang w:val="en-US" w:eastAsia="zh-CN" w:bidi="ar-SA"/>
        </w:rPr>
        <w:t>七、“三公”经费财政拨款预算安排情况说明</w:t>
      </w:r>
    </w:p>
    <w:p>
      <w:pPr>
        <w:pStyle w:val="12"/>
        <w:widowControl w:val="0"/>
        <w:wordWrap/>
        <w:adjustRightInd/>
        <w:snapToGrid/>
        <w:spacing w:before="0" w:line="576" w:lineRule="exact"/>
        <w:ind w:left="0" w:right="0" w:firstLine="640" w:firstLineChars="200"/>
        <w:jc w:val="both"/>
        <w:textAlignment w:val="auto"/>
        <w:outlineLvl w:val="9"/>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中共阿坝州委办公室2023年“三公”经费财政拨款预算数273.22万元，其中：因公出国（境）经费0万元，公务接待费10.42万元，公务用车购置及运行维护费262.80万元。</w:t>
      </w:r>
    </w:p>
    <w:p>
      <w:pPr>
        <w:pStyle w:val="12"/>
        <w:widowControl w:val="0"/>
        <w:wordWrap/>
        <w:adjustRightInd/>
        <w:snapToGrid/>
        <w:spacing w:before="0" w:line="576" w:lineRule="exact"/>
        <w:ind w:left="0" w:right="0" w:firstLine="640" w:firstLineChars="200"/>
        <w:jc w:val="both"/>
        <w:textAlignment w:val="auto"/>
        <w:outlineLvl w:val="9"/>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（一）2023年因公出国（境）经费0万元。</w:t>
      </w:r>
    </w:p>
    <w:p>
      <w:pPr>
        <w:pStyle w:val="12"/>
        <w:widowControl w:val="0"/>
        <w:wordWrap/>
        <w:adjustRightInd/>
        <w:snapToGrid/>
        <w:spacing w:before="0" w:line="576" w:lineRule="exact"/>
        <w:ind w:left="0" w:right="0" w:firstLine="640" w:firstLineChars="200"/>
        <w:jc w:val="both"/>
        <w:textAlignment w:val="auto"/>
        <w:outlineLvl w:val="9"/>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（二）2023年公务接待经费10.42万元。较2022年预算经费减少0.03万元，减少0.29%，主要原因按照厉行节约原则，逐年缩减公务接待支出。</w:t>
      </w:r>
    </w:p>
    <w:p>
      <w:pPr>
        <w:pStyle w:val="12"/>
        <w:widowControl w:val="0"/>
        <w:wordWrap/>
        <w:adjustRightInd/>
        <w:snapToGrid/>
        <w:spacing w:before="0" w:line="576" w:lineRule="exact"/>
        <w:ind w:left="0" w:right="0" w:firstLine="640" w:firstLineChars="200"/>
        <w:jc w:val="both"/>
        <w:textAlignment w:val="auto"/>
        <w:outlineLvl w:val="9"/>
        <w:rPr>
          <w:rFonts w:ascii="Times New Roman" w:hAnsi="Times New Roman" w:cs="Times New Roman"/>
          <w:color w:val="000000"/>
          <w:kern w:val="2"/>
          <w:sz w:val="32"/>
          <w:szCs w:val="32"/>
        </w:rPr>
      </w:pPr>
      <w:r>
        <w:rPr>
          <w:rFonts w:ascii="Times New Roman" w:hAnsi="Times New Roman" w:eastAsia="方正仿宋_GBK" w:cs="Times New Roman"/>
          <w:kern w:val="2"/>
          <w:sz w:val="32"/>
          <w:szCs w:val="32"/>
          <w:lang w:val="en-US" w:eastAsia="zh-CN" w:bidi="ar-SA"/>
        </w:rPr>
        <w:t>（三）2023年公务用车购置及运行维护费262.80万元。较2022年预算经费持平。</w:t>
      </w:r>
    </w:p>
    <w:p>
      <w:pPr>
        <w:pStyle w:val="11"/>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八、政府性基金预算支出情况说明</w:t>
      </w:r>
    </w:p>
    <w:p>
      <w:pPr>
        <w:pStyle w:val="12"/>
        <w:widowControl w:val="0"/>
        <w:wordWrap/>
        <w:adjustRightInd/>
        <w:snapToGrid/>
        <w:spacing w:before="0" w:line="576" w:lineRule="exact"/>
        <w:ind w:left="0" w:right="0" w:firstLine="640" w:firstLineChars="200"/>
        <w:jc w:val="both"/>
        <w:textAlignment w:val="auto"/>
        <w:outlineLvl w:val="9"/>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中共阿坝州委办公室2023年政府性基金预算拨款安排的支出0万元。较2022年预算经费持平。</w:t>
      </w:r>
    </w:p>
    <w:p>
      <w:pPr>
        <w:pStyle w:val="11"/>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九、其他重要事项的情况说明</w:t>
      </w:r>
    </w:p>
    <w:p>
      <w:pPr>
        <w:pStyle w:val="12"/>
        <w:widowControl w:val="0"/>
        <w:wordWrap/>
        <w:adjustRightInd/>
        <w:snapToGrid/>
        <w:spacing w:before="0" w:line="576" w:lineRule="exact"/>
        <w:ind w:left="0" w:right="0" w:firstLine="640" w:firstLineChars="200"/>
        <w:jc w:val="both"/>
        <w:textAlignment w:val="auto"/>
        <w:outlineLvl w:val="9"/>
        <w:rPr>
          <w:rFonts w:ascii="Times New Roman" w:hAnsi="Times New Roman" w:eastAsia="方正楷体_GBK" w:cs="Times New Roman"/>
          <w:b/>
          <w:kern w:val="2"/>
          <w:sz w:val="32"/>
          <w:szCs w:val="32"/>
          <w:shd w:val="clear" w:color="auto" w:fill="auto"/>
          <w:lang w:val="en-US" w:eastAsia="zh-CN" w:bidi="ar-SA"/>
        </w:rPr>
      </w:pPr>
      <w:r>
        <w:rPr>
          <w:rFonts w:ascii="Times New Roman" w:hAnsi="Times New Roman" w:eastAsia="方正楷体_GBK" w:cs="Times New Roman"/>
          <w:b/>
          <w:kern w:val="2"/>
          <w:sz w:val="32"/>
          <w:szCs w:val="32"/>
          <w:shd w:val="clear" w:color="auto" w:fill="auto"/>
          <w:lang w:val="en-US" w:eastAsia="zh-CN" w:bidi="ar-SA"/>
        </w:rPr>
        <w:t>（一）机关运行经费</w:t>
      </w:r>
    </w:p>
    <w:p>
      <w:pPr>
        <w:pStyle w:val="12"/>
        <w:widowControl w:val="0"/>
        <w:wordWrap/>
        <w:adjustRightInd/>
        <w:snapToGrid/>
        <w:spacing w:before="0" w:line="576" w:lineRule="exact"/>
        <w:ind w:left="0" w:right="0" w:firstLine="640" w:firstLineChars="200"/>
        <w:jc w:val="both"/>
        <w:textAlignment w:val="auto"/>
        <w:outlineLvl w:val="9"/>
        <w:rPr>
          <w:rFonts w:ascii="Times New Roman" w:hAnsi="Times New Roman" w:cs="Times New Roman"/>
          <w:color w:val="FF0000"/>
          <w:kern w:val="2"/>
          <w:sz w:val="32"/>
          <w:szCs w:val="32"/>
        </w:rPr>
      </w:pPr>
      <w:r>
        <w:rPr>
          <w:rFonts w:ascii="Times New Roman" w:hAnsi="Times New Roman" w:eastAsia="方正仿宋_GBK" w:cs="Times New Roman"/>
          <w:kern w:val="2"/>
          <w:sz w:val="32"/>
          <w:szCs w:val="32"/>
          <w:lang w:val="en-US" w:eastAsia="zh-CN" w:bidi="ar-SA"/>
        </w:rPr>
        <w:t>中共阿坝州委办公室2023年机关运行经费财政拨款预算为568.95万元，比2022年预算减少14.06万元，减少2.41%。</w:t>
      </w:r>
      <w:r>
        <w:rPr>
          <w:rFonts w:ascii="Times New Roman" w:hAnsi="Times New Roman" w:cs="Times New Roman"/>
          <w:color w:val="000000"/>
          <w:kern w:val="2"/>
          <w:sz w:val="32"/>
          <w:szCs w:val="32"/>
        </w:rPr>
        <w:t xml:space="preserve"> </w:t>
      </w:r>
    </w:p>
    <w:p>
      <w:pPr>
        <w:pStyle w:val="12"/>
        <w:wordWrap/>
        <w:adjustRightInd/>
        <w:snapToGrid/>
        <w:spacing w:before="0" w:line="576" w:lineRule="exact"/>
        <w:ind w:left="0" w:right="0" w:firstLine="640" w:firstLineChars="200"/>
        <w:jc w:val="both"/>
        <w:textAlignment w:val="auto"/>
        <w:outlineLvl w:val="9"/>
        <w:rPr>
          <w:rFonts w:ascii="Times New Roman" w:hAnsi="Times New Roman" w:cs="Times New Roman"/>
          <w:kern w:val="2"/>
          <w:sz w:val="32"/>
          <w:szCs w:val="32"/>
        </w:rPr>
      </w:pPr>
      <w:r>
        <w:rPr>
          <w:rFonts w:ascii="Times New Roman" w:hAnsi="Times New Roman" w:eastAsia="方正楷体_GBK" w:cs="Times New Roman"/>
          <w:b/>
          <w:kern w:val="2"/>
          <w:sz w:val="32"/>
          <w:szCs w:val="32"/>
          <w:shd w:val="clear" w:color="auto" w:fill="auto"/>
          <w:lang w:val="en-US" w:eastAsia="zh-CN" w:bidi="ar-SA"/>
        </w:rPr>
        <w:t>（二）政府采购情况</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cs="Times New Roman"/>
          <w:color w:val="000000"/>
          <w:kern w:val="2"/>
          <w:sz w:val="32"/>
          <w:szCs w:val="32"/>
        </w:rPr>
        <w:t xml:space="preserve">　 </w:t>
      </w:r>
      <w:r>
        <w:rPr>
          <w:rFonts w:ascii="Times New Roman" w:hAnsi="Times New Roman" w:eastAsia="方正仿宋_GBK" w:cs="Times New Roman"/>
          <w:kern w:val="2"/>
          <w:sz w:val="32"/>
          <w:szCs w:val="32"/>
          <w:lang w:val="en-US" w:eastAsia="zh-CN" w:bidi="ar-SA"/>
        </w:rPr>
        <w:t>2023年中共阿坝州委办公室安排政府采购预算54万元，主要用于办公设备、办公家具、公车维修等项目。</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（三）国有资产占有使用情况</w:t>
      </w:r>
    </w:p>
    <w:p>
      <w:pPr>
        <w:pStyle w:val="12"/>
        <w:wordWrap/>
        <w:adjustRightInd/>
        <w:snapToGrid/>
        <w:spacing w:before="0" w:line="576" w:lineRule="exact"/>
        <w:ind w:left="0" w:right="0" w:firstLine="640" w:firstLineChars="200"/>
        <w:jc w:val="both"/>
        <w:textAlignment w:val="auto"/>
        <w:outlineLvl w:val="9"/>
        <w:rPr>
          <w:rFonts w:ascii="Times New Roman" w:hAnsi="Times New Roman" w:cs="Times New Roman"/>
          <w:kern w:val="2"/>
          <w:sz w:val="32"/>
          <w:szCs w:val="32"/>
        </w:rPr>
      </w:pPr>
      <w:r>
        <w:rPr>
          <w:rFonts w:ascii="Times New Roman" w:hAnsi="Times New Roman" w:eastAsia="方正仿宋_GBK" w:cs="Times New Roman"/>
          <w:kern w:val="2"/>
          <w:sz w:val="32"/>
          <w:szCs w:val="32"/>
          <w:lang w:val="en-US" w:eastAsia="zh-CN" w:bidi="ar-SA"/>
        </w:rPr>
        <w:t>截至2022年12月31日，我单位固定资产净值14645523.10万元。</w:t>
      </w:r>
    </w:p>
    <w:p>
      <w:pPr>
        <w:pStyle w:val="12"/>
        <w:wordWrap/>
        <w:adjustRightInd/>
        <w:snapToGrid/>
        <w:spacing w:before="0" w:line="576" w:lineRule="exact"/>
        <w:ind w:left="0" w:right="0" w:firstLine="640" w:firstLineChars="200"/>
        <w:jc w:val="both"/>
        <w:textAlignment w:val="auto"/>
        <w:outlineLvl w:val="9"/>
        <w:rPr>
          <w:rFonts w:ascii="Times New Roman" w:hAnsi="Times New Roman" w:eastAsia="黑体" w:cs="Times New Roman"/>
          <w:sz w:val="32"/>
          <w:szCs w:val="32"/>
        </w:rPr>
      </w:pPr>
      <w:r>
        <w:rPr>
          <w:rFonts w:ascii="Times New Roman" w:hAnsi="Times New Roman" w:eastAsia="方正楷体_GBK" w:cs="Times New Roman"/>
          <w:b/>
          <w:kern w:val="2"/>
          <w:sz w:val="32"/>
          <w:szCs w:val="32"/>
          <w:shd w:val="clear" w:color="auto" w:fill="auto"/>
          <w:lang w:val="en-US" w:eastAsia="zh-CN" w:bidi="ar-SA"/>
        </w:rPr>
        <w:t>（四）绩效目标设置情况</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方正仿宋_GBK" w:cs="Times New Roman"/>
          <w:kern w:val="2"/>
          <w:sz w:val="32"/>
          <w:szCs w:val="32"/>
          <w:lang w:val="en-US" w:eastAsia="zh-CN" w:bidi="ar-SA"/>
        </w:rPr>
        <w:t>2023年中共阿坝州委办公室通用项目和专用项目均按要求实行绩效目标管理，涉及一般公共预算当年拨款2611.00万元。</w:t>
      </w:r>
    </w:p>
    <w:p>
      <w:pPr>
        <w:pStyle w:val="12"/>
        <w:wordWrap/>
        <w:adjustRightInd/>
        <w:snapToGrid/>
        <w:spacing w:before="0" w:line="576" w:lineRule="exact"/>
        <w:ind w:left="0" w:right="0" w:firstLine="640" w:firstLineChars="200"/>
        <w:jc w:val="both"/>
        <w:textAlignment w:val="auto"/>
        <w:outlineLvl w:val="9"/>
        <w:rPr>
          <w:rFonts w:ascii="仿宋_GB2312" w:eastAsia="仿宋_GB2312" w:cs="仿宋_GB2312"/>
          <w:sz w:val="32"/>
          <w:szCs w:val="32"/>
        </w:rPr>
      </w:pPr>
      <w:r>
        <w:rPr>
          <w:rFonts w:ascii="Times New Roman" w:hAnsi="Times New Roman" w:eastAsia="方正黑体_GBK" w:cs="Times New Roman"/>
          <w:kern w:val="2"/>
          <w:sz w:val="32"/>
          <w:szCs w:val="32"/>
          <w:shd w:val="clear" w:color="auto" w:fill="auto"/>
          <w:lang w:val="en-US" w:eastAsia="zh-CN" w:bidi="ar-SA"/>
        </w:rPr>
        <w:t xml:space="preserve">十、名称解释 </w:t>
      </w:r>
      <w:r>
        <w:rPr>
          <w:rFonts w:ascii="Times New Roman" w:hAnsi="Times New Roman" w:cs="Times New Roman"/>
          <w:sz w:val="32"/>
          <w:szCs w:val="32"/>
        </w:rPr>
        <w:br w:type="textWrapping"/>
      </w:r>
      <w:r>
        <w:rPr>
          <w:rFonts w:ascii="Times New Roman" w:hAnsi="Times New Roman" w:eastAsia="宋体" w:cs="Times New Roman"/>
          <w:sz w:val="16"/>
        </w:rPr>
        <w:t xml:space="preserve">　　   </w:t>
      </w:r>
      <w:r>
        <w:rPr>
          <w:rFonts w:ascii="Times New Roman" w:hAnsi="Times New Roman" w:eastAsia="方正楷体_GBK" w:cs="Times New Roman"/>
          <w:b/>
          <w:kern w:val="2"/>
          <w:sz w:val="32"/>
          <w:szCs w:val="32"/>
          <w:shd w:val="clear" w:color="auto" w:fill="auto"/>
          <w:lang w:val="en-US" w:eastAsia="zh-CN" w:bidi="ar-SA"/>
        </w:rPr>
        <w:t>（一）财政拨款收入：</w:t>
      </w:r>
      <w:r>
        <w:rPr>
          <w:rFonts w:ascii="Times New Roman" w:hAnsi="Times New Roman" w:eastAsia="方正仿宋_GBK" w:cs="Times New Roman"/>
          <w:kern w:val="2"/>
          <w:sz w:val="32"/>
          <w:szCs w:val="32"/>
          <w:lang w:val="en-US" w:eastAsia="zh-CN" w:bidi="ar-SA"/>
        </w:rPr>
        <w:t>指由财政拨款形成的部门收入。按现行管理制度，部门预算中反映的财政拨款仅包括一般公共预算拨款和政府性基金预算拨款。</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方正楷体_GBK" w:cs="Times New Roman"/>
          <w:b/>
          <w:kern w:val="2"/>
          <w:sz w:val="32"/>
          <w:szCs w:val="32"/>
          <w:shd w:val="clear" w:color="auto" w:fill="auto"/>
          <w:lang w:val="en-US" w:eastAsia="zh-CN" w:bidi="ar-SA"/>
        </w:rPr>
        <w:t>（二）事业收入：</w:t>
      </w:r>
      <w:r>
        <w:rPr>
          <w:rFonts w:ascii="Times New Roman" w:hAnsi="Times New Roman" w:eastAsia="方正仿宋_GBK" w:cs="Times New Roman"/>
          <w:kern w:val="2"/>
          <w:sz w:val="32"/>
          <w:szCs w:val="32"/>
          <w:lang w:val="en-US" w:eastAsia="zh-CN" w:bidi="ar-SA"/>
        </w:rPr>
        <w:t>指所属事业单位开展专业业务活动及辅助活动所取得的收入。</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方正楷体_GBK" w:cs="Times New Roman"/>
          <w:b/>
          <w:kern w:val="2"/>
          <w:sz w:val="32"/>
          <w:szCs w:val="32"/>
          <w:shd w:val="clear" w:color="auto" w:fill="auto"/>
          <w:lang w:val="en-US" w:eastAsia="zh-CN" w:bidi="ar-SA"/>
        </w:rPr>
        <w:t>（三）事业单位经营收入：</w:t>
      </w:r>
      <w:r>
        <w:rPr>
          <w:rFonts w:ascii="Times New Roman" w:hAnsi="Times New Roman" w:eastAsia="方正仿宋_GBK" w:cs="Times New Roman"/>
          <w:kern w:val="2"/>
          <w:sz w:val="32"/>
          <w:szCs w:val="32"/>
          <w:lang w:val="en-US" w:eastAsia="zh-CN" w:bidi="ar-SA"/>
        </w:rPr>
        <w:t>指所属事业单位在专业业务活动及其辅助活动之外开展非独立核算经营活动取得的收入。</w:t>
      </w:r>
      <w:r>
        <w:rPr>
          <w:rFonts w:ascii="Times New Roman" w:hAnsi="Times New Roman" w:eastAsia="方正仿宋_GBK" w:cs="Times New Roman"/>
          <w:kern w:val="2"/>
          <w:sz w:val="32"/>
          <w:szCs w:val="32"/>
          <w:lang w:val="en-US" w:eastAsia="zh-CN" w:bidi="ar-SA"/>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　</w:t>
      </w:r>
      <w:r>
        <w:rPr>
          <w:rFonts w:ascii="Times New Roman" w:hAnsi="Times New Roman" w:eastAsia="方正楷体_GBK" w:cs="Times New Roman"/>
          <w:b/>
          <w:kern w:val="2"/>
          <w:sz w:val="32"/>
          <w:szCs w:val="32"/>
          <w:shd w:val="clear" w:color="auto" w:fill="auto"/>
          <w:lang w:val="en-US" w:eastAsia="zh-CN" w:bidi="ar-SA"/>
        </w:rPr>
        <w:t>（四）其他收入：</w:t>
      </w:r>
      <w:r>
        <w:rPr>
          <w:rFonts w:ascii="Times New Roman" w:hAnsi="Times New Roman" w:eastAsia="方正仿宋_GBK" w:cs="Times New Roman"/>
          <w:kern w:val="2"/>
          <w:sz w:val="32"/>
          <w:szCs w:val="32"/>
          <w:lang w:val="en-US" w:eastAsia="zh-CN" w:bidi="ar-SA"/>
        </w:rPr>
        <w:t>指除上述“财政拨款收入”、“事业收入”、“事业单位经营收入”等以外的收入，主要是所属行政事业单位按规定动用的售房收入、存款利息收入等。</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　</w:t>
      </w:r>
      <w:r>
        <w:rPr>
          <w:rFonts w:ascii="Times New Roman" w:hAnsi="Times New Roman" w:eastAsia="方正楷体_GBK" w:cs="Times New Roman"/>
          <w:b/>
          <w:kern w:val="2"/>
          <w:sz w:val="32"/>
          <w:szCs w:val="32"/>
          <w:shd w:val="clear" w:color="auto" w:fill="auto"/>
          <w:lang w:val="en-US" w:eastAsia="zh-CN" w:bidi="ar-SA"/>
        </w:rPr>
        <w:t>（五）用事业基金弥补收支差额：</w:t>
      </w:r>
      <w:r>
        <w:rPr>
          <w:rFonts w:ascii="Times New Roman" w:hAnsi="Times New Roman" w:eastAsia="方正仿宋_GBK" w:cs="Times New Roman"/>
          <w:kern w:val="2"/>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　</w:t>
      </w:r>
      <w:r>
        <w:rPr>
          <w:rFonts w:ascii="Times New Roman" w:hAnsi="Times New Roman" w:eastAsia="方正楷体_GBK" w:cs="Times New Roman"/>
          <w:b/>
          <w:kern w:val="2"/>
          <w:sz w:val="32"/>
          <w:szCs w:val="32"/>
          <w:shd w:val="clear" w:color="auto" w:fill="auto"/>
          <w:lang w:val="en-US" w:eastAsia="zh-CN" w:bidi="ar-SA"/>
        </w:rPr>
        <w:t>（六）上年结转：</w:t>
      </w:r>
      <w:r>
        <w:rPr>
          <w:rFonts w:ascii="Times New Roman" w:hAnsi="Times New Roman" w:eastAsia="方正仿宋_GBK" w:cs="Times New Roman"/>
          <w:kern w:val="2"/>
          <w:sz w:val="32"/>
          <w:szCs w:val="32"/>
          <w:lang w:val="en-US" w:eastAsia="zh-CN" w:bidi="ar-SA"/>
        </w:rPr>
        <w:t>指所属行政事业单位以前年度尚未完成、结转至本年按原规定用途继续使用的资金和以前年度已完成项目剩余资金经批准用于新用途使用的资金。</w:t>
      </w: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YWQxMTVhMzA0ZmI5MzE0ZTQ4Njg5NWUwM2ZhMTJkY2QifQ=="/>
  </w:docVars>
  <w:rsids>
    <w:rsidRoot w:val="00000000"/>
    <w:rsid w:val="4BBB46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0">
    <w:name w:val="Default Paragraph Fon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uiPriority w:val="0"/>
    <w:pPr>
      <w:widowControl/>
      <w:autoSpaceDE w:val="0"/>
      <w:autoSpaceDN w:val="0"/>
      <w:adjustRightInd w:val="0"/>
      <w:snapToGrid w:val="0"/>
      <w:spacing w:line="588" w:lineRule="atLeast"/>
      <w:jc w:val="left"/>
    </w:pPr>
    <w:rPr>
      <w:rFonts w:ascii="宋体" w:hAnsi="宋体" w:eastAsia="仿宋_GB2312" w:cs="宋体"/>
      <w:spacing w:val="-2"/>
      <w:kern w:val="0"/>
      <w:sz w:val="32"/>
      <w:szCs w:val="32"/>
      <w:lang w:val="en-US" w:eastAsia="zh-CN" w:bidi="ar-SA"/>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val="0"/>
      <w:spacing w:before="100" w:beforeAutospacing="1" w:after="100" w:afterAutospacing="1" w:line="240" w:lineRule="auto"/>
      <w:ind w:left="0" w:right="0"/>
      <w:jc w:val="left"/>
    </w:pPr>
    <w:rPr>
      <w:rFonts w:ascii="宋体" w:eastAsia="宋体" w:cs="Times New Roman"/>
      <w:kern w:val="0"/>
      <w:sz w:val="24"/>
      <w:szCs w:val="21"/>
      <w:lang w:val="en-US" w:eastAsia="zh-CN" w:bidi="ar-SA"/>
    </w:rPr>
  </w:style>
  <w:style w:type="paragraph" w:customStyle="1" w:styleId="11">
    <w:name w:val="List Paragraph"/>
    <w:basedOn w:val="1"/>
    <w:uiPriority w:val="0"/>
    <w:pPr>
      <w:ind w:firstLine="200" w:firstLineChars="200"/>
    </w:pPr>
  </w:style>
  <w:style w:type="paragraph" w:customStyle="1" w:styleId="12">
    <w:name w:val="正文文本1"/>
    <w:basedOn w:val="1"/>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3637</Words>
  <Characters>4132</Characters>
  <Lines>213</Lines>
  <Paragraphs>68</Paragraphs>
  <TotalTime>1</TotalTime>
  <ScaleCrop>false</ScaleCrop>
  <LinksUpToDate>false</LinksUpToDate>
  <CharactersWithSpaces>4158</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Jayk</cp:lastModifiedBy>
  <cp:lastPrinted>2023-01-14T10:11:00Z</cp:lastPrinted>
  <dcterms:modified xsi:type="dcterms:W3CDTF">2023-02-07T03:43:04Z</dcterms:modified>
  <dc:title>中共阿坝州委办公室</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4100859565E2451E93EF50F5F0D3AB01</vt:lpwstr>
  </property>
</Properties>
</file>