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州专用通信中心</w:t>
      </w: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2023年部门预算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目录</w:t>
      </w:r>
    </w:p>
    <w:p>
      <w:pPr>
        <w:ind w:firstLine="3080" w:firstLineChars="700"/>
        <w:rPr>
          <w:rFonts w:ascii="黑体" w:eastAsia="黑体"/>
          <w:sz w:val="44"/>
          <w:szCs w:val="44"/>
        </w:rPr>
      </w:pPr>
    </w:p>
    <w:p>
      <w:pPr>
        <w:pStyle w:val="6"/>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一、基本职能及主要工作</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（一）部门职能简介</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（二）2023年重点工作</w:t>
      </w:r>
    </w:p>
    <w:p>
      <w:pPr>
        <w:pStyle w:val="6"/>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二、部门预算单位构成</w:t>
      </w:r>
    </w:p>
    <w:p>
      <w:pPr>
        <w:pStyle w:val="6"/>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三、收支预算情况说明</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（一）收入预算情况</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（二）支出预算情况</w:t>
      </w:r>
    </w:p>
    <w:p>
      <w:pPr>
        <w:pStyle w:val="6"/>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四、财政拨款收支预算情况说明</w:t>
      </w:r>
    </w:p>
    <w:p>
      <w:pPr>
        <w:pStyle w:val="6"/>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五、一般公共预算当年拨款情况说明</w:t>
      </w:r>
    </w:p>
    <w:p>
      <w:pPr>
        <w:rPr>
          <w:rFonts w:ascii="黑体" w:eastAsia="黑体"/>
          <w:sz w:val="32"/>
          <w:szCs w:val="32"/>
        </w:rPr>
      </w:pPr>
      <w:r>
        <w:rPr>
          <w:rFonts w:hint="eastAsia" w:ascii="方正楷体_GBK" w:eastAsia="方正楷体_GBK" w:cs="方正楷体_GBK"/>
          <w:b/>
          <w:sz w:val="32"/>
          <w:szCs w:val="32"/>
          <w:shd w:val="clear" w:color="auto" w:fill="auto"/>
        </w:rPr>
        <w:t>（一）一般公共预算当年拨款规模变化情况</w:t>
      </w:r>
      <w:r>
        <w:rPr>
          <w:rFonts w:hint="eastAsia" w:ascii="方正楷体_GBK" w:eastAsia="方正楷体_GBK" w:cs="方正楷体_GBK"/>
          <w:b/>
          <w:sz w:val="32"/>
          <w:szCs w:val="32"/>
          <w:shd w:val="clear" w:color="auto" w:fill="auto"/>
        </w:rPr>
        <w:br/>
      </w:r>
      <w:r>
        <w:rPr>
          <w:rFonts w:hint="eastAsia" w:ascii="方正楷体_GBK" w:eastAsia="方正楷体_GBK" w:cs="方正楷体_GBK"/>
          <w:b/>
          <w:sz w:val="32"/>
          <w:szCs w:val="32"/>
          <w:shd w:val="clear" w:color="auto" w:fill="auto"/>
        </w:rPr>
        <w:t>（二）一般公共预算当年拨款结构情况</w:t>
      </w:r>
      <w:r>
        <w:rPr>
          <w:rFonts w:hint="eastAsia" w:ascii="方正楷体_GBK" w:eastAsia="方正楷体_GBK" w:cs="方正楷体_GBK"/>
          <w:b/>
          <w:sz w:val="32"/>
          <w:szCs w:val="32"/>
          <w:shd w:val="clear" w:color="auto" w:fill="auto"/>
        </w:rPr>
        <w:br/>
      </w:r>
      <w:r>
        <w:rPr>
          <w:rFonts w:hint="eastAsia" w:ascii="方正楷体_GBK" w:eastAsia="方正楷体_GBK" w:cs="方正楷体_GBK"/>
          <w:b/>
          <w:sz w:val="32"/>
          <w:szCs w:val="32"/>
          <w:shd w:val="clear" w:color="auto" w:fill="auto"/>
        </w:rPr>
        <w:t>（三）一般公共预算当年拨款具体使用情况</w:t>
      </w:r>
      <w:r>
        <w:rPr>
          <w:rFonts w:ascii="??" w:hAnsi="??" w:cs="宋体"/>
          <w:kern w:val="0"/>
          <w:sz w:val="16"/>
          <w:szCs w:val="16"/>
        </w:rPr>
        <w:br/>
      </w:r>
      <w:r>
        <w:rPr>
          <w:rFonts w:hint="eastAsia" w:ascii="方正黑体_GBK" w:eastAsia="方正黑体_GBK" w:cs="方正黑体_GBK"/>
          <w:kern w:val="2"/>
          <w:sz w:val="32"/>
          <w:szCs w:val="32"/>
          <w:shd w:val="clear" w:color="auto" w:fill="auto"/>
          <w:lang w:val="en-US" w:eastAsia="zh-CN" w:bidi="ar-SA"/>
        </w:rPr>
        <w:t>六、一般公共预算基本支出情况说明</w:t>
      </w:r>
      <w:r>
        <w:rPr>
          <w:rFonts w:hint="eastAsia" w:ascii="方正黑体_GBK" w:eastAsia="方正黑体_GBK" w:cs="方正黑体_GBK"/>
          <w:kern w:val="2"/>
          <w:sz w:val="32"/>
          <w:szCs w:val="32"/>
          <w:shd w:val="clear" w:color="auto" w:fill="auto"/>
          <w:lang w:val="en-US" w:eastAsia="zh-CN" w:bidi="ar-SA"/>
        </w:rPr>
        <w:br/>
      </w:r>
      <w:r>
        <w:rPr>
          <w:rFonts w:hint="eastAsia" w:ascii="方正黑体_GBK" w:eastAsia="方正黑体_GBK" w:cs="方正黑体_GBK"/>
          <w:kern w:val="2"/>
          <w:sz w:val="32"/>
          <w:szCs w:val="32"/>
          <w:shd w:val="clear" w:color="auto" w:fill="auto"/>
          <w:lang w:val="en-US" w:eastAsia="zh-CN" w:bidi="ar-SA"/>
        </w:rPr>
        <w:t>七、“三公”经费财政拨款预算安排情况说明</w:t>
      </w:r>
      <w:r>
        <w:rPr>
          <w:rFonts w:hint="eastAsia" w:ascii="方正黑体_GBK" w:eastAsia="方正黑体_GBK" w:cs="方正黑体_GBK"/>
          <w:kern w:val="2"/>
          <w:sz w:val="32"/>
          <w:szCs w:val="32"/>
          <w:shd w:val="clear" w:color="auto" w:fill="auto"/>
          <w:lang w:val="en-US" w:eastAsia="zh-CN" w:bidi="ar-SA"/>
        </w:rPr>
        <w:br/>
      </w:r>
      <w:r>
        <w:rPr>
          <w:rFonts w:hint="eastAsia" w:ascii="方正黑体_GBK" w:eastAsia="方正黑体_GBK" w:cs="方正黑体_GBK"/>
          <w:kern w:val="2"/>
          <w:sz w:val="32"/>
          <w:szCs w:val="32"/>
          <w:shd w:val="clear" w:color="auto" w:fill="auto"/>
          <w:lang w:val="en-US" w:eastAsia="zh-CN" w:bidi="ar-SA"/>
        </w:rPr>
        <w:t>八、政府性基金预算支出情况说明</w:t>
      </w:r>
      <w:r>
        <w:rPr>
          <w:rFonts w:hint="eastAsia" w:ascii="方正黑体_GBK" w:eastAsia="方正黑体_GBK" w:cs="方正黑体_GBK"/>
          <w:kern w:val="2"/>
          <w:sz w:val="32"/>
          <w:szCs w:val="32"/>
          <w:shd w:val="clear" w:color="auto" w:fill="auto"/>
          <w:lang w:val="en-US" w:eastAsia="zh-CN" w:bidi="ar-SA"/>
        </w:rPr>
        <w:br/>
      </w:r>
      <w:r>
        <w:rPr>
          <w:rFonts w:hint="eastAsia" w:ascii="方正黑体_GBK" w:eastAsia="方正黑体_GBK" w:cs="方正黑体_GBK"/>
          <w:kern w:val="2"/>
          <w:sz w:val="32"/>
          <w:szCs w:val="32"/>
          <w:shd w:val="clear" w:color="auto" w:fill="auto"/>
          <w:lang w:val="en-US" w:eastAsia="zh-CN" w:bidi="ar-SA"/>
        </w:rPr>
        <w:t>九、其他重要事项的情况说明</w:t>
      </w:r>
      <w:r>
        <w:rPr>
          <w:rFonts w:hint="eastAsia" w:ascii="方正黑体_GBK" w:eastAsia="方正黑体_GBK" w:cs="方正黑体_GBK"/>
          <w:kern w:val="2"/>
          <w:sz w:val="32"/>
          <w:szCs w:val="32"/>
          <w:shd w:val="clear" w:color="auto" w:fill="auto"/>
          <w:lang w:val="en-US" w:eastAsia="zh-CN" w:bidi="ar-SA"/>
        </w:rPr>
        <w:br/>
      </w:r>
      <w:r>
        <w:rPr>
          <w:rFonts w:hint="eastAsia" w:ascii="方正黑体_GBK" w:eastAsia="方正黑体_GBK" w:cs="方正黑体_GBK"/>
          <w:kern w:val="2"/>
          <w:sz w:val="32"/>
          <w:szCs w:val="32"/>
          <w:shd w:val="clear" w:color="auto" w:fill="auto"/>
          <w:lang w:val="en-US" w:eastAsia="zh-CN" w:bidi="ar-SA"/>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一、基本职能及主要工作</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（一）部门职能简介</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负责州级专用通信网络的建设、运行维护、服务保障、密码设备管理等工作。</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（二）2023年重点工作</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2023年，</w:t>
      </w:r>
      <w:r>
        <w:rPr>
          <w:rFonts w:ascii="Times New Roman" w:hAnsi="Times New Roman" w:eastAsia="方正仿宋_GBK" w:cs="Times New Roman"/>
          <w:sz w:val="32"/>
          <w:szCs w:val="32"/>
          <w:lang w:val="en-US" w:eastAsia="zh-CN"/>
        </w:rPr>
        <w:t>完成专用通信服务及各类会议保障</w:t>
      </w:r>
      <w:r>
        <w:rPr>
          <w:rFonts w:ascii="Times New Roman" w:hAnsi="Times New Roman" w:eastAsia="方正仿宋_GBK" w:cs="Times New Roman"/>
          <w:sz w:val="32"/>
          <w:szCs w:val="32"/>
        </w:rPr>
        <w:t>。</w:t>
      </w:r>
      <w:bookmarkStart w:id="0" w:name="_GoBack"/>
      <w:bookmarkEnd w:id="0"/>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二、部门预算单位构成</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州专用通信中心属中共阿坝州委办公室下属二级预算单位，下属预算单位0个</w:t>
      </w:r>
      <w:r>
        <w:rPr>
          <w:rFonts w:ascii="Times New Roman" w:hAnsi="Times New Roman" w:eastAsia="方正仿宋_GBK" w:cs="Times New Roman"/>
          <w:sz w:val="32"/>
          <w:szCs w:val="32"/>
          <w:lang w:val="en-US" w:eastAsia="zh-CN"/>
        </w:rPr>
        <w:t>；预算资金包含州涉密文档专管中心2023年度预算。</w:t>
      </w: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三、收支预算情况说明</w:t>
      </w:r>
    </w:p>
    <w:p>
      <w:pPr>
        <w:spacing w:line="576" w:lineRule="exact"/>
        <w:ind w:firstLine="640" w:firstLineChars="200"/>
        <w:rPr>
          <w:rFonts w:ascii="Times New Roman" w:hAnsi="Times New Roman" w:eastAsia="楷体" w:cs="Times New Roman"/>
          <w:sz w:val="32"/>
          <w:szCs w:val="32"/>
        </w:rPr>
      </w:pPr>
      <w:r>
        <w:rPr>
          <w:rFonts w:ascii="Times New Roman" w:hAnsi="Times New Roman" w:eastAsia="方正仿宋_GBK" w:cs="Times New Roman"/>
          <w:sz w:val="32"/>
          <w:szCs w:val="32"/>
        </w:rPr>
        <w:t>按照综合预算的原则，州专用通信中心所有收入和支出均纳入部门预算管理。</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（一）收入预算情况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州专用通信中心2023年收入预算455.98万元，其中：一般公共预算拨款收入455.98万元，占100%；无其他收入。</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（二）支出预算情况</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州专用通信中心2023年支出预算455.98万元，其中：基本支出211.98万元，占46.49%；项目支出244万元，占53.51%。</w:t>
      </w: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四、财政拨款收支预算情况说明</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州专用通信中心2023年财政拨款收支总预算455.98万元,比2022年财政拨款收支总预算减少14.79万元，主要原因:2023年强化预算约束，严控项目经费支出。</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收入包括：本年一般公共预算拨款收入455.98万元。</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支出包括：一般公共服务支出395.53万元，社会保障和就业支出30.10万元，医疗卫生与计划生育支出12.83万元，住房保障支出17.52万元。</w:t>
      </w: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五、一般公共预算当年拨款情况说明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（一）一般公共预算当年拨款规模变化情况</w:t>
      </w:r>
    </w:p>
    <w:p>
      <w:pPr>
        <w:pStyle w:val="11"/>
        <w:spacing w:before="0" w:line="576" w:lineRule="exact"/>
        <w:ind w:firstLine="660"/>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州专用通信中心2023年一般公共预算当年拨款455.98万元，比2022年预算数减少14.79万元，主要原因:2023年强化预算约束，严控项目经费支出。</w:t>
      </w:r>
      <w:r>
        <w:rPr>
          <w:rFonts w:ascii="Times New Roman" w:hAnsi="Times New Roman" w:eastAsia="方正仿宋_GBK" w:cs="Times New Roman"/>
          <w:sz w:val="32"/>
          <w:szCs w:val="32"/>
        </w:rPr>
        <w:t>　</w:t>
      </w:r>
      <w:r>
        <w:rPr>
          <w:rFonts w:ascii="Times New Roman" w:hAnsi="Times New Roman" w:cs="Times New Roman"/>
          <w:kern w:val="2"/>
          <w:sz w:val="32"/>
          <w:szCs w:val="32"/>
        </w:rPr>
        <w:t>　</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（二）一般公共预算当年拨款结构情况</w:t>
      </w:r>
    </w:p>
    <w:p>
      <w:pPr>
        <w:pStyle w:val="11"/>
        <w:spacing w:before="0" w:line="576" w:lineRule="exact"/>
        <w:ind w:firstLine="660"/>
        <w:rPr>
          <w:rFonts w:ascii="Times New Roman" w:hAnsi="Times New Roman" w:eastAsia="方正仿宋_GBK" w:cs="Times New Roman"/>
          <w:sz w:val="32"/>
          <w:szCs w:val="32"/>
        </w:rPr>
      </w:pPr>
      <w:r>
        <w:rPr>
          <w:rFonts w:ascii="Times New Roman" w:hAnsi="Times New Roman" w:eastAsia="方正仿宋_GBK" w:cs="Times New Roman"/>
          <w:kern w:val="2"/>
          <w:sz w:val="32"/>
          <w:szCs w:val="32"/>
          <w:lang w:val="en-US" w:eastAsia="zh-CN" w:bidi="ar-SA"/>
        </w:rPr>
        <w:t>一般公共服务支出395.53万元，占86.74%；社会保障和就业支出30.10，占6.60%；医疗卫生与计划生育支出12.83万元，占2.81%；住房保障支出17.52万元，占3.85%。</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（三）一般公共预算当年拨款具体使用情况</w:t>
      </w:r>
    </w:p>
    <w:p>
      <w:pPr>
        <w:spacing w:line="576"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1．一般公共服务支出</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专项业务，2023年预算数为244元，主要用于：商品和服务支出244万元。</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事业运行，2023年预算数为151.54万元，主要用于：工资福利支出125万元，商品和服务支出26.54万元。</w:t>
      </w:r>
    </w:p>
    <w:p>
      <w:pPr>
        <w:spacing w:line="576"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2.社会保障和就业支出</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2023年机关事业单位基本养老保险缴费支出预算数为20.06万元，主要用于缴纳干部职工2023年基本养老保险。</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2023年机关事业单位职业年金缴费支出预算数为10.03万元，主要用于缴纳干部职工2023年职业年金。</w:t>
      </w:r>
    </w:p>
    <w:p>
      <w:pPr>
        <w:spacing w:line="576"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3.卫生健康支出</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事业单位医疗，2023年预算数为10.45万元，主要用于缴纳事业人员</w:t>
      </w:r>
      <w:r>
        <w:rPr>
          <w:rFonts w:hint="eastAsia" w:ascii="Times New Roman" w:hAnsi="Times New Roman" w:eastAsia="方正仿宋_GBK" w:cs="Times New Roman"/>
          <w:sz w:val="32"/>
          <w:szCs w:val="32"/>
          <w:lang w:val="en-US" w:eastAsia="zh-CN"/>
        </w:rPr>
        <w:t>2023年度</w:t>
      </w:r>
      <w:r>
        <w:rPr>
          <w:rFonts w:ascii="Times New Roman" w:hAnsi="Times New Roman" w:eastAsia="方正仿宋_GBK" w:cs="Times New Roman"/>
          <w:sz w:val="32"/>
          <w:szCs w:val="32"/>
        </w:rPr>
        <w:t>基本医疗保险。</w:t>
      </w:r>
    </w:p>
    <w:p>
      <w:pPr>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其他行政事业单位医疗支出，202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年预算数为2.38万元，主要用于缴纳事业人员</w:t>
      </w:r>
      <w:r>
        <w:rPr>
          <w:rFonts w:hint="eastAsia" w:ascii="Times New Roman" w:hAnsi="Times New Roman" w:eastAsia="方正仿宋_GBK" w:cs="Times New Roman"/>
          <w:sz w:val="32"/>
          <w:szCs w:val="32"/>
          <w:lang w:val="en-US" w:eastAsia="zh-CN"/>
        </w:rPr>
        <w:t>2023年度</w:t>
      </w:r>
      <w:r>
        <w:rPr>
          <w:rFonts w:ascii="Times New Roman" w:hAnsi="Times New Roman" w:eastAsia="方正仿宋_GBK" w:cs="Times New Roman"/>
          <w:sz w:val="32"/>
          <w:szCs w:val="32"/>
        </w:rPr>
        <w:t>医疗补助。</w:t>
      </w:r>
    </w:p>
    <w:p>
      <w:pPr>
        <w:spacing w:line="576"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4.住房保障支出</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3</w:t>
      </w:r>
      <w:r>
        <w:rPr>
          <w:rFonts w:ascii="Times New Roman" w:hAnsi="Times New Roman" w:eastAsia="方正仿宋_GBK" w:cs="Times New Roman"/>
          <w:kern w:val="2"/>
          <w:sz w:val="32"/>
          <w:szCs w:val="32"/>
          <w:lang w:val="en-US" w:eastAsia="zh-CN" w:bidi="ar-SA"/>
        </w:rPr>
        <w:t>年住房公积金预算数为17.52万元，主要用于缴纳干部职工2023年住房公积金。</w:t>
      </w: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六、一般公共预算基本支出情况说明</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州专用通信中心2023年一般公共预算基本支出211.98万元，其中：人员经费185.46万元，主要包括：基本工资41.44万元、津贴补贴17.99万元、其他社会保障缴费5.04万元、绩效工资62.93万元、机关事业单位基本养老保险缴费20.06万元、职业年金缴费10.03万元、职工基本医疗保险缴费10.45万元、住房公积金17.52万元。</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黑体" w:cs="Times New Roman"/>
          <w:sz w:val="32"/>
          <w:szCs w:val="32"/>
        </w:rPr>
      </w:pPr>
      <w:r>
        <w:rPr>
          <w:rFonts w:ascii="Times New Roman" w:hAnsi="Times New Roman" w:eastAsia="方正仿宋_GBK" w:cs="Times New Roman"/>
          <w:kern w:val="2"/>
          <w:sz w:val="32"/>
          <w:szCs w:val="32"/>
          <w:lang w:val="en-US" w:eastAsia="zh-CN" w:bidi="ar-SA"/>
        </w:rPr>
        <w:t>公用经费26.52万元，主要包括：办公费1.19万元、水费0.36万元、邮电费2.43万元、取暖费0.48万元、差旅费10.53万元、培训费1.97万元、公务接待费0.41万元、福利费2.65万元、其他商品和服务支出6.5万元。</w:t>
      </w:r>
      <w:r>
        <w:rPr>
          <w:rFonts w:ascii="Times New Roman" w:hAnsi="Times New Roman" w:cs="Times New Roman"/>
          <w:kern w:val="2"/>
          <w:sz w:val="32"/>
          <w:szCs w:val="32"/>
        </w:rPr>
        <w:br/>
      </w:r>
      <w:r>
        <w:rPr>
          <w:rFonts w:ascii="Times New Roman" w:hAnsi="Times New Roman" w:eastAsia="黑体" w:cs="Times New Roman"/>
          <w:sz w:val="32"/>
          <w:szCs w:val="32"/>
        </w:rPr>
        <w:t xml:space="preserve"> </w:t>
      </w:r>
      <w:r>
        <w:rPr>
          <w:rFonts w:ascii="Times New Roman" w:hAnsi="Times New Roman" w:eastAsia="黑体" w:cs="Times New Roman"/>
          <w:kern w:val="2"/>
          <w:sz w:val="32"/>
          <w:szCs w:val="32"/>
          <w:shd w:val="clear" w:color="auto" w:fill="auto"/>
        </w:rPr>
        <w:t xml:space="preserve">   </w:t>
      </w:r>
      <w:r>
        <w:rPr>
          <w:rFonts w:ascii="Times New Roman" w:hAnsi="Times New Roman" w:eastAsia="方正黑体_GBK" w:cs="Times New Roman"/>
          <w:kern w:val="2"/>
          <w:sz w:val="32"/>
          <w:szCs w:val="32"/>
          <w:shd w:val="clear" w:color="auto" w:fill="auto"/>
          <w:lang w:val="en-US" w:eastAsia="zh-CN" w:bidi="ar-SA"/>
        </w:rPr>
        <w:t>七、“三公”经费财政拨款预算安排情况说明</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州专用通信中心2023年“三公”经费财政拨款预算数0.41万元，其中：因公出国（境）经费0万元，公务接待费0.41万元，公务用车购置及运行维护费0万元。</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（一）2023年因公出国（境）经费0万元。</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（二）2023年公务接待经费0.41万元。较2022年预算经费增加0.02万元，增长5.13%。</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cs="Times New Roman"/>
          <w:color w:val="000000"/>
          <w:kern w:val="2"/>
          <w:sz w:val="32"/>
          <w:szCs w:val="32"/>
        </w:rPr>
      </w:pPr>
      <w:r>
        <w:rPr>
          <w:rFonts w:ascii="Times New Roman" w:hAnsi="Times New Roman" w:eastAsia="方正仿宋_GBK" w:cs="Times New Roman"/>
          <w:kern w:val="2"/>
          <w:sz w:val="32"/>
          <w:szCs w:val="32"/>
          <w:lang w:val="en-US" w:eastAsia="zh-CN" w:bidi="ar-SA"/>
        </w:rPr>
        <w:t>（三）2023年公务用车购置及运行维护费0万元。较2022年预算经费持平。</w:t>
      </w: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八、政府性基金预算支出情况说明</w:t>
      </w:r>
    </w:p>
    <w:p>
      <w:pPr>
        <w:pStyle w:val="11"/>
        <w:spacing w:before="0" w:line="576" w:lineRule="exact"/>
        <w:ind w:firstLine="660"/>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州专用通信中心2023年政府性基金预算拨款安排的支出0万元。较2022年预算经费持平。</w:t>
      </w:r>
    </w:p>
    <w:p>
      <w:pPr>
        <w:pStyle w:val="6"/>
        <w:widowControl w:val="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九、其他重要事项的情况说明</w:t>
      </w:r>
    </w:p>
    <w:p>
      <w:pPr>
        <w:pStyle w:val="11"/>
        <w:spacing w:before="0" w:line="576" w:lineRule="exact"/>
        <w:ind w:firstLine="640" w:firstLineChars="200"/>
        <w:rPr>
          <w:rFonts w:ascii="Times New Roman" w:hAnsi="Times New Roman" w:cs="Times New Roman"/>
          <w:color w:val="FF0000"/>
          <w:kern w:val="2"/>
          <w:sz w:val="32"/>
          <w:szCs w:val="32"/>
        </w:rPr>
      </w:pPr>
      <w:r>
        <w:rPr>
          <w:rFonts w:ascii="Times New Roman" w:hAnsi="Times New Roman" w:eastAsia="方正楷体_GBK" w:cs="Times New Roman"/>
          <w:b/>
          <w:kern w:val="2"/>
          <w:sz w:val="32"/>
          <w:szCs w:val="32"/>
          <w:shd w:val="clear" w:color="auto" w:fill="auto"/>
          <w:lang w:val="en-US" w:eastAsia="zh-CN" w:bidi="ar-SA"/>
        </w:rPr>
        <w:t>（一）机关运行经费</w:t>
      </w:r>
      <w:r>
        <w:rPr>
          <w:rFonts w:ascii="Times New Roman" w:hAnsi="Times New Roman" w:cs="Times New Roman"/>
          <w:kern w:val="2"/>
          <w:sz w:val="32"/>
          <w:szCs w:val="32"/>
        </w:rPr>
        <w:br/>
      </w:r>
      <w:r>
        <w:rPr>
          <w:rFonts w:ascii="Times New Roman" w:hAnsi="Times New Roman" w:cs="Times New Roman"/>
          <w:kern w:val="2"/>
          <w:sz w:val="32"/>
          <w:szCs w:val="32"/>
        </w:rPr>
        <w:t>　</w: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2"/>
          <w:sz w:val="32"/>
          <w:szCs w:val="32"/>
          <w:lang w:val="en-US" w:eastAsia="zh-CN" w:bidi="ar-SA"/>
        </w:rPr>
        <w:t>州专用通信中心2023年机关运行经费财政拨款预算为26.52万元，比2022年预算增加2.55万元，增加10.64%。</w:t>
      </w:r>
    </w:p>
    <w:p>
      <w:pPr>
        <w:pStyle w:val="11"/>
        <w:spacing w:before="0" w:line="576"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楷体_GBK" w:cs="Times New Roman"/>
          <w:b/>
          <w:kern w:val="2"/>
          <w:sz w:val="32"/>
          <w:szCs w:val="32"/>
          <w:shd w:val="clear" w:color="auto" w:fill="auto"/>
          <w:lang w:val="en-US" w:eastAsia="zh-CN" w:bidi="ar-SA"/>
        </w:rPr>
        <w:t>（二）政府采购情况</w:t>
      </w:r>
      <w:r>
        <w:rPr>
          <w:rFonts w:ascii="Times New Roman" w:hAnsi="Times New Roman" w:cs="Times New Roman"/>
          <w:kern w:val="2"/>
          <w:sz w:val="32"/>
          <w:szCs w:val="32"/>
        </w:rPr>
        <w:br/>
      </w:r>
      <w:r>
        <w:rPr>
          <w:rFonts w:ascii="Times New Roman" w:hAnsi="Times New Roman" w:cs="Times New Roman"/>
          <w:kern w:val="2"/>
          <w:sz w:val="32"/>
          <w:szCs w:val="32"/>
        </w:rPr>
        <w:t>　</w:t>
      </w:r>
      <w:r>
        <w:rPr>
          <w:rFonts w:ascii="Times New Roman" w:hAnsi="Times New Roman" w:eastAsia="方正仿宋_GBK" w:cs="Times New Roman"/>
          <w:sz w:val="32"/>
          <w:szCs w:val="32"/>
        </w:rPr>
        <w:t>　</w:t>
      </w:r>
      <w:r>
        <w:rPr>
          <w:rFonts w:ascii="Times New Roman" w:hAnsi="Times New Roman" w:eastAsia="方正仿宋_GBK" w:cs="Times New Roman"/>
          <w:kern w:val="2"/>
          <w:sz w:val="32"/>
          <w:szCs w:val="32"/>
          <w:lang w:val="en-US" w:eastAsia="zh-CN" w:bidi="ar-SA"/>
        </w:rPr>
        <w:t>2023年州专用通信中心安排政府采购预算0万元。</w:t>
      </w:r>
    </w:p>
    <w:p>
      <w:pPr>
        <w:pStyle w:val="11"/>
        <w:spacing w:before="0" w:line="576" w:lineRule="exact"/>
        <w:ind w:firstLine="640" w:firstLineChars="200"/>
        <w:rPr>
          <w:rFonts w:ascii="Times New Roman" w:hAnsi="Times New Roman" w:eastAsia="方正楷体_GBK" w:cs="Times New Roman"/>
          <w:b/>
          <w:kern w:val="2"/>
          <w:sz w:val="32"/>
          <w:szCs w:val="32"/>
          <w:shd w:val="clear" w:color="auto" w:fill="auto"/>
          <w:lang w:val="en-US" w:eastAsia="zh-CN" w:bidi="ar-SA"/>
        </w:rPr>
      </w:pPr>
      <w:r>
        <w:rPr>
          <w:rFonts w:ascii="Times New Roman" w:hAnsi="Times New Roman" w:eastAsia="方正楷体_GBK" w:cs="Times New Roman"/>
          <w:b/>
          <w:kern w:val="2"/>
          <w:sz w:val="32"/>
          <w:szCs w:val="32"/>
          <w:shd w:val="clear" w:color="auto" w:fill="auto"/>
          <w:lang w:val="en-US" w:eastAsia="zh-CN" w:bidi="ar-SA"/>
        </w:rPr>
        <w:t>（三）国有资产占有使用情况</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截至2022年12月31日，我单位固定资产0万元。</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方正楷体_GBK" w:cs="Times New Roman"/>
          <w:b/>
          <w:kern w:val="2"/>
          <w:sz w:val="32"/>
          <w:szCs w:val="32"/>
          <w:shd w:val="clear" w:color="auto" w:fill="auto"/>
          <w:lang w:val="en-US" w:eastAsia="zh-CN" w:bidi="ar-SA"/>
        </w:rPr>
      </w:pPr>
      <w:r>
        <w:rPr>
          <w:rFonts w:ascii="Times New Roman" w:hAnsi="Times New Roman" w:eastAsia="方正楷体_GBK" w:cs="Times New Roman"/>
          <w:b/>
          <w:kern w:val="2"/>
          <w:sz w:val="32"/>
          <w:szCs w:val="32"/>
          <w:shd w:val="clear" w:color="auto" w:fill="auto"/>
          <w:lang w:val="en-US" w:eastAsia="zh-CN" w:bidi="ar-SA"/>
        </w:rPr>
        <w:t>（四）绩效目标设置情况</w:t>
      </w:r>
    </w:p>
    <w:p>
      <w:pPr>
        <w:pStyle w:val="11"/>
        <w:widowControl w:val="0"/>
        <w:wordWrap/>
        <w:adjustRightInd/>
        <w:snapToGrid/>
        <w:spacing w:before="0" w:line="576" w:lineRule="exact"/>
        <w:ind w:left="0" w:right="0" w:firstLine="640" w:firstLineChars="200"/>
        <w:jc w:val="both"/>
        <w:textAlignment w:val="auto"/>
        <w:outlineLvl w:val="9"/>
        <w:rPr>
          <w:rFonts w:ascii="Times New Roman" w:hAnsi="Times New Roman" w:eastAsia="黑体" w:cs="Times New Roman"/>
          <w:sz w:val="32"/>
          <w:szCs w:val="32"/>
        </w:rPr>
      </w:pPr>
      <w:r>
        <w:rPr>
          <w:rFonts w:ascii="Times New Roman" w:hAnsi="Times New Roman" w:eastAsia="方正仿宋_GBK" w:cs="Times New Roman"/>
          <w:kern w:val="2"/>
          <w:sz w:val="32"/>
          <w:szCs w:val="32"/>
          <w:lang w:val="en-US" w:eastAsia="zh-CN" w:bidi="ar-SA"/>
        </w:rPr>
        <w:t>2023年州专用通信中心通用项目和专用项目均按要求实行绩效目标管理，涉及一般公共预算当年拨款455.98万元。</w:t>
      </w:r>
    </w:p>
    <w:p>
      <w:pPr>
        <w:pStyle w:val="11"/>
        <w:spacing w:before="0" w:line="576" w:lineRule="exact"/>
        <w:ind w:firstLine="640" w:firstLineChars="200"/>
        <w:rPr>
          <w:rFonts w:cs="仿宋_GB2312"/>
          <w:kern w:val="2"/>
          <w:sz w:val="32"/>
          <w:szCs w:val="32"/>
        </w:rPr>
      </w:pPr>
      <w:r>
        <w:rPr>
          <w:rFonts w:ascii="Times New Roman" w:hAnsi="Times New Roman" w:eastAsia="方正黑体_GBK" w:cs="Times New Roman"/>
          <w:kern w:val="2"/>
          <w:sz w:val="32"/>
          <w:szCs w:val="32"/>
          <w:shd w:val="clear" w:color="auto" w:fill="auto"/>
          <w:lang w:val="en-US" w:eastAsia="zh-CN" w:bidi="ar-SA"/>
        </w:rPr>
        <w:t xml:space="preserve">十、名称解释 </w:t>
      </w:r>
      <w:r>
        <w:rPr>
          <w:rFonts w:ascii="Times New Roman" w:hAnsi="Times New Roman" w:cs="Times New Roman"/>
          <w:sz w:val="32"/>
          <w:szCs w:val="32"/>
        </w:rPr>
        <w:br/>
      </w:r>
      <w:r>
        <w:rPr>
          <w:rFonts w:ascii="Times New Roman" w:hAnsi="Times New Roman" w:eastAsia="宋体" w:cs="Times New Roman"/>
          <w:sz w:val="16"/>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2"/>
          <w:sz w:val="32"/>
          <w:szCs w:val="32"/>
          <w:lang w:val="en-US" w:eastAsia="zh-CN" w:bidi="ar-SA"/>
        </w:rPr>
        <w:t>（一）财政拨款收入：指由财政拨款形成的部门收入。按现行管理制度，部门预算中反映的财政拨款仅包括一般公共预算拨款和政府性基金预算拨款。</w:t>
      </w:r>
      <w:r>
        <w:rPr>
          <w:rFonts w:ascii="Times New Roman" w:hAnsi="Times New Roman" w:eastAsia="方正仿宋_GBK" w:cs="Times New Roman"/>
          <w:kern w:val="2"/>
          <w:sz w:val="32"/>
          <w:szCs w:val="32"/>
          <w:lang w:val="en-US" w:eastAsia="zh-CN" w:bidi="ar-SA"/>
        </w:rPr>
        <w:br/>
      </w:r>
      <w:r>
        <w:rPr>
          <w:rFonts w:ascii="Times New Roman" w:hAnsi="Times New Roman" w:eastAsia="方正仿宋_GBK" w:cs="Times New Roman"/>
          <w:kern w:val="2"/>
          <w:sz w:val="32"/>
          <w:szCs w:val="32"/>
          <w:lang w:val="en-US" w:eastAsia="zh-CN" w:bidi="ar-SA"/>
        </w:rPr>
        <w:t>　　（二）事业收入：指所属事业单位开展专业业务活动及辅助活动所取得的收入。</w:t>
      </w:r>
      <w:r>
        <w:rPr>
          <w:rFonts w:ascii="Times New Roman" w:hAnsi="Times New Roman" w:eastAsia="方正仿宋_GBK" w:cs="Times New Roman"/>
          <w:kern w:val="2"/>
          <w:sz w:val="32"/>
          <w:szCs w:val="32"/>
          <w:lang w:val="en-US" w:eastAsia="zh-CN" w:bidi="ar-SA"/>
        </w:rPr>
        <w:br/>
      </w:r>
      <w:r>
        <w:rPr>
          <w:rFonts w:ascii="Times New Roman" w:hAnsi="Times New Roman" w:eastAsia="方正仿宋_GBK" w:cs="Times New Roman"/>
          <w:kern w:val="2"/>
          <w:sz w:val="32"/>
          <w:szCs w:val="32"/>
          <w:lang w:val="en-US" w:eastAsia="zh-CN" w:bidi="ar-SA"/>
        </w:rPr>
        <w:t>　　（三）事业单位经营收入：指所属事业单位在专业业务活动及其辅助活动之外开展非独立核算经营活动取得的收入。</w:t>
      </w:r>
      <w:r>
        <w:rPr>
          <w:rFonts w:ascii="Times New Roman" w:hAnsi="Times New Roman" w:eastAsia="方正仿宋_GBK" w:cs="Times New Roman"/>
          <w:kern w:val="2"/>
          <w:sz w:val="32"/>
          <w:szCs w:val="32"/>
          <w:lang w:val="en-US" w:eastAsia="zh-CN" w:bidi="ar-SA"/>
        </w:rPr>
        <w:br/>
      </w:r>
      <w:r>
        <w:rPr>
          <w:rFonts w:ascii="Times New Roman" w:hAnsi="Times New Roman" w:eastAsia="方正仿宋_GBK" w:cs="Times New Roman"/>
          <w:kern w:val="2"/>
          <w:sz w:val="32"/>
          <w:szCs w:val="32"/>
          <w:lang w:val="en-US" w:eastAsia="zh-CN" w:bidi="ar-SA"/>
        </w:rPr>
        <w:t>　　（四）其他收入：指除上述“财政拨款收入”、“事业收入”、“事业单位经营收入”等以外的收入，主要是所属行政事业单位按规定动用的售房收入、存款利息收入等。</w:t>
      </w:r>
      <w:r>
        <w:rPr>
          <w:rFonts w:ascii="Times New Roman" w:hAnsi="Times New Roman" w:eastAsia="方正仿宋_GBK" w:cs="Times New Roman"/>
          <w:kern w:val="2"/>
          <w:sz w:val="32"/>
          <w:szCs w:val="32"/>
          <w:lang w:val="en-US" w:eastAsia="zh-CN" w:bidi="ar-SA"/>
        </w:rPr>
        <w:br/>
      </w:r>
      <w:r>
        <w:rPr>
          <w:rFonts w:ascii="Times New Roman" w:hAnsi="Times New Roman" w:eastAsia="方正仿宋_GBK" w:cs="Times New Roman"/>
          <w:kern w:val="2"/>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eastAsia="方正仿宋_GBK" w:cs="Times New Roman"/>
          <w:kern w:val="2"/>
          <w:sz w:val="32"/>
          <w:szCs w:val="32"/>
          <w:lang w:val="en-US" w:eastAsia="zh-CN" w:bidi="ar-SA"/>
        </w:rPr>
        <w:br/>
      </w:r>
      <w:r>
        <w:rPr>
          <w:rFonts w:ascii="Times New Roman" w:hAnsi="Times New Roman" w:eastAsia="方正仿宋_GBK" w:cs="Times New Roman"/>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5079671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10">
    <w:name w:val="Normal Table"/>
    <w:unhideWhenUsed/>
    <w:uiPriority w:val="99"/>
    <w:tblPr>
      <w:tblLayout w:type="fixed"/>
      <w:tblCellMar>
        <w:top w:w="0" w:type="dxa"/>
        <w:left w:w="108" w:type="dxa"/>
        <w:bottom w:w="0" w:type="dxa"/>
        <w:right w:w="108" w:type="dxa"/>
      </w:tblCellMar>
    </w:tblPr>
    <w:tcPr>
      <w:textDirection w:val="lrTb"/>
    </w:tcPr>
  </w:style>
  <w:style w:type="paragraph" w:styleId="5">
    <w:name w:val="Body Text"/>
    <w:basedOn w:val="1"/>
    <w:next w:val="6"/>
    <w:uiPriority w:val="0"/>
    <w:pPr>
      <w:widowControl w:val="0"/>
      <w:spacing w:before="30" w:beforeLines="30"/>
      <w:jc w:val="both"/>
    </w:pPr>
    <w:rPr>
      <w:rFonts w:ascii="仿宋_GB2312" w:eastAsia="仿宋_GB2312" w:cs="Times New Roman"/>
      <w:kern w:val="0"/>
      <w:sz w:val="24"/>
      <w:szCs w:val="20"/>
      <w:lang w:val="en-US" w:eastAsia="zh-CN" w:bidi="ar-SA"/>
    </w:rPr>
  </w:style>
  <w:style w:type="paragraph" w:customStyle="1" w:styleId="6">
    <w:name w:val="List Paragraph"/>
    <w:basedOn w:val="1"/>
    <w:uiPriority w:val="0"/>
    <w:pPr>
      <w:ind w:firstLine="200" w:firstLineChars="2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11">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2209</Words>
  <Characters>2581</Characters>
  <Lines>155</Lines>
  <Paragraphs>64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2023-01-16T02:34:00Z</cp:lastPrinted>
  <dcterms:modified xsi:type="dcterms:W3CDTF">2023-01-17T07:09:21Z</dcterms:modified>
  <dc:title>州专用通信中心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