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Times New Roman" w:hAnsi="Times New Roman"/>
        </w:rPr>
      </w:pPr>
    </w:p>
    <w:p>
      <w:pPr>
        <w:rPr>
          <w:rFonts w:ascii="Times New Roman" w:hAnsi="Times New Roman"/>
        </w:rPr>
      </w:pPr>
    </w:p>
    <w:p>
      <w:pPr>
        <w:rPr>
          <w:rFonts w:ascii="Times New Roman" w:hAnsi="Times New Roman"/>
        </w:rPr>
      </w:pPr>
    </w:p>
    <w:p>
      <w:pPr>
        <w:ind w:firstLineChars="500" w:firstLine="1050"/>
        <w:rPr>
          <w:rFonts w:ascii="Times New Roman" w:hAnsi="Times New Roman"/>
        </w:rPr>
      </w:pPr>
    </w:p>
    <w:p>
      <w:pPr>
        <w:ind w:firstLineChars="500" w:firstLine="1050"/>
        <w:rPr>
          <w:rFonts w:ascii="Times New Roman" w:hAnsi="Times New Roman"/>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jc w:val="center"/>
        <w:rPr>
          <w:rFonts w:ascii="Times New Roman" w:eastAsia="黑体" w:hAnsi="Times New Roman"/>
          <w:sz w:val="44"/>
          <w:szCs w:val="44"/>
        </w:rPr>
      </w:pPr>
      <w:r>
        <w:rPr>
          <w:rFonts w:ascii="Times New Roman" w:eastAsia="黑体" w:hAnsi="Times New Roman"/>
          <w:sz w:val="44"/>
          <w:szCs w:val="44"/>
        </w:rPr>
        <w:t>州专用通信中心</w:t>
      </w:r>
    </w:p>
    <w:p>
      <w:pPr>
        <w:jc w:val="center"/>
        <w:rPr>
          <w:rFonts w:ascii="Times New Roman" w:eastAsia="黑体" w:hAnsi="Times New Roman"/>
          <w:sz w:val="44"/>
          <w:szCs w:val="44"/>
        </w:rPr>
      </w:pPr>
      <w:r>
        <w:rPr>
          <w:rFonts w:ascii="Times New Roman" w:eastAsia="黑体" w:hAnsi="Times New Roman"/>
          <w:sz w:val="44"/>
          <w:szCs w:val="44"/>
        </w:rPr>
        <w:t>2025年部门预算</w:t>
      </w: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rPr>
          <w:rFonts w:ascii="Times New Roman" w:eastAsia="黑体" w:hAnsi="Times New Roman"/>
          <w:sz w:val="44"/>
          <w:szCs w:val="44"/>
        </w:rPr>
      </w:pPr>
    </w:p>
    <w:p>
      <w:pPr>
        <w:rPr>
          <w:rFonts w:ascii="Times New Roman" w:eastAsia="黑体" w:hAnsi="Times New Roman"/>
          <w:sz w:val="44"/>
          <w:szCs w:val="44"/>
        </w:rPr>
      </w:pPr>
    </w:p>
    <w:p>
      <w:pPr>
        <w:ind w:firstLineChars="400" w:firstLine="1760"/>
        <w:rPr>
          <w:rFonts w:ascii="Times New Roman" w:eastAsia="黑体" w:hAnsi="Times New Roman"/>
          <w:sz w:val="44"/>
          <w:szCs w:val="44"/>
        </w:rPr>
      </w:pPr>
    </w:p>
    <w:p>
      <w:pPr>
        <w:spacing w:line="540" w:lineRule="exact"/>
        <w:ind w:firstLineChars="200" w:firstLine="640"/>
        <w:jc w:val="center"/>
        <w:rPr>
          <w:rFonts w:ascii="Times New Roman" w:eastAsia="方正仿宋_GBK" w:hAnsi="Times New Roman" w:hint="eastAsia"/>
          <w:sz w:val="32"/>
          <w:szCs w:val="32"/>
          <w:u w:val="none"/>
          <w:lang w:eastAsia="zh-CN" w:bidi="ar-SA"/>
        </w:rPr>
      </w:pPr>
      <w:r>
        <w:rPr>
          <w:rFonts w:ascii="Times New Roman" w:eastAsia="方正仿宋_GBK" w:hAnsi="Times New Roman" w:hint="eastAsia"/>
          <w:sz w:val="32"/>
          <w:szCs w:val="32"/>
          <w:u w:val="none"/>
          <w:lang w:eastAsia="zh-CN" w:bidi="ar-SA"/>
        </w:rPr>
        <w:t>已经保密审查，内容审定，同意对外公开</w:t>
      </w:r>
    </w:p>
    <w:p>
      <w:pPr>
        <w:rPr>
          <w:rFonts w:ascii="Times New Roman" w:eastAsia="黑体" w:hAnsi="Times New Roman"/>
          <w:sz w:val="44"/>
          <w:szCs w:val="44"/>
        </w:rPr>
        <w:sectPr>
          <w:headerReference w:type="default" r:id="rId2"/>
          <w:footerReference w:type="default" r:id="rId3"/>
          <w:footerReference w:type="even" r:id="rId4"/>
          <w:pgSz w:w="11906" w:h="16838"/>
          <w:pgMar w:top="1440" w:right="1800" w:bottom="1440" w:left="1800" w:header="851" w:footer="992" w:gutter="0"/>
          <w:docGrid w:type="lines" w:linePitch="312" w:charSpace="0"/>
        </w:sectPr>
      </w:pPr>
    </w:p>
    <w:p>
      <w:pPr>
        <w:rPr>
          <w:rFonts w:ascii="Times New Roman" w:eastAsia="黑体" w:cs="Times New Roman" w:hAnsi="Times New Roman"/>
          <w:sz w:val="44"/>
          <w:szCs w:val="44"/>
        </w:rPr>
      </w:pPr>
    </w:p>
    <w:p>
      <w:pPr>
        <w:wordWrap/>
        <w:adjustRightInd/>
        <w:snapToGrid/>
        <w:spacing w:line="560" w:lineRule="exact"/>
        <w:jc w:val="center"/>
        <w:rPr>
          <w:rFonts w:ascii="Times New Roman" w:eastAsia="方正小标宋_GBK" w:hAnsi="Times New Roman"/>
          <w:sz w:val="44"/>
          <w:szCs w:val="44"/>
          <w:shd w:val="clear" w:color="auto" w:fill="auto"/>
          <w:lang w:bidi="ar-SA"/>
        </w:rPr>
      </w:pPr>
      <w:r>
        <w:rPr>
          <w:rFonts w:ascii="Times New Roman" w:eastAsia="方正小标宋_GBK" w:hAnsi="Times New Roman"/>
          <w:sz w:val="44"/>
          <w:szCs w:val="44"/>
          <w:shd w:val="clear" w:color="auto" w:fill="auto"/>
          <w:lang w:bidi="ar-SA"/>
        </w:rPr>
        <w:t>目录</w:t>
      </w:r>
    </w:p>
    <w:sdt>
      <w:sdtPr>
        <w:rPr>
          <w:rFonts w:ascii="Times New Roman" w:eastAsia="宋体" w:cs="Times New Roman" w:hAnsi="Times New Roman"/>
          <w:kern w:val="2"/>
          <w:sz w:val="21"/>
          <w:szCs w:val="22"/>
          <w:lang w:val="en-US" w:eastAsia="zh-CN" w:bidi="ar-SA"/>
        </w:rPr>
        <w:id w:val="-1823698826"/>
        <w15:color w:val="DBDBDB"/>
        <w:docPartObj>
          <w:docPartGallery w:val="Table of Contents"/>
          <w:docPartUnique/>
        </w:docPartObj>
      </w:sdtPr>
      <w:sdtEndPr>
        <w:rPr>
          <w:rFonts w:eastAsia="黑体"/>
          <w:szCs w:val="52"/>
        </w:rPr>
      </w:sdtEndPr>
      <w:sdtContent>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0"/>
            <w:jc w:val="center"/>
            <w:textAlignment w:val="auto"/>
            <w:rPr>
              <w:rFonts w:ascii="Times New Roman" w:cs="Times New Roman" w:hAnsi="Times New Roman"/>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TOC \o "1-3" \h \u </w:instrText>
          </w:r>
          <w:r>
            <w:rPr>
              <w:rFonts w:ascii="Times New Roman" w:eastAsia="黑体" w:cs="Times New Roman" w:hAnsi="Times New Roman"/>
              <w:sz w:val="32"/>
              <w:szCs w:val="32"/>
            </w:rPr>
            <w:fldChar w:fldCharType="separate"/>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_Toc28286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一、基本职能及主要工作</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_Toc28286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_Toc22134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（一）部门职能简介</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_Toc22134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_Toc31384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（二）2025年重点工作</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_Toc31384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_Toc20798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二、部门预算单位构成</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_Toc20798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_Toc16026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三、收支预算情况说明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_Toc16026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_Toc13135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（一）收入预算情况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_Toc13135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_Toc11458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（二）支出预算情况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_Toc11458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_Toc20457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四、财政拨款收支预算情况说明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_Toc20457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_Toc13667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五、一般公共预算当年拨款情况说明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_Toc13667 \h </w:instrText>
          </w:r>
          <w:r>
            <w:rPr>
              <w:rFonts w:ascii="Times New Roman" w:cs="Times New Roman" w:hAnsi="Times New Roman"/>
              <w:sz w:val="32"/>
              <w:szCs w:val="32"/>
            </w:rPr>
            <w:fldChar w:fldCharType="separate"/>
          </w:r>
          <w:r>
            <w:rPr>
              <w:rFonts w:ascii="Times New Roman" w:cs="Times New Roman" w:hAnsi="Times New Roman"/>
              <w:sz w:val="32"/>
              <w:szCs w:val="32"/>
            </w:rPr>
            <w:t>2</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_Toc24538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（一）一般公共预算当年拨款规模变化情况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_Toc24538 \h </w:instrText>
          </w:r>
          <w:r>
            <w:rPr>
              <w:rFonts w:ascii="Times New Roman" w:cs="Times New Roman" w:hAnsi="Times New Roman"/>
              <w:sz w:val="32"/>
              <w:szCs w:val="32"/>
            </w:rPr>
            <w:fldChar w:fldCharType="separate"/>
          </w:r>
          <w:r>
            <w:rPr>
              <w:rFonts w:ascii="Times New Roman" w:cs="Times New Roman" w:hAnsi="Times New Roman"/>
              <w:sz w:val="32"/>
              <w:szCs w:val="32"/>
            </w:rPr>
            <w:t>2</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_Toc14516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（二）一般公共预算当年拨款结构情况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_Toc14516 \h </w:instrText>
          </w:r>
          <w:r>
            <w:rPr>
              <w:rFonts w:ascii="Times New Roman" w:cs="Times New Roman" w:hAnsi="Times New Roman"/>
              <w:sz w:val="32"/>
              <w:szCs w:val="32"/>
            </w:rPr>
            <w:fldChar w:fldCharType="separate"/>
          </w:r>
          <w:r>
            <w:rPr>
              <w:rFonts w:ascii="Times New Roman" w:cs="Times New Roman" w:hAnsi="Times New Roman"/>
              <w:sz w:val="32"/>
              <w:szCs w:val="32"/>
            </w:rPr>
            <w:t>2</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_Toc10902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（三）一般公共预算当年拨款具体使用情况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_Toc10902 \h </w:instrText>
          </w:r>
          <w:r>
            <w:rPr>
              <w:rFonts w:ascii="Times New Roman" w:cs="Times New Roman" w:hAnsi="Times New Roman"/>
              <w:sz w:val="32"/>
              <w:szCs w:val="32"/>
            </w:rPr>
            <w:fldChar w:fldCharType="separate"/>
          </w:r>
          <w:r>
            <w:rPr>
              <w:rFonts w:ascii="Times New Roman" w:cs="Times New Roman" w:hAnsi="Times New Roman"/>
              <w:sz w:val="32"/>
              <w:szCs w:val="32"/>
            </w:rPr>
            <w:t>2</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_Toc20368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六、一般公共预算基本支出情况说明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_Toc20368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_Toc20368 </w:instrText>
          </w:r>
          <w:r>
            <w:rPr>
              <w:rFonts w:ascii="Times New Roman" w:eastAsia="黑体" w:cs="Times New Roman" w:hAnsi="Times New Roman"/>
              <w:sz w:val="32"/>
              <w:szCs w:val="32"/>
            </w:rPr>
            <w:fldChar w:fldCharType="separate"/>
          </w:r>
          <w:r>
            <w:rPr>
              <w:rFonts w:ascii="Times New Roman" w:eastAsia="黑体" w:cs="Times New Roman" w:hAnsi="Times New Roman"/>
              <w:sz w:val="32"/>
              <w:szCs w:val="32"/>
              <w:lang w:eastAsia="zh-CN"/>
            </w:rPr>
            <w:t>七</w:t>
          </w:r>
          <w:r>
            <w:rPr>
              <w:rFonts w:ascii="Times New Roman" w:eastAsia="方正黑体_GBK" w:cs="Times New Roman" w:hAnsi="Times New Roman"/>
              <w:sz w:val="32"/>
              <w:szCs w:val="32"/>
              <w:shd w:val="clear" w:color="auto" w:fill="auto"/>
              <w:lang w:bidi="ar-SA"/>
            </w:rPr>
            <w:t>、“三公”经费财政拨款预算安排情况说明</w:t>
          </w:r>
          <w:r>
            <w:rPr>
              <w:rFonts w:ascii="Times New Roman" w:cs="Times New Roman" w:hAnsi="Times New Roman"/>
              <w:sz w:val="32"/>
              <w:szCs w:val="32"/>
            </w:rPr>
            <w:tab/>
          </w:r>
          <w:r>
            <w:rPr>
              <w:rFonts w:ascii="Times New Roman" w:cs="Times New Roman" w:hAnsi="Times New Roman"/>
              <w:sz w:val="32"/>
              <w:szCs w:val="32"/>
              <w:lang w:val="en-US" w:eastAsia="zh-CN"/>
            </w:rPr>
            <w:t>6</w:t>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_Toc32740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八、政府性基金预算支出情况说明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_Toc32740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_Toc5991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九、其他重要事项的情况说明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_Toc5991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_Toc27385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一</w:t>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机关运行经费</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_Toc27385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_Toc27385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二</w:t>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政府采购情况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_Toc27385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_Toc27385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kern w:val="2"/>
              <w:sz w:val="32"/>
              <w:szCs w:val="32"/>
              <w:shd w:val="clear" w:color="auto" w:fill="auto"/>
            </w:rPr>
            <w:t>（三）国有资产占有使用情况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_Toc27385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方正楷体_GBK" w:cs="Times New Roman" w:hAnsi="Times New Roman"/>
              <w:bCs/>
              <w:kern w:val="2"/>
              <w:sz w:val="32"/>
              <w:szCs w:val="32"/>
              <w:shd w:val="clear" w:color="auto" w:fill="auto"/>
            </w:rPr>
          </w:pPr>
          <w:r>
            <w:rPr>
              <w:rFonts w:ascii="Times New Roman" w:eastAsia="方正楷体_GBK" w:cs="Times New Roman" w:hAnsi="Times New Roman"/>
              <w:bCs/>
              <w:kern w:val="2"/>
              <w:sz w:val="32"/>
              <w:szCs w:val="32"/>
              <w:shd w:val="clear" w:color="auto" w:fill="auto"/>
            </w:rPr>
            <w:fldChar w:fldCharType="begin"/>
          </w:r>
          <w:r>
            <w:rPr>
              <w:rFonts w:ascii="Times New Roman" w:eastAsia="方正楷体_GBK" w:cs="Times New Roman" w:hAnsi="Times New Roman"/>
              <w:bCs/>
              <w:kern w:val="2"/>
              <w:sz w:val="32"/>
              <w:szCs w:val="32"/>
              <w:shd w:val="clear" w:color="auto" w:fill="auto"/>
            </w:rPr>
            <w:instrText xml:space="preserve"> HYPERLINK \l _Toc27385 </w:instrText>
          </w:r>
          <w:r>
            <w:rPr>
              <w:rFonts w:ascii="Times New Roman" w:eastAsia="方正楷体_GBK" w:cs="Times New Roman" w:hAnsi="Times New Roman"/>
              <w:bCs/>
              <w:kern w:val="2"/>
              <w:sz w:val="32"/>
              <w:szCs w:val="32"/>
              <w:shd w:val="clear" w:color="auto" w:fill="auto"/>
            </w:rPr>
            <w:fldChar w:fldCharType="separate"/>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四</w:t>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绩效目标设置情况</w:t>
          </w:r>
          <w:r>
            <w:rPr>
              <w:rFonts w:ascii="Times New Roman" w:eastAsia="方正楷体_GBK" w:cs="Times New Roman" w:hAnsi="Times New Roman"/>
              <w:bCs/>
              <w:kern w:val="2"/>
              <w:sz w:val="32"/>
              <w:szCs w:val="32"/>
              <w:shd w:val="clear" w:color="auto" w:fill="auto"/>
            </w:rPr>
            <w:tab/>
          </w:r>
          <w:r>
            <w:rPr>
              <w:rFonts w:ascii="Times New Roman" w:eastAsia="方正楷体_GBK" w:cs="Times New Roman" w:hAnsi="Times New Roman"/>
              <w:bCs/>
              <w:kern w:val="2"/>
              <w:sz w:val="32"/>
              <w:szCs w:val="32"/>
              <w:shd w:val="clear" w:color="auto" w:fill="auto"/>
            </w:rPr>
            <w:fldChar w:fldCharType="begin"/>
          </w:r>
          <w:r>
            <w:rPr>
              <w:rFonts w:ascii="Times New Roman" w:eastAsia="方正楷体_GBK" w:cs="Times New Roman" w:hAnsi="Times New Roman"/>
              <w:bCs/>
              <w:kern w:val="2"/>
              <w:sz w:val="32"/>
              <w:szCs w:val="32"/>
              <w:shd w:val="clear" w:color="auto" w:fill="auto"/>
            </w:rPr>
            <w:instrText xml:space="preserve"> PAGEREF _Toc27385 \h </w:instrText>
          </w:r>
          <w:r>
            <w:rPr>
              <w:rFonts w:ascii="Times New Roman" w:eastAsia="方正楷体_GBK" w:cs="Times New Roman" w:hAnsi="Times New Roman"/>
              <w:bCs/>
              <w:kern w:val="2"/>
              <w:sz w:val="32"/>
              <w:szCs w:val="32"/>
              <w:shd w:val="clear" w:color="auto" w:fill="auto"/>
            </w:rPr>
            <w:fldChar w:fldCharType="separate"/>
          </w:r>
          <w:r>
            <w:rPr>
              <w:rFonts w:ascii="Times New Roman" w:eastAsia="方正楷体_GBK" w:cs="Times New Roman" w:hAnsi="Times New Roman"/>
              <w:bCs/>
              <w:kern w:val="2"/>
              <w:sz w:val="32"/>
              <w:szCs w:val="32"/>
              <w:shd w:val="clear" w:color="auto" w:fill="auto"/>
            </w:rPr>
            <w:t>4</w:t>
          </w:r>
          <w:r>
            <w:rPr>
              <w:rFonts w:ascii="Times New Roman" w:eastAsia="方正楷体_GBK" w:cs="Times New Roman" w:hAnsi="Times New Roman"/>
              <w:bCs/>
              <w:kern w:val="2"/>
              <w:sz w:val="32"/>
              <w:szCs w:val="32"/>
              <w:shd w:val="clear" w:color="auto" w:fill="auto"/>
            </w:rPr>
            <w:fldChar w:fldCharType="end"/>
          </w:r>
          <w:r>
            <w:rPr>
              <w:rFonts w:ascii="Times New Roman" w:eastAsia="方正楷体_GBK" w:cs="Times New Roman" w:hAnsi="Times New Roman"/>
              <w:bCs/>
              <w:kern w:val="2"/>
              <w:sz w:val="32"/>
              <w:szCs w:val="32"/>
              <w:shd w:val="clear" w:color="auto" w:fill="auto"/>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_Toc5991 </w:instrText>
          </w:r>
          <w:r>
            <w:rPr>
              <w:rFonts w:ascii="Times New Roman" w:eastAsia="黑体" w:cs="Times New Roman" w:hAnsi="Times New Roman"/>
              <w:sz w:val="32"/>
              <w:szCs w:val="32"/>
            </w:rPr>
            <w:fldChar w:fldCharType="separate"/>
          </w:r>
          <w:r>
            <w:rPr>
              <w:rFonts w:ascii="Times New Roman" w:eastAsia="黑体" w:cs="Times New Roman" w:hAnsi="Times New Roman"/>
              <w:sz w:val="32"/>
              <w:szCs w:val="32"/>
              <w:lang w:eastAsia="zh-CN"/>
            </w:rPr>
            <w:t>十</w:t>
          </w:r>
          <w:r>
            <w:rPr>
              <w:rFonts w:ascii="Times New Roman" w:eastAsia="方正黑体_GBK" w:cs="Times New Roman" w:hAnsi="Times New Roman"/>
              <w:sz w:val="32"/>
              <w:szCs w:val="32"/>
              <w:shd w:val="clear" w:color="auto" w:fill="auto"/>
              <w:lang w:bidi="ar-SA"/>
            </w:rPr>
            <w:t>、</w:t>
          </w:r>
          <w:r>
            <w:rPr>
              <w:rFonts w:ascii="Times New Roman" w:eastAsia="方正黑体_GBK" w:cs="Times New Roman" w:hAnsi="Times New Roman"/>
              <w:sz w:val="32"/>
              <w:szCs w:val="32"/>
              <w:shd w:val="clear" w:color="auto" w:fill="auto"/>
              <w:lang w:eastAsia="zh-CN" w:bidi="ar-SA"/>
            </w:rPr>
            <w:t>名词解释</w:t>
          </w:r>
          <w:r>
            <w:rPr>
              <w:rFonts w:ascii="Times New Roman" w:cs="Times New Roman" w:hAnsi="Times New Roman"/>
              <w:sz w:val="32"/>
              <w:szCs w:val="32"/>
            </w:rPr>
            <w:tab/>
          </w:r>
          <w:r>
            <w:rPr>
              <w:rFonts w:ascii="Times New Roman" w:cs="Times New Roman" w:hAnsi="Times New Roman"/>
              <w:sz w:val="32"/>
              <w:szCs w:val="32"/>
              <w:lang w:val="en-US" w:eastAsia="zh-CN"/>
            </w:rPr>
            <w:t>7</w:t>
          </w:r>
          <w:r>
            <w:rPr>
              <w:rFonts w:ascii="Times New Roman" w:eastAsia="黑体" w:cs="Times New Roman" w:hAnsi="Times New Roman"/>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Chars="600" w:firstLine="1260"/>
            <w:textAlignment w:val="auto"/>
            <w:outlineLvl w:val="9"/>
            <w:rPr>
              <w:rFonts w:ascii="Times New Roman" w:eastAsia="黑体" w:hAnsi="Times New Roman"/>
              <w:sz w:val="32"/>
              <w:szCs w:val="32"/>
            </w:rPr>
            <w:sectPr>
              <w:footerReference w:type="default" r:id="rId5"/>
              <w:pgSz w:w="11906" w:h="16838"/>
              <w:pgMar w:top="1440" w:right="1800" w:bottom="1440" w:left="1800" w:header="851" w:footer="992" w:gutter="0"/>
              <w:pgNumType w:start="1"/>
              <w:docGrid w:type="lines" w:linePitch="312" w:charSpace="0"/>
            </w:sectPr>
          </w:pPr>
          <w:r>
            <w:rPr>
              <w:rFonts w:ascii="Times New Roman" w:eastAsia="黑体" w:cs="Times New Roman" w:hAnsi="Times New Roman"/>
              <w:szCs w:val="32"/>
            </w:rPr>
            <w:fldChar w:fldCharType="end"/>
          </w:r>
        </w:p>
      </w:sdtContent>
    </w:sdt>
    <w:p>
      <w:pPr>
        <w:pStyle w:val="16"/>
        <w:tabs>
          <w:tab w:val="center" w:pos="4153"/>
          <w:tab w:val="right" w:pos="8306"/>
        </w:tabs>
        <w:wordWrap/>
        <w:adjustRightInd/>
        <w:snapToGrid/>
        <w:spacing w:line="560" w:lineRule="exact"/>
        <w:ind w:firstLineChars="200" w:firstLine="640"/>
        <w:outlineLvl w:val="0"/>
        <w:rPr>
          <w:rFonts w:ascii="Times New Roman" w:eastAsia="方正黑体_GBK" w:hAnsi="Times New Roman"/>
          <w:sz w:val="32"/>
          <w:szCs w:val="32"/>
          <w:shd w:val="clear" w:color="auto" w:fill="auto"/>
          <w:lang w:bidi="ar-SA"/>
        </w:rPr>
      </w:pPr>
      <w:bookmarkStart w:id="0" w:name="_Toc28286"/>
      <w:r>
        <w:rPr>
          <w:rFonts w:ascii="Times New Roman" w:eastAsia="方正黑体_GBK" w:hAnsi="Times New Roman"/>
          <w:sz w:val="32"/>
          <w:szCs w:val="32"/>
          <w:shd w:val="clear" w:color="auto" w:fill="auto"/>
          <w:lang w:bidi="ar-SA"/>
        </w:rPr>
        <w:t>一、基本职能及主要工作</w:t>
      </w:r>
      <w:bookmarkEnd w:id="0"/>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1" w:name="_Toc22134"/>
      <w:r>
        <w:rPr>
          <w:rFonts w:ascii="Times New Roman" w:eastAsia="方正楷体_GBK" w:hAnsi="Times New Roman"/>
          <w:b/>
          <w:bCs/>
          <w:sz w:val="32"/>
          <w:szCs w:val="32"/>
          <w:shd w:val="clear" w:color="auto" w:fill="auto"/>
        </w:rPr>
        <w:t>（一）部门职能简介</w:t>
      </w:r>
      <w:bookmarkEnd w:id="1"/>
    </w:p>
    <w:p>
      <w:pPr>
        <w:wordWrap/>
        <w:adjustRightInd/>
        <w:snapToGrid/>
        <w:spacing w:line="560" w:lineRule="exact"/>
        <w:ind w:left="0" w:firstLineChars="200" w:firstLine="640"/>
        <w:outlineLvl w:val="1"/>
        <w:rPr>
          <w:rFonts w:ascii="Times New Roman" w:eastAsia="方正仿宋_GBK" w:cs="Times New Roman" w:hAnsi="Times New Roman"/>
          <w:bCs/>
          <w:sz w:val="32"/>
          <w:szCs w:val="32"/>
        </w:rPr>
      </w:pPr>
      <w:bookmarkStart w:id="2" w:name="_Toc31384"/>
      <w:r>
        <w:rPr>
          <w:rFonts w:ascii="Times New Roman" w:eastAsia="方正仿宋_GBK" w:cs="Times New Roman" w:hAnsi="Times New Roman"/>
          <w:bCs/>
          <w:sz w:val="32"/>
          <w:szCs w:val="32"/>
        </w:rPr>
        <w:t>略</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r>
        <w:rPr>
          <w:rFonts w:ascii="Times New Roman" w:eastAsia="方正楷体_GBK" w:hAnsi="Times New Roman"/>
          <w:b/>
          <w:bCs/>
          <w:sz w:val="32"/>
          <w:szCs w:val="32"/>
          <w:shd w:val="clear" w:color="auto" w:fill="auto"/>
        </w:rPr>
        <w:t>（二）2025年重点工作</w:t>
      </w:r>
      <w:bookmarkEnd w:id="2"/>
    </w:p>
    <w:p>
      <w:pPr>
        <w:pStyle w:val="16"/>
        <w:tabs>
          <w:tab w:val="center" w:pos="4153"/>
          <w:tab w:val="right" w:pos="8306"/>
        </w:tabs>
        <w:wordWrap/>
        <w:adjustRightInd/>
        <w:snapToGrid/>
        <w:spacing w:line="560" w:lineRule="exact"/>
        <w:ind w:left="0" w:firstLineChars="200" w:firstLine="640"/>
        <w:outlineLvl w:val="0"/>
        <w:rPr>
          <w:rFonts w:ascii="Times New Roman" w:eastAsia="方正仿宋_GBK" w:cs="Times New Roman" w:hAnsi="Times New Roman"/>
          <w:sz w:val="32"/>
          <w:szCs w:val="32"/>
        </w:rPr>
      </w:pPr>
      <w:bookmarkStart w:id="3" w:name="_Toc20798"/>
      <w:r>
        <w:rPr>
          <w:rFonts w:ascii="Times New Roman" w:eastAsia="方正仿宋_GBK" w:cs="Times New Roman" w:hAnsi="Times New Roman"/>
          <w:sz w:val="32"/>
          <w:szCs w:val="32"/>
          <w:lang w:val="en-US" w:eastAsia="zh-CN"/>
        </w:rPr>
        <w:t>略</w:t>
      </w:r>
    </w:p>
    <w:p>
      <w:pPr>
        <w:pStyle w:val="16"/>
        <w:tabs>
          <w:tab w:val="center" w:pos="4153"/>
          <w:tab w:val="right" w:pos="8306"/>
        </w:tabs>
        <w:wordWrap/>
        <w:adjustRightInd/>
        <w:snapToGrid/>
        <w:spacing w:line="560" w:lineRule="exact"/>
        <w:ind w:left="0" w:firstLineChars="200" w:firstLine="640"/>
        <w:outlineLvl w:val="0"/>
        <w:rPr>
          <w:rFonts w:ascii="Times New Roman" w:eastAsia="方正黑体_GBK" w:hAnsi="Times New Roman"/>
          <w:sz w:val="32"/>
          <w:szCs w:val="32"/>
          <w:shd w:val="clear" w:color="auto" w:fill="auto"/>
          <w:lang w:bidi="ar-SA"/>
        </w:rPr>
      </w:pPr>
      <w:r>
        <w:rPr>
          <w:rFonts w:ascii="Times New Roman" w:eastAsia="方正黑体_GBK" w:hAnsi="Times New Roman"/>
          <w:sz w:val="32"/>
          <w:szCs w:val="32"/>
          <w:shd w:val="clear" w:color="auto" w:fill="auto"/>
          <w:lang w:bidi="ar-SA"/>
        </w:rPr>
        <w:t>二、部门预算单位构成</w:t>
      </w:r>
      <w:bookmarkEnd w:id="3"/>
    </w:p>
    <w:p>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州专用通信中心下属预算单位0个；此次公开数据含州涉密文档专管中心2025年预算。</w:t>
      </w:r>
    </w:p>
    <w:p>
      <w:pPr>
        <w:pStyle w:val="16"/>
        <w:tabs>
          <w:tab w:val="center" w:pos="4153"/>
          <w:tab w:val="right" w:pos="8306"/>
        </w:tabs>
        <w:wordWrap/>
        <w:adjustRightInd/>
        <w:snapToGrid/>
        <w:spacing w:line="560" w:lineRule="exact"/>
        <w:ind w:left="0" w:firstLineChars="200" w:firstLine="640"/>
        <w:outlineLvl w:val="0"/>
        <w:rPr>
          <w:rFonts w:ascii="Times New Roman" w:eastAsia="方正黑体_GBK" w:hAnsi="Times New Roman"/>
          <w:sz w:val="32"/>
          <w:szCs w:val="32"/>
          <w:shd w:val="clear" w:color="auto" w:fill="auto"/>
          <w:lang w:bidi="ar-SA"/>
        </w:rPr>
      </w:pPr>
      <w:bookmarkStart w:id="4" w:name="_Toc16026"/>
      <w:r>
        <w:rPr>
          <w:rFonts w:ascii="Times New Roman" w:eastAsia="方正黑体_GBK" w:hAnsi="Times New Roman"/>
          <w:sz w:val="32"/>
          <w:szCs w:val="32"/>
          <w:shd w:val="clear" w:color="auto" w:fill="auto"/>
          <w:lang w:bidi="ar-SA"/>
        </w:rPr>
        <w:t>三、收支预算情况说明</w:t>
      </w:r>
      <w:bookmarkEnd w:id="4"/>
    </w:p>
    <w:p>
      <w:pPr>
        <w:wordWrap/>
        <w:adjustRightInd/>
        <w:snapToGrid/>
        <w:spacing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按照综合预算的原则，州专用通信中心所有收入和支出均纳入部门预算管理。收入包括：一般公共预算拨款收入240.54万元；支出包括：一般公共服务支出172.08万元，社会保障和就业支出34.26万元，医疗卫生与计划生育支出14.41万元，住房保障支出19.79万元。</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5" w:name="_Toc13135"/>
      <w:r>
        <w:rPr>
          <w:rFonts w:ascii="Times New Roman" w:eastAsia="方正楷体_GBK" w:hAnsi="Times New Roman"/>
          <w:b/>
          <w:bCs/>
          <w:sz w:val="32"/>
          <w:szCs w:val="32"/>
          <w:shd w:val="clear" w:color="auto" w:fill="auto"/>
        </w:rPr>
        <w:t>（一）收入预算情况</w:t>
      </w:r>
      <w:bookmarkEnd w:id="5"/>
    </w:p>
    <w:p>
      <w:pPr>
        <w:ind w:firstLineChars="200" w:firstLine="640"/>
        <w:jc w:val="left"/>
        <w:rPr>
          <w:rFonts w:ascii="Times New Roman" w:eastAsia="楷体" w:hAnsi="Times New Roman"/>
          <w:sz w:val="32"/>
          <w:szCs w:val="32"/>
        </w:rPr>
      </w:pPr>
      <w:r>
        <w:rPr>
          <w:rFonts w:ascii="Times New Roman" w:eastAsia="方正仿宋_GBK" w:hAnsi="Times New Roman"/>
          <w:sz w:val="32"/>
          <w:szCs w:val="32"/>
        </w:rPr>
        <w:t>州专用通信中心2025年收入预算240.54万元，其中：一般公共预算拨款收入240.54万元，占100%；无其他收入。</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6" w:name="_Toc11458"/>
      <w:r>
        <w:rPr>
          <w:rFonts w:ascii="Times New Roman" w:eastAsia="方正楷体_GBK" w:hAnsi="Times New Roman"/>
          <w:b/>
          <w:bCs/>
          <w:sz w:val="32"/>
          <w:szCs w:val="32"/>
          <w:shd w:val="clear" w:color="auto" w:fill="auto"/>
        </w:rPr>
        <w:t>（二）支出预算情况</w:t>
      </w:r>
      <w:bookmarkEnd w:id="6"/>
    </w:p>
    <w:p>
      <w:pPr>
        <w:ind w:firstLineChars="200" w:firstLine="640"/>
        <w:jc w:val="left"/>
        <w:rPr>
          <w:rFonts w:ascii="Times New Roman" w:eastAsia="方正楷体_GBK" w:hAnsi="Times New Roman"/>
          <w:b/>
          <w:bCs/>
          <w:sz w:val="32"/>
          <w:szCs w:val="32"/>
          <w:shd w:val="clear" w:color="auto" w:fill="auto"/>
        </w:rPr>
      </w:pPr>
      <w:r>
        <w:rPr>
          <w:rFonts w:ascii="Times New Roman" w:eastAsia="方正仿宋_GBK" w:hAnsi="Times New Roman"/>
          <w:sz w:val="32"/>
          <w:szCs w:val="32"/>
        </w:rPr>
        <w:t>州专用通信中心2025年支出预算240.54万元，其中：基本支出240.54万元，占100%。</w:t>
      </w:r>
    </w:p>
    <w:p>
      <w:pPr>
        <w:wordWrap/>
        <w:adjustRightInd/>
        <w:snapToGrid/>
        <w:spacing w:line="576" w:lineRule="exact"/>
        <w:ind w:left="0" w:right="0" w:firstLineChars="200" w:firstLine="640"/>
        <w:jc w:val="both"/>
        <w:textAlignment w:val="auto"/>
        <w:outlineLvl w:val="0"/>
        <w:rPr>
          <w:rFonts w:ascii="Times New Roman" w:eastAsia="方正黑体_GBK" w:hAnsi="Times New Roman"/>
          <w:sz w:val="32"/>
          <w:szCs w:val="32"/>
          <w:shd w:val="clear" w:color="auto" w:fill="auto"/>
          <w:lang w:bidi="ar-SA"/>
        </w:rPr>
      </w:pPr>
      <w:bookmarkStart w:id="7" w:name="_Toc20457"/>
      <w:r>
        <w:rPr>
          <w:rFonts w:ascii="Times New Roman" w:eastAsia="方正黑体_GBK" w:hAnsi="Times New Roman"/>
          <w:sz w:val="32"/>
          <w:szCs w:val="32"/>
          <w:shd w:val="clear" w:color="auto" w:fill="auto"/>
          <w:lang w:bidi="ar-SA"/>
        </w:rPr>
        <w:t>四、财政拨款收支预算情况说明</w:t>
      </w:r>
      <w:bookmarkEnd w:id="7"/>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州专用通信中心2025年财政拨款收支总预算240.54万元,比2024年财政拨款收支总预算增加35.65万元，主要原因:2025年人员经费增加。</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收入包括：本年一般公共预算拨款收入240.54万元。</w:t>
      </w:r>
    </w:p>
    <w:p>
      <w:pPr>
        <w:spacing w:line="540" w:lineRule="exact"/>
        <w:ind w:firstLineChars="200" w:firstLine="640"/>
        <w:rPr>
          <w:rFonts w:ascii="Times New Roman" w:eastAsia="仿宋_GB2312" w:hAnsi="Times New Roman"/>
          <w:sz w:val="32"/>
          <w:szCs w:val="32"/>
        </w:rPr>
      </w:pPr>
      <w:r>
        <w:rPr>
          <w:rFonts w:ascii="Times New Roman" w:eastAsia="方正仿宋_GBK" w:hAnsi="Times New Roman"/>
          <w:sz w:val="32"/>
          <w:szCs w:val="32"/>
        </w:rPr>
        <w:t>支出包括：一般公共服务支出172.08万元，社会保障和就业支出34.26万元，医疗卫生与计划生育支出14.41万元，住房保障支出19.79万元。</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8" w:name="_Toc13667"/>
      <w:r>
        <w:rPr>
          <w:rFonts w:ascii="Times New Roman" w:eastAsia="方正黑体_GBK" w:hAnsi="Times New Roman"/>
          <w:sz w:val="32"/>
          <w:szCs w:val="32"/>
          <w:shd w:val="clear" w:color="auto" w:fill="auto"/>
          <w:lang w:bidi="ar-SA"/>
        </w:rPr>
        <w:t>五、一般公共预算当年拨款情况说明</w:t>
      </w:r>
      <w:bookmarkEnd w:id="8"/>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9" w:name="_Toc24538"/>
      <w:r>
        <w:rPr>
          <w:rFonts w:ascii="Times New Roman" w:eastAsia="方正楷体_GBK" w:hAnsi="Times New Roman"/>
          <w:b/>
          <w:bCs/>
          <w:sz w:val="32"/>
          <w:szCs w:val="32"/>
          <w:shd w:val="clear" w:color="auto" w:fill="auto"/>
        </w:rPr>
        <w:t>（一）一般公共预算当年拨款规模变化情况</w:t>
      </w:r>
      <w:bookmarkEnd w:id="9"/>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州专用通信中心2025年一般公共预算当年拨款240.54万元，比2024年预算数增加35.65万元，主要原因:</w:t>
      </w:r>
      <w:r>
        <w:rPr>
          <w:rFonts w:ascii="Times New Roman" w:eastAsia="方正仿宋_GBK" w:hAnsi="Times New Roman"/>
          <w:sz w:val="32"/>
          <w:szCs w:val="32"/>
          <w:lang w:val="en-US" w:eastAsia="zh-CN"/>
        </w:rPr>
        <w:t>2</w:t>
      </w:r>
      <w:r>
        <w:rPr>
          <w:rFonts w:ascii="Times New Roman" w:eastAsia="方正仿宋_GBK" w:hAnsi="Times New Roman"/>
          <w:sz w:val="32"/>
          <w:szCs w:val="32"/>
        </w:rPr>
        <w:t>025年人员增加。</w:t>
      </w:r>
    </w:p>
    <w:p>
      <w:pPr>
        <w:spacing w:line="540" w:lineRule="exact"/>
        <w:ind w:firstLineChars="200" w:firstLine="640"/>
        <w:outlineLvl w:val="1"/>
        <w:rPr>
          <w:rFonts w:ascii="Times New Roman" w:eastAsia="方正楷体_GBK" w:hAnsi="Times New Roman"/>
          <w:b/>
          <w:bCs/>
          <w:sz w:val="32"/>
          <w:szCs w:val="32"/>
          <w:shd w:val="clear" w:color="auto" w:fill="auto"/>
        </w:rPr>
      </w:pPr>
      <w:bookmarkStart w:id="10" w:name="_Toc14516"/>
      <w:r>
        <w:rPr>
          <w:rFonts w:ascii="Times New Roman" w:eastAsia="方正楷体_GBK" w:hAnsi="Times New Roman"/>
          <w:b/>
          <w:bCs/>
          <w:sz w:val="32"/>
          <w:szCs w:val="32"/>
          <w:shd w:val="clear" w:color="auto" w:fill="auto"/>
        </w:rPr>
        <w:t>（二）一般公共预算当年拨款结构情况</w:t>
      </w:r>
      <w:bookmarkEnd w:id="10"/>
    </w:p>
    <w:p>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一般公共服务支出172.08万元，占71.54%；社会保障和就业支出34.26万元，占14.24%；医疗卫生与计划生育支出14.41万元，占5.99%；住房保障支出19.79万元，占8.23%。</w:t>
      </w:r>
    </w:p>
    <w:p>
      <w:pPr>
        <w:spacing w:line="540" w:lineRule="exact"/>
        <w:ind w:firstLineChars="200" w:firstLine="640"/>
        <w:outlineLvl w:val="1"/>
        <w:rPr>
          <w:rFonts w:ascii="Times New Roman" w:eastAsia="方正楷体_GBK" w:hAnsi="Times New Roman"/>
          <w:b/>
          <w:bCs/>
          <w:sz w:val="32"/>
          <w:szCs w:val="32"/>
          <w:shd w:val="clear" w:color="auto" w:fill="auto"/>
        </w:rPr>
      </w:pPr>
      <w:bookmarkStart w:id="11" w:name="_Toc10902"/>
      <w:r>
        <w:rPr>
          <w:rFonts w:ascii="Times New Roman" w:eastAsia="方正楷体_GBK" w:hAnsi="Times New Roman"/>
          <w:b/>
          <w:bCs/>
          <w:sz w:val="32"/>
          <w:szCs w:val="32"/>
          <w:shd w:val="clear" w:color="auto" w:fill="auto"/>
        </w:rPr>
        <w:t>（三）一般公共预算当年拨款具体使用情况</w:t>
      </w:r>
      <w:bookmarkEnd w:id="11"/>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2" w:name="_Toc21669"/>
      <w:bookmarkStart w:id="13" w:name="_Toc4107"/>
      <w:r>
        <w:rPr>
          <w:rFonts w:ascii="Times New Roman" w:eastAsia="方正仿宋_GBK" w:hAnsi="Times New Roman"/>
          <w:b/>
          <w:bCs/>
          <w:sz w:val="32"/>
          <w:szCs w:val="32"/>
        </w:rPr>
        <w:t>1．一般公共服务支出</w:t>
      </w:r>
      <w:bookmarkEnd w:id="12"/>
      <w:bookmarkEnd w:id="13"/>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事业运行（2013105），2025年预算数为172.08万元，主要用于：工资福利支出140.55万元；商品和服务支出31.53万元。</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4" w:name="_Toc29321"/>
      <w:bookmarkStart w:id="15" w:name="_Toc23817"/>
      <w:r>
        <w:rPr>
          <w:rFonts w:ascii="Times New Roman" w:eastAsia="方正仿宋_GBK" w:hAnsi="Times New Roman"/>
          <w:b/>
          <w:bCs/>
          <w:sz w:val="32"/>
          <w:szCs w:val="32"/>
        </w:rPr>
        <w:t>2.社会保障和就业支出</w:t>
      </w:r>
      <w:bookmarkEnd w:id="14"/>
      <w:bookmarkEnd w:id="15"/>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机关事业单位基本养老保险缴费支出（2080505），2025年机关事业单位基本养老保险缴费支出预算数为22.84万元，主要用于缴纳干部职工2025年基本养老保险。</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机关事业单位职业年金缴费支出（2080506），2025年机关事业单位职业年金缴费支出预算数为11.42万元，主要用于缴纳干部职工2025年职业年金。</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6" w:name="_Toc20608"/>
      <w:bookmarkStart w:id="17" w:name="_Toc12779"/>
      <w:r>
        <w:rPr>
          <w:rFonts w:ascii="Times New Roman" w:eastAsia="方正仿宋_GBK" w:hAnsi="Times New Roman"/>
          <w:b/>
          <w:bCs/>
          <w:sz w:val="32"/>
          <w:szCs w:val="32"/>
        </w:rPr>
        <w:t>3.卫生健康支出</w:t>
      </w:r>
      <w:bookmarkEnd w:id="16"/>
      <w:bookmarkEnd w:id="17"/>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事业单位医疗（2101102），2025年预算数为11.81万元，主要用于缴纳行政人员</w:t>
      </w:r>
      <w:r>
        <w:rPr>
          <w:rFonts w:ascii="Times New Roman" w:eastAsia="方正仿宋_GBK" w:hAnsi="Times New Roman"/>
          <w:sz w:val="32"/>
          <w:szCs w:val="32"/>
          <w:lang w:val="en-US" w:eastAsia="zh-CN"/>
        </w:rPr>
        <w:t>2025年</w:t>
      </w:r>
      <w:r>
        <w:rPr>
          <w:rFonts w:ascii="Times New Roman" w:eastAsia="方正仿宋_GBK" w:hAnsi="Times New Roman"/>
          <w:sz w:val="32"/>
          <w:szCs w:val="32"/>
        </w:rPr>
        <w:t>基本医疗保险。</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其他行政事业单位医疗支出（2101199），2025年预算数为2.60万元，主要用于缴纳行政人员</w:t>
      </w:r>
      <w:r>
        <w:rPr>
          <w:rFonts w:ascii="Times New Roman" w:eastAsia="方正仿宋_GBK" w:hAnsi="Times New Roman"/>
          <w:sz w:val="32"/>
          <w:szCs w:val="32"/>
          <w:lang w:val="en-US" w:eastAsia="zh-CN"/>
        </w:rPr>
        <w:t>2025年</w:t>
      </w:r>
      <w:r>
        <w:rPr>
          <w:rFonts w:ascii="Times New Roman" w:eastAsia="方正仿宋_GBK" w:hAnsi="Times New Roman"/>
          <w:sz w:val="32"/>
          <w:szCs w:val="32"/>
        </w:rPr>
        <w:t>医疗补助。</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8" w:name="_Toc4070"/>
      <w:bookmarkStart w:id="19" w:name="_Toc9187"/>
      <w:r>
        <w:rPr>
          <w:rFonts w:ascii="Times New Roman" w:eastAsia="方正仿宋_GBK" w:hAnsi="Times New Roman"/>
          <w:b/>
          <w:bCs/>
          <w:sz w:val="32"/>
          <w:szCs w:val="32"/>
        </w:rPr>
        <w:t>4.住房保障支出</w:t>
      </w:r>
      <w:bookmarkEnd w:id="18"/>
      <w:bookmarkEnd w:id="19"/>
    </w:p>
    <w:p>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kern w:val="2"/>
          <w:sz w:val="32"/>
          <w:szCs w:val="32"/>
          <w:lang w:val="en-US" w:eastAsia="zh-CN" w:bidi="ar-SA"/>
        </w:rPr>
        <w:t>2025年住房公积金预算数为19.79万元，主要用于缴纳干部职工2025年住房公积金。</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20" w:name="_Toc20368"/>
      <w:r>
        <w:rPr>
          <w:rFonts w:ascii="Times New Roman" w:eastAsia="方正黑体_GBK" w:hAnsi="Times New Roman"/>
          <w:sz w:val="32"/>
          <w:szCs w:val="32"/>
          <w:shd w:val="clear" w:color="auto" w:fill="auto"/>
          <w:lang w:bidi="ar-SA"/>
        </w:rPr>
        <w:t>六、一般公共预算基本支出情况说明</w:t>
      </w:r>
      <w:bookmarkEnd w:id="20"/>
    </w:p>
    <w:p>
      <w:pPr>
        <w:wordWrap/>
        <w:adjustRightInd/>
        <w:snapToGrid/>
        <w:spacing w:line="576" w:lineRule="exact"/>
        <w:ind w:left="0" w:firstLineChars="200" w:firstLine="640"/>
        <w:rPr>
          <w:rFonts w:ascii="Times New Roman" w:eastAsia="方正仿宋_GBK" w:hAnsi="Times New Roman"/>
          <w:kern w:val="2"/>
          <w:sz w:val="32"/>
          <w:szCs w:val="32"/>
        </w:rPr>
      </w:pPr>
      <w:r>
        <w:rPr>
          <w:rFonts w:ascii="Times New Roman" w:eastAsia="方正仿宋_GBK" w:hAnsi="Times New Roman"/>
          <w:sz w:val="32"/>
          <w:szCs w:val="32"/>
        </w:rPr>
        <w:t>州专用通信中心</w:t>
      </w:r>
      <w:r>
        <w:rPr>
          <w:rFonts w:ascii="Times New Roman" w:eastAsia="方正仿宋_GBK" w:hAnsi="Times New Roman"/>
          <w:kern w:val="2"/>
          <w:sz w:val="32"/>
          <w:szCs w:val="32"/>
        </w:rPr>
        <w:t>2025年一般公共预算基本支出240.54万元：其中：</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kern w:val="2"/>
          <w:sz w:val="32"/>
          <w:szCs w:val="32"/>
        </w:rPr>
        <w:t>人员经费209.01万元，主要包括：基本工资46.06万元、津贴补贴22.99万元、奖金42.95万元、绩效工资27.36万元、其他社会保障缴费3.79万元、机关事业单位基本养老保险缴费22.84万元、职业年金缴费11.42万元、医疗保险11.81万元、住房公积金19.79万元</w:t>
      </w:r>
      <w:r>
        <w:rPr>
          <w:rFonts w:ascii="Times New Roman" w:eastAsia="方正仿宋_GBK" w:hAnsi="Times New Roman"/>
          <w:sz w:val="32"/>
          <w:szCs w:val="32"/>
        </w:rPr>
        <w:t>。</w:t>
      </w:r>
    </w:p>
    <w:p>
      <w:pPr>
        <w:wordWrap/>
        <w:adjustRightInd/>
        <w:snapToGrid/>
        <w:spacing w:line="576" w:lineRule="exact"/>
        <w:ind w:left="0" w:firstLineChars="200" w:firstLine="640"/>
        <w:rPr>
          <w:rFonts w:ascii="Times New Roman" w:eastAsia="黑体" w:hAnsi="Times New Roman"/>
          <w:sz w:val="32"/>
          <w:szCs w:val="32"/>
        </w:rPr>
      </w:pPr>
      <w:r>
        <w:rPr>
          <w:rFonts w:ascii="Times New Roman" w:eastAsia="方正仿宋_GBK" w:hAnsi="Times New Roman"/>
          <w:sz w:val="32"/>
          <w:szCs w:val="32"/>
        </w:rPr>
        <w:t>公用经费31.52万元，主要包括：办公费1.3万元、水费0.39万元、邮电费2.3万元、取暖费0.52万元、差旅费11.5万元、培训费1.87万元、公务接待费0.43万元、福利费8.9万元、其他商品和服务支出4.31万元。</w:t>
      </w:r>
      <w:r>
        <w:rPr>
          <w:rFonts w:ascii="Times New Roman" w:hAnsi="Times New Roman"/>
          <w:kern w:val="2"/>
          <w:sz w:val="32"/>
          <w:szCs w:val="32"/>
        </w:rPr>
        <w:br/>
      </w:r>
      <w:r>
        <w:rPr>
          <w:rFonts w:ascii="Times New Roman" w:eastAsia="黑体" w:hAnsi="Times New Roman"/>
          <w:sz w:val="32"/>
          <w:szCs w:val="32"/>
        </w:rPr>
        <w:t xml:space="preserve">    七、“三公”经费财政拨款预算安排情况说明</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州专用通信中心2025年“三公”经费财政拨款预算数240.54万元，其中：因公出国（境）经费0.00万元，公务接待费0.43万元，公务用车购置及运行维护费0万元。</w:t>
      </w:r>
    </w:p>
    <w:p>
      <w:pPr>
        <w:wordWrap/>
        <w:adjustRightInd/>
        <w:snapToGrid/>
        <w:spacing w:line="576" w:lineRule="exact"/>
        <w:ind w:left="0" w:firstLineChars="200" w:firstLine="640"/>
        <w:outlineLvl w:val="1"/>
        <w:rPr>
          <w:rFonts w:ascii="Times New Roman" w:eastAsia="方正仿宋_GBK" w:hAnsi="Times New Roman"/>
          <w:sz w:val="32"/>
          <w:szCs w:val="32"/>
        </w:rPr>
      </w:pPr>
      <w:bookmarkStart w:id="21" w:name="_Toc3448"/>
      <w:r>
        <w:rPr>
          <w:rFonts w:ascii="Times New Roman" w:eastAsia="方正仿宋_GBK" w:hAnsi="Times New Roman"/>
          <w:sz w:val="32"/>
          <w:szCs w:val="32"/>
        </w:rPr>
        <w:t>（一）2025年因公出国（境）经费0.00万元。</w:t>
      </w:r>
      <w:bookmarkEnd w:id="21"/>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（二）2025年公务接待经费0.43万元。较2024年预算经费持平。</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（三）2025年公务用车购置及运行维护费0万元。较2024年预算经费持平。</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22" w:name="_Toc32740"/>
      <w:r>
        <w:rPr>
          <w:rFonts w:ascii="Times New Roman" w:eastAsia="方正黑体_GBK" w:hAnsi="Times New Roman"/>
          <w:sz w:val="32"/>
          <w:szCs w:val="32"/>
          <w:shd w:val="clear" w:color="auto" w:fill="auto"/>
          <w:lang w:bidi="ar-SA"/>
        </w:rPr>
        <w:t>八、政府性基金预算支出情况说明</w:t>
      </w:r>
      <w:bookmarkEnd w:id="22"/>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州专用通信中心2025年无政府性基金预算拨款安排的支出。</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23" w:name="_Toc5991"/>
      <w:r>
        <w:rPr>
          <w:rFonts w:ascii="Times New Roman" w:eastAsia="方正黑体_GBK" w:hAnsi="Times New Roman"/>
          <w:sz w:val="32"/>
          <w:szCs w:val="32"/>
          <w:shd w:val="clear" w:color="auto" w:fill="auto"/>
          <w:lang w:bidi="ar-SA"/>
        </w:rPr>
        <w:t>九、其他重要事项的情况说明</w:t>
      </w:r>
      <w:bookmarkEnd w:id="23"/>
    </w:p>
    <w:p>
      <w:pPr>
        <w:pStyle w:val="22"/>
        <w:spacing w:before="0" w:line="360" w:lineRule="auto"/>
        <w:ind w:firstLineChars="200" w:firstLine="640"/>
        <w:rPr>
          <w:rFonts w:ascii="Times New Roman" w:hAnsi="Times New Roman"/>
          <w:color w:val="FF0000"/>
          <w:kern w:val="2"/>
          <w:sz w:val="32"/>
          <w:szCs w:val="32"/>
        </w:rPr>
      </w:pPr>
      <w:r>
        <w:rPr>
          <w:rFonts w:ascii="Times New Roman" w:eastAsia="方正楷体_GBK" w:hAnsi="Times New Roman"/>
          <w:b/>
          <w:bCs/>
          <w:kern w:val="2"/>
          <w:sz w:val="32"/>
          <w:szCs w:val="32"/>
          <w:shd w:val="clear" w:color="auto" w:fill="auto"/>
        </w:rPr>
        <w:t>（一）机关运行经费</w:t>
      </w:r>
      <w:r>
        <w:rPr>
          <w:rFonts w:ascii="Times New Roman" w:hAnsi="Times New Roman"/>
          <w:kern w:val="2"/>
          <w:sz w:val="32"/>
          <w:szCs w:val="32"/>
        </w:rPr>
        <w:br/>
        <w:t xml:space="preserve">　 </w:t>
      </w:r>
      <w:r>
        <w:rPr>
          <w:rFonts w:ascii="Times New Roman" w:eastAsia="方正仿宋_GBK" w:hAnsi="Times New Roman"/>
          <w:color w:val="FF0000"/>
          <w:kern w:val="2"/>
          <w:sz w:val="32"/>
          <w:szCs w:val="32"/>
        </w:rPr>
        <w:t xml:space="preserve"> </w:t>
      </w:r>
      <w:r>
        <w:rPr>
          <w:rFonts w:ascii="Times New Roman" w:eastAsia="方正仿宋_GBK" w:hAnsi="Times New Roman"/>
          <w:sz w:val="32"/>
          <w:szCs w:val="32"/>
        </w:rPr>
        <w:t>州专用通信中心</w:t>
      </w:r>
      <w:r>
        <w:rPr>
          <w:rFonts w:ascii="Times New Roman" w:eastAsia="方正仿宋_GBK" w:hAnsi="Times New Roman"/>
          <w:kern w:val="2"/>
          <w:sz w:val="32"/>
          <w:szCs w:val="32"/>
        </w:rPr>
        <w:t>2025年机关运行经费财政拨款预算为31.52万元，比2024年预算减少1.66万元，减少5%。</w:t>
      </w:r>
    </w:p>
    <w:p>
      <w:pPr>
        <w:pStyle w:val="22"/>
        <w:spacing w:before="0" w:line="360" w:lineRule="auto"/>
        <w:ind w:firstLineChars="200" w:firstLine="640"/>
        <w:rPr>
          <w:rFonts w:ascii="Times New Roman" w:hAnsi="Times New Roman"/>
          <w:kern w:val="2"/>
          <w:sz w:val="32"/>
          <w:szCs w:val="32"/>
        </w:rPr>
      </w:pPr>
      <w:r>
        <w:rPr>
          <w:rFonts w:ascii="Times New Roman" w:eastAsia="方正楷体_GBK" w:hAnsi="Times New Roman"/>
          <w:b/>
          <w:bCs/>
          <w:kern w:val="2"/>
          <w:sz w:val="32"/>
          <w:szCs w:val="32"/>
          <w:shd w:val="clear" w:color="auto" w:fill="auto"/>
        </w:rPr>
        <w:t>（二）政府采购情况</w:t>
      </w:r>
      <w:r>
        <w:rPr>
          <w:rFonts w:ascii="Times New Roman" w:hAnsi="Times New Roman"/>
          <w:kern w:val="2"/>
          <w:sz w:val="32"/>
          <w:szCs w:val="32"/>
        </w:rPr>
        <w:br/>
        <w:t>　</w:t>
      </w:r>
      <w:r>
        <w:rPr>
          <w:rFonts w:ascii="Times New Roman" w:hAnsi="Times New Roman"/>
          <w:color w:val="000000"/>
          <w:kern w:val="2"/>
          <w:sz w:val="32"/>
          <w:szCs w:val="32"/>
        </w:rPr>
        <w:t>　</w:t>
      </w:r>
      <w:r>
        <w:rPr>
          <w:rFonts w:ascii="Times New Roman" w:eastAsia="方正仿宋_GBK" w:hAnsi="Times New Roman"/>
          <w:sz w:val="32"/>
          <w:szCs w:val="32"/>
        </w:rPr>
        <w:t>州专用通信中心</w:t>
      </w:r>
      <w:r>
        <w:rPr>
          <w:rFonts w:ascii="Times New Roman" w:eastAsia="方正仿宋_GBK" w:hAnsi="Times New Roman"/>
          <w:kern w:val="2"/>
          <w:sz w:val="32"/>
          <w:szCs w:val="32"/>
        </w:rPr>
        <w:t>安排政府采购预算0万元。</w:t>
      </w:r>
    </w:p>
    <w:p>
      <w:pPr>
        <w:pStyle w:val="22"/>
        <w:spacing w:before="0" w:line="360" w:lineRule="auto"/>
        <w:ind w:firstLineChars="200" w:firstLine="640"/>
        <w:outlineLvl w:val="1"/>
        <w:rPr>
          <w:rFonts w:ascii="Times New Roman" w:eastAsia="方正楷体_GBK" w:hAnsi="Times New Roman"/>
          <w:b/>
          <w:bCs/>
          <w:kern w:val="2"/>
          <w:sz w:val="32"/>
          <w:szCs w:val="32"/>
          <w:shd w:val="clear" w:color="auto" w:fill="auto"/>
        </w:rPr>
      </w:pPr>
      <w:bookmarkStart w:id="24" w:name="_Toc27385"/>
      <w:r>
        <w:rPr>
          <w:rFonts w:ascii="Times New Roman" w:eastAsia="方正楷体_GBK" w:hAnsi="Times New Roman"/>
          <w:b/>
          <w:bCs/>
          <w:kern w:val="2"/>
          <w:sz w:val="32"/>
          <w:szCs w:val="32"/>
          <w:shd w:val="clear" w:color="auto" w:fill="auto"/>
        </w:rPr>
        <w:t>（三）国有资产占有使用情况</w:t>
      </w:r>
      <w:bookmarkEnd w:id="24"/>
    </w:p>
    <w:p>
      <w:pPr>
        <w:pStyle w:val="22"/>
        <w:spacing w:before="0" w:line="360" w:lineRule="auto"/>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截至2024年12月31日，我单位固定资产0万元，原因为固定资产统一在州委办公室登记。</w:t>
      </w:r>
    </w:p>
    <w:p>
      <w:pPr>
        <w:pStyle w:val="22"/>
        <w:spacing w:before="0" w:line="360" w:lineRule="auto"/>
        <w:ind w:firstLineChars="200" w:firstLine="640"/>
        <w:rPr>
          <w:rFonts w:ascii="Times New Roman" w:eastAsia="黑体" w:hAnsi="Times New Roman"/>
          <w:sz w:val="32"/>
          <w:szCs w:val="32"/>
        </w:rPr>
      </w:pPr>
      <w:r>
        <w:rPr>
          <w:rFonts w:ascii="Times New Roman" w:eastAsia="方正楷体_GBK" w:hAnsi="Times New Roman"/>
          <w:b/>
          <w:bCs/>
          <w:kern w:val="2"/>
          <w:sz w:val="32"/>
          <w:szCs w:val="32"/>
          <w:shd w:val="clear" w:color="auto" w:fill="auto"/>
        </w:rPr>
        <w:t>（四）绩效目标设置情况</w:t>
      </w:r>
      <w:r>
        <w:rPr>
          <w:rFonts w:ascii="Times New Roman" w:hAnsi="Times New Roman"/>
          <w:kern w:val="2"/>
          <w:sz w:val="32"/>
          <w:szCs w:val="32"/>
        </w:rPr>
        <w:br/>
        <w:t>　</w:t>
      </w:r>
      <w:r>
        <w:rPr>
          <w:rFonts w:ascii="Times New Roman" w:eastAsia="方正仿宋_GBK" w:hAnsi="Times New Roman"/>
          <w:kern w:val="2"/>
          <w:sz w:val="32"/>
          <w:szCs w:val="32"/>
        </w:rPr>
        <w:t>　2025年</w:t>
      </w: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通用项目和专用项目均按要求实行绩效目标管理，涉及一般公共预算当年拨款0万元。</w:t>
      </w:r>
    </w:p>
    <w:p>
      <w:pPr>
        <w:pStyle w:val="22"/>
        <w:spacing w:before="0" w:line="360" w:lineRule="auto"/>
        <w:ind w:firstLineChars="200" w:firstLine="640"/>
        <w:rPr>
          <w:rFonts w:ascii="Times New Roman" w:hAnsi="Times New Roman"/>
          <w:kern w:val="2"/>
          <w:sz w:val="32"/>
          <w:szCs w:val="32"/>
        </w:rPr>
      </w:pPr>
      <w:r>
        <w:rPr>
          <w:rFonts w:ascii="Times New Roman" w:eastAsia="方正黑体_GBK" w:hAnsi="Times New Roman"/>
          <w:kern w:val="2"/>
          <w:sz w:val="32"/>
          <w:szCs w:val="32"/>
          <w:shd w:val="clear" w:color="auto" w:fill="auto"/>
          <w:lang w:bidi="ar-SA"/>
        </w:rPr>
        <w:t xml:space="preserve">十、名称解释 </w:t>
      </w:r>
      <w:r>
        <w:rPr>
          <w:rFonts w:ascii="Times New Roman" w:hAnsi="Times New Roman"/>
          <w:sz w:val="32"/>
          <w:szCs w:val="32"/>
        </w:rPr>
        <w:br/>
      </w:r>
      <w:r>
        <w:rPr>
          <w:rFonts w:ascii="Times New Roman" w:eastAsia="宋体" w:hAnsi="Times New Roman"/>
          <w:sz w:val="16"/>
        </w:rPr>
        <w:t xml:space="preserve">　　   </w:t>
      </w:r>
      <w:r>
        <w:rPr>
          <w:rFonts w:ascii="Times New Roman" w:eastAsia="方正仿宋_GBK" w:cs="Times New Roman" w:hAnsi="Times New Roman"/>
          <w:sz w:val="32"/>
          <w:szCs w:val="32"/>
        </w:rPr>
        <w:t xml:space="preserve"> </w:t>
      </w:r>
      <w:r>
        <w:rPr>
          <w:rFonts w:ascii="Times New Roman" w:eastAsia="方正仿宋_GBK" w:cs="Times New Roman" w:hAnsi="Times New Roman"/>
          <w:b/>
          <w:bCs/>
          <w:kern w:val="2"/>
          <w:sz w:val="32"/>
          <w:szCs w:val="32"/>
          <w:lang w:val="en-US" w:eastAsia="zh-CN" w:bidi="ar-SA"/>
        </w:rPr>
        <w:t>（一）财政拨款收入：</w:t>
      </w:r>
      <w:r>
        <w:rPr>
          <w:rFonts w:ascii="Times New Roman" w:eastAsia="方正仿宋_GBK" w:cs="Times New Roman" w:hAnsi="Times New Roman"/>
          <w:kern w:val="2"/>
          <w:sz w:val="32"/>
          <w:szCs w:val="32"/>
          <w:lang w:val="en-US" w:eastAsia="zh-CN" w:bidi="ar-SA"/>
        </w:rPr>
        <w:t>指由财政拨款形成的部门收入。按现行管理制度，部门预算中反映的财政拨款仅包括一般公共预算拨款和政府性基金预算拨款。</w:t>
        <w:br/>
        <w:t>　　</w:t>
      </w:r>
      <w:r>
        <w:rPr>
          <w:rFonts w:ascii="Times New Roman" w:eastAsia="方正仿宋_GBK" w:cs="Times New Roman" w:hAnsi="Times New Roman"/>
          <w:b/>
          <w:bCs/>
          <w:kern w:val="2"/>
          <w:sz w:val="32"/>
          <w:szCs w:val="32"/>
          <w:lang w:val="en-US" w:eastAsia="zh-CN" w:bidi="ar-SA"/>
        </w:rPr>
        <w:t>（二）事业收入：</w:t>
      </w:r>
      <w:r>
        <w:rPr>
          <w:rFonts w:ascii="Times New Roman" w:eastAsia="方正仿宋_GBK" w:cs="Times New Roman" w:hAnsi="Times New Roman"/>
          <w:kern w:val="2"/>
          <w:sz w:val="32"/>
          <w:szCs w:val="32"/>
          <w:lang w:val="en-US" w:eastAsia="zh-CN" w:bidi="ar-SA"/>
        </w:rPr>
        <w:t>指所属事业单位开展专业业务活动及辅助活动所取得的收入。</w:t>
      </w:r>
    </w:p>
    <w:sectPr>
      <w:footerReference w:type="default" r:id="rId6"/>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方正仿宋_GBK">
    <w:panose1 w:val="03000509000000000000"/>
    <w:charset w:val="86"/>
    <w:family w:val="auto"/>
    <w:pitch w:val="variable"/>
    <w:sig w:usb0="00000001" w:usb1="080E0000" w:usb2="00000000" w:usb3="00000000" w:csb0="00040000" w:csb1="00000000"/>
  </w:font>
  <w:font w:name="方正小标宋_GBK">
    <w:panose1 w:val="03000502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auto"/>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top w:val="none" w:sz="0" w:space="0" w:color="auto"/>
        <w:left w:val="none" w:sz="0" w:space="0" w:color="auto"/>
        <w:bottom w:val="none" w:sz="0" w:space="0" w:color="auto"/>
        <w:right w:val="none" w:sz="0" w:space="0" w:color="auto"/>
      </w:pBdr>
      <w:tabs>
        <w:tab w:val="center" w:pos="4153"/>
        <w:tab w:val="right" w:pos="8306"/>
      </w:tabs>
    </w:pP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6"/>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top w:val="none" w:sz="0" w:space="0" w:color="auto"/>
        <w:left w:val="none" w:sz="0" w:space="0" w:color="auto"/>
        <w:bottom w:val="none" w:sz="0" w:space="0" w:color="auto"/>
        <w:right w:val="none" w:sz="0" w:space="0" w:color="auto"/>
      </w:pBdr>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2"/>
              <wp:cNvGraphicFramePr>
                <a:graphicFrameLocks noChangeAspect="0"/>
              </wp:cNvGraphicFramePr>
              <a:graphic>
                <a:graphicData uri="http://schemas.microsoft.com/office/word/2010/wordprocessingShape">
                  <wps:wsp>
                    <wps:cNvSpPr/>
                    <wps:spPr>
                      <a:xfrm rot="0">
                        <a:off x="0" y="0"/>
                        <a:ext cx="57150" cy="131559"/>
                      </a:xfrm>
                      <a:prstGeom prst="rect"/>
                      <a:noFill/>
                      <a:ln w="6350" cmpd="sng" cap="flat">
                        <a:noFill/>
                        <a:prstDash val="solid"/>
                        <a:round/>
                      </a:ln>
                    </wps:spPr>
                    <wps:txbx id="2">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4.5pt;height:10.359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p>
    <w:pPr>
      <w:pStyle w:val="16"/>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zE3ZmVhZTgyNzdlYmRhZjMxNDcyMWE1OWMzMTRiYT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both"/>
    </w:pPr>
    <w:rPr>
      <w:rFonts w:ascii="Calibri" w:eastAsia="宋体" w:cs="Times New Roman" w:hAnsi="Calibri"/>
      <w:kern w:val="2"/>
      <w:sz w:val="21"/>
      <w:szCs w:val="22"/>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rPr>
  </w:style>
  <w:style w:type="paragraph" w:styleId="2">
    <w:name w:val="heading 2"/>
    <w:basedOn w:val="0"/>
    <w:autoRedefine/>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autoRedefine/>
    <w:next w:val="0"/>
    <w:pPr>
      <w:keepNext/>
      <w:keepLines/>
      <w:widowControl w:val="0"/>
      <w:spacing w:before="260" w:after="260" w:line="415" w:lineRule="auto"/>
      <w:outlineLvl w:val="2"/>
    </w:pPr>
    <w:rPr>
      <w:b/>
      <w:sz w:val="32"/>
    </w:rPr>
  </w:style>
  <w:style w:type="character" w:default="1" w:styleId="10">
    <w:name w:val="Default Paragraph Font"/>
    <w:autoRedefine/>
  </w:style>
  <w:style w:type="paragraph" w:styleId="15">
    <w:name w:val="toc 3"/>
    <w:basedOn w:val="0"/>
    <w:next w:val="0"/>
    <w:pPr>
      <w:ind w:leftChars="400" w:left="400"/>
    </w:pPr>
  </w:style>
  <w:style w:type="paragraph" w:styleId="16">
    <w:name w:val="footer"/>
    <w:basedOn w:val="0"/>
    <w:autoRedefine/>
    <w:pPr>
      <w:tabs>
        <w:tab w:val="center" w:pos="4153"/>
        <w:tab w:val="right" w:pos="8306"/>
      </w:tabs>
      <w:snapToGrid w:val="0"/>
      <w:jc w:val="left"/>
    </w:pPr>
    <w:rPr>
      <w:sz w:val="18"/>
      <w:szCs w:val="18"/>
    </w:rPr>
  </w:style>
  <w:style w:type="paragraph" w:styleId="17">
    <w:name w:val="header"/>
    <w:basedOn w:val="0"/>
    <w:autoRedefine/>
    <w:pPr>
      <w:pBdr>
        <w:bottom w:val="single" w:sz="6" w:space="1" w:color="auto"/>
      </w:pBdr>
      <w:tabs>
        <w:tab w:val="center" w:pos="4153"/>
        <w:tab w:val="right" w:pos="8306"/>
      </w:tabs>
      <w:snapToGrid w:val="0"/>
      <w:jc w:val="center"/>
    </w:pPr>
    <w:rPr>
      <w:sz w:val="18"/>
      <w:szCs w:val="18"/>
    </w:rPr>
  </w:style>
  <w:style w:type="paragraph" w:styleId="18">
    <w:name w:val="toc 1"/>
    <w:basedOn w:val="0"/>
    <w:next w:val="0"/>
  </w:style>
  <w:style w:type="paragraph" w:styleId="19">
    <w:name w:val="toc 2"/>
    <w:basedOn w:val="0"/>
    <w:next w:val="0"/>
    <w:pPr>
      <w:ind w:leftChars="200" w:left="200"/>
    </w:pPr>
  </w:style>
  <w:style w:type="character" w:styleId="20">
    <w:name w:val="page number"/>
    <w:basedOn w:val="10"/>
    <w:autoRedefine/>
  </w:style>
  <w:style w:type="paragraph" w:styleId="21">
    <w:name w:val="List Paragraph"/>
    <w:basedOn w:val="0"/>
    <w:autoRedefine/>
    <w:pPr>
      <w:ind w:firstLineChars="200" w:firstLine="200"/>
    </w:pPr>
  </w:style>
  <w:style w:type="paragraph" w:customStyle="1" w:styleId="22">
    <w:name w:val="正文文本1"/>
    <w:basedOn w:val="0"/>
    <w:autoRedefine/>
    <w:pPr>
      <w:spacing w:before="93"/>
    </w:pPr>
    <w:rPr>
      <w:rFonts w:ascii="仿宋_GB2312" w:eastAsia="仿宋_GB2312"/>
      <w:kern w:val="0"/>
      <w:sz w:val="30"/>
      <w:szCs w:val="20"/>
    </w:rPr>
  </w:style>
  <w:style w:type="paragraph" w:customStyle="1" w:styleId="23">
    <w:name w:val="WPSOffice手动目录 1"/>
    <w:rPr>
      <w:rFonts w:ascii="Times New Roman" w:eastAsia="宋体" w:cs="Times New Roman" w:hAnsi="Times New Roman"/>
      <w:sz w:val="20"/>
      <w:szCs w:val="20"/>
      <w:lang w:val="en-US" w:eastAsia="zh-CN" w:bidi="ar-SA"/>
    </w:rPr>
  </w:style>
  <w:style w:type="paragraph" w:customStyle="1" w:styleId="24">
    <w:name w:val="WPSOffice手动目录 2"/>
    <w:pPr>
      <w:ind w:leftChars="200" w:left="200"/>
    </w:pPr>
    <w:rPr>
      <w:rFonts w:ascii="Times New Roman" w:eastAsia="宋体" w:cs="Times New Roman" w:hAnsi="Times New Roman"/>
      <w:sz w:val="20"/>
      <w:szCs w:val="20"/>
      <w:lang w:val="en-US" w:eastAsia="zh-CN" w:bidi="ar-SA"/>
    </w:rPr>
  </w:style>
  <w:style w:type="paragraph" w:customStyle="1" w:styleId="25">
    <w:name w:val="WPSOffice手动目录 3"/>
    <w:pPr>
      <w:ind w:leftChars="400" w:left="400"/>
    </w:pPr>
    <w:rPr>
      <w:rFonts w:ascii="Times New Roman" w:eastAsia="宋体" w:cs="Times New Roman" w:hAnsi="Times New Roman"/>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221</TotalTime>
  <Application>Yozo_Office27021597764231179</Application>
  <Pages>7</Pages>
  <Words>1980</Words>
  <Characters>2376</Characters>
  <Lines>145</Lines>
  <Paragraphs>77</Paragraphs>
  <CharactersWithSpaces>2421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2018-01-30T09:39:00Z</cp:lastPrinted>
  <dcterms:created xsi:type="dcterms:W3CDTF">2022-12-30T09:44:00Z</dcterms:created>
  <dcterms:modified xsi:type="dcterms:W3CDTF">2025-02-18T07:57:06Z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2052-12.1.0.16250</vt:lpwstr>
  </property>
  <property fmtid="{D5CDD505-2E9C-101B-9397-08002B2CF9AE}" pid="3" name="ICV">
    <vt:lpwstr>574AC1E7C7674CCB816E93155EF7E101_12</vt:lpwstr>
  </property>
</Properties>
</file>