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hAnsi="Times New Roman"/>
        </w:rPr>
      </w:pPr>
    </w:p>
    <w:p>
      <w:pPr>
        <w:rPr>
          <w:rFonts w:ascii="Times New Roman" w:hAnsi="Times New Roman"/>
        </w:rPr>
      </w:pPr>
    </w:p>
    <w:p>
      <w:pPr>
        <w:rPr>
          <w:rFonts w:ascii="Times New Roman" w:hAnsi="Times New Roman"/>
        </w:rPr>
      </w:pPr>
    </w:p>
    <w:p>
      <w:pPr>
        <w:ind w:firstLineChars="500" w:firstLine="1050"/>
        <w:rPr>
          <w:rFonts w:ascii="Times New Roman" w:hAnsi="Times New Roman"/>
        </w:rPr>
      </w:pPr>
    </w:p>
    <w:p>
      <w:pPr>
        <w:ind w:firstLineChars="500" w:firstLine="1050"/>
        <w:rPr>
          <w:rFonts w:ascii="Times New Roman" w:hAnsi="Times New Roman"/>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jc w:val="center"/>
        <w:rPr>
          <w:rFonts w:ascii="Times New Roman" w:eastAsia="黑体" w:hAnsi="Times New Roman"/>
          <w:sz w:val="44"/>
          <w:szCs w:val="44"/>
        </w:rPr>
      </w:pPr>
      <w:r>
        <w:rPr>
          <w:rFonts w:ascii="Times New Roman" w:eastAsia="黑体" w:hAnsi="Times New Roman"/>
          <w:sz w:val="44"/>
          <w:szCs w:val="44"/>
        </w:rPr>
        <w:t>中共阿坝州委办公室（部门）</w:t>
      </w:r>
    </w:p>
    <w:p>
      <w:pPr>
        <w:jc w:val="center"/>
        <w:rPr>
          <w:rFonts w:ascii="Times New Roman" w:eastAsia="黑体" w:hAnsi="Times New Roman"/>
          <w:sz w:val="44"/>
          <w:szCs w:val="44"/>
        </w:rPr>
      </w:pPr>
      <w:r>
        <w:rPr>
          <w:rFonts w:ascii="Times New Roman" w:eastAsia="黑体" w:hAnsi="Times New Roman"/>
          <w:sz w:val="44"/>
          <w:szCs w:val="44"/>
        </w:rPr>
        <w:t>2025年部门预算</w:t>
      </w: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ind w:firstLineChars="400" w:firstLine="1760"/>
        <w:rPr>
          <w:rFonts w:ascii="Times New Roman" w:eastAsia="黑体" w:hAnsi="Times New Roman"/>
          <w:sz w:val="44"/>
          <w:szCs w:val="44"/>
        </w:rPr>
      </w:pPr>
    </w:p>
    <w:p>
      <w:pPr>
        <w:rPr>
          <w:rFonts w:ascii="Times New Roman" w:eastAsia="黑体" w:hAnsi="Times New Roman"/>
          <w:sz w:val="44"/>
          <w:szCs w:val="44"/>
        </w:rPr>
      </w:pPr>
    </w:p>
    <w:p>
      <w:pPr>
        <w:rPr>
          <w:rFonts w:ascii="Times New Roman" w:eastAsia="黑体" w:hAnsi="Times New Roman"/>
          <w:sz w:val="44"/>
          <w:szCs w:val="44"/>
        </w:rPr>
      </w:pPr>
    </w:p>
    <w:p>
      <w:pPr>
        <w:ind w:firstLineChars="400" w:firstLine="1760"/>
        <w:rPr>
          <w:rFonts w:ascii="Times New Roman" w:eastAsia="黑体" w:hAnsi="Times New Roman"/>
          <w:sz w:val="44"/>
          <w:szCs w:val="44"/>
        </w:rPr>
      </w:pPr>
    </w:p>
    <w:p>
      <w:pPr>
        <w:spacing w:line="540" w:lineRule="exact"/>
        <w:ind w:firstLineChars="200" w:firstLine="640"/>
        <w:jc w:val="center"/>
        <w:rPr>
          <w:rFonts w:ascii="Times New Roman" w:eastAsia="方正仿宋_GBK" w:hAnsi="Times New Roman" w:hint="eastAsia"/>
          <w:sz w:val="32"/>
          <w:szCs w:val="32"/>
          <w:u w:val="none"/>
          <w:lang w:eastAsia="zh-CN" w:bidi="ar-SA"/>
        </w:rPr>
      </w:pPr>
      <w:r>
        <w:rPr>
          <w:rFonts w:ascii="Times New Roman" w:eastAsia="方正仿宋_GBK" w:hAnsi="Times New Roman" w:hint="eastAsia"/>
          <w:sz w:val="32"/>
          <w:szCs w:val="32"/>
          <w:u w:val="none"/>
          <w:lang w:eastAsia="zh-CN" w:bidi="ar-SA"/>
        </w:rPr>
        <w:t>已经保密审查，内容审定，同意对外公开</w:t>
      </w:r>
    </w:p>
    <w:p>
      <w:pPr>
        <w:rPr>
          <w:rFonts w:ascii="Times New Roman" w:eastAsia="黑体" w:hAnsi="Times New Roman"/>
          <w:sz w:val="44"/>
          <w:szCs w:val="44"/>
        </w:rPr>
        <w:sectPr>
          <w:headerReference w:type="default" r:id="rId2"/>
          <w:footerReference w:type="default" r:id="rId3"/>
          <w:footerReference w:type="even" r:id="rId4"/>
          <w:pgSz w:w="11906" w:h="16838"/>
          <w:pgMar w:top="1440" w:right="1800" w:bottom="1440" w:left="1800" w:header="851" w:footer="992" w:gutter="0"/>
          <w:docGrid w:type="lines" w:linePitch="312" w:charSpace="0"/>
        </w:sectPr>
      </w:pPr>
    </w:p>
    <w:p>
      <w:pPr>
        <w:rPr>
          <w:rFonts w:ascii="Times New Roman" w:eastAsia="黑体" w:cs="Times New Roman" w:hAnsi="Times New Roman"/>
          <w:sz w:val="44"/>
          <w:szCs w:val="44"/>
        </w:rPr>
      </w:pPr>
    </w:p>
    <w:p>
      <w:pPr>
        <w:wordWrap/>
        <w:adjustRightInd/>
        <w:snapToGrid/>
        <w:spacing w:line="560" w:lineRule="exact"/>
        <w:jc w:val="center"/>
        <w:rPr>
          <w:rFonts w:ascii="Times New Roman" w:eastAsia="方正小标宋_GBK" w:hAnsi="Times New Roman"/>
          <w:sz w:val="44"/>
          <w:szCs w:val="44"/>
          <w:shd w:val="clear" w:color="auto" w:fill="auto"/>
          <w:lang w:bidi="ar-SA"/>
        </w:rPr>
      </w:pPr>
      <w:r>
        <w:rPr>
          <w:rFonts w:ascii="Times New Roman" w:eastAsia="方正小标宋_GBK" w:hAnsi="Times New Roman"/>
          <w:sz w:val="44"/>
          <w:szCs w:val="44"/>
          <w:shd w:val="clear" w:color="auto" w:fill="auto"/>
          <w:lang w:bidi="ar-SA"/>
        </w:rPr>
        <w:t>目录</w:t>
      </w:r>
    </w:p>
    <w:sdt>
      <w:sdtPr>
        <w:rPr>
          <w:rFonts w:ascii="Times New Roman" w:eastAsia="宋体" w:cs="Times New Roman" w:hAnsi="Times New Roman"/>
          <w:kern w:val="2"/>
          <w:sz w:val="21"/>
          <w:szCs w:val="22"/>
          <w:lang w:val="en-US" w:eastAsia="zh-CN" w:bidi="ar-SA"/>
        </w:rPr>
        <w:id w:val="160835545"/>
        <w15:color w:val="DBDBDB"/>
        <w:docPartObj>
          <w:docPartGallery w:val="Table of Contents"/>
          <w:docPartUnique/>
        </w:docPartObj>
      </w:sdtPr>
      <w:sdtEndPr>
        <w:rPr>
          <w:rFonts w:eastAsia="黑体"/>
          <w:szCs w:val="52"/>
        </w:rPr>
      </w:sdtEndPr>
      <w:sdtContent>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0"/>
            <w:jc w:val="center"/>
            <w:textAlignment w:val="auto"/>
            <w:rPr>
              <w:rFonts w:ascii="Times New Roman" w:cs="Times New Roman" w:hAnsi="Times New Roman"/>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TOC \o "1-3" \h \u </w:instrText>
          </w:r>
          <w:r>
            <w:rPr>
              <w:rFonts w:ascii="Times New Roman" w:eastAsia="黑体" w:cs="Times New Roman" w:hAnsi="Times New Roman"/>
              <w:sz w:val="32"/>
              <w:szCs w:val="32"/>
            </w:rPr>
            <w:fldChar w:fldCharType="separate"/>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_Toc28286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一、基本职能及主要工作</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_Toc28286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_Toc22134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（一）部门职能简介</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_Toc22134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_Toc31384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（二）2025年重点工作</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_Toc31384 \h </w:instrText>
          </w:r>
          <w:r>
            <w:rPr>
              <w:rFonts w:ascii="Times New Roman" w:cs="Times New Roman" w:hAnsi="Times New Roman"/>
              <w:sz w:val="32"/>
              <w:szCs w:val="32"/>
            </w:rPr>
            <w:fldChar w:fldCharType="separate"/>
          </w:r>
          <w:r>
            <w:rPr>
              <w:rFonts w:ascii="Times New Roman" w:cs="Times New Roman" w:hAnsi="Times New Roman"/>
              <w:sz w:val="32"/>
              <w:szCs w:val="32"/>
            </w:rPr>
            <w:t>1</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_Toc20798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二、部门预算单位构成</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_Toc20798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_Toc16026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三、收支预算情况说明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_Toc16026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_Toc13135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（一）收入预算情况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_Toc13135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_Toc11458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（二）支出预算情况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_Toc11458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_Toc20457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四、财政拨款收支预算情况说明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_Toc20457 \h </w:instrText>
          </w:r>
          <w:r>
            <w:rPr>
              <w:rFonts w:ascii="Times New Roman" w:cs="Times New Roman" w:hAnsi="Times New Roman"/>
              <w:sz w:val="32"/>
              <w:szCs w:val="32"/>
            </w:rPr>
            <w:fldChar w:fldCharType="separate"/>
          </w:r>
          <w:r>
            <w:rPr>
              <w:rFonts w:ascii="Times New Roman" w:cs="Times New Roman" w:hAnsi="Times New Roman"/>
              <w:sz w:val="32"/>
              <w:szCs w:val="32"/>
            </w:rPr>
            <w:t>3</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_Toc13667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五、一般公共预算当年拨款情况说明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_Toc13667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_Toc24538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（一）一般公共预算当年拨款规模变化情况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_Toc24538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_Toc14516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（二）一般公共预算当年拨款结构情况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_Toc14516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_Toc10902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sz w:val="32"/>
              <w:szCs w:val="32"/>
              <w:shd w:val="clear" w:color="auto" w:fill="auto"/>
            </w:rPr>
            <w:t>（三）一般公共预算当年拨款具体使用情况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_Toc10902 \h </w:instrText>
          </w:r>
          <w:r>
            <w:rPr>
              <w:rFonts w:ascii="Times New Roman" w:cs="Times New Roman" w:hAnsi="Times New Roman"/>
              <w:sz w:val="32"/>
              <w:szCs w:val="32"/>
            </w:rPr>
            <w:fldChar w:fldCharType="separate"/>
          </w:r>
          <w:r>
            <w:rPr>
              <w:rFonts w:ascii="Times New Roman" w:cs="Times New Roman" w:hAnsi="Times New Roman"/>
              <w:sz w:val="32"/>
              <w:szCs w:val="32"/>
            </w:rPr>
            <w:t>4</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_Toc20368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六、一般公共预算基本支出情况说明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_Toc20368 \h </w:instrText>
          </w:r>
          <w:r>
            <w:rPr>
              <w:rFonts w:ascii="Times New Roman" w:cs="Times New Roman" w:hAnsi="Times New Roman"/>
              <w:sz w:val="32"/>
              <w:szCs w:val="32"/>
            </w:rPr>
            <w:fldChar w:fldCharType="separate"/>
          </w:r>
          <w:r>
            <w:rPr>
              <w:rFonts w:ascii="Times New Roman" w:cs="Times New Roman" w:hAnsi="Times New Roman"/>
              <w:sz w:val="32"/>
              <w:szCs w:val="32"/>
            </w:rPr>
            <w:t>5</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_Toc20368 </w:instrText>
          </w:r>
          <w:r>
            <w:rPr>
              <w:rFonts w:ascii="Times New Roman" w:eastAsia="黑体" w:cs="Times New Roman" w:hAnsi="Times New Roman"/>
              <w:sz w:val="32"/>
              <w:szCs w:val="32"/>
            </w:rPr>
            <w:fldChar w:fldCharType="separate"/>
          </w:r>
          <w:r>
            <w:rPr>
              <w:rFonts w:ascii="Times New Roman" w:eastAsia="黑体" w:cs="Times New Roman" w:hAnsi="Times New Roman"/>
              <w:sz w:val="32"/>
              <w:szCs w:val="32"/>
              <w:lang w:eastAsia="zh-CN"/>
            </w:rPr>
            <w:t>七</w:t>
          </w:r>
          <w:r>
            <w:rPr>
              <w:rFonts w:ascii="Times New Roman" w:eastAsia="方正黑体_GBK" w:cs="Times New Roman" w:hAnsi="Times New Roman"/>
              <w:sz w:val="32"/>
              <w:szCs w:val="32"/>
              <w:shd w:val="clear" w:color="auto" w:fill="auto"/>
              <w:lang w:bidi="ar-SA"/>
            </w:rPr>
            <w:t>、“三公”经费财政拨款预算安排情况说明</w:t>
          </w:r>
          <w:r>
            <w:rPr>
              <w:rFonts w:ascii="Times New Roman" w:cs="Times New Roman" w:hAnsi="Times New Roman"/>
              <w:sz w:val="32"/>
              <w:szCs w:val="32"/>
            </w:rPr>
            <w:tab/>
          </w:r>
          <w:r>
            <w:rPr>
              <w:rFonts w:ascii="Times New Roman" w:cs="Times New Roman" w:hAnsi="Times New Roman"/>
              <w:sz w:val="32"/>
              <w:szCs w:val="32"/>
              <w:lang w:val="en-US" w:eastAsia="zh-CN"/>
            </w:rPr>
            <w:t>6</w:t>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_Toc32740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八、政府性基金预算支出情况说明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_Toc32740 \h </w:instrText>
          </w:r>
          <w:r>
            <w:rPr>
              <w:rFonts w:ascii="Times New Roman" w:cs="Times New Roman" w:hAnsi="Times New Roman"/>
              <w:sz w:val="32"/>
              <w:szCs w:val="32"/>
            </w:rPr>
            <w:fldChar w:fldCharType="separate"/>
          </w:r>
          <w:r>
            <w:rPr>
              <w:rFonts w:ascii="Times New Roman" w:cs="Times New Roman" w:hAnsi="Times New Roman"/>
              <w:sz w:val="32"/>
              <w:szCs w:val="32"/>
            </w:rPr>
            <w:t>6</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_Toc5991 </w:instrText>
          </w:r>
          <w:r>
            <w:rPr>
              <w:rFonts w:ascii="Times New Roman" w:eastAsia="黑体" w:cs="Times New Roman" w:hAnsi="Times New Roman"/>
              <w:sz w:val="32"/>
              <w:szCs w:val="32"/>
            </w:rPr>
            <w:fldChar w:fldCharType="separate"/>
          </w:r>
          <w:r>
            <w:rPr>
              <w:rFonts w:ascii="Times New Roman" w:eastAsia="方正黑体_GBK" w:cs="Times New Roman" w:hAnsi="Times New Roman"/>
              <w:sz w:val="32"/>
              <w:szCs w:val="32"/>
              <w:shd w:val="clear" w:color="auto" w:fill="auto"/>
              <w:lang w:bidi="ar-SA"/>
            </w:rPr>
            <w:t>九、其他重要事项的情况说明</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_Toc5991 \h </w:instrText>
          </w:r>
          <w:r>
            <w:rPr>
              <w:rFonts w:ascii="Times New Roman" w:cs="Times New Roman" w:hAnsi="Times New Roman"/>
              <w:sz w:val="32"/>
              <w:szCs w:val="32"/>
            </w:rPr>
            <w:fldChar w:fldCharType="separate"/>
          </w:r>
          <w:r>
            <w:rPr>
              <w:rFonts w:ascii="Times New Roman" w:cs="Times New Roman" w:hAnsi="Times New Roman"/>
              <w:sz w:val="32"/>
              <w:szCs w:val="32"/>
            </w:rPr>
            <w:t>7</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一</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机关运行经费</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7</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二</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政府采购情况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7</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cs="Times New Roman"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_Toc27385 </w:instrText>
          </w:r>
          <w:r>
            <w:rPr>
              <w:rFonts w:ascii="Times New Roman" w:eastAsia="黑体" w:cs="Times New Roman" w:hAnsi="Times New Roman"/>
              <w:sz w:val="32"/>
              <w:szCs w:val="32"/>
            </w:rPr>
            <w:fldChar w:fldCharType="separate"/>
          </w:r>
          <w:r>
            <w:rPr>
              <w:rFonts w:ascii="Times New Roman" w:eastAsia="方正楷体_GBK" w:cs="Times New Roman" w:hAnsi="Times New Roman"/>
              <w:bCs/>
              <w:kern w:val="2"/>
              <w:sz w:val="32"/>
              <w:szCs w:val="32"/>
              <w:shd w:val="clear" w:color="auto" w:fill="auto"/>
            </w:rPr>
            <w:t>（三）国有资产占有使用情况</w:t>
          </w:r>
          <w:r>
            <w:rPr>
              <w:rFonts w:ascii="Times New Roman" w:cs="Times New Roman" w:hAnsi="Times New Roman"/>
              <w:sz w:val="32"/>
              <w:szCs w:val="32"/>
            </w:rPr>
            <w:tab/>
          </w:r>
          <w:r>
            <w:rPr>
              <w:rFonts w:ascii="Times New Roman" w:cs="Times New Roman" w:hAnsi="Times New Roman"/>
              <w:sz w:val="32"/>
              <w:szCs w:val="32"/>
            </w:rPr>
            <w:fldChar w:fldCharType="begin"/>
          </w:r>
          <w:r>
            <w:rPr>
              <w:rFonts w:ascii="Times New Roman" w:cs="Times New Roman" w:hAnsi="Times New Roman"/>
              <w:sz w:val="32"/>
              <w:szCs w:val="32"/>
            </w:rPr>
            <w:instrText xml:space="preserve"> PAGEREF _Toc27385 \h </w:instrText>
          </w:r>
          <w:r>
            <w:rPr>
              <w:rFonts w:ascii="Times New Roman" w:cs="Times New Roman" w:hAnsi="Times New Roman"/>
              <w:sz w:val="32"/>
              <w:szCs w:val="32"/>
            </w:rPr>
            <w:fldChar w:fldCharType="separate"/>
          </w:r>
          <w:r>
            <w:rPr>
              <w:rFonts w:ascii="Times New Roman" w:cs="Times New Roman" w:hAnsi="Times New Roman"/>
              <w:sz w:val="32"/>
              <w:szCs w:val="32"/>
            </w:rPr>
            <w:t>7</w:t>
          </w:r>
          <w:r>
            <w:rPr>
              <w:rFonts w:ascii="Times New Roman" w:cs="Times New Roman" w:hAnsi="Times New Roman"/>
              <w:sz w:val="32"/>
              <w:szCs w:val="32"/>
            </w:rPr>
            <w:fldChar w:fldCharType="end"/>
          </w:r>
          <w:r>
            <w:rPr>
              <w:rFonts w:ascii="Times New Roman" w:eastAsia="黑体" w:cs="Times New Roman" w:hAnsi="Times New Roman"/>
              <w:sz w:val="32"/>
              <w:szCs w:val="32"/>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方正楷体_GBK" w:cs="Times New Roman" w:hAnsi="Times New Roman"/>
              <w:bCs/>
              <w:kern w:val="2"/>
              <w:sz w:val="32"/>
              <w:szCs w:val="32"/>
              <w:shd w:val="clear" w:color="auto" w:fill="auto"/>
            </w:rPr>
          </w:pPr>
          <w:r>
            <w:rPr>
              <w:rFonts w:ascii="Times New Roman" w:eastAsia="方正楷体_GBK" w:cs="Times New Roman" w:hAnsi="Times New Roman"/>
              <w:bCs/>
              <w:kern w:val="2"/>
              <w:sz w:val="32"/>
              <w:szCs w:val="32"/>
              <w:shd w:val="clear" w:color="auto" w:fill="auto"/>
            </w:rPr>
            <w:fldChar w:fldCharType="begin"/>
          </w:r>
          <w:r>
            <w:rPr>
              <w:rFonts w:ascii="Times New Roman" w:eastAsia="方正楷体_GBK" w:cs="Times New Roman" w:hAnsi="Times New Roman"/>
              <w:bCs/>
              <w:kern w:val="2"/>
              <w:sz w:val="32"/>
              <w:szCs w:val="32"/>
              <w:shd w:val="clear" w:color="auto" w:fill="auto"/>
            </w:rPr>
            <w:instrText xml:space="preserve"> HYPERLINK \l _Toc27385 </w:instrText>
          </w:r>
          <w:r>
            <w:rPr>
              <w:rFonts w:ascii="Times New Roman" w:eastAsia="方正楷体_GBK" w:cs="Times New Roman" w:hAnsi="Times New Roman"/>
              <w:bCs/>
              <w:kern w:val="2"/>
              <w:sz w:val="32"/>
              <w:szCs w:val="32"/>
              <w:shd w:val="clear" w:color="auto" w:fill="auto"/>
            </w:rPr>
            <w:fldChar w:fldCharType="separate"/>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四</w:t>
          </w:r>
          <w:r>
            <w:rPr>
              <w:rFonts w:ascii="Times New Roman" w:eastAsia="方正楷体_GBK" w:cs="Times New Roman" w:hAnsi="Times New Roman"/>
              <w:bCs/>
              <w:kern w:val="2"/>
              <w:sz w:val="32"/>
              <w:szCs w:val="32"/>
              <w:shd w:val="clear" w:color="auto" w:fill="auto"/>
            </w:rPr>
            <w:t>）</w:t>
          </w:r>
          <w:r>
            <w:rPr>
              <w:rFonts w:ascii="Times New Roman" w:eastAsia="方正楷体_GBK" w:cs="Times New Roman" w:hAnsi="Times New Roman"/>
              <w:bCs/>
              <w:kern w:val="2"/>
              <w:sz w:val="32"/>
              <w:szCs w:val="32"/>
              <w:shd w:val="clear" w:color="auto" w:fill="auto"/>
              <w:lang w:eastAsia="zh-CN"/>
            </w:rPr>
            <w:t>绩效目标设置情况</w:t>
          </w:r>
          <w:r>
            <w:rPr>
              <w:rFonts w:ascii="Times New Roman" w:eastAsia="方正楷体_GBK" w:cs="Times New Roman" w:hAnsi="Times New Roman"/>
              <w:bCs/>
              <w:kern w:val="2"/>
              <w:sz w:val="32"/>
              <w:szCs w:val="32"/>
              <w:shd w:val="clear" w:color="auto" w:fill="auto"/>
            </w:rPr>
            <w:tab/>
          </w:r>
          <w:r>
            <w:rPr>
              <w:rFonts w:ascii="Times New Roman" w:eastAsia="方正楷体_GBK" w:cs="Times New Roman" w:hAnsi="Times New Roman"/>
              <w:bCs/>
              <w:kern w:val="2"/>
              <w:sz w:val="32"/>
              <w:szCs w:val="32"/>
              <w:shd w:val="clear" w:color="auto" w:fill="auto"/>
            </w:rPr>
            <w:fldChar w:fldCharType="begin"/>
          </w:r>
          <w:r>
            <w:rPr>
              <w:rFonts w:ascii="Times New Roman" w:eastAsia="方正楷体_GBK" w:cs="Times New Roman" w:hAnsi="Times New Roman"/>
              <w:bCs/>
              <w:kern w:val="2"/>
              <w:sz w:val="32"/>
              <w:szCs w:val="32"/>
              <w:shd w:val="clear" w:color="auto" w:fill="auto"/>
            </w:rPr>
            <w:instrText xml:space="preserve"> PAGEREF _Toc27385 \h </w:instrText>
          </w:r>
          <w:r>
            <w:rPr>
              <w:rFonts w:ascii="Times New Roman" w:eastAsia="方正楷体_GBK" w:cs="Times New Roman" w:hAnsi="Times New Roman"/>
              <w:bCs/>
              <w:kern w:val="2"/>
              <w:sz w:val="32"/>
              <w:szCs w:val="32"/>
              <w:shd w:val="clear" w:color="auto" w:fill="auto"/>
            </w:rPr>
            <w:fldChar w:fldCharType="separate"/>
          </w:r>
          <w:r>
            <w:rPr>
              <w:rFonts w:ascii="Times New Roman" w:eastAsia="方正楷体_GBK" w:cs="Times New Roman" w:hAnsi="Times New Roman"/>
              <w:bCs/>
              <w:kern w:val="2"/>
              <w:sz w:val="32"/>
              <w:szCs w:val="32"/>
              <w:shd w:val="clear" w:color="auto" w:fill="auto"/>
            </w:rPr>
            <w:t>7</w:t>
          </w:r>
          <w:r>
            <w:rPr>
              <w:rFonts w:ascii="Times New Roman" w:eastAsia="方正楷体_GBK" w:cs="Times New Roman" w:hAnsi="Times New Roman"/>
              <w:bCs/>
              <w:kern w:val="2"/>
              <w:sz w:val="32"/>
              <w:szCs w:val="32"/>
              <w:shd w:val="clear" w:color="auto" w:fill="auto"/>
            </w:rPr>
            <w:fldChar w:fldCharType="end"/>
          </w:r>
          <w:r>
            <w:rPr>
              <w:rFonts w:ascii="Times New Roman" w:eastAsia="方正楷体_GBK" w:cs="Times New Roman" w:hAnsi="Times New Roman"/>
              <w:bCs/>
              <w:kern w:val="2"/>
              <w:sz w:val="32"/>
              <w:szCs w:val="32"/>
              <w:shd w:val="clear" w:color="auto" w:fill="auto"/>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ascii="Times New Roman" w:eastAsia="黑体" w:hAnsi="Times New Roman"/>
              <w:sz w:val="32"/>
              <w:szCs w:val="32"/>
            </w:rPr>
          </w:pPr>
          <w:r>
            <w:rPr>
              <w:rFonts w:ascii="Times New Roman" w:eastAsia="黑体" w:cs="Times New Roman" w:hAnsi="Times New Roman"/>
              <w:sz w:val="32"/>
              <w:szCs w:val="32"/>
            </w:rPr>
            <w:fldChar w:fldCharType="begin"/>
          </w:r>
          <w:r>
            <w:rPr>
              <w:rFonts w:ascii="Times New Roman" w:eastAsia="黑体" w:cs="Times New Roman" w:hAnsi="Times New Roman"/>
              <w:sz w:val="32"/>
              <w:szCs w:val="32"/>
            </w:rPr>
            <w:instrText xml:space="preserve"> HYPERLINK \l _Toc5991 </w:instrText>
          </w:r>
          <w:r>
            <w:rPr>
              <w:rFonts w:ascii="Times New Roman" w:eastAsia="黑体" w:cs="Times New Roman" w:hAnsi="Times New Roman"/>
              <w:sz w:val="32"/>
              <w:szCs w:val="32"/>
            </w:rPr>
            <w:fldChar w:fldCharType="separate"/>
          </w:r>
          <w:r>
            <w:rPr>
              <w:rFonts w:ascii="Times New Roman" w:eastAsia="黑体" w:cs="Times New Roman" w:hAnsi="Times New Roman"/>
              <w:sz w:val="32"/>
              <w:szCs w:val="32"/>
              <w:lang w:eastAsia="zh-CN"/>
            </w:rPr>
            <w:t>十</w:t>
          </w:r>
          <w:r>
            <w:rPr>
              <w:rFonts w:ascii="Times New Roman" w:eastAsia="方正黑体_GBK" w:cs="Times New Roman" w:hAnsi="Times New Roman"/>
              <w:sz w:val="32"/>
              <w:szCs w:val="32"/>
              <w:shd w:val="clear" w:color="auto" w:fill="auto"/>
              <w:lang w:bidi="ar-SA"/>
            </w:rPr>
            <w:t>、</w:t>
          </w:r>
          <w:r>
            <w:rPr>
              <w:rFonts w:ascii="Times New Roman" w:eastAsia="方正黑体_GBK" w:cs="Times New Roman" w:hAnsi="Times New Roman"/>
              <w:sz w:val="32"/>
              <w:szCs w:val="32"/>
              <w:shd w:val="clear" w:color="auto" w:fill="auto"/>
              <w:lang w:eastAsia="zh-CN" w:bidi="ar-SA"/>
            </w:rPr>
            <w:t>名词解释</w:t>
          </w:r>
          <w:r>
            <w:rPr>
              <w:rFonts w:ascii="Times New Roman" w:cs="Times New Roman" w:hAnsi="Times New Roman"/>
              <w:sz w:val="32"/>
              <w:szCs w:val="32"/>
            </w:rPr>
            <w:tab/>
          </w:r>
          <w:r>
            <w:rPr>
              <w:rFonts w:ascii="Times New Roman" w:cs="Times New Roman" w:hAnsi="Times New Roman"/>
              <w:sz w:val="32"/>
              <w:szCs w:val="32"/>
              <w:lang w:val="en-US" w:eastAsia="zh-CN"/>
            </w:rPr>
            <w:t>7</w:t>
          </w:r>
          <w:r>
            <w:rPr>
              <w:rFonts w:ascii="Times New Roman" w:eastAsia="黑体" w:cs="Times New Roman" w:hAnsi="Times New Roman"/>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Chars="600" w:firstLine="1260"/>
            <w:textAlignment w:val="auto"/>
            <w:outlineLvl w:val="9"/>
            <w:rPr>
              <w:rFonts w:ascii="Times New Roman" w:eastAsia="黑体" w:hAnsi="Times New Roman"/>
              <w:sz w:val="32"/>
              <w:szCs w:val="32"/>
            </w:rPr>
            <w:sectPr>
              <w:footerReference w:type="default" r:id="rId5"/>
              <w:pgSz w:w="11906" w:h="16838"/>
              <w:pgMar w:top="1440" w:right="1800" w:bottom="1440" w:left="1800" w:header="851" w:footer="992" w:gutter="0"/>
              <w:pgNumType w:start="1"/>
              <w:docGrid w:type="lines" w:linePitch="312" w:charSpace="0"/>
            </w:sectPr>
          </w:pPr>
          <w:r>
            <w:rPr>
              <w:rFonts w:ascii="Times New Roman" w:eastAsia="黑体" w:cs="Times New Roman" w:hAnsi="Times New Roman"/>
              <w:szCs w:val="32"/>
            </w:rPr>
            <w:fldChar w:fldCharType="end"/>
          </w:r>
        </w:p>
      </w:sdtContent>
    </w:sdt>
    <w:p>
      <w:pPr>
        <w:pStyle w:val="16"/>
        <w:tabs>
          <w:tab w:val="center" w:pos="4153"/>
          <w:tab w:val="right" w:pos="8306"/>
        </w:tabs>
        <w:wordWrap/>
        <w:adjustRightInd/>
        <w:snapToGrid/>
        <w:spacing w:line="560" w:lineRule="exact"/>
        <w:ind w:firstLineChars="200" w:firstLine="640"/>
        <w:outlineLvl w:val="0"/>
        <w:rPr>
          <w:rFonts w:ascii="Times New Roman" w:eastAsia="方正黑体_GBK" w:hAnsi="Times New Roman"/>
          <w:sz w:val="32"/>
          <w:szCs w:val="32"/>
          <w:shd w:val="clear" w:color="auto" w:fill="auto"/>
          <w:lang w:bidi="ar-SA"/>
        </w:rPr>
      </w:pPr>
      <w:bookmarkStart w:id="0" w:name="_Toc28286"/>
      <w:r>
        <w:rPr>
          <w:rFonts w:ascii="Times New Roman" w:eastAsia="方正黑体_GBK" w:hAnsi="Times New Roman"/>
          <w:sz w:val="32"/>
          <w:szCs w:val="32"/>
          <w:shd w:val="clear" w:color="auto" w:fill="auto"/>
          <w:lang w:bidi="ar-SA"/>
        </w:rPr>
        <w:t>一、基本职能及主要工作</w:t>
      </w:r>
      <w:bookmarkEnd w:id="0"/>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1" w:name="_Toc22134"/>
      <w:r>
        <w:rPr>
          <w:rFonts w:ascii="Times New Roman" w:eastAsia="方正楷体_GBK" w:hAnsi="Times New Roman"/>
          <w:b/>
          <w:bCs/>
          <w:sz w:val="32"/>
          <w:szCs w:val="32"/>
          <w:shd w:val="clear" w:color="auto" w:fill="auto"/>
        </w:rPr>
        <w:t>（一）部门职能简介</w:t>
      </w:r>
      <w:bookmarkEnd w:id="1"/>
    </w:p>
    <w:p>
      <w:pPr>
        <w:spacing w:line="540" w:lineRule="exact"/>
        <w:ind w:firstLineChars="200" w:firstLine="640"/>
        <w:rPr>
          <w:rFonts w:ascii="Times New Roman" w:eastAsia="仿宋_GB2312" w:hAnsi="Times New Roman"/>
          <w:sz w:val="32"/>
          <w:szCs w:val="32"/>
        </w:rPr>
      </w:pPr>
      <w:r>
        <w:rPr>
          <w:rFonts w:ascii="Times New Roman" w:eastAsia="方正仿宋_GBK" w:hAnsi="Times New Roman"/>
          <w:sz w:val="32"/>
          <w:szCs w:val="32"/>
          <w:u w:val="none"/>
          <w:lang w:bidi="ar-SA"/>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贯彻执行《中华人民共和国档案法》等相关法律法规；负责制定全州档案事业发展规划和年度计划组织实施；负责全州档案工作的统筹规划和宏观管理，依法对全州档案工作进行监督检查并查处违法行为。九是负责并协调州委办公室办公区、生活区的社会治安综合治理和安全防范。十是承办州</w:t>
      </w:r>
      <w:bookmarkStart w:id="2" w:name="_GoBack"/>
      <w:bookmarkEnd w:id="2"/>
      <w:r>
        <w:rPr>
          <w:rFonts w:ascii="Times New Roman" w:eastAsia="方正仿宋_GBK" w:hAnsi="Times New Roman"/>
          <w:sz w:val="32"/>
          <w:szCs w:val="32"/>
          <w:u w:val="none"/>
          <w:lang w:bidi="ar-SA"/>
        </w:rPr>
        <w:t>委交办的其他任务。</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3" w:name="_Toc31384"/>
      <w:r>
        <w:rPr>
          <w:rFonts w:ascii="Times New Roman" w:eastAsia="方正楷体_GBK" w:hAnsi="Times New Roman"/>
          <w:b/>
          <w:bCs/>
          <w:sz w:val="32"/>
          <w:szCs w:val="32"/>
          <w:shd w:val="clear" w:color="auto" w:fill="auto"/>
        </w:rPr>
        <w:t>（二）2025年重点工作</w:t>
      </w:r>
      <w:bookmarkEnd w:id="3"/>
    </w:p>
    <w:p>
      <w:pPr>
        <w:spacing w:line="570" w:lineRule="exact"/>
        <w:ind w:firstLineChars="200" w:firstLine="640"/>
        <w:rPr>
          <w:rFonts w:ascii="Times New Roman" w:eastAsia="仿宋_GB2312" w:hAnsi="Times New Roman"/>
          <w:sz w:val="32"/>
          <w:szCs w:val="32"/>
        </w:rPr>
      </w:pPr>
      <w:r>
        <w:rPr>
          <w:rFonts w:ascii="Times New Roman" w:eastAsia="方正仿宋_GBK" w:hAnsi="Times New Roman"/>
          <w:sz w:val="32"/>
          <w:szCs w:val="32"/>
        </w:rPr>
        <w:t>2025年是奋力推动民族地区高质量发展阿坝典范建设开局突破之年。州委办公室将始终坚持以习近平新时代中国特色社会主义思想为指导，全面贯彻落实习近平总书记、省委和州委领导对党办工作系列指示要求，聚焦规范化运行、高效化服务、精细化保障，全力提升“三服务”质效水平，坚定当好“坚强前哨”和“巩固后院”，为加快推进“民族地区高质量发展阿坝典范”建设作出新的更大贡献。着力在持续抓好九项重点工作上下功夫促落实。一是持续用力抓好政治建设。坚持把党的政治建设摆在首位，巩固拓展主题教育成果，深化办公室干部职工思想教育，深刻领悟“两个确立”的决定性意义，增强“四个意识”、坚定“四个自信”、做到“两个维护”。二是持续用力抓好办文办会。健全公文运行机制，加强典型问题、公文错情的收集和通报，规范开展公文合法性审查和报备工作。提升会务工作标准化、规范化、信息化水平，坚持清单化管理、项目式推进，不断提高会务服务保障质效。三是持续用力抓好督促检查。进一步优化完善目标绩效管理办法，落实整治形式主义为基层减负专项工作机制。突出习近平总书记重要指示批示，中央省委决策部署和州委工作安排，建立督查台账，盯住抓、抓到底。四是持续用力抓好统筹协调。认真梳理全年重点工作、重大项目、重要会议、重大活动，列出清单、提前介入，确保各项工作有序推进。五是持续用力抓好文稿服务。强化主动介入和版块研究，确保州委决策部署更有针对性、更具实效性，努力打造特色文稿、精品文章。六是持续用力抓好后勤保障。精心筹备十二届州委七次、八次全会等重要会议。持续抓好州委大院管理，加强州委常委会议室、办公大楼维护保养。七是持续用力抓好群众服务。扎实推进“联心同行”、“爱心爸妈”群众工作全覆盖和定点帮扶工作。认真办理群众来信来访、代表建议和委员提案、信访诉求等。八是持续用力抓好自身建设。</w:t>
      </w:r>
    </w:p>
    <w:p>
      <w:pPr>
        <w:pStyle w:val="16"/>
        <w:tabs>
          <w:tab w:val="center" w:pos="4153"/>
          <w:tab w:val="right" w:pos="8306"/>
        </w:tabs>
        <w:wordWrap/>
        <w:adjustRightInd/>
        <w:snapToGrid/>
        <w:spacing w:line="560" w:lineRule="exact"/>
        <w:ind w:left="0" w:firstLineChars="200" w:firstLine="640"/>
        <w:outlineLvl w:val="0"/>
        <w:rPr>
          <w:rFonts w:ascii="Times New Roman" w:eastAsia="方正黑体_GBK" w:hAnsi="Times New Roman"/>
          <w:sz w:val="32"/>
          <w:szCs w:val="32"/>
          <w:shd w:val="clear" w:color="auto" w:fill="auto"/>
          <w:lang w:bidi="ar-SA"/>
        </w:rPr>
      </w:pPr>
      <w:bookmarkStart w:id="4" w:name="_Toc20798"/>
      <w:r>
        <w:rPr>
          <w:rFonts w:ascii="Times New Roman" w:eastAsia="方正黑体_GBK" w:hAnsi="Times New Roman"/>
          <w:sz w:val="32"/>
          <w:szCs w:val="32"/>
          <w:shd w:val="clear" w:color="auto" w:fill="auto"/>
          <w:lang w:bidi="ar-SA"/>
        </w:rPr>
        <w:t>二、部门预算单位构成</w:t>
      </w:r>
      <w:bookmarkEnd w:id="4"/>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州委办公室（部门）下属预算单位4个，包含中共阿坝州委办公室（本级）、州涉藏事务研究中心、州专用通信中心、州涉密文档专管中心。</w:t>
      </w:r>
    </w:p>
    <w:p>
      <w:pPr>
        <w:pStyle w:val="16"/>
        <w:tabs>
          <w:tab w:val="center" w:pos="4153"/>
          <w:tab w:val="right" w:pos="8306"/>
        </w:tabs>
        <w:wordWrap/>
        <w:adjustRightInd/>
        <w:snapToGrid/>
        <w:spacing w:line="560" w:lineRule="exact"/>
        <w:ind w:left="0" w:firstLineChars="200" w:firstLine="640"/>
        <w:outlineLvl w:val="0"/>
        <w:rPr>
          <w:rFonts w:ascii="Times New Roman" w:eastAsia="方正黑体_GBK" w:hAnsi="Times New Roman"/>
          <w:sz w:val="32"/>
          <w:szCs w:val="32"/>
          <w:shd w:val="clear" w:color="auto" w:fill="auto"/>
          <w:lang w:bidi="ar-SA"/>
        </w:rPr>
      </w:pPr>
      <w:bookmarkStart w:id="5" w:name="_Toc16026"/>
      <w:r>
        <w:rPr>
          <w:rFonts w:ascii="Times New Roman" w:eastAsia="方正黑体_GBK" w:hAnsi="Times New Roman"/>
          <w:sz w:val="32"/>
          <w:szCs w:val="32"/>
          <w:shd w:val="clear" w:color="auto" w:fill="auto"/>
          <w:lang w:bidi="ar-SA"/>
        </w:rPr>
        <w:t>三、收支预算情况说明</w:t>
      </w:r>
      <w:bookmarkEnd w:id="5"/>
    </w:p>
    <w:p>
      <w:pPr>
        <w:wordWrap/>
        <w:adjustRightInd/>
        <w:snapToGrid/>
        <w:spacing w:line="560"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按照综合预算的原则，中共阿坝州委办公室所有收入和支出均纳入部门预算管理。收入包括：一般公共预算拨款收入3299.41万元；支出包括：一般公共服务支出2723.29万元，社会保障和就业支出303.51万元，医疗卫生与计划生育支出117.23万元，住房保障支出155.38万元。</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6" w:name="_Toc13135"/>
      <w:r>
        <w:rPr>
          <w:rFonts w:ascii="Times New Roman" w:eastAsia="方正楷体_GBK" w:hAnsi="Times New Roman"/>
          <w:b/>
          <w:bCs/>
          <w:sz w:val="32"/>
          <w:szCs w:val="32"/>
          <w:shd w:val="clear" w:color="auto" w:fill="auto"/>
        </w:rPr>
        <w:t>（一）收入预算情况</w:t>
      </w:r>
      <w:bookmarkEnd w:id="6"/>
    </w:p>
    <w:p>
      <w:pPr>
        <w:ind w:firstLineChars="200" w:firstLine="640"/>
        <w:jc w:val="left"/>
        <w:rPr>
          <w:rFonts w:ascii="Times New Roman" w:eastAsia="楷体" w:hAnsi="Times New Roman"/>
          <w:sz w:val="32"/>
          <w:szCs w:val="32"/>
        </w:rPr>
      </w:pPr>
      <w:r>
        <w:rPr>
          <w:rFonts w:ascii="Times New Roman" w:eastAsia="方正仿宋_GBK" w:hAnsi="Times New Roman"/>
          <w:sz w:val="32"/>
          <w:szCs w:val="32"/>
        </w:rPr>
        <w:t>中共阿坝州委办公室2025年收入预算3299.41万元，其中：一般公共预算拨款收入3299.41万元，占100%；无其他收入。</w:t>
      </w:r>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7" w:name="_Toc11458"/>
      <w:r>
        <w:rPr>
          <w:rFonts w:ascii="Times New Roman" w:eastAsia="方正楷体_GBK" w:hAnsi="Times New Roman"/>
          <w:b/>
          <w:bCs/>
          <w:sz w:val="32"/>
          <w:szCs w:val="32"/>
          <w:shd w:val="clear" w:color="auto" w:fill="auto"/>
        </w:rPr>
        <w:t>（二）支出预算情况</w:t>
      </w:r>
      <w:bookmarkEnd w:id="7"/>
    </w:p>
    <w:p>
      <w:pPr>
        <w:ind w:firstLineChars="200" w:firstLine="640"/>
        <w:jc w:val="left"/>
        <w:rPr>
          <w:rFonts w:ascii="Times New Roman" w:eastAsia="方正楷体_GBK" w:hAnsi="Times New Roman"/>
          <w:b/>
          <w:bCs/>
          <w:sz w:val="32"/>
          <w:szCs w:val="32"/>
          <w:shd w:val="clear" w:color="auto" w:fill="auto"/>
        </w:rPr>
      </w:pPr>
      <w:r>
        <w:rPr>
          <w:rFonts w:ascii="Times New Roman" w:eastAsia="方正仿宋_GBK" w:hAnsi="Times New Roman"/>
          <w:sz w:val="32"/>
          <w:szCs w:val="32"/>
        </w:rPr>
        <w:t>中共阿坝州委办公室2025年支出预算3299.41万元，其中：基本支出2681.41万元，占81.27%；项目支出618万元，占18.73%。</w:t>
      </w:r>
    </w:p>
    <w:p>
      <w:pPr>
        <w:wordWrap/>
        <w:adjustRightInd/>
        <w:snapToGrid/>
        <w:spacing w:line="576" w:lineRule="exact"/>
        <w:ind w:left="0" w:right="0" w:firstLineChars="200" w:firstLine="640"/>
        <w:jc w:val="both"/>
        <w:textAlignment w:val="auto"/>
        <w:outlineLvl w:val="0"/>
        <w:rPr>
          <w:rFonts w:ascii="Times New Roman" w:eastAsia="方正黑体_GBK" w:hAnsi="Times New Roman"/>
          <w:sz w:val="32"/>
          <w:szCs w:val="32"/>
          <w:shd w:val="clear" w:color="auto" w:fill="auto"/>
          <w:lang w:bidi="ar-SA"/>
        </w:rPr>
      </w:pPr>
      <w:bookmarkStart w:id="8" w:name="_Toc20457"/>
      <w:r>
        <w:rPr>
          <w:rFonts w:ascii="Times New Roman" w:eastAsia="方正黑体_GBK" w:hAnsi="Times New Roman"/>
          <w:sz w:val="32"/>
          <w:szCs w:val="32"/>
          <w:shd w:val="clear" w:color="auto" w:fill="auto"/>
          <w:lang w:bidi="ar-SA"/>
        </w:rPr>
        <w:t>四、财政拨款收支预算情况说明</w:t>
      </w:r>
      <w:bookmarkEnd w:id="8"/>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中共阿坝州委办公室2025年财政拨款收支总预算3299.41万元,比2024年财政拨款收支总预算增加195.47万元，主要原因:2025年人员经费增加，部分项目根据实际情况增加预算。</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收入包括：本年一般公共预算拨款收入3299.41万元。</w:t>
      </w:r>
    </w:p>
    <w:p>
      <w:pPr>
        <w:spacing w:line="540" w:lineRule="exact"/>
        <w:ind w:firstLineChars="200" w:firstLine="640"/>
        <w:rPr>
          <w:rFonts w:ascii="Times New Roman" w:eastAsia="仿宋_GB2312" w:hAnsi="Times New Roman"/>
          <w:sz w:val="32"/>
          <w:szCs w:val="32"/>
        </w:rPr>
      </w:pPr>
      <w:r>
        <w:rPr>
          <w:rFonts w:ascii="Times New Roman" w:eastAsia="方正仿宋_GBK" w:hAnsi="Times New Roman"/>
          <w:sz w:val="32"/>
          <w:szCs w:val="32"/>
        </w:rPr>
        <w:t>支出包括：一般公共服务支出2723.29万元，社会保障和就业支出303.51万元，医疗卫生与计划生育支出117.23万元，住房保障支出155.38万元。</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9" w:name="_Toc13667"/>
      <w:r>
        <w:rPr>
          <w:rFonts w:ascii="Times New Roman" w:eastAsia="方正黑体_GBK" w:hAnsi="Times New Roman"/>
          <w:sz w:val="32"/>
          <w:szCs w:val="32"/>
          <w:shd w:val="clear" w:color="auto" w:fill="auto"/>
          <w:lang w:bidi="ar-SA"/>
        </w:rPr>
        <w:t>五、一般公共预算当年拨款情况说明</w:t>
      </w:r>
      <w:bookmarkEnd w:id="9"/>
    </w:p>
    <w:p>
      <w:pPr>
        <w:wordWrap/>
        <w:adjustRightInd/>
        <w:snapToGrid/>
        <w:spacing w:line="560" w:lineRule="exact"/>
        <w:ind w:left="0" w:firstLineChars="200" w:firstLine="640"/>
        <w:outlineLvl w:val="1"/>
        <w:rPr>
          <w:rFonts w:ascii="Times New Roman" w:eastAsia="方正楷体_GBK" w:hAnsi="Times New Roman"/>
          <w:b/>
          <w:bCs/>
          <w:sz w:val="32"/>
          <w:szCs w:val="32"/>
          <w:shd w:val="clear" w:color="auto" w:fill="auto"/>
        </w:rPr>
      </w:pPr>
      <w:bookmarkStart w:id="10" w:name="_Toc24538"/>
      <w:r>
        <w:rPr>
          <w:rFonts w:ascii="Times New Roman" w:eastAsia="方正楷体_GBK" w:hAnsi="Times New Roman"/>
          <w:b/>
          <w:bCs/>
          <w:sz w:val="32"/>
          <w:szCs w:val="32"/>
          <w:shd w:val="clear" w:color="auto" w:fill="auto"/>
        </w:rPr>
        <w:t>（一）一般公共预算当年拨款规模变化情况</w:t>
      </w:r>
      <w:bookmarkEnd w:id="10"/>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中共阿坝州委办公室2025年一般公共预算当年拨款3299.41万元，比2024年预算数增加195.47万元，主要原因:</w:t>
      </w:r>
      <w:r>
        <w:rPr>
          <w:rFonts w:ascii="Times New Roman" w:eastAsia="方正仿宋_GBK" w:hAnsi="Times New Roman"/>
          <w:sz w:val="32"/>
          <w:szCs w:val="32"/>
          <w:lang w:val="en-US" w:eastAsia="zh-CN"/>
        </w:rPr>
        <w:t>2</w:t>
      </w:r>
      <w:r>
        <w:rPr>
          <w:rFonts w:ascii="Times New Roman" w:eastAsia="方正仿宋_GBK" w:hAnsi="Times New Roman"/>
          <w:sz w:val="32"/>
          <w:szCs w:val="32"/>
        </w:rPr>
        <w:t>025年人员增加，部分项目根据实际情况增加预算。</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1" w:name="_Toc14516"/>
      <w:r>
        <w:rPr>
          <w:rFonts w:ascii="Times New Roman" w:eastAsia="方正楷体_GBK" w:hAnsi="Times New Roman"/>
          <w:b/>
          <w:bCs/>
          <w:sz w:val="32"/>
          <w:szCs w:val="32"/>
          <w:shd w:val="clear" w:color="auto" w:fill="auto"/>
        </w:rPr>
        <w:t>（二）一般公共预算当年拨款结构情况</w:t>
      </w:r>
      <w:bookmarkEnd w:id="11"/>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一般公共服务支出2723.29万元，占82.54%；社会保障和就业支出303.51万元，占9.2%；医疗卫生与计划生育支出117.23万元，占3.55%；住房保障支出155.38万元，占4.71%。</w:t>
      </w:r>
    </w:p>
    <w:p>
      <w:pPr>
        <w:spacing w:line="540" w:lineRule="exact"/>
        <w:ind w:firstLineChars="200" w:firstLine="640"/>
        <w:outlineLvl w:val="1"/>
        <w:rPr>
          <w:rFonts w:ascii="Times New Roman" w:eastAsia="方正楷体_GBK" w:hAnsi="Times New Roman"/>
          <w:b/>
          <w:bCs/>
          <w:sz w:val="32"/>
          <w:szCs w:val="32"/>
          <w:shd w:val="clear" w:color="auto" w:fill="auto"/>
        </w:rPr>
      </w:pPr>
      <w:bookmarkStart w:id="12" w:name="_Toc10902"/>
      <w:r>
        <w:rPr>
          <w:rFonts w:ascii="Times New Roman" w:eastAsia="方正楷体_GBK" w:hAnsi="Times New Roman"/>
          <w:b/>
          <w:bCs/>
          <w:sz w:val="32"/>
          <w:szCs w:val="32"/>
          <w:shd w:val="clear" w:color="auto" w:fill="auto"/>
        </w:rPr>
        <w:t>（三）一般公共预算当年拨款具体使用情况</w:t>
      </w:r>
      <w:bookmarkEnd w:id="12"/>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3" w:name="_Toc21669"/>
      <w:bookmarkStart w:id="14" w:name="_Toc4107"/>
      <w:r>
        <w:rPr>
          <w:rFonts w:ascii="Times New Roman" w:eastAsia="方正仿宋_GBK" w:hAnsi="Times New Roman"/>
          <w:b/>
          <w:bCs/>
          <w:sz w:val="32"/>
          <w:szCs w:val="32"/>
        </w:rPr>
        <w:t>1．一般公共服务支出</w:t>
      </w:r>
      <w:bookmarkEnd w:id="13"/>
      <w:bookmarkEnd w:id="14"/>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行政运行（2013101），2025年预算数为2168.58万元，主要用于：工资福利支出1544.14万元；商品和服务支出535.3万元；对个人和家庭的补助支出89.14万元。</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bCs/>
          <w:sz w:val="32"/>
          <w:szCs w:val="32"/>
        </w:rPr>
        <w:t>一般行政管理事务（2013102），</w:t>
      </w:r>
      <w:r>
        <w:rPr>
          <w:rFonts w:ascii="Times New Roman" w:eastAsia="方正仿宋_GBK" w:hAnsi="Times New Roman"/>
          <w:sz w:val="32"/>
          <w:szCs w:val="32"/>
        </w:rPr>
        <w:t>2025年预算数为174万元，主要用于：商品和服务支出144万元；资本性支出30万元。</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专项业务（2013105），2025年预算数为11万元，主要用于资本性支出1万元，办公楼排水渠治理。</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color w:val="FF0000"/>
          <w:sz w:val="32"/>
          <w:szCs w:val="32"/>
        </w:rPr>
      </w:pPr>
      <w:r>
        <w:rPr>
          <w:rFonts w:ascii="Times New Roman" w:eastAsia="方正仿宋_GBK" w:hAnsi="Times New Roman"/>
          <w:sz w:val="32"/>
          <w:szCs w:val="32"/>
        </w:rPr>
        <w:t>事业运行（2013150），2025年预算数为369.71万元，主要用于：工资福利支出301.06万元；商品和服务支出68.65万元；资本性支出30万元。</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5" w:name="_Toc29321"/>
      <w:bookmarkStart w:id="16" w:name="_Toc23817"/>
      <w:r>
        <w:rPr>
          <w:rFonts w:ascii="Times New Roman" w:eastAsia="方正仿宋_GBK" w:hAnsi="Times New Roman"/>
          <w:b/>
          <w:bCs/>
          <w:sz w:val="32"/>
          <w:szCs w:val="32"/>
        </w:rPr>
        <w:t>2.社会保障和就业支出</w:t>
      </w:r>
      <w:bookmarkEnd w:id="15"/>
      <w:bookmarkEnd w:id="16"/>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机关事业单位基本养老保险缴费支出（2080505），2025年机关事业单位基本养老保险缴费支出预算数为202.34万元，主要用于缴纳干部职工2025年基本养老保险。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机关事业单位职业年金缴费支出（2080506），2025年机关事业单位职业年金缴费支出预算数为101.17万元，主要用于缴纳干部职工2025年职业年金。</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7" w:name="_Toc20608"/>
      <w:bookmarkStart w:id="18" w:name="_Toc12779"/>
      <w:r>
        <w:rPr>
          <w:rFonts w:ascii="Times New Roman" w:eastAsia="方正仿宋_GBK" w:hAnsi="Times New Roman"/>
          <w:b/>
          <w:bCs/>
          <w:sz w:val="32"/>
          <w:szCs w:val="32"/>
        </w:rPr>
        <w:t>3.卫生健康支出</w:t>
      </w:r>
      <w:bookmarkEnd w:id="17"/>
      <w:bookmarkEnd w:id="18"/>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行政单位医疗（2101101），2025年预算数为68.45万元，主要用于缴纳行政人员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基本医疗保险。</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事业单位医疗（2101102），2025年预算数为24.33万元，主要用于缴纳事业人员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基本医疗保险。</w:t>
      </w:r>
    </w:p>
    <w:p>
      <w:pPr>
        <w:wordWrap/>
        <w:adjustRightInd/>
        <w:snapToGrid/>
        <w:spacing w:line="576" w:lineRule="exact"/>
        <w:ind w:left="0" w:right="0" w:firstLineChars="200" w:firstLine="640"/>
        <w:jc w:val="both"/>
        <w:textAlignment w:val="auto"/>
        <w:outlineLvl w:val="9"/>
        <w:rPr>
          <w:rFonts w:ascii="Times New Roman" w:eastAsia="方正仿宋_GBK" w:hAnsi="Times New Roman"/>
          <w:sz w:val="32"/>
          <w:szCs w:val="32"/>
        </w:rPr>
      </w:pPr>
      <w:r>
        <w:rPr>
          <w:rFonts w:ascii="Times New Roman" w:eastAsia="方正仿宋_GBK" w:hAnsi="Times New Roman"/>
          <w:sz w:val="32"/>
          <w:szCs w:val="32"/>
        </w:rPr>
        <w:t>公务员医疗补助（2101103），2025年预算数为19.47万元，主要用于缴纳行政人员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医疗补助。</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其他行政事业单位医疗支出（2101199），2025年预算数为4.98万元，主要用于缴纳事业人员</w:t>
      </w:r>
      <w:r>
        <w:rPr>
          <w:rFonts w:ascii="Times New Roman" w:eastAsia="方正仿宋_GBK" w:hAnsi="Times New Roman"/>
          <w:sz w:val="32"/>
          <w:szCs w:val="32"/>
          <w:lang w:val="en-US" w:eastAsia="zh-CN"/>
        </w:rPr>
        <w:t>2025年</w:t>
      </w:r>
      <w:r>
        <w:rPr>
          <w:rFonts w:ascii="Times New Roman" w:eastAsia="方正仿宋_GBK" w:hAnsi="Times New Roman"/>
          <w:sz w:val="32"/>
          <w:szCs w:val="32"/>
        </w:rPr>
        <w:t>医疗补助。</w:t>
      </w:r>
    </w:p>
    <w:p>
      <w:pPr>
        <w:wordWrap/>
        <w:adjustRightInd/>
        <w:snapToGrid/>
        <w:spacing w:line="576" w:lineRule="exact"/>
        <w:ind w:left="0" w:right="0" w:firstLineChars="200" w:firstLine="640"/>
        <w:jc w:val="both"/>
        <w:textAlignment w:val="auto"/>
        <w:outlineLvl w:val="2"/>
        <w:rPr>
          <w:rFonts w:ascii="Times New Roman" w:eastAsia="方正仿宋_GBK" w:hAnsi="Times New Roman"/>
          <w:b/>
          <w:bCs/>
          <w:sz w:val="32"/>
          <w:szCs w:val="32"/>
        </w:rPr>
      </w:pPr>
      <w:bookmarkStart w:id="19" w:name="_Toc4070"/>
      <w:bookmarkStart w:id="20" w:name="_Toc9187"/>
      <w:r>
        <w:rPr>
          <w:rFonts w:ascii="Times New Roman" w:eastAsia="方正仿宋_GBK" w:hAnsi="Times New Roman"/>
          <w:b/>
          <w:bCs/>
          <w:sz w:val="32"/>
          <w:szCs w:val="32"/>
        </w:rPr>
        <w:t>4.住房保障支出</w:t>
      </w:r>
      <w:bookmarkEnd w:id="19"/>
      <w:bookmarkEnd w:id="20"/>
    </w:p>
    <w:p>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kern w:val="2"/>
          <w:sz w:val="32"/>
          <w:szCs w:val="32"/>
          <w:lang w:val="en-US" w:eastAsia="zh-CN" w:bidi="ar-SA"/>
        </w:rPr>
        <w:t>2025年住房公积金预算数为155.38万元，主要用于缴纳干部职工2025年住房公积金。</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1" w:name="_Toc20368"/>
      <w:r>
        <w:rPr>
          <w:rFonts w:ascii="Times New Roman" w:eastAsia="方正黑体_GBK" w:hAnsi="Times New Roman"/>
          <w:sz w:val="32"/>
          <w:szCs w:val="32"/>
          <w:shd w:val="clear" w:color="auto" w:fill="auto"/>
          <w:lang w:bidi="ar-SA"/>
        </w:rPr>
        <w:t>六、一般公共预算基本支出情况说明</w:t>
      </w:r>
      <w:bookmarkEnd w:id="21"/>
    </w:p>
    <w:p>
      <w:pPr>
        <w:wordWrap/>
        <w:adjustRightInd/>
        <w:snapToGrid/>
        <w:spacing w:line="576" w:lineRule="exact"/>
        <w:ind w:left="0"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中共阿坝州委办公室2025年一般公共预算基本支出2681.42万元：其中：</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kern w:val="2"/>
          <w:sz w:val="32"/>
          <w:szCs w:val="32"/>
        </w:rPr>
        <w:t>人员经费2080.18万元，主要包括：基本工资389.75万元、津贴补贴406.57万元、奖金403.34万元、绩效63.34万元、机关事业单位基本养老保险缴费202.35万元、职业年金缴费101.17万元、医疗保险92.78万元、公务员医保补助19.47万元、其他社会保障缴费15.21万元、其他工资福利支出138.96万元、住房公积金155.38万元、离退休人员公用经费2.71万元、</w:t>
      </w:r>
      <w:r>
        <w:rPr>
          <w:rFonts w:ascii="Times New Roman" w:eastAsia="方正仿宋_GBK" w:hAnsi="Times New Roman"/>
          <w:sz w:val="32"/>
          <w:szCs w:val="32"/>
        </w:rPr>
        <w:t>离退休人员年定额补助89.10万元、奖励金0.04万元。</w:t>
      </w:r>
    </w:p>
    <w:p>
      <w:pPr>
        <w:wordWrap/>
        <w:adjustRightInd/>
        <w:snapToGrid/>
        <w:spacing w:line="576" w:lineRule="exact"/>
        <w:ind w:left="0" w:firstLineChars="200" w:firstLine="640"/>
        <w:rPr>
          <w:rFonts w:ascii="Times New Roman" w:eastAsia="黑体" w:hAnsi="Times New Roman"/>
          <w:sz w:val="32"/>
          <w:szCs w:val="32"/>
        </w:rPr>
      </w:pPr>
      <w:r>
        <w:rPr>
          <w:rFonts w:ascii="Times New Roman" w:eastAsia="方正仿宋_GBK" w:hAnsi="Times New Roman"/>
          <w:sz w:val="32"/>
          <w:szCs w:val="32"/>
        </w:rPr>
        <w:t>公用经费601.24万元，主要包括：办公费15.45万元、水费2.69万元、邮电费32.32万元、取暖费3.59万元、差旅费133.18万元、维修（护）费3.83万元、培训费16.67万元、公务接待费11.49万元、福利费73.65万元、公务用车运行维护费270万元、其他商品和服务支出41.08万元。</w:t>
      </w:r>
      <w:r>
        <w:rPr>
          <w:rFonts w:ascii="Times New Roman" w:hAnsi="Times New Roman"/>
          <w:kern w:val="2"/>
          <w:sz w:val="32"/>
          <w:szCs w:val="32"/>
        </w:rPr>
        <w:br/>
      </w:r>
      <w:r>
        <w:rPr>
          <w:rFonts w:ascii="Times New Roman" w:eastAsia="黑体" w:hAnsi="Times New Roman"/>
          <w:sz w:val="32"/>
          <w:szCs w:val="32"/>
        </w:rPr>
        <w:t xml:space="preserve">    七、“三公”经费财政拨款预算安排情况说明</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中共阿坝州委办公室2025年“三公”经费财政拨款预算数289.5万元，其中：因公出国（境）经费0.00万元，公务接待费11.5万元，公务用车购置及运行维护费278万元。</w:t>
      </w:r>
    </w:p>
    <w:p>
      <w:pPr>
        <w:wordWrap/>
        <w:adjustRightInd/>
        <w:snapToGrid/>
        <w:spacing w:line="576" w:lineRule="exact"/>
        <w:ind w:left="0" w:firstLineChars="200" w:firstLine="640"/>
        <w:outlineLvl w:val="1"/>
        <w:rPr>
          <w:rFonts w:ascii="Times New Roman" w:eastAsia="方正仿宋_GBK" w:hAnsi="Times New Roman"/>
          <w:sz w:val="32"/>
          <w:szCs w:val="32"/>
        </w:rPr>
      </w:pPr>
      <w:bookmarkStart w:id="22" w:name="_Toc3448"/>
      <w:r>
        <w:rPr>
          <w:rFonts w:ascii="Times New Roman" w:eastAsia="方正仿宋_GBK" w:hAnsi="Times New Roman"/>
          <w:sz w:val="32"/>
          <w:szCs w:val="32"/>
        </w:rPr>
        <w:t>（一）2025年因公出国（境）经费0.00万元。</w:t>
      </w:r>
      <w:bookmarkEnd w:id="22"/>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（二）2025年公务接待经费11.5万元。较2024年预算经费增加0.34万元，增加3.04%，主要原因为人员增加。</w:t>
      </w:r>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（三）2025年公务用车购置及运行维护费278万元。较2024年增加4万元，主要原因为越野车量化标准变化。</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3" w:name="_Toc32740"/>
      <w:r>
        <w:rPr>
          <w:rFonts w:ascii="Times New Roman" w:eastAsia="方正黑体_GBK" w:hAnsi="Times New Roman"/>
          <w:sz w:val="32"/>
          <w:szCs w:val="32"/>
          <w:shd w:val="clear" w:color="auto" w:fill="auto"/>
          <w:lang w:bidi="ar-SA"/>
        </w:rPr>
        <w:t>八、政府性基金预算支出情况说明</w:t>
      </w:r>
      <w:bookmarkEnd w:id="23"/>
    </w:p>
    <w:p>
      <w:pPr>
        <w:wordWrap/>
        <w:adjustRightInd/>
        <w:snapToGrid/>
        <w:spacing w:line="576" w:lineRule="exact"/>
        <w:ind w:left="0" w:firstLineChars="200" w:firstLine="640"/>
        <w:rPr>
          <w:rFonts w:ascii="Times New Roman" w:eastAsia="方正仿宋_GBK" w:hAnsi="Times New Roman"/>
          <w:sz w:val="32"/>
          <w:szCs w:val="32"/>
        </w:rPr>
      </w:pPr>
      <w:r>
        <w:rPr>
          <w:rFonts w:ascii="Times New Roman" w:eastAsia="方正仿宋_GBK" w:hAnsi="Times New Roman"/>
          <w:sz w:val="32"/>
          <w:szCs w:val="32"/>
        </w:rPr>
        <w:t>中共阿坝州委办公室2025年无政府性基金预算拨款安排的支出。</w:t>
      </w:r>
    </w:p>
    <w:p>
      <w:pPr>
        <w:wordWrap/>
        <w:adjustRightInd/>
        <w:snapToGrid/>
        <w:spacing w:line="576" w:lineRule="exact"/>
        <w:ind w:left="0" w:firstLineChars="200" w:firstLine="640"/>
        <w:outlineLvl w:val="0"/>
        <w:rPr>
          <w:rFonts w:ascii="Times New Roman" w:eastAsia="方正黑体_GBK" w:hAnsi="Times New Roman"/>
          <w:sz w:val="32"/>
          <w:szCs w:val="32"/>
          <w:shd w:val="clear" w:color="auto" w:fill="auto"/>
          <w:lang w:bidi="ar-SA"/>
        </w:rPr>
      </w:pPr>
      <w:bookmarkStart w:id="24" w:name="_Toc5991"/>
      <w:r>
        <w:rPr>
          <w:rFonts w:ascii="Times New Roman" w:eastAsia="方正黑体_GBK" w:hAnsi="Times New Roman"/>
          <w:sz w:val="32"/>
          <w:szCs w:val="32"/>
          <w:shd w:val="clear" w:color="auto" w:fill="auto"/>
          <w:lang w:bidi="ar-SA"/>
        </w:rPr>
        <w:t>九、其他重要事项的情况说明</w:t>
      </w:r>
      <w:bookmarkEnd w:id="24"/>
    </w:p>
    <w:p>
      <w:pPr>
        <w:pStyle w:val="22"/>
        <w:spacing w:before="0" w:line="360" w:lineRule="auto"/>
        <w:ind w:firstLineChars="200" w:firstLine="640"/>
        <w:rPr>
          <w:rFonts w:ascii="Times New Roman" w:hAnsi="Times New Roman"/>
          <w:color w:val="FF0000"/>
          <w:kern w:val="2"/>
          <w:sz w:val="32"/>
          <w:szCs w:val="32"/>
        </w:rPr>
      </w:pPr>
      <w:r>
        <w:rPr>
          <w:rFonts w:ascii="Times New Roman" w:eastAsia="方正楷体_GBK" w:hAnsi="Times New Roman"/>
          <w:b/>
          <w:bCs/>
          <w:kern w:val="2"/>
          <w:sz w:val="32"/>
          <w:szCs w:val="32"/>
          <w:shd w:val="clear" w:color="auto" w:fill="auto"/>
        </w:rPr>
        <w:t>（一）机关运行经费</w:t>
      </w:r>
      <w:r>
        <w:rPr>
          <w:rFonts w:ascii="Times New Roman" w:hAnsi="Times New Roman"/>
          <w:kern w:val="2"/>
          <w:sz w:val="32"/>
          <w:szCs w:val="32"/>
        </w:rPr>
        <w:br/>
        <w:t xml:space="preserve">　 </w:t>
      </w:r>
      <w:r>
        <w:rPr>
          <w:rFonts w:ascii="Times New Roman" w:eastAsia="方正仿宋_GBK" w:hAnsi="Times New Roman"/>
          <w:color w:val="FF0000"/>
          <w:kern w:val="2"/>
          <w:sz w:val="32"/>
          <w:szCs w:val="32"/>
        </w:rPr>
        <w:t xml:space="preserve"> </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2025年机关运行经费财政拨款预算为601.24万元，比2024年预算减少52.98万元，减少8.1%。</w:t>
      </w:r>
    </w:p>
    <w:p>
      <w:pPr>
        <w:pStyle w:val="22"/>
        <w:spacing w:before="0" w:line="360" w:lineRule="auto"/>
        <w:ind w:firstLineChars="200" w:firstLine="640"/>
        <w:rPr>
          <w:rFonts w:ascii="Times New Roman" w:hAnsi="Times New Roman"/>
          <w:kern w:val="2"/>
          <w:sz w:val="32"/>
          <w:szCs w:val="32"/>
        </w:rPr>
      </w:pPr>
      <w:r>
        <w:rPr>
          <w:rFonts w:ascii="Times New Roman" w:eastAsia="方正楷体_GBK" w:hAnsi="Times New Roman"/>
          <w:b/>
          <w:bCs/>
          <w:kern w:val="2"/>
          <w:sz w:val="32"/>
          <w:szCs w:val="32"/>
          <w:shd w:val="clear" w:color="auto" w:fill="auto"/>
        </w:rPr>
        <w:t>（二）政府采购情况</w:t>
      </w:r>
      <w:r>
        <w:rPr>
          <w:rFonts w:ascii="Times New Roman" w:hAnsi="Times New Roman"/>
          <w:kern w:val="2"/>
          <w:sz w:val="32"/>
          <w:szCs w:val="32"/>
        </w:rPr>
        <w:br/>
        <w:t>　</w:t>
      </w:r>
      <w:r>
        <w:rPr>
          <w:rFonts w:ascii="Times New Roman" w:hAnsi="Times New Roman"/>
          <w:color w:val="000000"/>
          <w:kern w:val="2"/>
          <w:sz w:val="32"/>
          <w:szCs w:val="32"/>
        </w:rPr>
        <w:t xml:space="preserve">　 </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安排政府采购预算31.00万元，主要用于办公家具及办公设备购置。</w:t>
      </w:r>
    </w:p>
    <w:p>
      <w:pPr>
        <w:pStyle w:val="22"/>
        <w:spacing w:before="0" w:line="360" w:lineRule="auto"/>
        <w:ind w:firstLineChars="200" w:firstLine="640"/>
        <w:outlineLvl w:val="1"/>
        <w:rPr>
          <w:rFonts w:ascii="Times New Roman" w:eastAsia="方正楷体_GBK" w:hAnsi="Times New Roman"/>
          <w:b/>
          <w:bCs/>
          <w:kern w:val="2"/>
          <w:sz w:val="32"/>
          <w:szCs w:val="32"/>
          <w:shd w:val="clear" w:color="auto" w:fill="auto"/>
        </w:rPr>
      </w:pPr>
      <w:bookmarkStart w:id="25" w:name="_Toc27385"/>
      <w:r>
        <w:rPr>
          <w:rFonts w:ascii="Times New Roman" w:eastAsia="方正楷体_GBK" w:hAnsi="Times New Roman"/>
          <w:b/>
          <w:bCs/>
          <w:kern w:val="2"/>
          <w:sz w:val="32"/>
          <w:szCs w:val="32"/>
          <w:shd w:val="clear" w:color="auto" w:fill="auto"/>
        </w:rPr>
        <w:t>（三）国有资产占有使用情况</w:t>
      </w:r>
      <w:bookmarkEnd w:id="25"/>
    </w:p>
    <w:p>
      <w:pPr>
        <w:pStyle w:val="22"/>
        <w:spacing w:before="0" w:line="360" w:lineRule="auto"/>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截至2024年12月31日，我单位固定资产4092.33万元。</w:t>
      </w:r>
    </w:p>
    <w:p>
      <w:pPr>
        <w:pStyle w:val="22"/>
        <w:spacing w:before="0" w:line="360" w:lineRule="auto"/>
        <w:ind w:firstLineChars="200" w:firstLine="640"/>
        <w:rPr>
          <w:rFonts w:ascii="Times New Roman" w:eastAsia="黑体" w:hAnsi="Times New Roman"/>
          <w:sz w:val="32"/>
          <w:szCs w:val="32"/>
        </w:rPr>
      </w:pPr>
      <w:r>
        <w:rPr>
          <w:rFonts w:ascii="Times New Roman" w:eastAsia="方正楷体_GBK" w:hAnsi="Times New Roman"/>
          <w:b/>
          <w:bCs/>
          <w:kern w:val="2"/>
          <w:sz w:val="32"/>
          <w:szCs w:val="32"/>
          <w:shd w:val="clear" w:color="auto" w:fill="auto"/>
        </w:rPr>
        <w:t>（四）绩效目标设置情况</w:t>
      </w:r>
      <w:r>
        <w:rPr>
          <w:rFonts w:ascii="Times New Roman" w:hAnsi="Times New Roman"/>
          <w:kern w:val="2"/>
          <w:sz w:val="32"/>
          <w:szCs w:val="32"/>
        </w:rPr>
        <w:br/>
        <w:t>　</w:t>
      </w:r>
      <w:r>
        <w:rPr>
          <w:rFonts w:ascii="Times New Roman" w:eastAsia="方正仿宋_GBK" w:hAnsi="Times New Roman"/>
          <w:kern w:val="2"/>
          <w:sz w:val="32"/>
          <w:szCs w:val="32"/>
        </w:rPr>
        <w:t>　2025年</w:t>
      </w:r>
      <w:r>
        <w:rPr>
          <w:rFonts w:ascii="Times New Roman" w:eastAsia="方正仿宋_GBK" w:hAnsi="Times New Roman"/>
          <w:sz w:val="32"/>
          <w:szCs w:val="32"/>
        </w:rPr>
        <w:t>中共阿坝州委办公室</w:t>
      </w:r>
      <w:r>
        <w:rPr>
          <w:rFonts w:ascii="Times New Roman" w:eastAsia="方正仿宋_GBK" w:hAnsi="Times New Roman"/>
          <w:kern w:val="2"/>
          <w:sz w:val="32"/>
          <w:szCs w:val="32"/>
        </w:rPr>
        <w:t>通用项目和专用项目均按要求实行绩效目标管理，涉及一般公共预算当年拨款618.00万元。</w:t>
      </w:r>
    </w:p>
    <w:p>
      <w:pPr>
        <w:pStyle w:val="22"/>
        <w:spacing w:before="0" w:line="360" w:lineRule="auto"/>
        <w:ind w:firstLineChars="200" w:firstLine="640"/>
        <w:rPr>
          <w:rFonts w:ascii="Times New Roman" w:eastAsia="方正仿宋_GBK" w:hAnsi="Times New Roman"/>
          <w:kern w:val="2"/>
          <w:sz w:val="32"/>
          <w:szCs w:val="32"/>
        </w:rPr>
      </w:pPr>
      <w:r>
        <w:rPr>
          <w:rFonts w:ascii="Times New Roman" w:eastAsia="方正黑体_GBK" w:hAnsi="Times New Roman"/>
          <w:kern w:val="2"/>
          <w:sz w:val="32"/>
          <w:szCs w:val="32"/>
          <w:shd w:val="clear" w:color="auto" w:fill="auto"/>
          <w:lang w:bidi="ar-SA"/>
        </w:rPr>
        <w:t xml:space="preserve">十、名称解释 </w:t>
      </w:r>
      <w:r>
        <w:rPr>
          <w:rFonts w:ascii="Times New Roman" w:hAnsi="Times New Roman"/>
          <w:sz w:val="32"/>
          <w:szCs w:val="32"/>
        </w:rPr>
        <w:br/>
      </w:r>
      <w:r>
        <w:rPr>
          <w:rFonts w:ascii="Times New Roman" w:eastAsia="宋体" w:hAnsi="Times New Roman"/>
          <w:sz w:val="16"/>
        </w:rPr>
        <w:t xml:space="preserve">　　   </w:t>
      </w:r>
      <w:r>
        <w:rPr>
          <w:rFonts w:ascii="Times New Roman" w:eastAsia="方正仿宋_GBK" w:hAnsi="Times New Roman"/>
          <w:b/>
          <w:bCs/>
          <w:kern w:val="2"/>
          <w:sz w:val="32"/>
          <w:szCs w:val="32"/>
        </w:rPr>
        <w:t>（一）财政拨款收入：</w:t>
      </w:r>
      <w:r>
        <w:rPr>
          <w:rFonts w:ascii="Times New Roman" w:eastAsia="方正仿宋_GBK" w:hAnsi="Times New Roman"/>
          <w:kern w:val="2"/>
          <w:sz w:val="32"/>
          <w:szCs w:val="32"/>
        </w:rPr>
        <w:t>指由财政拨款形成的部门收入。按现行管理制度，部门预算中反映的财政拨款仅包括一般公共预算拨款和政府性基金预算拨款。</w:t>
        <w:br/>
        <w:t>　　</w:t>
      </w:r>
      <w:r>
        <w:rPr>
          <w:rFonts w:ascii="Times New Roman" w:eastAsia="方正仿宋_GBK" w:hAnsi="Times New Roman"/>
          <w:b/>
          <w:bCs/>
          <w:kern w:val="2"/>
          <w:sz w:val="32"/>
          <w:szCs w:val="32"/>
        </w:rPr>
        <w:t>（二）其他收入：</w:t>
      </w:r>
      <w:r>
        <w:rPr>
          <w:rFonts w:ascii="Times New Roman" w:eastAsia="方正仿宋_GBK" w:hAnsi="Times New Roman"/>
          <w:kern w:val="2"/>
          <w:sz w:val="32"/>
          <w:szCs w:val="32"/>
        </w:rPr>
        <w:t>指除上述“财政拨款收入”、“事业收入”、“事业单位经营收入”等以外的收入，主要是所属行政事业单位按规定动用的售房收入、存款利息收入等。</w:t>
      </w:r>
    </w:p>
    <w:p>
      <w:pPr>
        <w:pStyle w:val="22"/>
        <w:spacing w:before="0" w:line="360" w:lineRule="auto"/>
        <w:ind w:firstLineChars="200" w:firstLine="640"/>
        <w:rPr>
          <w:rFonts w:ascii="Times New Roman" w:hAnsi="Times New Roman"/>
          <w:kern w:val="2"/>
          <w:sz w:val="32"/>
          <w:szCs w:val="32"/>
        </w:rPr>
      </w:pPr>
      <w:r>
        <w:rPr>
          <w:rFonts w:ascii="Times New Roman" w:eastAsia="方正仿宋_GBK" w:cs="Times New Roman" w:hAnsi="Times New Roman"/>
          <w:b/>
          <w:bCs/>
          <w:kern w:val="2"/>
          <w:sz w:val="32"/>
          <w:szCs w:val="32"/>
          <w:lang w:val="en-US" w:eastAsia="zh-CN" w:bidi="ar-SA"/>
        </w:rPr>
        <w:t>（三）事业收入：</w:t>
      </w:r>
      <w:r>
        <w:rPr>
          <w:rFonts w:ascii="Times New Roman" w:eastAsia="方正仿宋_GBK" w:cs="Times New Roman" w:hAnsi="Times New Roman"/>
          <w:kern w:val="2"/>
          <w:sz w:val="32"/>
          <w:szCs w:val="32"/>
          <w:lang w:val="en-US" w:eastAsia="zh-CN" w:bidi="ar-SA"/>
        </w:rPr>
        <w:t>指所属事业单位开展专业业务活动及辅助活动所取得的收入。</w:t>
      </w:r>
    </w:p>
    <w:sectPr>
      <w:footerReference w:type="default" r:id="rId6"/>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仿宋_GBK">
    <w:panose1 w:val="03000509000000000000"/>
    <w:charset w:val="86"/>
    <w:family w:val="auto"/>
    <w:pitch w:val="variable"/>
    <w:sig w:usb0="00000001" w:usb1="080E0000" w:usb2="00000000" w:usb3="00000000" w:csb0="00040000" w:csb1="00000000"/>
  </w:font>
  <w:font w:name="方正小标宋_GBK">
    <w:panose1 w:val="03000502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top w:val="none" w:sz="0" w:space="0" w:color="auto"/>
        <w:left w:val="none" w:sz="0" w:space="0" w:color="auto"/>
        <w:bottom w:val="none" w:sz="0" w:space="0" w:color="auto"/>
        <w:right w:val="none" w:sz="0" w:space="0" w:color="auto"/>
      </w:pBdr>
      <w:tabs>
        <w:tab w:val="center" w:pos="4153"/>
        <w:tab w:val="right" w:pos="8306"/>
      </w:tabs>
    </w:pP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top w:val="none" w:sz="0" w:space="0" w:color="auto"/>
        <w:left w:val="none" w:sz="0" w:space="0" w:color="auto"/>
        <w:bottom w:val="none" w:sz="0" w:space="0" w:color="auto"/>
        <w:right w:val="none" w:sz="0" w:space="0" w:color="auto"/>
      </w:pBdr>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2"/>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2">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4.5pt;height:10.359035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zE3ZmVhZTgyNzdlYmRhZjMxNDcyMWE1OWMzMTRiYT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Calibri" w:eastAsia="宋体" w:cs="Times New Roman" w:hAnsi="Calibri"/>
      <w:kern w:val="2"/>
      <w:sz w:val="21"/>
      <w:szCs w:val="2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rPr>
  </w:style>
  <w:style w:type="paragraph" w:styleId="2">
    <w:name w:val="heading 2"/>
    <w:basedOn w:val="0"/>
    <w:autoRedefine/>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autoRedefine/>
    <w:next w:val="0"/>
    <w:pPr>
      <w:keepNext/>
      <w:keepLines/>
      <w:widowControl w:val="0"/>
      <w:spacing w:before="260" w:after="260" w:line="415" w:lineRule="auto"/>
      <w:outlineLvl w:val="2"/>
    </w:pPr>
    <w:rPr>
      <w:b/>
      <w:sz w:val="32"/>
    </w:rPr>
  </w:style>
  <w:style w:type="character" w:default="1" w:styleId="10">
    <w:name w:val="Default Paragraph Font"/>
    <w:autoRedefine/>
  </w:style>
  <w:style w:type="paragraph" w:styleId="15">
    <w:name w:val="toc 3"/>
    <w:basedOn w:val="0"/>
    <w:next w:val="0"/>
    <w:pPr>
      <w:ind w:leftChars="400" w:left="400"/>
    </w:pPr>
  </w:style>
  <w:style w:type="paragraph" w:styleId="16">
    <w:name w:val="footer"/>
    <w:basedOn w:val="0"/>
    <w:autoRedefine/>
    <w:pPr>
      <w:tabs>
        <w:tab w:val="center" w:pos="4153"/>
        <w:tab w:val="right" w:pos="8306"/>
      </w:tabs>
      <w:snapToGrid w:val="0"/>
      <w:jc w:val="left"/>
    </w:pPr>
    <w:rPr>
      <w:sz w:val="18"/>
      <w:szCs w:val="18"/>
    </w:rPr>
  </w:style>
  <w:style w:type="paragraph" w:styleId="17">
    <w:name w:val="header"/>
    <w:basedOn w:val="0"/>
    <w:autoRedefine/>
    <w:pPr>
      <w:pBdr>
        <w:bottom w:val="single" w:sz="6" w:space="1" w:color="auto"/>
      </w:pBdr>
      <w:tabs>
        <w:tab w:val="center" w:pos="4153"/>
        <w:tab w:val="right" w:pos="8306"/>
      </w:tabs>
      <w:snapToGrid w:val="0"/>
      <w:jc w:val="center"/>
    </w:pPr>
    <w:rPr>
      <w:sz w:val="18"/>
      <w:szCs w:val="18"/>
    </w:rPr>
  </w:style>
  <w:style w:type="paragraph" w:styleId="18">
    <w:name w:val="toc 1"/>
    <w:basedOn w:val="0"/>
    <w:next w:val="0"/>
  </w:style>
  <w:style w:type="paragraph" w:styleId="19">
    <w:name w:val="toc 2"/>
    <w:basedOn w:val="0"/>
    <w:next w:val="0"/>
    <w:pPr>
      <w:ind w:leftChars="200" w:left="200"/>
    </w:pPr>
  </w:style>
  <w:style w:type="character" w:styleId="20">
    <w:name w:val="page number"/>
    <w:basedOn w:val="10"/>
    <w:autoRedefine/>
  </w:style>
  <w:style w:type="paragraph" w:styleId="21">
    <w:name w:val="List Paragraph"/>
    <w:basedOn w:val="0"/>
    <w:autoRedefine/>
    <w:pPr>
      <w:ind w:firstLineChars="200" w:firstLine="200"/>
    </w:pPr>
  </w:style>
  <w:style w:type="paragraph" w:customStyle="1" w:styleId="22">
    <w:name w:val="正文文本1"/>
    <w:basedOn w:val="0"/>
    <w:autoRedefine/>
    <w:pPr>
      <w:spacing w:before="93"/>
    </w:pPr>
    <w:rPr>
      <w:rFonts w:ascii="仿宋_GB2312" w:eastAsia="仿宋_GB2312"/>
      <w:kern w:val="0"/>
      <w:sz w:val="30"/>
      <w:szCs w:val="20"/>
    </w:rPr>
  </w:style>
  <w:style w:type="paragraph" w:customStyle="1" w:styleId="23">
    <w:name w:val="WPSOffice手动目录 1"/>
    <w:rPr>
      <w:rFonts w:ascii="Times New Roman" w:eastAsia="宋体" w:cs="Times New Roman" w:hAnsi="Times New Roman"/>
      <w:sz w:val="20"/>
      <w:szCs w:val="20"/>
      <w:lang w:val="en-US" w:eastAsia="zh-CN" w:bidi="ar-SA"/>
    </w:rPr>
  </w:style>
  <w:style w:type="paragraph" w:customStyle="1" w:styleId="24">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25">
    <w:name w:val="WPSOffice手动目录 3"/>
    <w:pPr>
      <w:ind w:leftChars="400" w:left="400"/>
    </w:pPr>
    <w:rPr>
      <w:rFonts w:ascii="Times New Roman" w:eastAsia="宋体" w:cs="Times New Roman" w:hAnsi="Times New Roman"/>
      <w:sz w:val="2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274</TotalTime>
  <Application>Yozo_Office27021597764231179</Application>
  <Pages>9</Pages>
  <Words>3685</Words>
  <Characters>4273</Characters>
  <Lines>213</Lines>
  <Paragraphs>83</Paragraphs>
  <CharactersWithSpaces>4318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2018-01-30T09:39:00Z</cp:lastPrinted>
  <dcterms:created xsi:type="dcterms:W3CDTF">2022-12-30T09:44:00Z</dcterms:created>
  <dcterms:modified xsi:type="dcterms:W3CDTF">2025-02-18T07:41:49Z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574AC1E7C7674CCB816E93155EF7E101_12</vt:lpwstr>
  </property>
</Properties>
</file>