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sz w:val="44"/>
          <w:szCs w:val="44"/>
        </w:rPr>
        <w:t>州专用通信中心</w:t>
      </w:r>
    </w:p>
    <w:p>
      <w:pPr>
        <w:jc w:val="center"/>
        <w:rPr>
          <w:rFonts w:ascii="黑体" w:eastAsia="黑体"/>
          <w:sz w:val="44"/>
          <w:szCs w:val="44"/>
        </w:rPr>
      </w:pPr>
      <w:r>
        <w:rPr>
          <w:rFonts w:ascii="黑体" w:eastAsia="黑体"/>
          <w:sz w:val="44"/>
          <w:szCs w:val="44"/>
        </w:rPr>
        <w:t>2026</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bookmarkStart w:id="0" w:name="_GoBack"/>
      <w:bookmarkEnd w:id="0"/>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280"/>
        <w:rPr>
          <w:rFonts w:ascii="黑体" w:eastAsia="黑体"/>
          <w:sz w:val="44"/>
          <w:szCs w:val="44"/>
        </w:rPr>
      </w:pPr>
      <w:r>
        <w:rPr>
          <w:rFonts w:ascii="Times New Roman" w:eastAsia="方正仿宋_GBK" w:hAnsi="Times New Roman" w:hint="eastAsia"/>
          <w:sz w:val="32"/>
          <w:szCs w:val="32"/>
          <w:u w:val="none"/>
          <w:lang w:eastAsia="zh-CN" w:bidi="ar-SA"/>
        </w:rPr>
        <w:t>已经保密审查，内容审定，同意对外公开</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spacing w:line="560" w:lineRule="exact"/>
        <w:ind w:firstLineChars="600" w:firstLine="3120"/>
        <w:rPr>
          <w:rFonts w:ascii="黑体" w:eastAsia="黑体"/>
          <w:sz w:val="52"/>
          <w:szCs w:val="52"/>
        </w:rPr>
      </w:pPr>
      <w:r>
        <w:rPr>
          <w:rFonts w:ascii="黑体" w:eastAsia="黑体" w:hint="eastAsia"/>
          <w:sz w:val="52"/>
          <w:szCs w:val="52"/>
        </w:rPr>
        <w:t>目</w:t>
      </w:r>
      <w:r>
        <w:rPr>
          <w:rFonts w:ascii="黑体" w:eastAsia="黑体"/>
          <w:sz w:val="52"/>
          <w:szCs w:val="52"/>
        </w:rPr>
        <w:t xml:space="preserve">  </w:t>
      </w:r>
      <w:r>
        <w:rPr>
          <w:rFonts w:ascii="黑体" w:eastAsia="黑体" w:hint="eastAsia"/>
          <w:sz w:val="52"/>
          <w:szCs w:val="52"/>
        </w:rPr>
        <w:t>录</w:t>
      </w:r>
    </w:p>
    <w:p>
      <w:pPr>
        <w:pStyle w:val="19"/>
        <w:tabs>
          <w:tab w:val="right" w:leader="dot" w:pos="8306"/>
        </w:tabs>
        <w:spacing w:line="560" w:lineRule="exact"/>
      </w:pPr>
      <w:r>
        <w:rPr>
          <w:rFonts w:ascii="黑体" w:eastAsia="黑体"/>
          <w:sz w:val="44"/>
          <w:szCs w:val="44"/>
        </w:rPr>
        <w:fldChar w:fldCharType="begin"/>
      </w:r>
      <w:r>
        <w:rPr>
          <w:rFonts w:ascii="黑体" w:eastAsia="黑体"/>
          <w:sz w:val="44"/>
          <w:szCs w:val="44"/>
        </w:rPr>
        <w:instrText xml:space="preserve"> TOC \o "1-2" \h \u </w:instrText>
      </w:r>
      <w:r>
        <w:rPr>
          <w:rFonts w:ascii="黑体" w:eastAsia="黑体"/>
          <w:sz w:val="44"/>
          <w:szCs w:val="44"/>
        </w:rPr>
        <w:fldChar w:fldCharType="separate"/>
      </w:r>
      <w:r>
        <w:fldChar w:fldCharType="begin"/>
      </w:r>
      <w:r>
        <w:instrText>Hyperlink \l "_Toc46662471"</w:instrText>
      </w:r>
      <w:r>
        <w:fldChar w:fldCharType="separate"/>
      </w:r>
      <w:r>
        <w:rPr>
          <w:rFonts w:ascii="黑体" w:eastAsia="黑体" w:hint="eastAsia"/>
          <w:szCs w:val="32"/>
        </w:rPr>
        <w:t>一、基本职能及主要工作</w:t>
      </w:r>
      <w:r>
        <w:tab/>
      </w:r>
      <w:r>
        <w:fldChar w:fldCharType="begin"/>
      </w:r>
      <w:r>
        <w:instrText>PageRef _Toc46662471 \h</w:instrText>
      </w:r>
      <w:r>
        <w:fldChar w:fldCharType="separate"/>
      </w:r>
      <w:r>
        <w:t>3</w:t>
      </w:r>
      <w:r>
        <w:fldChar w:fldCharType="end"/>
      </w:r>
      <w:r>
        <w:fldChar w:fldCharType="end"/>
      </w:r>
    </w:p>
    <w:p>
      <w:pPr>
        <w:pStyle w:val="20"/>
        <w:tabs>
          <w:tab w:val="right" w:leader="dot" w:pos="8306"/>
        </w:tabs>
        <w:spacing w:line="560" w:lineRule="exact"/>
      </w:pPr>
      <w:r>
        <w:fldChar w:fldCharType="begin"/>
      </w:r>
      <w:r>
        <w:instrText>Hyperlink \l "_Toc46662472"</w:instrText>
      </w:r>
      <w:r>
        <w:fldChar w:fldCharType="separate"/>
      </w:r>
      <w:r>
        <w:rPr>
          <w:rFonts w:ascii="楷体" w:eastAsia="楷体" w:hint="eastAsia"/>
          <w:szCs w:val="32"/>
        </w:rPr>
        <w:t>（一）部门职能简介</w:t>
      </w:r>
      <w:r>
        <w:tab/>
      </w:r>
      <w:r>
        <w:fldChar w:fldCharType="begin"/>
      </w:r>
      <w:r>
        <w:instrText>PageRef _Toc46662472 \h</w:instrText>
      </w:r>
      <w:r>
        <w:fldChar w:fldCharType="separate"/>
      </w:r>
      <w:r>
        <w:t>3</w:t>
      </w:r>
      <w:r>
        <w:fldChar w:fldCharType="end"/>
      </w:r>
      <w:r>
        <w:fldChar w:fldCharType="end"/>
      </w:r>
    </w:p>
    <w:p>
      <w:pPr>
        <w:pStyle w:val="20"/>
        <w:tabs>
          <w:tab w:val="right" w:leader="dot" w:pos="8306"/>
        </w:tabs>
        <w:spacing w:line="560" w:lineRule="exact"/>
      </w:pPr>
      <w:r>
        <w:fldChar w:fldCharType="begin"/>
      </w:r>
      <w:r>
        <w:instrText>Hyperlink \l "_Toc46662473"</w:instrText>
      </w:r>
      <w:r>
        <w:fldChar w:fldCharType="separate"/>
      </w:r>
      <w:r>
        <w:rPr>
          <w:rFonts w:ascii="楷体" w:eastAsia="楷体" w:hint="eastAsia"/>
          <w:szCs w:val="32"/>
        </w:rPr>
        <w:t>（二）</w:t>
      </w:r>
      <w:r>
        <w:rPr>
          <w:rFonts w:ascii="楷体" w:eastAsia="楷体"/>
          <w:szCs w:val="32"/>
        </w:rPr>
        <w:t>2026</w:t>
      </w:r>
      <w:r>
        <w:rPr>
          <w:rFonts w:ascii="楷体" w:eastAsia="楷体" w:hint="eastAsia"/>
          <w:szCs w:val="32"/>
        </w:rPr>
        <w:t>年重点工作</w:t>
      </w:r>
      <w:r>
        <w:tab/>
      </w:r>
      <w:r>
        <w:fldChar w:fldCharType="begin"/>
      </w:r>
      <w:r>
        <w:instrText>PageRef _Toc46662473 \h</w:instrText>
      </w:r>
      <w:r>
        <w:fldChar w:fldCharType="separate"/>
      </w:r>
      <w:r>
        <w:t>3</w:t>
      </w:r>
      <w:r>
        <w:fldChar w:fldCharType="end"/>
      </w:r>
      <w:r>
        <w:fldChar w:fldCharType="end"/>
      </w:r>
    </w:p>
    <w:p>
      <w:pPr>
        <w:pStyle w:val="19"/>
        <w:tabs>
          <w:tab w:val="right" w:leader="dot" w:pos="8306"/>
        </w:tabs>
        <w:spacing w:line="560" w:lineRule="exact"/>
      </w:pPr>
      <w:r>
        <w:fldChar w:fldCharType="begin"/>
      </w:r>
      <w:r>
        <w:instrText>Hyperlink \l "_Toc46662474"</w:instrText>
      </w:r>
      <w:r>
        <w:fldChar w:fldCharType="separate"/>
      </w:r>
      <w:r>
        <w:rPr>
          <w:rFonts w:ascii="黑体" w:eastAsia="黑体"/>
          <w:szCs w:val="32"/>
          <w:u w:color="auto"/>
          <w:shd w:val="clear" w:color="auto" w:fill="auto"/>
        </w:rPr>
        <w:t>二、</w:t>
      </w:r>
      <w:r>
        <w:t xml:space="preserve">  </w:t>
      </w:r>
      <w:r>
        <w:rPr>
          <w:rFonts w:ascii="黑体" w:eastAsia="黑体" w:hint="eastAsia"/>
          <w:szCs w:val="32"/>
        </w:rPr>
        <w:t>部门预算单位构成</w:t>
      </w:r>
      <w:r>
        <w:tab/>
      </w:r>
      <w:r>
        <w:fldChar w:fldCharType="begin"/>
      </w:r>
      <w:r>
        <w:instrText>PageRef _Toc46662474 \h</w:instrText>
      </w:r>
      <w:r>
        <w:fldChar w:fldCharType="separate"/>
      </w:r>
      <w:r>
        <w:t>3</w:t>
      </w:r>
      <w:r>
        <w:fldChar w:fldCharType="end"/>
      </w:r>
      <w:r>
        <w:fldChar w:fldCharType="end"/>
      </w:r>
    </w:p>
    <w:p>
      <w:pPr>
        <w:pStyle w:val="19"/>
        <w:tabs>
          <w:tab w:val="right" w:leader="dot" w:pos="8306"/>
        </w:tabs>
        <w:spacing w:line="560" w:lineRule="exact"/>
      </w:pPr>
      <w:r>
        <w:fldChar w:fldCharType="begin"/>
      </w:r>
      <w:r>
        <w:instrText>Hyperlink \l "_Toc46662475"</w:instrText>
      </w:r>
      <w:r>
        <w:fldChar w:fldCharType="separate"/>
      </w:r>
      <w:r>
        <w:rPr>
          <w:rFonts w:ascii="黑体" w:eastAsia="黑体" w:hint="eastAsia"/>
          <w:szCs w:val="32"/>
        </w:rPr>
        <w:t>三、收支预算情况说明</w:t>
      </w:r>
      <w:r>
        <w:tab/>
      </w:r>
      <w:r>
        <w:fldChar w:fldCharType="begin"/>
      </w:r>
      <w:r>
        <w:instrText>PageRef _Toc46662475 \h</w:instrText>
      </w:r>
      <w:r>
        <w:fldChar w:fldCharType="separate"/>
      </w:r>
      <w:r>
        <w:t>3</w:t>
      </w:r>
      <w:r>
        <w:fldChar w:fldCharType="end"/>
      </w:r>
      <w:r>
        <w:fldChar w:fldCharType="end"/>
      </w:r>
    </w:p>
    <w:p>
      <w:pPr>
        <w:pStyle w:val="20"/>
        <w:tabs>
          <w:tab w:val="right" w:leader="dot" w:pos="8306"/>
        </w:tabs>
        <w:spacing w:line="560" w:lineRule="exact"/>
      </w:pPr>
      <w:r>
        <w:fldChar w:fldCharType="begin"/>
      </w:r>
      <w:r>
        <w:instrText>Hyperlink \l "_Toc46662476"</w:instrText>
      </w:r>
      <w:r>
        <w:fldChar w:fldCharType="separate"/>
      </w:r>
      <w:r>
        <w:rPr>
          <w:rFonts w:ascii="Times New Roman" w:eastAsia="方正楷体_GBK" w:hAnsi="Times New Roman"/>
          <w:bCs/>
          <w:szCs w:val="32"/>
          <w:shd w:val="clear" w:color="auto" w:fill="auto"/>
        </w:rPr>
        <w:t>（一）收入预算情况</w:t>
      </w:r>
      <w:r>
        <w:tab/>
      </w:r>
      <w:r>
        <w:fldChar w:fldCharType="begin"/>
      </w:r>
      <w:r>
        <w:instrText>PageRef _Toc46662476 \h</w:instrText>
      </w:r>
      <w:r>
        <w:fldChar w:fldCharType="separate"/>
      </w:r>
      <w:r>
        <w:t>3</w:t>
      </w:r>
      <w:r>
        <w:fldChar w:fldCharType="end"/>
      </w:r>
      <w:r>
        <w:fldChar w:fldCharType="end"/>
      </w:r>
    </w:p>
    <w:p>
      <w:pPr>
        <w:pStyle w:val="20"/>
        <w:tabs>
          <w:tab w:val="right" w:leader="dot" w:pos="8306"/>
        </w:tabs>
        <w:spacing w:line="560" w:lineRule="exact"/>
      </w:pPr>
      <w:r>
        <w:fldChar w:fldCharType="begin"/>
      </w:r>
      <w:r>
        <w:instrText>Hyperlink \l "_Toc46662477"</w:instrText>
      </w:r>
      <w:r>
        <w:fldChar w:fldCharType="separate"/>
      </w:r>
      <w:r>
        <w:rPr>
          <w:rFonts w:ascii="Times New Roman" w:eastAsia="方正楷体_GBK" w:hAnsi="Times New Roman"/>
          <w:bCs/>
          <w:szCs w:val="32"/>
          <w:shd w:val="clear" w:color="auto" w:fill="auto"/>
        </w:rPr>
        <w:t>（二）支出预算情况</w:t>
      </w:r>
      <w:r>
        <w:tab/>
      </w:r>
      <w:r>
        <w:fldChar w:fldCharType="begin"/>
      </w:r>
      <w:r>
        <w:instrText>PageRef _Toc46662477 \h</w:instrText>
      </w:r>
      <w:r>
        <w:fldChar w:fldCharType="separate"/>
      </w:r>
      <w:r>
        <w:t>3</w:t>
      </w:r>
      <w:r>
        <w:fldChar w:fldCharType="end"/>
      </w:r>
      <w:r>
        <w:fldChar w:fldCharType="end"/>
      </w:r>
    </w:p>
    <w:p>
      <w:pPr>
        <w:pStyle w:val="19"/>
        <w:tabs>
          <w:tab w:val="right" w:leader="dot" w:pos="8306"/>
        </w:tabs>
        <w:spacing w:line="560" w:lineRule="exact"/>
      </w:pPr>
      <w:r>
        <w:fldChar w:fldCharType="begin"/>
      </w:r>
      <w:r>
        <w:instrText>Hyperlink \l "_Toc46662478"</w:instrText>
      </w:r>
      <w:r>
        <w:fldChar w:fldCharType="separate"/>
      </w:r>
      <w:r>
        <w:rPr>
          <w:rFonts w:ascii="黑体" w:eastAsia="黑体" w:hint="eastAsia"/>
          <w:szCs w:val="32"/>
        </w:rPr>
        <w:t>四、财政拨款收支预算情况说明</w:t>
      </w:r>
      <w:r>
        <w:tab/>
      </w:r>
      <w:r>
        <w:fldChar w:fldCharType="begin"/>
      </w:r>
      <w:r>
        <w:instrText>PageRef _Toc46662478 \h</w:instrText>
      </w:r>
      <w:r>
        <w:fldChar w:fldCharType="separate"/>
      </w:r>
      <w:r>
        <w:t>3</w:t>
      </w:r>
      <w:r>
        <w:fldChar w:fldCharType="end"/>
      </w:r>
      <w:r>
        <w:fldChar w:fldCharType="end"/>
      </w:r>
    </w:p>
    <w:p>
      <w:pPr>
        <w:pStyle w:val="19"/>
        <w:tabs>
          <w:tab w:val="right" w:leader="dot" w:pos="8306"/>
        </w:tabs>
        <w:spacing w:line="560" w:lineRule="exact"/>
      </w:pPr>
      <w:r>
        <w:fldChar w:fldCharType="begin"/>
      </w:r>
      <w:r>
        <w:instrText>Hyperlink \l "_Toc46662479"</w:instrText>
      </w:r>
      <w:r>
        <w:fldChar w:fldCharType="separate"/>
      </w:r>
      <w:r>
        <w:rPr>
          <w:rFonts w:ascii="黑体" w:eastAsia="黑体" w:hint="eastAsia"/>
          <w:szCs w:val="32"/>
        </w:rPr>
        <w:t>五、一般公共预算当年拨款情况说明</w:t>
      </w:r>
      <w:r>
        <w:tab/>
      </w:r>
      <w:r>
        <w:fldChar w:fldCharType="begin"/>
      </w:r>
      <w:r>
        <w:instrText>PageRef _Toc46662479 \h</w:instrText>
      </w:r>
      <w:r>
        <w:fldChar w:fldCharType="separate"/>
      </w:r>
      <w:r>
        <w:t>4</w:t>
      </w:r>
      <w:r>
        <w:fldChar w:fldCharType="end"/>
      </w:r>
      <w:r>
        <w:fldChar w:fldCharType="end"/>
      </w:r>
    </w:p>
    <w:p>
      <w:pPr>
        <w:pStyle w:val="20"/>
        <w:tabs>
          <w:tab w:val="right" w:leader="dot" w:pos="8306"/>
        </w:tabs>
        <w:spacing w:line="560" w:lineRule="exact"/>
      </w:pPr>
      <w:r>
        <w:fldChar w:fldCharType="begin"/>
      </w:r>
      <w:r>
        <w:instrText>Hyperlink \l "_Toc46662480"</w:instrText>
      </w:r>
      <w:r>
        <w:fldChar w:fldCharType="separate"/>
      </w:r>
      <w:r>
        <w:rPr>
          <w:rFonts w:ascii="Times New Roman" w:eastAsia="方正楷体_GBK" w:hAnsi="Times New Roman"/>
          <w:bCs/>
          <w:szCs w:val="32"/>
          <w:shd w:val="clear" w:color="auto" w:fill="auto"/>
        </w:rPr>
        <w:t>（一）一般公共预算当年拨款规模变化情况</w:t>
      </w:r>
      <w:r>
        <w:tab/>
      </w:r>
      <w:r>
        <w:fldChar w:fldCharType="begin"/>
      </w:r>
      <w:r>
        <w:instrText>PageRef _Toc46662480 \h</w:instrText>
      </w:r>
      <w:r>
        <w:fldChar w:fldCharType="separate"/>
      </w:r>
      <w:r>
        <w:t>4</w:t>
      </w:r>
      <w:r>
        <w:fldChar w:fldCharType="end"/>
      </w:r>
      <w:r>
        <w:fldChar w:fldCharType="end"/>
      </w:r>
    </w:p>
    <w:p>
      <w:pPr>
        <w:pStyle w:val="20"/>
        <w:tabs>
          <w:tab w:val="right" w:leader="dot" w:pos="8306"/>
        </w:tabs>
        <w:spacing w:line="560" w:lineRule="exact"/>
      </w:pPr>
      <w:r>
        <w:fldChar w:fldCharType="begin"/>
      </w:r>
      <w:r>
        <w:instrText>Hyperlink \l "_Toc46662481"</w:instrText>
      </w:r>
      <w:r>
        <w:fldChar w:fldCharType="separate"/>
      </w:r>
      <w:r>
        <w:rPr>
          <w:rFonts w:ascii="Times New Roman" w:eastAsia="方正楷体_GBK" w:hAnsi="Times New Roman"/>
          <w:bCs/>
          <w:szCs w:val="32"/>
          <w:shd w:val="clear" w:color="auto" w:fill="auto"/>
        </w:rPr>
        <w:t>（二）一般公共预算当年拨款结构情况</w:t>
      </w:r>
      <w:r>
        <w:tab/>
      </w:r>
      <w:r>
        <w:fldChar w:fldCharType="begin"/>
      </w:r>
      <w:r>
        <w:instrText>PageRef _Toc46662481 \h</w:instrText>
      </w:r>
      <w:r>
        <w:fldChar w:fldCharType="separate"/>
      </w:r>
      <w:r>
        <w:t>4</w:t>
      </w:r>
      <w:r>
        <w:fldChar w:fldCharType="end"/>
      </w:r>
      <w:r>
        <w:fldChar w:fldCharType="end"/>
      </w:r>
    </w:p>
    <w:p>
      <w:pPr>
        <w:pStyle w:val="20"/>
        <w:tabs>
          <w:tab w:val="right" w:leader="dot" w:pos="8306"/>
        </w:tabs>
        <w:spacing w:line="560" w:lineRule="exact"/>
      </w:pPr>
      <w:r>
        <w:fldChar w:fldCharType="begin"/>
      </w:r>
      <w:r>
        <w:instrText>Hyperlink \l "_Toc46662482"</w:instrText>
      </w:r>
      <w:r>
        <w:fldChar w:fldCharType="separate"/>
      </w:r>
      <w:r>
        <w:rPr>
          <w:rFonts w:ascii="Times New Roman" w:eastAsia="方正楷体_GBK" w:hAnsi="Times New Roman"/>
          <w:bCs/>
          <w:szCs w:val="32"/>
          <w:shd w:val="clear" w:color="auto" w:fill="auto"/>
        </w:rPr>
        <w:t>（三）一般公共预算当年拨款具体使用情况</w:t>
      </w:r>
      <w:r>
        <w:tab/>
      </w:r>
      <w:r>
        <w:fldChar w:fldCharType="begin"/>
      </w:r>
      <w:r>
        <w:instrText>PageRef _Toc46662482 \h</w:instrText>
      </w:r>
      <w:r>
        <w:fldChar w:fldCharType="separate"/>
      </w:r>
      <w:r>
        <w:t>4</w:t>
      </w:r>
      <w:r>
        <w:fldChar w:fldCharType="end"/>
      </w:r>
      <w:r>
        <w:fldChar w:fldCharType="end"/>
      </w:r>
    </w:p>
    <w:p>
      <w:pPr>
        <w:pStyle w:val="19"/>
        <w:tabs>
          <w:tab w:val="right" w:leader="dot" w:pos="8306"/>
        </w:tabs>
        <w:spacing w:line="560" w:lineRule="exact"/>
      </w:pPr>
      <w:r>
        <w:fldChar w:fldCharType="begin"/>
      </w:r>
      <w:r>
        <w:instrText>Hyperlink \l "_Toc46662483"</w:instrText>
      </w:r>
      <w:r>
        <w:fldChar w:fldCharType="separate"/>
      </w:r>
      <w:r>
        <w:rPr>
          <w:rFonts w:ascii="黑体" w:eastAsia="黑体" w:hint="eastAsia"/>
          <w:szCs w:val="32"/>
        </w:rPr>
        <w:t>六、一般公共预算基本支出情况说明</w:t>
      </w:r>
      <w:r>
        <w:tab/>
      </w:r>
      <w:r>
        <w:fldChar w:fldCharType="begin"/>
      </w:r>
      <w:r>
        <w:instrText>PageRef _Toc46662483 \h</w:instrText>
      </w:r>
      <w:r>
        <w:fldChar w:fldCharType="separate"/>
      </w:r>
      <w:r>
        <w:t>5</w:t>
      </w:r>
      <w:r>
        <w:fldChar w:fldCharType="end"/>
      </w:r>
      <w:r>
        <w:fldChar w:fldCharType="end"/>
      </w:r>
    </w:p>
    <w:p>
      <w:pPr>
        <w:pStyle w:val="19"/>
        <w:tabs>
          <w:tab w:val="right" w:leader="dot" w:pos="8306"/>
        </w:tabs>
        <w:spacing w:line="560" w:lineRule="exact"/>
      </w:pPr>
      <w:r>
        <w:fldChar w:fldCharType="begin"/>
      </w:r>
      <w:r>
        <w:instrText>Hyperlink \l "_Toc46662484"</w:instrText>
      </w:r>
      <w:r>
        <w:fldChar w:fldCharType="separate"/>
      </w:r>
      <w:r>
        <w:rPr>
          <w:rFonts w:ascii="黑体" w:eastAsia="黑体" w:hint="eastAsia"/>
          <w:szCs w:val="32"/>
        </w:rPr>
        <w:t>八、政府性基金</w:t>
      </w:r>
      <w:r>
        <w:rPr>
          <w:rFonts w:ascii="黑体" w:eastAsia="黑体" w:cs="仿宋_GB2312" w:hint="eastAsia"/>
          <w:kern w:val="2"/>
          <w:szCs w:val="32"/>
        </w:rPr>
        <w:t>预算</w:t>
      </w:r>
      <w:r>
        <w:rPr>
          <w:rFonts w:ascii="黑体" w:eastAsia="黑体" w:hint="eastAsia"/>
          <w:szCs w:val="32"/>
        </w:rPr>
        <w:t>支出情况说明</w:t>
      </w:r>
      <w:r>
        <w:tab/>
      </w:r>
      <w:r>
        <w:fldChar w:fldCharType="begin"/>
      </w:r>
      <w:r>
        <w:instrText>PageRef _Toc46662484 \h</w:instrText>
      </w:r>
      <w:r>
        <w:fldChar w:fldCharType="separate"/>
      </w:r>
      <w:r>
        <w:t>6</w:t>
      </w:r>
      <w:r>
        <w:fldChar w:fldCharType="end"/>
      </w:r>
      <w:r>
        <w:fldChar w:fldCharType="end"/>
      </w:r>
    </w:p>
    <w:p>
      <w:pPr>
        <w:pStyle w:val="19"/>
        <w:tabs>
          <w:tab w:val="right" w:leader="dot" w:pos="8306"/>
        </w:tabs>
        <w:spacing w:line="560" w:lineRule="exact"/>
      </w:pPr>
      <w:r>
        <w:fldChar w:fldCharType="begin"/>
      </w:r>
      <w:r>
        <w:instrText>Hyperlink \l "_Toc46662485"</w:instrText>
      </w:r>
      <w:r>
        <w:fldChar w:fldCharType="separate"/>
      </w:r>
      <w:r>
        <w:rPr>
          <w:rFonts w:ascii="黑体" w:eastAsia="黑体" w:hint="eastAsia"/>
          <w:szCs w:val="32"/>
        </w:rPr>
        <w:t>九、其他重要事项的情况说明</w:t>
      </w:r>
      <w:r>
        <w:tab/>
      </w:r>
      <w:r>
        <w:fldChar w:fldCharType="begin"/>
      </w:r>
      <w:r>
        <w:instrText>PageRef _Toc46662485 \h</w:instrText>
      </w:r>
      <w:r>
        <w:fldChar w:fldCharType="separate"/>
      </w:r>
      <w:r>
        <w:t>6</w:t>
      </w:r>
      <w:r>
        <w:fldChar w:fldCharType="end"/>
      </w:r>
      <w:r>
        <w:fldChar w:fldCharType="end"/>
      </w:r>
    </w:p>
    <w:p>
      <w:pPr>
        <w:pStyle w:val="20"/>
        <w:tabs>
          <w:tab w:val="right" w:leader="dot" w:pos="8306"/>
        </w:tabs>
        <w:spacing w:line="560" w:lineRule="exact"/>
      </w:pPr>
      <w:r>
        <w:fldChar w:fldCharType="begin"/>
      </w:r>
      <w:r>
        <w:instrText>Hyperlink \l "_Toc46662486"</w:instrText>
      </w:r>
      <w:r>
        <w:fldChar w:fldCharType="separate"/>
      </w:r>
      <w:r>
        <w:rPr>
          <w:rFonts w:ascii="Times New Roman" w:eastAsia="方正楷体_GBK" w:hAnsi="Times New Roman"/>
          <w:bCs/>
          <w:kern w:val="2"/>
          <w:szCs w:val="32"/>
          <w:shd w:val="clear" w:color="auto" w:fill="auto"/>
        </w:rPr>
        <w:t>（一）机关运行经费</w:t>
      </w:r>
      <w:r>
        <w:tab/>
      </w:r>
      <w:r>
        <w:fldChar w:fldCharType="begin"/>
      </w:r>
      <w:r>
        <w:instrText>PageRef _Toc46662486 \h</w:instrText>
      </w:r>
      <w:r>
        <w:fldChar w:fldCharType="separate"/>
      </w:r>
      <w:r>
        <w:t>6</w:t>
      </w:r>
      <w:r>
        <w:fldChar w:fldCharType="end"/>
      </w:r>
      <w:r>
        <w:fldChar w:fldCharType="end"/>
      </w:r>
    </w:p>
    <w:p>
      <w:pPr>
        <w:pStyle w:val="20"/>
        <w:tabs>
          <w:tab w:val="right" w:leader="dot" w:pos="8306"/>
        </w:tabs>
        <w:spacing w:line="560" w:lineRule="exact"/>
      </w:pPr>
      <w:r>
        <w:fldChar w:fldCharType="begin"/>
      </w:r>
      <w:r>
        <w:instrText>Hyperlink \l "_Toc46662487"</w:instrText>
      </w:r>
      <w:r>
        <w:fldChar w:fldCharType="separate"/>
      </w:r>
      <w:r>
        <w:rPr>
          <w:rFonts w:ascii="Times New Roman" w:eastAsia="方正楷体_GBK" w:hAnsi="Times New Roman"/>
          <w:bCs/>
          <w:kern w:val="2"/>
          <w:szCs w:val="32"/>
          <w:shd w:val="clear" w:color="auto" w:fill="auto"/>
        </w:rPr>
        <w:t>（二）政府采购情况</w:t>
      </w:r>
      <w:r>
        <w:tab/>
      </w:r>
      <w:r>
        <w:fldChar w:fldCharType="begin"/>
      </w:r>
      <w:r>
        <w:instrText>PageRef _Toc46662487 \h</w:instrText>
      </w:r>
      <w:r>
        <w:fldChar w:fldCharType="separate"/>
      </w:r>
      <w:r>
        <w:t>6</w:t>
      </w:r>
      <w:r>
        <w:fldChar w:fldCharType="end"/>
      </w:r>
      <w:r>
        <w:fldChar w:fldCharType="end"/>
      </w:r>
    </w:p>
    <w:p>
      <w:pPr>
        <w:pStyle w:val="20"/>
        <w:tabs>
          <w:tab w:val="right" w:leader="dot" w:pos="8306"/>
        </w:tabs>
        <w:spacing w:line="560" w:lineRule="exact"/>
      </w:pPr>
      <w:r>
        <w:fldChar w:fldCharType="begin"/>
      </w:r>
      <w:r>
        <w:instrText>Hyperlink \l "_Toc46662488"</w:instrText>
      </w:r>
      <w:r>
        <w:fldChar w:fldCharType="separate"/>
      </w:r>
      <w:r>
        <w:rPr>
          <w:rFonts w:ascii="Times New Roman" w:eastAsia="方正楷体_GBK" w:hAnsi="Times New Roman"/>
          <w:bCs/>
          <w:kern w:val="2"/>
          <w:szCs w:val="32"/>
          <w:shd w:val="clear" w:color="auto" w:fill="auto"/>
        </w:rPr>
        <w:t>（三）国有资产占有使用情况</w:t>
      </w:r>
      <w:r>
        <w:tab/>
      </w:r>
      <w:r>
        <w:fldChar w:fldCharType="begin"/>
      </w:r>
      <w:r>
        <w:instrText>PageRef _Toc46662488 \h</w:instrText>
      </w:r>
      <w:r>
        <w:fldChar w:fldCharType="separate"/>
      </w:r>
      <w:r>
        <w:t>6</w:t>
      </w:r>
      <w:r>
        <w:fldChar w:fldCharType="end"/>
      </w:r>
      <w:r>
        <w:fldChar w:fldCharType="end"/>
      </w:r>
    </w:p>
    <w:p>
      <w:pPr>
        <w:pStyle w:val="20"/>
        <w:tabs>
          <w:tab w:val="right" w:leader="dot" w:pos="8306"/>
        </w:tabs>
        <w:spacing w:line="560" w:lineRule="exact"/>
      </w:pPr>
      <w:r>
        <w:fldChar w:fldCharType="begin"/>
      </w:r>
      <w:r>
        <w:instrText>Hyperlink \l "_Toc46662489"</w:instrText>
      </w:r>
      <w:r>
        <w:fldChar w:fldCharType="separate"/>
      </w:r>
      <w:r>
        <w:rPr>
          <w:rFonts w:ascii="Times New Roman" w:eastAsia="方正楷体_GBK" w:hAnsi="Times New Roman"/>
          <w:bCs/>
          <w:kern w:val="2"/>
          <w:szCs w:val="32"/>
          <w:shd w:val="clear" w:color="auto" w:fill="auto"/>
        </w:rPr>
        <w:t>（四）绩效目标设置情况</w:t>
      </w:r>
      <w:r>
        <w:tab/>
      </w:r>
      <w:r>
        <w:fldChar w:fldCharType="begin"/>
      </w:r>
      <w:r>
        <w:instrText>PageRef _Toc46662489 \h</w:instrText>
      </w:r>
      <w:r>
        <w:fldChar w:fldCharType="separate"/>
      </w:r>
      <w:r>
        <w:t>6</w:t>
      </w:r>
      <w:r>
        <w:fldChar w:fldCharType="end"/>
      </w:r>
      <w:r>
        <w:fldChar w:fldCharType="end"/>
      </w:r>
    </w:p>
    <w:p>
      <w:pPr>
        <w:pStyle w:val="19"/>
        <w:tabs>
          <w:tab w:val="right" w:leader="dot" w:pos="8306"/>
        </w:tabs>
        <w:spacing w:line="560" w:lineRule="exact"/>
      </w:pPr>
      <w:r>
        <w:fldChar w:fldCharType="begin"/>
      </w:r>
      <w:r>
        <w:instrText>Hyperlink \l "_Toc46662490"</w:instrText>
      </w:r>
      <w:r>
        <w:fldChar w:fldCharType="separate"/>
      </w:r>
      <w:r>
        <w:rPr>
          <w:rFonts w:ascii="黑体" w:eastAsia="黑体" w:hint="eastAsia"/>
          <w:szCs w:val="32"/>
        </w:rPr>
        <w:t>十、名称解释</w:t>
      </w:r>
      <w:r>
        <w:tab/>
      </w:r>
      <w:r>
        <w:fldChar w:fldCharType="begin"/>
      </w:r>
      <w:r>
        <w:instrText>PageRef _Toc46662490 \h</w:instrText>
      </w:r>
      <w:r>
        <w:fldChar w:fldCharType="separate"/>
      </w:r>
      <w:r>
        <w:t>7</w:t>
      </w:r>
      <w:r>
        <w:fldChar w:fldCharType="end"/>
      </w:r>
      <w:r>
        <w:fldChar w:fldCharType="end"/>
      </w:r>
      <w:r>
        <w:rPr>
          <w:rFonts w:ascii="黑体" w:eastAsia="黑体"/>
          <w:sz w:val="44"/>
          <w:szCs w:val="44"/>
        </w:rPr>
        <w:fldChar w:fldCharType="end"/>
      </w:r>
    </w:p>
    <w:p>
      <w:pPr>
        <w:pStyle w:val="17"/>
        <w:spacing w:line="576" w:lineRule="exact"/>
        <w:outlineLvl w:val="0"/>
        <w:rPr>
          <w:rFonts w:ascii="黑体" w:eastAsia="黑体"/>
          <w:sz w:val="32"/>
          <w:szCs w:val="32"/>
        </w:rPr>
      </w:pPr>
      <w:bookmarkStart w:id="1" w:name="_Toc46662471"/>
      <w:r>
        <w:rPr>
          <w:rFonts w:ascii="黑体" w:eastAsia="黑体" w:hint="eastAsia"/>
          <w:sz w:val="32"/>
          <w:szCs w:val="32"/>
        </w:rPr>
        <w:t>一、基本职能及主要工作</w:t>
      </w:r>
      <w:bookmarkEnd w:id="1"/>
    </w:p>
    <w:p>
      <w:pPr>
        <w:wordWrap/>
        <w:adjustRightInd/>
        <w:snapToGrid/>
        <w:spacing w:line="576" w:lineRule="exact"/>
        <w:ind w:left="0" w:firstLineChars="200" w:firstLine="640"/>
        <w:outlineLvl w:val="1"/>
        <w:rPr>
          <w:rFonts w:ascii="Times New Roman" w:eastAsia="方正楷体_GBK" w:hAnsi="Times New Roman"/>
          <w:b/>
          <w:bCs/>
          <w:sz w:val="32"/>
          <w:szCs w:val="32"/>
          <w:shd w:val="clear" w:color="auto" w:fill="auto"/>
        </w:rPr>
      </w:pPr>
      <w:bookmarkStart w:id="2" w:name="_Toc46662472"/>
      <w:r>
        <w:rPr>
          <w:rFonts w:ascii="Times New Roman" w:eastAsia="方正楷体_GBK" w:hAnsi="Times New Roman" w:hint="eastAsia"/>
          <w:b/>
          <w:bCs/>
          <w:sz w:val="32"/>
          <w:szCs w:val="32"/>
          <w:shd w:val="clear" w:color="auto" w:fill="auto"/>
        </w:rPr>
        <w:t>（一）部门职能简介</w:t>
      </w:r>
      <w:bookmarkEnd w:id="2"/>
    </w:p>
    <w:p>
      <w:pPr>
        <w:wordWrap/>
        <w:adjustRightInd/>
        <w:snapToGrid/>
        <w:spacing w:line="576" w:lineRule="exact"/>
        <w:ind w:left="0" w:firstLineChars="200" w:firstLine="640"/>
        <w:rPr>
          <w:rFonts w:ascii="Times New Roman" w:eastAsia="方正仿宋_GBK" w:cs="Times New Roman" w:hAnsi="Times New Roman"/>
          <w:bCs/>
          <w:sz w:val="32"/>
          <w:szCs w:val="32"/>
        </w:rPr>
      </w:pPr>
      <w:r>
        <w:rPr>
          <w:rFonts w:ascii="Times New Roman" w:eastAsia="方正仿宋_GBK" w:cs="Times New Roman" w:hAnsi="Times New Roman"/>
          <w:bCs/>
          <w:sz w:val="32"/>
          <w:szCs w:val="32"/>
        </w:rPr>
        <w:t>略</w:t>
      </w:r>
    </w:p>
    <w:p>
      <w:pPr>
        <w:wordWrap/>
        <w:adjustRightInd/>
        <w:snapToGrid/>
        <w:spacing w:line="576" w:lineRule="exact"/>
        <w:ind w:left="0" w:firstLineChars="200" w:firstLine="640"/>
        <w:outlineLvl w:val="1"/>
        <w:rPr>
          <w:rFonts w:ascii="Times New Roman" w:eastAsia="方正楷体_GBK" w:hAnsi="Times New Roman"/>
          <w:b/>
          <w:bCs/>
          <w:sz w:val="32"/>
          <w:szCs w:val="32"/>
          <w:shd w:val="clear" w:color="auto" w:fill="auto"/>
        </w:rPr>
      </w:pPr>
      <w:bookmarkStart w:id="3" w:name="_Toc46662473"/>
      <w:r>
        <w:rPr>
          <w:rFonts w:ascii="Times New Roman" w:eastAsia="方正楷体_GBK" w:hAnsi="Times New Roman" w:hint="eastAsia"/>
          <w:b/>
          <w:bCs/>
          <w:sz w:val="32"/>
          <w:szCs w:val="32"/>
          <w:shd w:val="clear" w:color="auto" w:fill="auto"/>
        </w:rPr>
        <w:t>（二）</w:t>
      </w:r>
      <w:r>
        <w:rPr>
          <w:rFonts w:ascii="Times New Roman" w:eastAsia="方正楷体_GBK" w:hAnsi="Times New Roman"/>
          <w:b/>
          <w:bCs/>
          <w:sz w:val="32"/>
          <w:szCs w:val="32"/>
          <w:shd w:val="clear" w:color="auto" w:fill="auto"/>
        </w:rPr>
        <w:t>2026</w:t>
      </w:r>
      <w:r>
        <w:rPr>
          <w:rFonts w:ascii="Times New Roman" w:eastAsia="方正楷体_GBK" w:hAnsi="Times New Roman" w:hint="eastAsia"/>
          <w:b/>
          <w:bCs/>
          <w:sz w:val="32"/>
          <w:szCs w:val="32"/>
          <w:shd w:val="clear" w:color="auto" w:fill="auto"/>
        </w:rPr>
        <w:t>年重点工作</w:t>
      </w:r>
      <w:bookmarkEnd w:id="3"/>
    </w:p>
    <w:p>
      <w:pPr>
        <w:wordWrap/>
        <w:adjustRightInd/>
        <w:snapToGrid/>
        <w:spacing w:line="576" w:lineRule="exact"/>
        <w:ind w:left="0" w:firstLineChars="200" w:firstLine="640"/>
        <w:rPr>
          <w:rFonts w:ascii="Times New Roman" w:eastAsia="方正仿宋_GBK" w:cs="Times New Roman" w:hAnsi="Times New Roman"/>
          <w:bCs/>
          <w:sz w:val="32"/>
          <w:szCs w:val="32"/>
        </w:rPr>
      </w:pPr>
      <w:r>
        <w:rPr>
          <w:rFonts w:ascii="Times New Roman" w:eastAsia="方正仿宋_GBK" w:cs="Times New Roman" w:hAnsi="Times New Roman"/>
          <w:bCs/>
          <w:sz w:val="32"/>
          <w:szCs w:val="32"/>
        </w:rPr>
        <w:t>略</w:t>
      </w:r>
    </w:p>
    <w:p>
      <w:pPr>
        <w:pStyle w:val="17"/>
        <w:numPr>
          <w:ilvl w:val="0"/>
          <w:numId w:val="1"/>
        </w:numPr>
        <w:spacing w:line="576" w:lineRule="exact"/>
        <w:ind w:firstLineChars="0"/>
        <w:outlineLvl w:val="0"/>
        <w:rPr>
          <w:rFonts w:ascii="黑体" w:eastAsia="黑体"/>
          <w:sz w:val="32"/>
          <w:szCs w:val="32"/>
        </w:rPr>
      </w:pPr>
      <w:bookmarkStart w:id="4" w:name="_Toc46662474"/>
      <w:r>
        <w:rPr>
          <w:rFonts w:ascii="黑体" w:eastAsia="黑体" w:hint="eastAsia"/>
          <w:sz w:val="32"/>
          <w:szCs w:val="32"/>
        </w:rPr>
        <w:t>部门预算单位构成</w:t>
      </w:r>
      <w:bookmarkEnd w:id="4"/>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州专用通信中心下属预算单位0个；此次公开数据含州涉密文档专管中心2026年预算。</w:t>
      </w:r>
    </w:p>
    <w:p>
      <w:pPr>
        <w:pStyle w:val="17"/>
        <w:spacing w:line="576" w:lineRule="exact"/>
        <w:ind w:left="720" w:firstLineChars="0" w:firstLine="0"/>
        <w:outlineLvl w:val="0"/>
        <w:rPr>
          <w:rFonts w:ascii="黑体" w:eastAsia="黑体"/>
          <w:sz w:val="32"/>
          <w:szCs w:val="32"/>
        </w:rPr>
      </w:pPr>
      <w:bookmarkStart w:id="5" w:name="_Toc46662475"/>
      <w:r>
        <w:rPr>
          <w:rFonts w:ascii="黑体" w:eastAsia="黑体" w:hint="eastAsia"/>
          <w:sz w:val="32"/>
          <w:szCs w:val="32"/>
        </w:rPr>
        <w:t>三、收支预算情况说明</w:t>
      </w:r>
      <w:bookmarkEnd w:id="5"/>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按照综合预算的原则，州专用通信中心所有收入和支出均纳入部门预算管理。收入包括：一般公共预算拨款收入281.11万元；支出包括：一般公共服务支出200.36万元，社会保障和就业支出40.47万元，医疗卫生与计划生育支出16.74万元，住房保障支出23.27万元。</w:t>
      </w:r>
    </w:p>
    <w:p>
      <w:pPr>
        <w:wordWrap/>
        <w:adjustRightInd/>
        <w:snapToGrid/>
        <w:spacing w:line="576" w:lineRule="exact"/>
        <w:ind w:left="0" w:firstLineChars="200" w:firstLine="640"/>
        <w:outlineLvl w:val="1"/>
        <w:rPr>
          <w:rFonts w:ascii="Times New Roman" w:eastAsia="方正楷体_GBK" w:hAnsi="Times New Roman"/>
          <w:b/>
          <w:bCs/>
          <w:sz w:val="32"/>
          <w:szCs w:val="32"/>
          <w:shd w:val="clear" w:color="auto" w:fill="auto"/>
        </w:rPr>
      </w:pPr>
      <w:bookmarkStart w:id="6" w:name="_Toc13135"/>
      <w:bookmarkStart w:id="7" w:name="_Toc46662476"/>
      <w:r>
        <w:rPr>
          <w:rFonts w:ascii="Times New Roman" w:eastAsia="方正楷体_GBK" w:hAnsi="Times New Roman"/>
          <w:b/>
          <w:bCs/>
          <w:sz w:val="32"/>
          <w:szCs w:val="32"/>
          <w:shd w:val="clear" w:color="auto" w:fill="auto"/>
        </w:rPr>
        <w:t>（一）收入预算情况</w:t>
      </w:r>
      <w:bookmarkEnd w:id="6"/>
      <w:bookmarkEnd w:id="7"/>
    </w:p>
    <w:p>
      <w:pPr>
        <w:spacing w:line="576" w:lineRule="exact"/>
        <w:ind w:firstLineChars="200" w:firstLine="640"/>
        <w:jc w:val="left"/>
        <w:rPr>
          <w:rFonts w:ascii="Times New Roman" w:eastAsia="楷体" w:hAnsi="Times New Roman"/>
          <w:sz w:val="32"/>
          <w:szCs w:val="32"/>
        </w:rPr>
      </w:pPr>
      <w:r>
        <w:rPr>
          <w:rFonts w:ascii="Times New Roman" w:eastAsia="方正仿宋_GBK" w:hAnsi="Times New Roman"/>
          <w:sz w:val="32"/>
          <w:szCs w:val="32"/>
        </w:rPr>
        <w:t>州专用通信中心2026年收入预算281.11万元，其中：一般公共预算拨款收入281.11万元，占100%；无其他收入。</w:t>
      </w:r>
    </w:p>
    <w:p>
      <w:pPr>
        <w:wordWrap/>
        <w:adjustRightInd/>
        <w:snapToGrid/>
        <w:spacing w:line="576" w:lineRule="exact"/>
        <w:ind w:left="0" w:firstLineChars="200" w:firstLine="640"/>
        <w:outlineLvl w:val="1"/>
        <w:rPr>
          <w:rFonts w:ascii="Times New Roman" w:eastAsia="方正楷体_GBK" w:hAnsi="Times New Roman"/>
          <w:b/>
          <w:bCs/>
          <w:sz w:val="32"/>
          <w:szCs w:val="32"/>
          <w:shd w:val="clear" w:color="auto" w:fill="auto"/>
        </w:rPr>
      </w:pPr>
      <w:bookmarkStart w:id="8" w:name="_Toc11458"/>
      <w:bookmarkStart w:id="9" w:name="_Toc46662477"/>
      <w:r>
        <w:rPr>
          <w:rFonts w:ascii="Times New Roman" w:eastAsia="方正楷体_GBK" w:hAnsi="Times New Roman"/>
          <w:b/>
          <w:bCs/>
          <w:sz w:val="32"/>
          <w:szCs w:val="32"/>
          <w:shd w:val="clear" w:color="auto" w:fill="auto"/>
        </w:rPr>
        <w:t>（二）支出预算情况</w:t>
      </w:r>
      <w:bookmarkEnd w:id="8"/>
      <w:bookmarkEnd w:id="9"/>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州专用通信中心2026年支出预算281.11万元，其中：本支出281.11万元，占100%。</w:t>
      </w:r>
    </w:p>
    <w:p>
      <w:pPr>
        <w:wordWrap/>
        <w:adjustRightInd/>
        <w:snapToGrid/>
        <w:spacing w:line="576" w:lineRule="exact"/>
        <w:ind w:left="0" w:right="0" w:firstLineChars="200" w:firstLine="640"/>
        <w:jc w:val="both"/>
        <w:textAlignment w:val="auto"/>
        <w:outlineLvl w:val="0"/>
        <w:rPr>
          <w:rFonts w:ascii="黑体" w:eastAsia="黑体"/>
          <w:sz w:val="32"/>
          <w:szCs w:val="32"/>
        </w:rPr>
      </w:pPr>
      <w:bookmarkStart w:id="10" w:name="_Toc46662478"/>
      <w:r>
        <w:rPr>
          <w:rFonts w:ascii="黑体" w:eastAsia="黑体" w:hint="eastAsia"/>
          <w:sz w:val="32"/>
          <w:szCs w:val="32"/>
        </w:rPr>
        <w:t>四、财政拨款收支预算情况说明</w:t>
      </w:r>
      <w:bookmarkEnd w:id="10"/>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州专用通信中心2026年财政拨款收支总预算281.11万元,比2024年财政拨款收支总预算增加40.57万元，主要原因:2026年人员经费增加。</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收入包括：本年一般公共预算拨款收入281.11万元。</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支出包括：一般公共服务支出200.36万元，社会保障和就业支出40.47万元，医疗卫生与计划生育支出16.74万元，住房保障支出23.27万元。</w:t>
      </w:r>
    </w:p>
    <w:p>
      <w:pPr>
        <w:spacing w:line="576" w:lineRule="exact"/>
        <w:ind w:leftChars="304" w:left="638"/>
        <w:outlineLvl w:val="0"/>
        <w:rPr>
          <w:rFonts w:ascii="黑体" w:eastAsia="黑体"/>
          <w:sz w:val="32"/>
          <w:szCs w:val="32"/>
        </w:rPr>
      </w:pPr>
      <w:bookmarkStart w:id="11" w:name="_Toc46662479"/>
      <w:r>
        <w:rPr>
          <w:rFonts w:ascii="黑体" w:eastAsia="黑体" w:hint="eastAsia"/>
          <w:sz w:val="32"/>
          <w:szCs w:val="32"/>
        </w:rPr>
        <w:t>五、一般公共预算当年拨款情况说明</w:t>
      </w:r>
      <w:bookmarkEnd w:id="11"/>
    </w:p>
    <w:p>
      <w:pPr>
        <w:wordWrap/>
        <w:adjustRightInd/>
        <w:snapToGrid/>
        <w:spacing w:line="576" w:lineRule="exact"/>
        <w:ind w:left="0" w:firstLineChars="200" w:firstLine="640"/>
        <w:outlineLvl w:val="1"/>
        <w:rPr>
          <w:rFonts w:ascii="Times New Roman" w:eastAsia="方正楷体_GBK" w:hAnsi="Times New Roman"/>
          <w:b/>
          <w:bCs/>
          <w:sz w:val="32"/>
          <w:szCs w:val="32"/>
          <w:shd w:val="clear" w:color="auto" w:fill="auto"/>
        </w:rPr>
      </w:pPr>
      <w:bookmarkStart w:id="12" w:name="_Toc24538"/>
      <w:bookmarkStart w:id="13" w:name="_Toc46662480"/>
      <w:r>
        <w:rPr>
          <w:rFonts w:ascii="Times New Roman" w:eastAsia="方正楷体_GBK" w:hAnsi="Times New Roman"/>
          <w:b/>
          <w:bCs/>
          <w:sz w:val="32"/>
          <w:szCs w:val="32"/>
          <w:shd w:val="clear" w:color="auto" w:fill="auto"/>
        </w:rPr>
        <w:t>（一）一般公共预算当年拨款规模变化情况</w:t>
      </w:r>
      <w:bookmarkEnd w:id="12"/>
      <w:bookmarkEnd w:id="13"/>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州专用通信中心2026年一般公共预算当年拨款281.11万元，比2025年预算数增加40.57万元，主要原因:</w:t>
      </w:r>
      <w:r>
        <w:rPr>
          <w:rFonts w:ascii="Times New Roman" w:eastAsia="方正仿宋_GBK" w:hAnsi="Times New Roman"/>
          <w:sz w:val="32"/>
          <w:szCs w:val="32"/>
          <w:lang w:val="en-US" w:eastAsia="zh-CN"/>
        </w:rPr>
        <w:t>2</w:t>
      </w:r>
      <w:r>
        <w:rPr>
          <w:rFonts w:ascii="Times New Roman" w:eastAsia="方正仿宋_GBK" w:hAnsi="Times New Roman"/>
          <w:sz w:val="32"/>
          <w:szCs w:val="32"/>
        </w:rPr>
        <w:t>026年人员增加。</w:t>
      </w:r>
    </w:p>
    <w:p>
      <w:pPr>
        <w:spacing w:line="576" w:lineRule="exact"/>
        <w:ind w:firstLineChars="200" w:firstLine="640"/>
        <w:outlineLvl w:val="1"/>
        <w:rPr>
          <w:rFonts w:ascii="Times New Roman" w:eastAsia="方正楷体_GBK" w:hAnsi="Times New Roman"/>
          <w:b/>
          <w:bCs/>
          <w:sz w:val="32"/>
          <w:szCs w:val="32"/>
          <w:shd w:val="clear" w:color="auto" w:fill="auto"/>
        </w:rPr>
      </w:pPr>
      <w:bookmarkStart w:id="14" w:name="_Toc14516"/>
      <w:bookmarkStart w:id="15" w:name="_Toc46662481"/>
      <w:r>
        <w:rPr>
          <w:rFonts w:ascii="Times New Roman" w:eastAsia="方正楷体_GBK" w:hAnsi="Times New Roman"/>
          <w:b/>
          <w:bCs/>
          <w:sz w:val="32"/>
          <w:szCs w:val="32"/>
          <w:shd w:val="clear" w:color="auto" w:fill="auto"/>
        </w:rPr>
        <w:t>（二）一般公共预算当年拨款结构情况</w:t>
      </w:r>
      <w:bookmarkEnd w:id="14"/>
      <w:bookmarkEnd w:id="15"/>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一般公共服务支出200.36万元，占71.27%；社会保障和就业支出40.74万元，占14.49%；医疗卫生与计划生育支出16.74万元，占5.96%；住房保障支出23.27万元，占8.28%。</w:t>
      </w:r>
    </w:p>
    <w:p>
      <w:pPr>
        <w:spacing w:line="576" w:lineRule="exact"/>
        <w:ind w:firstLineChars="200" w:firstLine="640"/>
        <w:outlineLvl w:val="1"/>
        <w:rPr>
          <w:rFonts w:ascii="Times New Roman" w:eastAsia="方正楷体_GBK" w:hAnsi="Times New Roman"/>
          <w:b/>
          <w:bCs/>
          <w:sz w:val="32"/>
          <w:szCs w:val="32"/>
          <w:shd w:val="clear" w:color="auto" w:fill="auto"/>
        </w:rPr>
      </w:pPr>
      <w:bookmarkStart w:id="16" w:name="_Toc10902"/>
      <w:bookmarkStart w:id="17" w:name="_Toc46662482"/>
      <w:r>
        <w:rPr>
          <w:rFonts w:ascii="Times New Roman" w:eastAsia="方正楷体_GBK" w:hAnsi="Times New Roman"/>
          <w:b/>
          <w:bCs/>
          <w:sz w:val="32"/>
          <w:szCs w:val="32"/>
          <w:shd w:val="clear" w:color="auto" w:fill="auto"/>
        </w:rPr>
        <w:t>（三）一般公共预算当年拨款具体使用情况</w:t>
      </w:r>
      <w:bookmarkEnd w:id="16"/>
      <w:bookmarkEnd w:id="17"/>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18" w:name="_Toc21669"/>
      <w:bookmarkStart w:id="19" w:name="_Toc4107"/>
      <w:r>
        <w:rPr>
          <w:rFonts w:ascii="Times New Roman" w:eastAsia="方正仿宋_GBK" w:hAnsi="Times New Roman"/>
          <w:b/>
          <w:bCs/>
          <w:sz w:val="32"/>
          <w:szCs w:val="32"/>
        </w:rPr>
        <w:t>1．一般公共服务支出</w:t>
      </w:r>
      <w:bookmarkEnd w:id="18"/>
      <w:bookmarkEnd w:id="19"/>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事业运行（2013150），2026年预算数为200.36万元，主要用于：工资福利支出166.75万元；商品和服务支出33.61万元。</w:t>
      </w:r>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20" w:name="_Toc29321"/>
      <w:bookmarkStart w:id="21" w:name="_Toc23817"/>
      <w:r>
        <w:rPr>
          <w:rFonts w:ascii="Times New Roman" w:eastAsia="方正仿宋_GBK" w:hAnsi="Times New Roman"/>
          <w:b/>
          <w:bCs/>
          <w:sz w:val="32"/>
          <w:szCs w:val="32"/>
        </w:rPr>
        <w:t>2.社会保障和就业支出</w:t>
      </w:r>
      <w:bookmarkEnd w:id="20"/>
      <w:bookmarkEnd w:id="21"/>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机关事业单位基本养老保险缴费支出（2080505），2026年机关事业单位基本养老保险缴费支出预算数为27.16万元，主要用于缴纳干部职工2026年基本养老保险。</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机关事业单位职业年金缴费支出（2080506），2026年机关事业单位职业年金缴费支出预算数为13.58万元，主要用于缴纳干部职工2026年职业年金。</w:t>
      </w:r>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22" w:name="_Toc20608"/>
      <w:bookmarkStart w:id="23" w:name="_Toc12779"/>
      <w:r>
        <w:rPr>
          <w:rFonts w:ascii="Times New Roman" w:eastAsia="方正仿宋_GBK" w:hAnsi="Times New Roman"/>
          <w:b/>
          <w:bCs/>
          <w:sz w:val="32"/>
          <w:szCs w:val="32"/>
        </w:rPr>
        <w:t>3.卫生健康支出</w:t>
      </w:r>
      <w:bookmarkEnd w:id="22"/>
      <w:bookmarkEnd w:id="23"/>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事业单位医疗（2101102），2026年预算数为13.93万元，主要用于缴纳行政人员</w:t>
      </w:r>
      <w:r>
        <w:rPr>
          <w:rFonts w:ascii="Times New Roman" w:eastAsia="方正仿宋_GBK" w:hAnsi="Times New Roman"/>
          <w:sz w:val="32"/>
          <w:szCs w:val="32"/>
          <w:lang w:val="en-US" w:eastAsia="zh-CN"/>
        </w:rPr>
        <w:t>2026年</w:t>
      </w:r>
      <w:r>
        <w:rPr>
          <w:rFonts w:ascii="Times New Roman" w:eastAsia="方正仿宋_GBK" w:hAnsi="Times New Roman"/>
          <w:sz w:val="32"/>
          <w:szCs w:val="32"/>
        </w:rPr>
        <w:t>基本医疗保险。</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其他行政事业单位医疗支出（2101199），2026年预算数为2.81万元，主要用于缴纳行政人员</w:t>
      </w:r>
      <w:r>
        <w:rPr>
          <w:rFonts w:ascii="Times New Roman" w:eastAsia="方正仿宋_GBK" w:hAnsi="Times New Roman"/>
          <w:sz w:val="32"/>
          <w:szCs w:val="32"/>
          <w:lang w:val="en-US" w:eastAsia="zh-CN"/>
        </w:rPr>
        <w:t>2026年</w:t>
      </w:r>
      <w:r>
        <w:rPr>
          <w:rFonts w:ascii="Times New Roman" w:eastAsia="方正仿宋_GBK" w:hAnsi="Times New Roman"/>
          <w:sz w:val="32"/>
          <w:szCs w:val="32"/>
        </w:rPr>
        <w:t>医疗补助。</w:t>
      </w:r>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24" w:name="_Toc4070"/>
      <w:bookmarkStart w:id="25" w:name="_Toc9187"/>
      <w:r>
        <w:rPr>
          <w:rFonts w:ascii="Times New Roman" w:eastAsia="方正仿宋_GBK" w:hAnsi="Times New Roman"/>
          <w:b/>
          <w:bCs/>
          <w:sz w:val="32"/>
          <w:szCs w:val="32"/>
        </w:rPr>
        <w:t>4.住房保障支出</w:t>
      </w:r>
      <w:bookmarkEnd w:id="24"/>
      <w:bookmarkEnd w:id="25"/>
    </w:p>
    <w:p>
      <w:pPr>
        <w:pStyle w:val="18"/>
        <w:spacing w:before="0" w:line="576" w:lineRule="exact"/>
        <w:ind w:firstLineChars="306" w:firstLine="979"/>
        <w:rPr>
          <w:rFonts w:cs="仿宋_GB2312"/>
          <w:kern w:val="2"/>
          <w:sz w:val="32"/>
          <w:szCs w:val="32"/>
        </w:rPr>
      </w:pPr>
      <w:r>
        <w:rPr>
          <w:rFonts w:ascii="Times New Roman" w:eastAsia="方正仿宋_GBK" w:hAnsi="Times New Roman"/>
          <w:kern w:val="2"/>
          <w:sz w:val="32"/>
          <w:szCs w:val="32"/>
          <w:lang w:val="en-US" w:eastAsia="zh-CN" w:bidi="ar-SA"/>
        </w:rPr>
        <w:t>住房公积金（2210201），2026年预算数为23.27万元，主要用于缴纳干部职工2026年住房公积金。</w:t>
      </w:r>
    </w:p>
    <w:p>
      <w:pPr>
        <w:pStyle w:val="18"/>
        <w:spacing w:before="0" w:line="576" w:lineRule="exact"/>
        <w:ind w:firstLine="660"/>
        <w:outlineLvl w:val="0"/>
        <w:rPr>
          <w:rFonts w:ascii="黑体" w:eastAsia="黑体"/>
          <w:sz w:val="32"/>
          <w:szCs w:val="32"/>
        </w:rPr>
      </w:pPr>
      <w:bookmarkStart w:id="26" w:name="_Toc46662483"/>
      <w:r>
        <w:rPr>
          <w:rFonts w:ascii="黑体" w:eastAsia="黑体" w:hint="eastAsia"/>
          <w:sz w:val="32"/>
          <w:szCs w:val="32"/>
        </w:rPr>
        <w:t>六、一般公共预算基本支出情况说明</w:t>
      </w:r>
      <w:bookmarkEnd w:id="26"/>
    </w:p>
    <w:p>
      <w:pPr>
        <w:wordWrap/>
        <w:adjustRightInd/>
        <w:snapToGrid/>
        <w:spacing w:line="576" w:lineRule="exact"/>
        <w:ind w:left="0" w:firstLineChars="200" w:firstLine="640"/>
        <w:rPr>
          <w:rFonts w:ascii="Times New Roman" w:eastAsia="方正仿宋_GBK" w:hAnsi="Times New Roman"/>
          <w:kern w:val="2"/>
          <w:sz w:val="32"/>
          <w:szCs w:val="32"/>
        </w:rPr>
      </w:pPr>
      <w:r>
        <w:rPr>
          <w:rFonts w:ascii="Times New Roman" w:eastAsia="方正仿宋_GBK" w:hAnsi="Times New Roman"/>
          <w:sz w:val="32"/>
          <w:szCs w:val="32"/>
        </w:rPr>
        <w:t>州专用通信中心</w:t>
      </w:r>
      <w:r>
        <w:rPr>
          <w:rFonts w:ascii="Times New Roman" w:eastAsia="方正仿宋_GBK" w:hAnsi="Times New Roman"/>
          <w:kern w:val="2"/>
          <w:sz w:val="32"/>
          <w:szCs w:val="32"/>
        </w:rPr>
        <w:t>2026年一般公共预算基本支出281.11万元：其中：</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kern w:val="2"/>
          <w:sz w:val="32"/>
          <w:szCs w:val="32"/>
        </w:rPr>
        <w:t>人员经费247.49万元，主要包括：基本工资59.95万元、津贴补贴26.11万元、奖金48.51万元、绩效工资30.76万元、其他社会保障缴费4.23万元、机关事业单位基本养老保险缴费27.16万元、职业年金缴费13.58万元、医疗保险13.93万元、住房公积金23.27万元</w:t>
      </w:r>
      <w:r>
        <w:rPr>
          <w:rFonts w:ascii="Times New Roman" w:eastAsia="方正仿宋_GBK" w:hAnsi="Times New Roman"/>
          <w:sz w:val="32"/>
          <w:szCs w:val="32"/>
        </w:rPr>
        <w:t>。</w:t>
      </w:r>
    </w:p>
    <w:p>
      <w:pPr>
        <w:pStyle w:val="18"/>
        <w:spacing w:before="0" w:line="576" w:lineRule="exact"/>
        <w:ind w:firstLineChars="200" w:firstLine="640"/>
        <w:rPr>
          <w:rFonts w:ascii="黑体" w:eastAsia="黑体"/>
          <w:sz w:val="32"/>
          <w:szCs w:val="32"/>
        </w:rPr>
      </w:pPr>
      <w:r>
        <w:rPr>
          <w:rFonts w:ascii="Times New Roman" w:eastAsia="方正仿宋_GBK" w:hAnsi="Times New Roman"/>
          <w:sz w:val="32"/>
          <w:szCs w:val="32"/>
        </w:rPr>
        <w:t>公用经费33.61万元，主要包括：办公费1.4万元、水费0.42万元、邮电费2.2万元、取暖费0.56万元、差旅费12.46万元、培训费2.07万元、公务接待费0.47万元、其他商品和服务支出14.03万元。</w:t>
      </w:r>
      <w:r>
        <w:rPr>
          <w:rFonts w:cs="仿宋_GB2312" w:hint="eastAsia"/>
          <w:kern w:val="2"/>
          <w:sz w:val="32"/>
          <w:szCs w:val="32"/>
        </w:rPr>
        <w:br/>
      </w:r>
      <w:r>
        <w:rPr>
          <w:rFonts w:ascii="黑体" w:eastAsia="黑体" w:hint="eastAsia"/>
          <w:sz w:val="32"/>
          <w:szCs w:val="32"/>
        </w:rPr>
        <w:t xml:space="preserve">    七、“三公”经费财政拨款预算安排情况说明</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州专用通信中心2026年“三公”经费财政拨款预算数0.47万元，其中：因公出国（境）经费0.00万元，公务接待费0.47万元，公务用车购置及运行维护费0万元。</w:t>
      </w:r>
    </w:p>
    <w:p>
      <w:pPr>
        <w:wordWrap/>
        <w:adjustRightInd/>
        <w:snapToGrid/>
        <w:spacing w:line="576" w:lineRule="exact"/>
        <w:ind w:left="0" w:firstLineChars="200" w:firstLine="640"/>
        <w:rPr>
          <w:rFonts w:ascii="Times New Roman" w:eastAsia="方正仿宋_GBK" w:hAnsi="Times New Roman"/>
          <w:sz w:val="32"/>
          <w:szCs w:val="32"/>
        </w:rPr>
      </w:pPr>
      <w:bookmarkStart w:id="27" w:name="_Toc3448"/>
      <w:r>
        <w:rPr>
          <w:rFonts w:ascii="Times New Roman" w:eastAsia="方正仿宋_GBK" w:hAnsi="Times New Roman"/>
          <w:sz w:val="32"/>
          <w:szCs w:val="32"/>
        </w:rPr>
        <w:t>（一）2026年因公出国（境）经费0.00万元。</w:t>
      </w:r>
      <w:bookmarkEnd w:id="27"/>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（二）2026年公务接待经费0.47万元。较2025年预算经费增加0.04万元。</w:t>
      </w:r>
    </w:p>
    <w:p>
      <w:pPr>
        <w:pStyle w:val="18"/>
        <w:spacing w:before="0"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（三）2026年公务用车购置及运行维护费0万元。较2025年预算经费持平。</w:t>
      </w:r>
    </w:p>
    <w:p>
      <w:pPr>
        <w:pStyle w:val="18"/>
        <w:spacing w:before="0" w:line="576" w:lineRule="exact"/>
        <w:ind w:firstLineChars="200" w:firstLine="640"/>
        <w:outlineLvl w:val="0"/>
        <w:rPr>
          <w:rFonts w:ascii="黑体" w:eastAsia="黑体"/>
          <w:sz w:val="32"/>
          <w:szCs w:val="32"/>
        </w:rPr>
      </w:pPr>
      <w:bookmarkStart w:id="28" w:name="_Toc46662484"/>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bookmarkEnd w:id="28"/>
    </w:p>
    <w:p>
      <w:pPr>
        <w:pStyle w:val="18"/>
        <w:spacing w:before="0" w:line="576" w:lineRule="exact"/>
        <w:ind w:firstLineChars="200" w:firstLine="640"/>
        <w:rPr>
          <w:rFonts w:cs="仿宋_GB2312"/>
          <w:kern w:val="2"/>
          <w:sz w:val="32"/>
          <w:szCs w:val="32"/>
        </w:rPr>
      </w:pPr>
      <w:r>
        <w:rPr>
          <w:rFonts w:ascii="Times New Roman" w:eastAsia="方正仿宋_GBK" w:hAnsi="Times New Roman"/>
          <w:sz w:val="32"/>
          <w:szCs w:val="32"/>
        </w:rPr>
        <w:t>州专用通信中心2025年无政府性基金预算拨款安排的支出。</w:t>
      </w:r>
    </w:p>
    <w:p>
      <w:pPr>
        <w:pStyle w:val="18"/>
        <w:spacing w:before="0" w:line="576" w:lineRule="exact"/>
        <w:ind w:firstLineChars="200" w:firstLine="640"/>
        <w:outlineLvl w:val="0"/>
        <w:rPr>
          <w:rFonts w:ascii="黑体" w:eastAsia="黑体"/>
          <w:sz w:val="32"/>
          <w:szCs w:val="32"/>
        </w:rPr>
      </w:pPr>
      <w:bookmarkStart w:id="29" w:name="_Toc46662485"/>
      <w:r>
        <w:rPr>
          <w:rFonts w:ascii="黑体" w:eastAsia="黑体" w:hint="eastAsia"/>
          <w:sz w:val="32"/>
          <w:szCs w:val="32"/>
        </w:rPr>
        <w:t>九、其他重要事项的情况说明</w:t>
      </w:r>
      <w:bookmarkEnd w:id="29"/>
    </w:p>
    <w:p>
      <w:pPr>
        <w:pStyle w:val="18"/>
        <w:spacing w:before="0" w:line="576" w:lineRule="exact"/>
        <w:ind w:firstLineChars="200" w:firstLine="640"/>
        <w:outlineLvl w:val="1"/>
        <w:rPr>
          <w:rFonts w:ascii="Times New Roman" w:eastAsia="方正楷体_GBK" w:hAnsi="Times New Roman"/>
          <w:b/>
          <w:bCs/>
          <w:kern w:val="2"/>
          <w:sz w:val="32"/>
          <w:szCs w:val="32"/>
          <w:shd w:val="clear" w:color="auto" w:fill="auto"/>
        </w:rPr>
      </w:pPr>
      <w:bookmarkStart w:id="30" w:name="_Toc46662486"/>
      <w:r>
        <w:rPr>
          <w:rFonts w:ascii="Times New Roman" w:eastAsia="方正楷体_GBK" w:hAnsi="Times New Roman"/>
          <w:b/>
          <w:bCs/>
          <w:kern w:val="2"/>
          <w:sz w:val="32"/>
          <w:szCs w:val="32"/>
          <w:shd w:val="clear" w:color="auto" w:fill="auto"/>
        </w:rPr>
        <w:t>（一）机关运行经费</w:t>
      </w:r>
      <w:bookmarkEnd w:id="30"/>
    </w:p>
    <w:p>
      <w:pPr>
        <w:pStyle w:val="18"/>
        <w:spacing w:before="0" w:line="576" w:lineRule="exact"/>
        <w:ind w:firstLineChars="200" w:firstLine="640"/>
        <w:rPr>
          <w:rFonts w:ascii="Times New Roman" w:hAnsi="Times New Roman"/>
          <w:color w:val="FF0000"/>
          <w:kern w:val="2"/>
          <w:sz w:val="32"/>
          <w:szCs w:val="32"/>
        </w:rPr>
      </w:pPr>
      <w:r>
        <w:rPr>
          <w:rFonts w:ascii="Times New Roman" w:eastAsia="方正仿宋_GBK" w:hAnsi="Times New Roman"/>
          <w:sz w:val="32"/>
          <w:szCs w:val="32"/>
        </w:rPr>
        <w:t>州专用通信中心</w:t>
      </w:r>
      <w:r>
        <w:rPr>
          <w:rFonts w:ascii="Times New Roman" w:eastAsia="方正仿宋_GBK" w:hAnsi="Times New Roman"/>
          <w:kern w:val="2"/>
          <w:sz w:val="32"/>
          <w:szCs w:val="32"/>
        </w:rPr>
        <w:t>2026年机关运行经费财政拨款预算为33.61万元，比2025年预算增加2.09万元，增加6.63%。</w:t>
      </w:r>
    </w:p>
    <w:p>
      <w:pPr>
        <w:pStyle w:val="18"/>
        <w:spacing w:before="0" w:line="576" w:lineRule="exact"/>
        <w:ind w:firstLineChars="200" w:firstLine="640"/>
        <w:outlineLvl w:val="1"/>
        <w:rPr>
          <w:rFonts w:ascii="Times New Roman" w:eastAsia="方正楷体_GBK" w:hAnsi="Times New Roman"/>
          <w:b/>
          <w:bCs/>
          <w:kern w:val="2"/>
          <w:sz w:val="32"/>
          <w:szCs w:val="32"/>
          <w:shd w:val="clear" w:color="auto" w:fill="auto"/>
        </w:rPr>
      </w:pPr>
      <w:bookmarkStart w:id="31" w:name="_Toc46662487"/>
      <w:r>
        <w:rPr>
          <w:rFonts w:ascii="Times New Roman" w:eastAsia="方正楷体_GBK" w:hAnsi="Times New Roman"/>
          <w:b/>
          <w:bCs/>
          <w:kern w:val="2"/>
          <w:sz w:val="32"/>
          <w:szCs w:val="32"/>
          <w:shd w:val="clear" w:color="auto" w:fill="auto"/>
        </w:rPr>
        <w:t>（二）政府采购情况</w:t>
      </w:r>
      <w:bookmarkEnd w:id="31"/>
    </w:p>
    <w:p>
      <w:pPr>
        <w:pStyle w:val="18"/>
        <w:spacing w:before="0" w:line="576" w:lineRule="exact"/>
        <w:ind w:firstLineChars="200" w:firstLine="640"/>
        <w:rPr>
          <w:rFonts w:ascii="Times New Roman" w:hAnsi="Times New Roman"/>
          <w:kern w:val="2"/>
          <w:sz w:val="32"/>
          <w:szCs w:val="32"/>
        </w:rPr>
      </w:pPr>
      <w:r>
        <w:rPr>
          <w:rFonts w:ascii="Times New Roman" w:eastAsia="方正仿宋_GBK" w:hAnsi="Times New Roman"/>
          <w:sz w:val="32"/>
          <w:szCs w:val="32"/>
        </w:rPr>
        <w:t>州专用通信中心</w:t>
      </w:r>
      <w:r>
        <w:rPr>
          <w:rFonts w:ascii="Times New Roman" w:eastAsia="方正仿宋_GBK" w:hAnsi="Times New Roman"/>
          <w:kern w:val="2"/>
          <w:sz w:val="32"/>
          <w:szCs w:val="32"/>
        </w:rPr>
        <w:t>安排政府采购预算0万元。</w:t>
      </w:r>
    </w:p>
    <w:p>
      <w:pPr>
        <w:pStyle w:val="18"/>
        <w:spacing w:before="0" w:line="576" w:lineRule="exact"/>
        <w:ind w:firstLineChars="200" w:firstLine="640"/>
        <w:outlineLvl w:val="1"/>
        <w:rPr>
          <w:rFonts w:ascii="Times New Roman" w:eastAsia="方正楷体_GBK" w:hAnsi="Times New Roman"/>
          <w:b/>
          <w:bCs/>
          <w:kern w:val="2"/>
          <w:sz w:val="32"/>
          <w:szCs w:val="32"/>
          <w:shd w:val="clear" w:color="auto" w:fill="auto"/>
        </w:rPr>
      </w:pPr>
      <w:bookmarkStart w:id="32" w:name="_Toc27385"/>
      <w:bookmarkStart w:id="33" w:name="_Toc46662488"/>
      <w:r>
        <w:rPr>
          <w:rFonts w:ascii="Times New Roman" w:eastAsia="方正楷体_GBK" w:hAnsi="Times New Roman"/>
          <w:b/>
          <w:bCs/>
          <w:kern w:val="2"/>
          <w:sz w:val="32"/>
          <w:szCs w:val="32"/>
          <w:shd w:val="clear" w:color="auto" w:fill="auto"/>
        </w:rPr>
        <w:t>（三）国有资产占有使用情况</w:t>
      </w:r>
      <w:bookmarkEnd w:id="32"/>
      <w:bookmarkEnd w:id="33"/>
    </w:p>
    <w:p>
      <w:pPr>
        <w:pStyle w:val="18"/>
        <w:spacing w:before="0" w:line="576" w:lineRule="exact"/>
        <w:ind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截至2025年12月31日，我单位固定资产0万元，原因为固定资产统一在州委办公室登记。</w:t>
      </w:r>
    </w:p>
    <w:p>
      <w:pPr>
        <w:pStyle w:val="18"/>
        <w:spacing w:before="0" w:line="576" w:lineRule="exact"/>
        <w:ind w:firstLineChars="200" w:firstLine="640"/>
        <w:outlineLvl w:val="1"/>
        <w:rPr>
          <w:rFonts w:ascii="Times New Roman" w:eastAsia="方正楷体_GBK" w:hAnsi="Times New Roman"/>
          <w:b/>
          <w:bCs/>
          <w:kern w:val="2"/>
          <w:sz w:val="32"/>
          <w:szCs w:val="32"/>
          <w:shd w:val="clear" w:color="auto" w:fill="auto"/>
        </w:rPr>
      </w:pPr>
      <w:bookmarkStart w:id="34" w:name="_Toc46662489"/>
      <w:r>
        <w:rPr>
          <w:rFonts w:ascii="Times New Roman" w:eastAsia="方正楷体_GBK" w:hAnsi="Times New Roman"/>
          <w:b/>
          <w:bCs/>
          <w:kern w:val="2"/>
          <w:sz w:val="32"/>
          <w:szCs w:val="32"/>
          <w:shd w:val="clear" w:color="auto" w:fill="auto"/>
        </w:rPr>
        <w:t>（四）绩效目标设置情况</w:t>
      </w:r>
      <w:bookmarkEnd w:id="34"/>
    </w:p>
    <w:p>
      <w:pPr>
        <w:pStyle w:val="18"/>
        <w:spacing w:before="0" w:line="576" w:lineRule="exact"/>
        <w:ind w:firstLineChars="200" w:firstLine="640"/>
        <w:rPr>
          <w:rFonts w:ascii="黑体" w:eastAsia="黑体"/>
          <w:sz w:val="32"/>
          <w:szCs w:val="32"/>
        </w:rPr>
      </w:pPr>
      <w:r>
        <w:rPr>
          <w:rFonts w:ascii="Times New Roman" w:eastAsia="方正仿宋_GBK" w:hAnsi="Times New Roman"/>
          <w:kern w:val="2"/>
          <w:sz w:val="32"/>
          <w:szCs w:val="32"/>
        </w:rPr>
        <w:t>2026年</w:t>
      </w:r>
      <w:r>
        <w:rPr>
          <w:rFonts w:ascii="Times New Roman" w:eastAsia="方正仿宋_GBK" w:hAnsi="Times New Roman"/>
          <w:sz w:val="32"/>
          <w:szCs w:val="32"/>
        </w:rPr>
        <w:t>州专用通信中心</w:t>
      </w:r>
      <w:r>
        <w:rPr>
          <w:rFonts w:ascii="Times New Roman" w:eastAsia="方正仿宋_GBK" w:hAnsi="Times New Roman"/>
          <w:kern w:val="2"/>
          <w:sz w:val="32"/>
          <w:szCs w:val="32"/>
        </w:rPr>
        <w:t>通用项目和专用项目均按要求实行绩效目标管理，涉及一般公共预算当年拨款0万元。</w:t>
      </w:r>
    </w:p>
    <w:p>
      <w:pPr>
        <w:pStyle w:val="18"/>
        <w:spacing w:before="0" w:line="576" w:lineRule="exact"/>
        <w:ind w:firstLineChars="200" w:firstLine="640"/>
        <w:outlineLvl w:val="0"/>
        <w:rPr>
          <w:rFonts w:ascii="黑体" w:eastAsia="黑体"/>
          <w:sz w:val="32"/>
          <w:szCs w:val="32"/>
        </w:rPr>
      </w:pPr>
      <w:bookmarkStart w:id="35" w:name="_Toc46662490"/>
      <w:r>
        <w:rPr>
          <w:rFonts w:ascii="黑体" w:eastAsia="黑体" w:hint="eastAsia"/>
          <w:sz w:val="32"/>
          <w:szCs w:val="32"/>
        </w:rPr>
        <w:t>十、名称解释</w:t>
      </w:r>
      <w:bookmarkEnd w:id="35"/>
    </w:p>
    <w:p>
      <w:pPr>
        <w:pStyle w:val="18"/>
        <w:spacing w:before="0" w:line="576" w:lineRule="exact"/>
        <w:ind w:firstLineChars="200" w:firstLine="640"/>
        <w:rPr>
          <w:rFonts w:cs="仿宋_GB2312"/>
          <w:kern w:val="2"/>
          <w:sz w:val="32"/>
          <w:szCs w:val="32"/>
        </w:rPr>
      </w:pP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p>
    <w:p>
      <w:pPr>
        <w:pStyle w:val="18"/>
        <w:spacing w:before="0" w:line="576" w:lineRule="exact"/>
        <w:ind w:firstLineChars="200" w:firstLine="640"/>
        <w:rPr>
          <w:rFonts w:ascii="仿宋_GB2312" w:eastAsia="仿宋_GB2312" w:cs="仿宋_GB2312"/>
          <w:sz w:val="32"/>
          <w:szCs w:val="32"/>
        </w:rPr>
      </w:pP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auto"/>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方正楷体_GBK">
    <w:panose1 w:val="03000509000000000000"/>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hybridMultilevel"/>
    <w:tmpl w:val="10C4A83C"/>
    <w:lvl w:ilvl="0">
      <w:start w:val="2"/>
      <w:numFmt w:val="japaneseCounting"/>
      <w:lvlRestart w:val="0"/>
      <w:lvlText w:val="%1、"/>
      <w:lvlJc w:val="left"/>
      <w:pPr>
        <w:tabs>
          <w:tab w:val="num" w:pos="0"/>
        </w:tabs>
        <w:ind w:left="1360" w:hanging="720"/>
      </w:pPr>
      <w:rPr>
        <w:rFonts w:hint="default"/>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 w:type="paragraph" w:styleId="19">
    <w:name w:val="toc 1"/>
    <w:autoRedefine/>
    <w:pPr>
      <w:spacing w:before="120" w:after="120" w:line="240" w:lineRule="auto"/>
      <w:ind w:left="0"/>
      <w:jc w:val="left"/>
    </w:pPr>
    <w:rPr>
      <w:rFonts w:ascii="Times New Roman" w:eastAsia="宋体" w:cs="Times New Roman" w:hAnsi="Times New Roman"/>
      <w:b/>
      <w:i w:val="0"/>
      <w:caps/>
      <w:smallCaps w:val="0"/>
      <w:sz w:val="20"/>
      <w:szCs w:val="20"/>
      <w:lang w:val="en-US" w:eastAsia="zh-CN" w:bidi="ar-SA"/>
    </w:rPr>
  </w:style>
  <w:style w:type="paragraph" w:styleId="20">
    <w:name w:val="toc 2"/>
    <w:autoRedefine/>
    <w:pPr>
      <w:spacing w:line="240" w:lineRule="auto"/>
      <w:ind w:left="210"/>
      <w:jc w:val="left"/>
    </w:pPr>
    <w:rPr>
      <w:rFonts w:ascii="Times New Roman" w:eastAsia="宋体" w:cs="Times New Roman" w:hAnsi="Times New Roman"/>
      <w:caps w:val="0"/>
      <w:smallCaps/>
      <w:sz w:val="20"/>
      <w:szCs w:val="20"/>
      <w:lang w:val="en-US" w:eastAsia="zh-CN" w:bidi="ar-SA"/>
    </w:rPr>
  </w:style>
  <w:style w:type="paragraph" w:styleId="21">
    <w:name w:val="toc 3"/>
    <w:autoRedefine/>
    <w:pPr>
      <w:ind w:left="420"/>
      <w:jc w:val="left"/>
    </w:pPr>
    <w:rPr>
      <w:rFonts w:ascii="Times New Roman" w:eastAsia="宋体" w:cs="Times New Roman" w:hAnsi="Times New Roman"/>
      <w:b w:val="0"/>
      <w:i/>
      <w:sz w:val="20"/>
      <w:szCs w:val="20"/>
      <w:lang w:val="en-US" w:eastAsia="zh-CN" w:bidi="ar-SA"/>
    </w:rPr>
  </w:style>
  <w:style w:type="paragraph" w:styleId="22">
    <w:name w:val="toc 4"/>
    <w:autoRedefine/>
    <w:pPr>
      <w:ind w:left="630"/>
      <w:jc w:val="left"/>
    </w:pPr>
    <w:rPr>
      <w:rFonts w:ascii="Times New Roman" w:eastAsia="宋体" w:cs="Times New Roman" w:hAnsi="Times New Roman"/>
      <w:sz w:val="18"/>
      <w:szCs w:val="20"/>
      <w:lang w:val="en-US" w:eastAsia="zh-CN" w:bidi="ar-SA"/>
    </w:rPr>
  </w:style>
  <w:style w:type="paragraph" w:styleId="23">
    <w:name w:val="toc 5"/>
    <w:autoRedefine/>
    <w:pPr>
      <w:ind w:left="840"/>
      <w:jc w:val="left"/>
    </w:pPr>
    <w:rPr>
      <w:rFonts w:ascii="Times New Roman" w:eastAsia="宋体" w:cs="Times New Roman" w:hAnsi="Times New Roman"/>
      <w:sz w:val="18"/>
      <w:szCs w:val="20"/>
      <w:lang w:val="en-US" w:eastAsia="zh-CN" w:bidi="ar-SA"/>
    </w:rPr>
  </w:style>
  <w:style w:type="paragraph" w:styleId="24">
    <w:name w:val="toc 6"/>
    <w:autoRedefine/>
    <w:pPr>
      <w:ind w:left="1050"/>
      <w:jc w:val="left"/>
    </w:pPr>
    <w:rPr>
      <w:rFonts w:ascii="Times New Roman" w:eastAsia="宋体" w:cs="Times New Roman" w:hAnsi="Times New Roman"/>
      <w:sz w:val="18"/>
      <w:szCs w:val="20"/>
      <w:lang w:val="en-US" w:eastAsia="zh-CN" w:bidi="ar-SA"/>
    </w:rPr>
  </w:style>
  <w:style w:type="paragraph" w:styleId="25">
    <w:name w:val="toc 7"/>
    <w:autoRedefine/>
    <w:pPr>
      <w:ind w:left="1260"/>
      <w:jc w:val="left"/>
    </w:pPr>
    <w:rPr>
      <w:rFonts w:ascii="Times New Roman" w:eastAsia="宋体" w:cs="Times New Roman" w:hAnsi="Times New Roman"/>
      <w:sz w:val="18"/>
      <w:szCs w:val="20"/>
      <w:lang w:val="en-US" w:eastAsia="zh-CN" w:bidi="ar-SA"/>
    </w:rPr>
  </w:style>
  <w:style w:type="paragraph" w:styleId="26">
    <w:name w:val="toc 8"/>
    <w:autoRedefine/>
    <w:pPr>
      <w:ind w:left="1470"/>
      <w:jc w:val="left"/>
    </w:pPr>
    <w:rPr>
      <w:rFonts w:ascii="Times New Roman" w:eastAsia="宋体" w:cs="Times New Roman" w:hAnsi="Times New Roman"/>
      <w:sz w:val="18"/>
      <w:szCs w:val="20"/>
      <w:lang w:val="en-US" w:eastAsia="zh-CN" w:bidi="ar-SA"/>
    </w:rPr>
  </w:style>
  <w:style w:type="paragraph" w:styleId="27">
    <w:name w:val="toc 9"/>
    <w:autoRedefine/>
    <w:pPr>
      <w:ind w:left="1680"/>
      <w:jc w:val="left"/>
    </w:pPr>
    <w:rPr>
      <w:rFonts w:ascii="Times New Roman" w:eastAsia="宋体" w:cs="Times New Roman" w:hAnsi="Times New Roman"/>
      <w:sz w:val="18"/>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128</TotalTime>
  <Application>Yozo_Office27021597764231179</Application>
  <Pages>7</Pages>
  <Words>1959</Words>
  <Characters>2365</Characters>
  <Lines>145</Lines>
  <Paragraphs>80</Paragraphs>
  <CharactersWithSpaces>2395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2026-01-27T03:47:31Z</cp:lastPrinted>
  <dcterms:created xsi:type="dcterms:W3CDTF">2022-12-30T09:44:00Z</dcterms:created>
  <dcterms:modified xsi:type="dcterms:W3CDTF">2026-01-28T11:43:51Z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