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emf"/>
  <Default Extension="bin" ContentType="application/vnd.openxmlformats-officedocument.oleObject"/>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Times New Roman" w:eastAsia="方正小标宋简体" w:cs="Times New Roman" w:hAnsi="Times New Roman"/>
          <w:sz w:val="72"/>
          <w:szCs w:val="72"/>
        </w:rPr>
      </w:pPr>
      <w:bookmarkStart w:id="0" w:name="_Toc15377193"/>
      <w:bookmarkStart w:id="1" w:name="_Toc15396597"/>
      <w:bookmarkStart w:id="2" w:name="_Toc15377425"/>
      <w:bookmarkStart w:id="3" w:name="_Toc15396475"/>
      <w:bookmarkStart w:id="4" w:name="_Toc15378441"/>
      <w:bookmarkStart w:id="5" w:name="_Toc15306267"/>
    </w:p>
    <w:p>
      <w:pPr>
        <w:spacing w:line="600" w:lineRule="exact"/>
        <w:jc w:val="center"/>
        <w:outlineLvl w:val="0"/>
        <w:rPr>
          <w:rFonts w:ascii="Times New Roman" w:eastAsia="方正小标宋简体" w:cs="Times New Roman" w:hAnsi="Times New Roman"/>
          <w:sz w:val="72"/>
          <w:szCs w:val="72"/>
        </w:rPr>
      </w:pPr>
    </w:p>
    <w:p>
      <w:pPr>
        <w:spacing w:line="600" w:lineRule="exact"/>
        <w:jc w:val="center"/>
        <w:outlineLvl w:val="0"/>
        <w:rPr>
          <w:rFonts w:ascii="Times New Roman" w:eastAsia="方正小标宋简体" w:cs="Times New Roman" w:hAnsi="Times New Roman"/>
          <w:sz w:val="72"/>
          <w:szCs w:val="72"/>
        </w:rPr>
      </w:pPr>
    </w:p>
    <w:p>
      <w:pPr>
        <w:spacing w:line="600" w:lineRule="exact"/>
        <w:jc w:val="center"/>
        <w:outlineLvl w:val="0"/>
        <w:rPr>
          <w:rFonts w:ascii="Times New Roman" w:eastAsia="方正小标宋简体" w:cs="Times New Roman" w:hAnsi="Times New Roman"/>
          <w:sz w:val="72"/>
          <w:szCs w:val="72"/>
        </w:rPr>
      </w:pPr>
    </w:p>
    <w:p>
      <w:pPr>
        <w:adjustRightInd w:val="0"/>
        <w:snapToGrid w:val="0"/>
        <w:spacing w:line="360" w:lineRule="auto"/>
        <w:jc w:val="center"/>
        <w:outlineLvl w:val="0"/>
        <w:rPr>
          <w:rFonts w:ascii="Times New Roman" w:eastAsia="方正小标宋简体" w:cs="Times New Roman" w:hAnsi="Times New Roman"/>
          <w:sz w:val="72"/>
          <w:szCs w:val="72"/>
        </w:rPr>
      </w:pPr>
      <w:bookmarkStart w:id="6" w:name="_Toc26843601"/>
      <w:r>
        <w:rPr>
          <w:rFonts w:ascii="Times New Roman" w:eastAsia="方正小标宋简体" w:cs="Times New Roman" w:hAnsi="Times New Roman"/>
          <w:sz w:val="72"/>
          <w:szCs w:val="72"/>
        </w:rPr>
        <w:t>2021年度</w:t>
      </w:r>
      <w:bookmarkEnd w:id="0"/>
      <w:bookmarkEnd w:id="1"/>
      <w:bookmarkEnd w:id="2"/>
      <w:bookmarkEnd w:id="3"/>
      <w:bookmarkEnd w:id="4"/>
      <w:bookmarkEnd w:id="6"/>
    </w:p>
    <w:p>
      <w:pPr>
        <w:adjustRightInd w:val="0"/>
        <w:snapToGrid w:val="0"/>
        <w:spacing w:line="360" w:lineRule="auto"/>
        <w:jc w:val="center"/>
        <w:outlineLvl w:val="0"/>
        <w:rPr>
          <w:rFonts w:ascii="Times New Roman" w:eastAsia="方正小标宋简体" w:cs="Times New Roman" w:hAnsi="Times New Roman"/>
          <w:sz w:val="72"/>
          <w:szCs w:val="72"/>
        </w:rPr>
      </w:pPr>
      <w:bookmarkStart w:id="7" w:name="_Toc26843602"/>
      <w:bookmarkStart w:id="8" w:name="_Toc15377194"/>
      <w:bookmarkStart w:id="9" w:name="_Toc15396476"/>
      <w:bookmarkStart w:id="10" w:name="_Toc15306268"/>
      <w:bookmarkStart w:id="11" w:name="_Toc15377426"/>
      <w:bookmarkStart w:id="12" w:name="_Toc15378442"/>
      <w:bookmarkStart w:id="13" w:name="_Toc15396598"/>
      <w:bookmarkEnd w:id="5"/>
      <w:r>
        <w:rPr>
          <w:rFonts w:ascii="Times New Roman" w:eastAsia="方正小标宋简体" w:cs="Times New Roman" w:hAnsi="Times New Roman"/>
          <w:sz w:val="72"/>
          <w:szCs w:val="72"/>
        </w:rPr>
        <w:t>中共阿坝州委办公室</w:t>
      </w:r>
      <w:bookmarkEnd w:id="7"/>
    </w:p>
    <w:p>
      <w:pPr>
        <w:adjustRightInd w:val="0"/>
        <w:snapToGrid w:val="0"/>
        <w:spacing w:line="360" w:lineRule="auto"/>
        <w:jc w:val="center"/>
        <w:outlineLvl w:val="0"/>
        <w:rPr>
          <w:rFonts w:ascii="Times New Roman" w:eastAsia="方正小标宋简体" w:cs="Times New Roman" w:hAnsi="Times New Roman"/>
          <w:sz w:val="72"/>
          <w:szCs w:val="72"/>
        </w:rPr>
      </w:pPr>
      <w:bookmarkStart w:id="14" w:name="_Toc26843603"/>
      <w:r>
        <w:rPr>
          <w:rFonts w:eastAsia="方正小标宋简体" w:cs="Times New Roman" w:hint="eastAsia"/>
          <w:sz w:val="72"/>
          <w:szCs w:val="72"/>
          <w:lang w:eastAsia="zh-CN"/>
        </w:rPr>
        <w:t>单位</w:t>
      </w:r>
      <w:r>
        <w:rPr>
          <w:rFonts w:ascii="Times New Roman" w:eastAsia="方正小标宋简体" w:cs="Times New Roman" w:hAnsi="Times New Roman"/>
          <w:sz w:val="72"/>
          <w:szCs w:val="72"/>
        </w:rPr>
        <w:t>决算</w:t>
      </w:r>
      <w:bookmarkEnd w:id="8"/>
      <w:bookmarkEnd w:id="9"/>
      <w:bookmarkEnd w:id="10"/>
      <w:bookmarkEnd w:id="11"/>
      <w:bookmarkEnd w:id="12"/>
      <w:bookmarkEnd w:id="13"/>
      <w:bookmarkEnd w:id="14"/>
    </w:p>
    <w:p>
      <w:pPr>
        <w:pStyle w:val="15"/>
        <w:spacing w:beforeLines="0" w:before="93"/>
        <w:rPr>
          <w:rFonts w:ascii="Times New Roman" w:eastAsia="方正小标宋简体" w:cs="Times New Roman" w:hAnsi="Times New Roman"/>
          <w:sz w:val="52"/>
          <w:szCs w:val="52"/>
        </w:rPr>
      </w:pPr>
    </w:p>
    <w:p>
      <w:pPr>
        <w:pStyle w:val="15"/>
        <w:spacing w:beforeLines="0" w:before="93"/>
        <w:rPr>
          <w:rFonts w:ascii="Times New Roman" w:cs="Times New Roman" w:hAnsi="Times New Roman"/>
        </w:rPr>
      </w:pPr>
    </w:p>
    <w:p>
      <w:pPr>
        <w:pStyle w:val="15"/>
        <w:spacing w:beforeLines="0" w:before="93"/>
        <w:rPr>
          <w:rFonts w:ascii="Times New Roman" w:cs="Times New Roman" w:hAnsi="Times New Roman"/>
        </w:rPr>
      </w:pPr>
    </w:p>
    <w:p>
      <w:pPr>
        <w:pStyle w:val="15"/>
        <w:spacing w:beforeLines="0" w:before="93"/>
        <w:rPr>
          <w:rFonts w:ascii="Times New Roman" w:cs="Times New Roman" w:hAnsi="Times New Roman"/>
        </w:rPr>
      </w:pPr>
    </w:p>
    <w:p>
      <w:pPr>
        <w:pStyle w:val="15"/>
        <w:spacing w:beforeLines="0" w:before="93"/>
        <w:rPr>
          <w:rFonts w:ascii="Times New Roman" w:cs="Times New Roman" w:hAnsi="Times New Roman"/>
        </w:rPr>
      </w:pPr>
    </w:p>
    <w:p>
      <w:pPr>
        <w:pStyle w:val="15"/>
        <w:spacing w:beforeLines="0" w:before="93"/>
        <w:rPr>
          <w:rFonts w:ascii="Times New Roman" w:cs="Times New Roman" w:hAnsi="Times New Roman"/>
        </w:rPr>
      </w:pPr>
    </w:p>
    <w:p>
      <w:pPr>
        <w:pStyle w:val="15"/>
        <w:spacing w:beforeLines="0" w:before="93"/>
        <w:rPr>
          <w:rFonts w:ascii="Times New Roman" w:cs="Times New Roman" w:hAnsi="Times New Roman"/>
        </w:rPr>
      </w:pPr>
    </w:p>
    <w:p>
      <w:pPr>
        <w:widowControl/>
        <w:jc w:val="center"/>
        <w:rPr>
          <w:rFonts w:ascii="Times New Roman" w:eastAsia="黑体" w:cs="Times New Roman" w:hAnsi="Times New Roman"/>
          <w:sz w:val="48"/>
          <w:szCs w:val="48"/>
        </w:rPr>
      </w:pPr>
      <w:r>
        <w:rPr>
          <w:rFonts w:ascii="Times New Roman" w:eastAsia="仿宋_GB2312" w:cs="Times New Roman" w:hAnsi="Times New Roman"/>
          <w:sz w:val="32"/>
          <w:szCs w:val="32"/>
        </w:rPr>
        <w:t>已经保密审查、内容审定，同意对外公开</w:t>
      </w:r>
      <w:r>
        <w:rPr>
          <w:rFonts w:ascii="Times New Roman" w:eastAsia="方正小标宋简体" w:cs="Times New Roman" w:hAnsi="Times New Roman"/>
          <w:sz w:val="36"/>
          <w:szCs w:val="36"/>
        </w:rPr>
        <w:br w:type="page"/>
      </w:r>
      <w:r>
        <w:rPr>
          <w:rFonts w:ascii="Times New Roman" w:eastAsia="黑体" w:cs="Times New Roman" w:hAnsi="Times New Roman"/>
          <w:sz w:val="48"/>
          <w:szCs w:val="48"/>
        </w:rPr>
        <w:t>目录</w:t>
      </w:r>
    </w:p>
    <w:p>
      <w:pPr>
        <w:widowControl/>
        <w:jc w:val="center"/>
        <w:rPr>
          <w:rFonts w:ascii="Times New Roman" w:eastAsia="黑体" w:cs="Times New Roman" w:hAnsi="Times New Roman"/>
          <w:sz w:val="28"/>
          <w:szCs w:val="28"/>
        </w:rPr>
      </w:pPr>
    </w:p>
    <w:p>
      <w:pPr>
        <w:pStyle w:val="20"/>
        <w:tabs>
          <w:tab w:val="right" w:leader="dot" w:pos="8296"/>
        </w:tabs>
        <w:rPr>
          <w:rFonts w:ascii="Times New Roman" w:cs="Times New Roman" w:hAnsi="Times New Roman"/>
        </w:rPr>
      </w:pPr>
      <w:r>
        <w:rPr>
          <w:rFonts w:ascii="Times New Roman" w:cs="Times New Roman" w:hAnsi="Times New Roman"/>
        </w:rPr>
        <w:t>公开时间：2022年9月27日</w:t>
      </w:r>
    </w:p>
    <w:p>
      <w:pPr>
        <w:pStyle w:val="20"/>
        <w:tabs>
          <w:tab w:val="right" w:leader="dot" w:pos="8296"/>
        </w:tabs>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TOC \o "1-2" \h \u </w:instrText>
      </w:r>
      <w:r>
        <w:rPr>
          <w:rFonts w:ascii="Times New Roman" w:cs="Times New Roman" w:hAnsi="Times New Roman"/>
        </w:rPr>
        <w:fldChar w:fldCharType="separate"/>
      </w:r>
      <w:r>
        <w:rPr>
          <w:rFonts w:ascii="Times New Roman" w:eastAsia="仿宋" w:cs="Times New Roman" w:hAnsi="Times New Roman"/>
          <w:sz w:val="24"/>
          <w:szCs w:val="28"/>
        </w:rPr>
        <w:fldChar w:fldCharType="begin"/>
      </w:r>
      <w:r>
        <w:rPr>
          <w:rFonts w:ascii="Times New Roman" w:eastAsia="仿宋" w:cs="Times New Roman" w:hAnsi="Times New Roman"/>
          <w:sz w:val="24"/>
          <w:szCs w:val="28"/>
        </w:rPr>
        <w:instrText>Hyperlink \l "_Toc26843604"</w:instrText>
      </w:r>
      <w:r>
        <w:rPr>
          <w:rFonts w:ascii="Times New Roman" w:eastAsia="仿宋" w:cs="Times New Roman" w:hAnsi="Times New Roman"/>
          <w:sz w:val="24"/>
          <w:szCs w:val="28"/>
        </w:rPr>
        <w:fldChar w:fldCharType="separate"/>
      </w:r>
      <w:r>
        <w:rPr>
          <w:rFonts w:ascii="Times New Roman" w:eastAsia="仿宋" w:cs="Times New Roman" w:hAnsi="Times New Roman"/>
          <w:sz w:val="24"/>
          <w:szCs w:val="28"/>
        </w:rPr>
        <w:t xml:space="preserve">第一部分 </w:t>
      </w:r>
      <w:r>
        <w:rPr>
          <w:rFonts w:ascii="Times New Roman" w:eastAsia="仿宋" w:cs="Times New Roman" w:hAnsi="Times New Roman"/>
          <w:bCs/>
          <w:sz w:val="24"/>
          <w:szCs w:val="28"/>
          <w:lang w:val="en-US" w:eastAsia="zh-CN" w:bidi="ar-SA"/>
        </w:rPr>
        <w:t>部门概况</w:t>
      </w:r>
      <w:r>
        <w:rPr>
          <w:rFonts w:ascii="Times New Roman" w:eastAsia="仿宋" w:cs="Times New Roman" w:hAnsi="Times New Roman"/>
          <w:sz w:val="24"/>
          <w:szCs w:val="28"/>
        </w:rPr>
        <w:tab/>
      </w:r>
      <w:r>
        <w:rPr>
          <w:rFonts w:ascii="Times New Roman" w:eastAsia="仿宋" w:cs="Times New Roman" w:hAnsi="Times New Roman"/>
          <w:sz w:val="24"/>
          <w:szCs w:val="28"/>
        </w:rPr>
        <w:fldChar w:fldCharType="begin"/>
      </w:r>
      <w:r>
        <w:rPr>
          <w:rFonts w:ascii="Times New Roman" w:eastAsia="仿宋" w:cs="Times New Roman" w:hAnsi="Times New Roman"/>
          <w:sz w:val="24"/>
          <w:szCs w:val="28"/>
        </w:rPr>
        <w:instrText>PageRef _Toc26843604 \h</w:instrText>
      </w:r>
      <w:r>
        <w:rPr>
          <w:rFonts w:ascii="Times New Roman" w:eastAsia="仿宋" w:cs="Times New Roman" w:hAnsi="Times New Roman"/>
          <w:sz w:val="24"/>
          <w:szCs w:val="28"/>
        </w:rPr>
        <w:fldChar w:fldCharType="separate"/>
      </w:r>
      <w:r>
        <w:rPr>
          <w:rFonts w:ascii="Times New Roman" w:eastAsia="仿宋" w:cs="Times New Roman" w:hAnsi="Times New Roman"/>
          <w:sz w:val="24"/>
          <w:szCs w:val="28"/>
        </w:rPr>
        <w:t>4</w:t>
      </w:r>
      <w:r>
        <w:rPr>
          <w:rFonts w:ascii="Times New Roman" w:eastAsia="仿宋" w:cs="Times New Roman" w:hAnsi="Times New Roman"/>
          <w:sz w:val="24"/>
          <w:szCs w:val="28"/>
        </w:rPr>
        <w:fldChar w:fldCharType="end"/>
      </w:r>
      <w:r>
        <w:rPr>
          <w:rFonts w:ascii="Times New Roman" w:eastAsia="仿宋" w:cs="Times New Roman" w:hAnsi="Times New Roman"/>
          <w:sz w:val="24"/>
          <w:szCs w:val="28"/>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"_Toc26843605"</w:instrText>
      </w:r>
      <w:r>
        <w:rPr>
          <w:rFonts w:ascii="Times New Roman" w:cs="Times New Roman" w:hAnsi="Times New Roman"/>
          <w:sz w:val="24"/>
        </w:rPr>
        <w:fldChar w:fldCharType="separate"/>
      </w:r>
      <w:r>
        <w:rPr>
          <w:rFonts w:ascii="Times New Roman" w:cs="Times New Roman" w:hAnsi="Times New Roman"/>
          <w:sz w:val="24"/>
        </w:rPr>
        <w:t>一、基</w:t>
      </w:r>
      <w:r>
        <w:rPr>
          <w:rFonts w:ascii="Times New Roman" w:cs="Times New Roman" w:hAnsi="Times New Roman"/>
          <w:bCs/>
          <w:sz w:val="24"/>
          <w:lang w:val="en-US" w:eastAsia="zh-CN" w:bidi="ar-SA"/>
        </w:rPr>
        <w:t>本职能及主要工作</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_Toc26843605 \h</w:instrText>
      </w:r>
      <w:r>
        <w:rPr>
          <w:rFonts w:ascii="Times New Roman" w:cs="Times New Roman" w:hAnsi="Times New Roman"/>
          <w:sz w:val="24"/>
        </w:rPr>
        <w:fldChar w:fldCharType="separate"/>
      </w:r>
      <w:r>
        <w:rPr>
          <w:rFonts w:ascii="Times New Roman" w:cs="Times New Roman" w:hAnsi="Times New Roman"/>
          <w:sz w:val="24"/>
        </w:rPr>
        <w:t>4</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"_Toc26843606"</w:instrText>
      </w:r>
      <w:r>
        <w:rPr>
          <w:rFonts w:ascii="Times New Roman" w:cs="Times New Roman" w:hAnsi="Times New Roman"/>
          <w:sz w:val="24"/>
        </w:rPr>
        <w:fldChar w:fldCharType="separate"/>
      </w:r>
      <w:r>
        <w:rPr>
          <w:rFonts w:ascii="Times New Roman" w:cs="Times New Roman" w:hAnsi="Times New Roman"/>
          <w:sz w:val="24"/>
        </w:rPr>
        <w:t>二、机</w:t>
      </w:r>
      <w:r>
        <w:rPr>
          <w:rFonts w:ascii="Times New Roman" w:cs="Times New Roman" w:hAnsi="Times New Roman"/>
          <w:bCs/>
          <w:sz w:val="24"/>
          <w:lang w:val="en-US" w:eastAsia="zh-CN" w:bidi="ar-SA"/>
        </w:rPr>
        <w:t>构设置</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_Toc26843606 \h</w:instrText>
      </w:r>
      <w:r>
        <w:rPr>
          <w:rFonts w:ascii="Times New Roman" w:cs="Times New Roman" w:hAnsi="Times New Roman"/>
          <w:sz w:val="24"/>
        </w:rPr>
        <w:fldChar w:fldCharType="separate"/>
      </w:r>
      <w:r>
        <w:rPr>
          <w:rFonts w:ascii="Times New Roman" w:cs="Times New Roman" w:hAnsi="Times New Roman"/>
          <w:sz w:val="24"/>
        </w:rPr>
        <w:t>7</w:t>
      </w:r>
      <w:r>
        <w:rPr>
          <w:rFonts w:ascii="Times New Roman" w:cs="Times New Roman" w:hAnsi="Times New Roman"/>
          <w:sz w:val="24"/>
        </w:rPr>
        <w:fldChar w:fldCharType="end"/>
      </w:r>
      <w:r>
        <w:rPr>
          <w:rFonts w:ascii="Times New Roman" w:cs="Times New Roman" w:hAnsi="Times New Roman"/>
          <w:sz w:val="24"/>
        </w:rPr>
        <w:fldChar w:fldCharType="end"/>
      </w:r>
    </w:p>
    <w:p>
      <w:pPr>
        <w:pStyle w:val="20"/>
        <w:tabs>
          <w:tab w:val="right" w:leader="dot" w:pos="8296"/>
        </w:tabs>
        <w:adjustRightInd w:val="0"/>
        <w:snapToGrid w:val="0"/>
        <w:spacing w:before="0"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"_Toc26843607"</w:instrText>
      </w:r>
      <w:r>
        <w:rPr>
          <w:rFonts w:ascii="Times New Roman" w:cs="Times New Roman" w:hAnsi="Times New Roman"/>
          <w:sz w:val="24"/>
        </w:rPr>
        <w:fldChar w:fldCharType="separate"/>
      </w:r>
      <w:r>
        <w:rPr>
          <w:rFonts w:ascii="Times New Roman" w:cs="Times New Roman" w:hAnsi="Times New Roman"/>
          <w:sz w:val="24"/>
        </w:rPr>
        <w:t>第二部分 2021年度</w:t>
      </w:r>
      <w:r>
        <w:rPr>
          <w:rFonts w:ascii="Times New Roman" w:eastAsia="仿宋" w:cs="Times New Roman" w:hAnsi="Times New Roman"/>
          <w:bCs/>
          <w:sz w:val="24"/>
          <w:szCs w:val="28"/>
          <w:lang w:val="en-US" w:eastAsia="zh-CN" w:bidi="ar-SA"/>
        </w:rPr>
        <w:t>部门决算情况说明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_Toc26843607 \h</w:instrText>
      </w:r>
      <w:r>
        <w:rPr>
          <w:rFonts w:ascii="Times New Roman" w:cs="Times New Roman" w:hAnsi="Times New Roman"/>
          <w:sz w:val="24"/>
        </w:rPr>
        <w:fldChar w:fldCharType="separate"/>
      </w:r>
      <w:r>
        <w:rPr>
          <w:rFonts w:ascii="Times New Roman" w:cs="Times New Roman" w:hAnsi="Times New Roman"/>
          <w:sz w:val="24"/>
        </w:rPr>
        <w:t>8</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"_Toc26843608"</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一、</w:t>
      </w:r>
      <w:r>
        <w:rPr>
          <w:rFonts w:ascii="Times New Roman" w:cs="Times New Roman" w:hAnsi="Times New Roman"/>
          <w:sz w:val="24"/>
        </w:rPr>
        <w:t xml:space="preserve">  收</w:t>
      </w:r>
      <w:r>
        <w:rPr>
          <w:rFonts w:ascii="Times New Roman" w:cs="Times New Roman" w:hAnsi="Times New Roman"/>
          <w:bCs/>
          <w:sz w:val="24"/>
          <w:lang w:val="en-US" w:eastAsia="zh-CN" w:bidi="ar-SA"/>
        </w:rPr>
        <w:t>入支出决算总体情况说明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_Toc26843608 \h</w:instrText>
      </w:r>
      <w:r>
        <w:rPr>
          <w:rFonts w:ascii="Times New Roman" w:cs="Times New Roman" w:hAnsi="Times New Roman"/>
          <w:sz w:val="24"/>
        </w:rPr>
        <w:fldChar w:fldCharType="separate"/>
      </w:r>
      <w:r>
        <w:rPr>
          <w:rFonts w:ascii="Times New Roman" w:cs="Times New Roman" w:hAnsi="Times New Roman"/>
          <w:sz w:val="24"/>
        </w:rPr>
        <w:t>8</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"_Toc26843609"</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二、</w:t>
      </w:r>
      <w:r>
        <w:rPr>
          <w:rFonts w:ascii="Times New Roman" w:cs="Times New Roman" w:hAnsi="Times New Roman"/>
          <w:sz w:val="24"/>
        </w:rPr>
        <w:t xml:space="preserve">  收</w:t>
      </w:r>
      <w:r>
        <w:rPr>
          <w:rFonts w:ascii="Times New Roman" w:cs="Times New Roman" w:hAnsi="Times New Roman"/>
          <w:bCs/>
          <w:sz w:val="24"/>
          <w:lang w:val="en-US" w:eastAsia="zh-CN" w:bidi="ar-SA"/>
        </w:rPr>
        <w:t>入决算情况说明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_Toc26843609 \h</w:instrText>
      </w:r>
      <w:r>
        <w:rPr>
          <w:rFonts w:ascii="Times New Roman" w:cs="Times New Roman" w:hAnsi="Times New Roman"/>
          <w:sz w:val="24"/>
        </w:rPr>
        <w:fldChar w:fldCharType="separate"/>
      </w:r>
      <w:r>
        <w:rPr>
          <w:rFonts w:ascii="Times New Roman" w:cs="Times New Roman" w:hAnsi="Times New Roman"/>
          <w:sz w:val="24"/>
        </w:rPr>
        <w:t>8</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"_Toc26843612"</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三、</w:t>
      </w:r>
      <w:r>
        <w:rPr>
          <w:rFonts w:ascii="Times New Roman" w:cs="Times New Roman" w:hAnsi="Times New Roman"/>
          <w:sz w:val="24"/>
        </w:rPr>
        <w:t xml:space="preserve">  支</w:t>
      </w:r>
      <w:r>
        <w:rPr>
          <w:rFonts w:ascii="Times New Roman" w:cs="Times New Roman" w:hAnsi="Times New Roman"/>
          <w:bCs/>
          <w:sz w:val="24"/>
          <w:lang w:val="en-US" w:eastAsia="zh-CN" w:bidi="ar-SA"/>
        </w:rPr>
        <w:t>出决算情况说明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_Toc26843612 \h</w:instrText>
      </w:r>
      <w:r>
        <w:rPr>
          <w:rFonts w:ascii="Times New Roman" w:cs="Times New Roman" w:hAnsi="Times New Roman"/>
          <w:sz w:val="24"/>
        </w:rPr>
        <w:fldChar w:fldCharType="separate"/>
      </w:r>
      <w:r>
        <w:rPr>
          <w:rFonts w:ascii="Times New Roman" w:cs="Times New Roman" w:hAnsi="Times New Roman"/>
          <w:sz w:val="24"/>
        </w:rPr>
        <w:t>9</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"_Toc26843615"</w:instrText>
      </w:r>
      <w:r>
        <w:rPr>
          <w:rFonts w:ascii="Times New Roman" w:cs="Times New Roman" w:hAnsi="Times New Roman"/>
          <w:sz w:val="24"/>
        </w:rPr>
        <w:fldChar w:fldCharType="separate"/>
      </w:r>
      <w:r>
        <w:rPr>
          <w:rFonts w:ascii="Times New Roman" w:cs="Times New Roman" w:hAnsi="Times New Roman"/>
          <w:sz w:val="24"/>
        </w:rPr>
        <w:t>四、财</w:t>
      </w:r>
      <w:r>
        <w:rPr>
          <w:rFonts w:ascii="Times New Roman" w:cs="Times New Roman" w:hAnsi="Times New Roman"/>
          <w:bCs/>
          <w:sz w:val="24"/>
          <w:lang w:val="en-US" w:eastAsia="zh-CN" w:bidi="ar-SA"/>
        </w:rPr>
        <w:t>政拨款收入支出决算总体情况说明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_Toc26843615 \h</w:instrText>
      </w:r>
      <w:r>
        <w:rPr>
          <w:rFonts w:ascii="Times New Roman" w:cs="Times New Roman" w:hAnsi="Times New Roman"/>
          <w:sz w:val="24"/>
        </w:rPr>
        <w:fldChar w:fldCharType="separate"/>
      </w:r>
      <w:r>
        <w:rPr>
          <w:rFonts w:ascii="Times New Roman" w:cs="Times New Roman" w:hAnsi="Times New Roman"/>
          <w:sz w:val="24"/>
        </w:rPr>
        <w:t>10</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"_Toc26843616"</w:instrText>
      </w:r>
      <w:r>
        <w:rPr>
          <w:rFonts w:ascii="Times New Roman" w:cs="Times New Roman" w:hAnsi="Times New Roman"/>
          <w:sz w:val="24"/>
        </w:rPr>
        <w:fldChar w:fldCharType="separate"/>
      </w:r>
      <w:r>
        <w:rPr>
          <w:rFonts w:ascii="Times New Roman" w:cs="Times New Roman" w:hAnsi="Times New Roman"/>
          <w:sz w:val="24"/>
        </w:rPr>
        <w:t>五、一</w:t>
      </w:r>
      <w:r>
        <w:rPr>
          <w:rFonts w:ascii="Times New Roman" w:cs="Times New Roman" w:hAnsi="Times New Roman"/>
          <w:bCs/>
          <w:sz w:val="24"/>
          <w:lang w:val="en-US" w:eastAsia="zh-CN" w:bidi="ar-SA"/>
        </w:rPr>
        <w:t>般公共预算财政拨款支出决算情况说明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_Toc26843616 \h</w:instrText>
      </w:r>
      <w:r>
        <w:rPr>
          <w:rFonts w:ascii="Times New Roman" w:cs="Times New Roman" w:hAnsi="Times New Roman"/>
          <w:sz w:val="24"/>
        </w:rPr>
        <w:fldChar w:fldCharType="separate"/>
      </w:r>
      <w:r>
        <w:rPr>
          <w:rFonts w:ascii="Times New Roman" w:cs="Times New Roman" w:hAnsi="Times New Roman"/>
          <w:sz w:val="24"/>
        </w:rPr>
        <w:t>10</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"_Toc26843617"</w:instrText>
      </w:r>
      <w:r>
        <w:rPr>
          <w:rFonts w:ascii="Times New Roman" w:cs="Times New Roman" w:hAnsi="Times New Roman"/>
          <w:sz w:val="24"/>
        </w:rPr>
        <w:fldChar w:fldCharType="separate"/>
      </w:r>
      <w:r>
        <w:rPr>
          <w:rFonts w:ascii="Times New Roman" w:cs="Times New Roman" w:hAnsi="Times New Roman"/>
          <w:sz w:val="24"/>
        </w:rPr>
        <w:t>六、一</w:t>
      </w:r>
      <w:r>
        <w:rPr>
          <w:rFonts w:ascii="Times New Roman" w:cs="Times New Roman" w:hAnsi="Times New Roman"/>
          <w:bCs/>
          <w:sz w:val="24"/>
          <w:lang w:val="en-US" w:eastAsia="zh-CN" w:bidi="ar-SA"/>
        </w:rPr>
        <w:t>般公共预算财政拨款基本支出决算情况说明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_Toc26843617 \h</w:instrText>
      </w:r>
      <w:r>
        <w:rPr>
          <w:rFonts w:ascii="Times New Roman" w:cs="Times New Roman" w:hAnsi="Times New Roman"/>
          <w:sz w:val="24"/>
        </w:rPr>
        <w:fldChar w:fldCharType="separate"/>
      </w:r>
      <w:r>
        <w:rPr>
          <w:rFonts w:ascii="Times New Roman" w:cs="Times New Roman" w:hAnsi="Times New Roman"/>
          <w:sz w:val="24"/>
        </w:rPr>
        <w:t>13</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"_Toc26843618"</w:instrText>
      </w:r>
      <w:r>
        <w:rPr>
          <w:rFonts w:ascii="Times New Roman" w:cs="Times New Roman" w:hAnsi="Times New Roman"/>
          <w:sz w:val="24"/>
        </w:rPr>
        <w:fldChar w:fldCharType="separate"/>
      </w:r>
      <w:r>
        <w:rPr>
          <w:rFonts w:ascii="Times New Roman" w:cs="Times New Roman" w:hAnsi="Times New Roman"/>
          <w:sz w:val="24"/>
        </w:rPr>
        <w:t>七、</w:t>
      </w:r>
      <w:r>
        <w:rPr>
          <w:rFonts w:ascii="Times New Roman" w:cs="Times New Roman" w:hAnsi="Times New Roman"/>
          <w:bCs/>
          <w:sz w:val="24"/>
          <w:lang w:val="en-US" w:eastAsia="zh-CN" w:bidi="ar-SA"/>
        </w:rPr>
        <w:t>“三公”经费财政拨款支出决算情况说明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_Toc26843618 \h</w:instrText>
      </w:r>
      <w:r>
        <w:rPr>
          <w:rFonts w:ascii="Times New Roman" w:cs="Times New Roman" w:hAnsi="Times New Roman"/>
          <w:sz w:val="24"/>
        </w:rPr>
        <w:fldChar w:fldCharType="separate"/>
      </w:r>
      <w:r>
        <w:rPr>
          <w:rFonts w:ascii="Times New Roman" w:cs="Times New Roman" w:hAnsi="Times New Roman"/>
          <w:sz w:val="24"/>
        </w:rPr>
        <w:t>14</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"_Toc26843619"</w:instrText>
      </w:r>
      <w:r>
        <w:rPr>
          <w:rFonts w:ascii="Times New Roman" w:cs="Times New Roman" w:hAnsi="Times New Roman"/>
          <w:sz w:val="24"/>
        </w:rPr>
        <w:fldChar w:fldCharType="separate"/>
      </w:r>
      <w:r>
        <w:rPr>
          <w:rFonts w:ascii="Times New Roman" w:cs="Times New Roman" w:hAnsi="Times New Roman"/>
          <w:sz w:val="24"/>
        </w:rPr>
        <w:t>八、</w:t>
      </w:r>
      <w:r>
        <w:rPr>
          <w:rFonts w:ascii="Times New Roman" w:cs="Times New Roman" w:hAnsi="Times New Roman"/>
          <w:bCs/>
          <w:sz w:val="24"/>
          <w:lang w:val="en-US" w:eastAsia="zh-CN" w:bidi="ar-SA"/>
        </w:rPr>
        <w:t>政府性基金预算支出决算情况说明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_Toc26843619 \h</w:instrText>
      </w:r>
      <w:r>
        <w:rPr>
          <w:rFonts w:ascii="Times New Roman" w:cs="Times New Roman" w:hAnsi="Times New Roman"/>
          <w:sz w:val="24"/>
        </w:rPr>
        <w:fldChar w:fldCharType="separate"/>
      </w:r>
      <w:r>
        <w:rPr>
          <w:rFonts w:ascii="Times New Roman" w:cs="Times New Roman" w:hAnsi="Times New Roman"/>
          <w:sz w:val="24"/>
        </w:rPr>
        <w:t>16</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"_Toc26843620"</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九、</w:t>
      </w:r>
      <w:r>
        <w:rPr>
          <w:rFonts w:ascii="Times New Roman" w:cs="Times New Roman" w:hAnsi="Times New Roman"/>
          <w:sz w:val="24"/>
        </w:rPr>
        <w:t xml:space="preserve">  </w:t>
      </w:r>
      <w:r>
        <w:rPr>
          <w:rFonts w:ascii="Times New Roman" w:cs="Times New Roman" w:hAnsi="Times New Roman"/>
          <w:bCs/>
          <w:sz w:val="24"/>
          <w:lang w:val="en-US" w:eastAsia="zh-CN" w:bidi="ar-SA"/>
        </w:rPr>
        <w:t>国有资本经营预算支出决算情况说明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_Toc26843620 \h</w:instrText>
      </w:r>
      <w:r>
        <w:rPr>
          <w:rFonts w:ascii="Times New Roman" w:cs="Times New Roman" w:hAnsi="Times New Roman"/>
          <w:sz w:val="24"/>
        </w:rPr>
        <w:fldChar w:fldCharType="separate"/>
      </w:r>
      <w:r>
        <w:rPr>
          <w:rFonts w:ascii="Times New Roman" w:cs="Times New Roman" w:hAnsi="Times New Roman"/>
          <w:sz w:val="24"/>
        </w:rPr>
        <w:t>16</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"_Toc26843621"</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十、</w:t>
      </w:r>
      <w:r>
        <w:rPr>
          <w:rFonts w:ascii="Times New Roman" w:cs="Times New Roman" w:hAnsi="Times New Roman"/>
          <w:sz w:val="24"/>
        </w:rPr>
        <w:t xml:space="preserve">  </w:t>
      </w:r>
      <w:r>
        <w:rPr>
          <w:rFonts w:ascii="Times New Roman" w:cs="Times New Roman" w:hAnsi="Times New Roman"/>
          <w:bCs/>
          <w:sz w:val="24"/>
          <w:lang w:val="en-US" w:eastAsia="zh-CN" w:bidi="ar-SA"/>
        </w:rPr>
        <w:t>其他重要事项的情况说明</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_Toc26843621 \h</w:instrText>
      </w:r>
      <w:r>
        <w:rPr>
          <w:rFonts w:ascii="Times New Roman" w:cs="Times New Roman" w:hAnsi="Times New Roman"/>
          <w:sz w:val="24"/>
        </w:rPr>
        <w:fldChar w:fldCharType="separate"/>
      </w:r>
      <w:r>
        <w:rPr>
          <w:rFonts w:ascii="Times New Roman" w:cs="Times New Roman" w:hAnsi="Times New Roman"/>
          <w:sz w:val="24"/>
        </w:rPr>
        <w:t>16</w:t>
      </w:r>
      <w:r>
        <w:rPr>
          <w:rFonts w:ascii="Times New Roman" w:cs="Times New Roman" w:hAnsi="Times New Roman"/>
          <w:sz w:val="24"/>
        </w:rPr>
        <w:fldChar w:fldCharType="end"/>
      </w:r>
      <w:r>
        <w:rPr>
          <w:rFonts w:ascii="Times New Roman" w:cs="Times New Roman" w:hAnsi="Times New Roman"/>
          <w:sz w:val="24"/>
        </w:rPr>
        <w:fldChar w:fldCharType="end"/>
      </w:r>
    </w:p>
    <w:p>
      <w:pPr>
        <w:pStyle w:val="20"/>
        <w:tabs>
          <w:tab w:val="right" w:leader="dot" w:pos="8296"/>
        </w:tabs>
        <w:adjustRightInd w:val="0"/>
        <w:snapToGrid w:val="0"/>
        <w:spacing w:before="0"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"_Toc26843622"</w:instrText>
      </w:r>
      <w:r>
        <w:rPr>
          <w:rFonts w:ascii="Times New Roman" w:cs="Times New Roman" w:hAnsi="Times New Roman"/>
          <w:sz w:val="24"/>
        </w:rPr>
        <w:fldChar w:fldCharType="separate"/>
      </w:r>
      <w:r>
        <w:rPr>
          <w:rFonts w:ascii="Times New Roman" w:eastAsia="仿宋" w:cs="Times New Roman" w:hAnsi="Times New Roman"/>
          <w:bCs/>
          <w:sz w:val="24"/>
          <w:szCs w:val="28"/>
          <w:lang w:val="en-US" w:eastAsia="zh-CN" w:bidi="ar-SA"/>
        </w:rPr>
        <w:t>第三部分</w:t>
      </w:r>
      <w:r>
        <w:rPr>
          <w:rFonts w:ascii="Times New Roman" w:cs="Times New Roman" w:hAnsi="Times New Roman"/>
          <w:sz w:val="24"/>
        </w:rPr>
        <w:t xml:space="preserve">  名</w:t>
      </w:r>
      <w:r>
        <w:rPr>
          <w:rFonts w:ascii="Times New Roman" w:eastAsia="仿宋" w:cs="Times New Roman" w:hAnsi="Times New Roman"/>
          <w:bCs/>
          <w:sz w:val="24"/>
          <w:szCs w:val="28"/>
          <w:lang w:val="en-US" w:eastAsia="zh-CN" w:bidi="ar-SA"/>
        </w:rPr>
        <w:t>词解释</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_Toc26843622 \h</w:instrText>
      </w:r>
      <w:r>
        <w:rPr>
          <w:rFonts w:ascii="Times New Roman" w:cs="Times New Roman" w:hAnsi="Times New Roman"/>
          <w:sz w:val="24"/>
        </w:rPr>
        <w:fldChar w:fldCharType="separate"/>
      </w:r>
      <w:r>
        <w:rPr>
          <w:rFonts w:ascii="Times New Roman" w:cs="Times New Roman" w:hAnsi="Times New Roman"/>
          <w:sz w:val="24"/>
        </w:rPr>
        <w:t>18</w:t>
      </w:r>
      <w:r>
        <w:rPr>
          <w:rFonts w:ascii="Times New Roman" w:cs="Times New Roman" w:hAnsi="Times New Roman"/>
          <w:sz w:val="24"/>
        </w:rPr>
        <w:fldChar w:fldCharType="end"/>
      </w:r>
      <w:r>
        <w:rPr>
          <w:rFonts w:ascii="Times New Roman" w:cs="Times New Roman" w:hAnsi="Times New Roman"/>
          <w:sz w:val="24"/>
        </w:rPr>
        <w:fldChar w:fldCharType="end"/>
      </w:r>
    </w:p>
    <w:p>
      <w:pPr>
        <w:pStyle w:val="20"/>
        <w:tabs>
          <w:tab w:val="right" w:leader="dot" w:pos="8296"/>
        </w:tabs>
        <w:adjustRightInd w:val="0"/>
        <w:snapToGrid w:val="0"/>
        <w:spacing w:before="0"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"_Toc26843623"</w:instrText>
      </w:r>
      <w:r>
        <w:rPr>
          <w:rFonts w:ascii="Times New Roman" w:cs="Times New Roman" w:hAnsi="Times New Roman"/>
          <w:sz w:val="24"/>
        </w:rPr>
        <w:fldChar w:fldCharType="separate"/>
      </w:r>
      <w:r>
        <w:rPr>
          <w:rFonts w:ascii="Times New Roman" w:cs="Times New Roman" w:hAnsi="Times New Roman"/>
          <w:sz w:val="24"/>
        </w:rPr>
        <w:t>第</w:t>
      </w:r>
      <w:r>
        <w:rPr>
          <w:rFonts w:ascii="Times New Roman" w:eastAsia="仿宋" w:cs="Times New Roman" w:hAnsi="Times New Roman"/>
          <w:bCs/>
          <w:sz w:val="24"/>
          <w:szCs w:val="28"/>
          <w:lang w:val="en-US" w:eastAsia="zh-CN" w:bidi="ar-SA"/>
        </w:rPr>
        <w:t>四部分 附件</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_Toc26843623 \h</w:instrText>
      </w:r>
      <w:r>
        <w:rPr>
          <w:rFonts w:ascii="Times New Roman" w:cs="Times New Roman" w:hAnsi="Times New Roman"/>
          <w:sz w:val="24"/>
        </w:rPr>
        <w:fldChar w:fldCharType="separate"/>
      </w:r>
      <w:r>
        <w:rPr>
          <w:rFonts w:ascii="Times New Roman" w:cs="Times New Roman" w:hAnsi="Times New Roman"/>
          <w:sz w:val="24"/>
        </w:rPr>
        <w:t>20</w:t>
      </w:r>
      <w:r>
        <w:rPr>
          <w:rFonts w:ascii="Times New Roman" w:cs="Times New Roman" w:hAnsi="Times New Roman"/>
          <w:sz w:val="24"/>
        </w:rPr>
        <w:fldChar w:fldCharType="end"/>
      </w:r>
      <w:r>
        <w:rPr>
          <w:rFonts w:ascii="Times New Roman" w:cs="Times New Roman" w:hAnsi="Times New Roman"/>
          <w:sz w:val="24"/>
        </w:rPr>
        <w:fldChar w:fldCharType="end"/>
      </w:r>
    </w:p>
    <w:p>
      <w:pPr>
        <w:pStyle w:val="20"/>
        <w:tabs>
          <w:tab w:val="right" w:leader="dot" w:pos="8296"/>
        </w:tabs>
        <w:adjustRightInd w:val="0"/>
        <w:snapToGrid w:val="0"/>
        <w:spacing w:before="0"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"_Toc26843625"</w:instrText>
      </w:r>
      <w:r>
        <w:rPr>
          <w:rFonts w:ascii="Times New Roman" w:cs="Times New Roman" w:hAnsi="Times New Roman"/>
          <w:sz w:val="24"/>
        </w:rPr>
        <w:fldChar w:fldCharType="separate"/>
      </w:r>
      <w:r>
        <w:rPr>
          <w:rFonts w:ascii="Times New Roman" w:cs="Times New Roman" w:hAnsi="Times New Roman"/>
          <w:sz w:val="24"/>
        </w:rPr>
        <w:t>第</w:t>
      </w:r>
      <w:r>
        <w:rPr>
          <w:rFonts w:ascii="Times New Roman" w:eastAsia="仿宋" w:cs="Times New Roman" w:hAnsi="Times New Roman"/>
          <w:bCs/>
          <w:sz w:val="24"/>
          <w:szCs w:val="28"/>
          <w:lang w:val="en-US" w:eastAsia="zh-CN" w:bidi="ar-SA"/>
        </w:rPr>
        <w:t>五部分 附表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_Toc26843625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"_Toc26843626"</w:instrText>
      </w:r>
      <w:r>
        <w:rPr>
          <w:rFonts w:ascii="Times New Roman" w:cs="Times New Roman" w:hAnsi="Times New Roman"/>
          <w:sz w:val="24"/>
        </w:rPr>
        <w:fldChar w:fldCharType="separate"/>
      </w:r>
      <w:r>
        <w:rPr>
          <w:rFonts w:ascii="Times New Roman" w:cs="Times New Roman" w:hAnsi="Times New Roman"/>
          <w:sz w:val="24"/>
        </w:rPr>
        <w:t>一、收</w:t>
      </w:r>
      <w:r>
        <w:rPr>
          <w:rFonts w:ascii="Times New Roman" w:cs="Times New Roman" w:hAnsi="Times New Roman"/>
          <w:bCs/>
          <w:sz w:val="24"/>
          <w:lang w:val="en-US" w:eastAsia="zh-CN" w:bidi="ar-SA"/>
        </w:rPr>
        <w:t>入支出决算总表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_Toc26843626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"_Toc26843627"</w:instrText>
      </w:r>
      <w:r>
        <w:rPr>
          <w:rFonts w:ascii="Times New Roman" w:cs="Times New Roman" w:hAnsi="Times New Roman"/>
          <w:sz w:val="24"/>
        </w:rPr>
        <w:fldChar w:fldCharType="separate"/>
      </w:r>
      <w:r>
        <w:rPr>
          <w:rFonts w:ascii="Times New Roman" w:cs="Times New Roman" w:hAnsi="Times New Roman"/>
          <w:sz w:val="24"/>
        </w:rPr>
        <w:t>二、收</w:t>
      </w:r>
      <w:r>
        <w:rPr>
          <w:rFonts w:ascii="Times New Roman" w:cs="Times New Roman" w:hAnsi="Times New Roman"/>
          <w:bCs/>
          <w:sz w:val="24"/>
          <w:lang w:val="en-US" w:eastAsia="zh-CN" w:bidi="ar-SA"/>
        </w:rPr>
        <w:t>入决算表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_Toc26843627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"_Toc26843628"</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三、</w:t>
      </w:r>
      <w:r>
        <w:rPr>
          <w:rFonts w:ascii="Times New Roman" w:cs="Times New Roman" w:hAnsi="Times New Roman"/>
          <w:sz w:val="24"/>
        </w:rPr>
        <w:t>支</w:t>
      </w:r>
      <w:r>
        <w:rPr>
          <w:rFonts w:ascii="Times New Roman" w:cs="Times New Roman" w:hAnsi="Times New Roman"/>
          <w:bCs/>
          <w:sz w:val="24"/>
          <w:lang w:val="en-US" w:eastAsia="zh-CN" w:bidi="ar-SA"/>
        </w:rPr>
        <w:t>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_Toc26843628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"_Toc26843629"</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四、</w:t>
      </w:r>
      <w:r>
        <w:rPr>
          <w:rFonts w:ascii="Times New Roman" w:cs="Times New Roman" w:hAnsi="Times New Roman"/>
          <w:sz w:val="24"/>
        </w:rPr>
        <w:t>财</w:t>
      </w:r>
      <w:r>
        <w:rPr>
          <w:rFonts w:ascii="Times New Roman" w:cs="Times New Roman" w:hAnsi="Times New Roman"/>
          <w:bCs/>
          <w:sz w:val="24"/>
          <w:lang w:val="en-US" w:eastAsia="zh-CN" w:bidi="ar-SA"/>
        </w:rPr>
        <w:t>政拨款收入支出决算总表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_Toc26843629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"_Toc26843630"</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五、</w:t>
      </w:r>
      <w:r>
        <w:rPr>
          <w:rFonts w:ascii="Times New Roman" w:cs="Times New Roman" w:hAnsi="Times New Roman"/>
          <w:sz w:val="24"/>
        </w:rPr>
        <w:t>财</w:t>
      </w:r>
      <w:r>
        <w:rPr>
          <w:rFonts w:ascii="Times New Roman" w:cs="Times New Roman" w:hAnsi="Times New Roman"/>
          <w:bCs/>
          <w:sz w:val="24"/>
          <w:lang w:val="en-US" w:eastAsia="zh-CN" w:bidi="ar-SA"/>
        </w:rPr>
        <w:t>政拨款支出决算明细表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_Toc26843630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"_Toc26843631"</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六、</w:t>
      </w:r>
      <w:r>
        <w:rPr>
          <w:rFonts w:ascii="Times New Roman" w:cs="Times New Roman" w:hAnsi="Times New Roman"/>
          <w:sz w:val="24"/>
        </w:rPr>
        <w:t>一</w:t>
      </w:r>
      <w:r>
        <w:rPr>
          <w:rFonts w:ascii="Times New Roman" w:cs="Times New Roman" w:hAnsi="Times New Roman"/>
          <w:bCs/>
          <w:sz w:val="24"/>
          <w:lang w:val="en-US" w:eastAsia="zh-CN" w:bidi="ar-SA"/>
        </w:rPr>
        <w:t>般公共预算财政拨款支出决算表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_Toc26843631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"_Toc26843632"</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七、</w:t>
      </w:r>
      <w:r>
        <w:rPr>
          <w:rFonts w:ascii="Times New Roman" w:cs="Times New Roman" w:hAnsi="Times New Roman"/>
          <w:sz w:val="24"/>
        </w:rPr>
        <w:t>一</w:t>
      </w:r>
      <w:r>
        <w:rPr>
          <w:rFonts w:ascii="Times New Roman" w:cs="Times New Roman" w:hAnsi="Times New Roman"/>
          <w:bCs/>
          <w:sz w:val="24"/>
          <w:lang w:val="en-US" w:eastAsia="zh-CN" w:bidi="ar-SA"/>
        </w:rPr>
        <w:t>般公共预算财政拨款支出决算明细表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_Toc26843632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"_Toc26843633"</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八、</w:t>
      </w:r>
      <w:r>
        <w:rPr>
          <w:rFonts w:ascii="Times New Roman" w:cs="Times New Roman" w:hAnsi="Times New Roman"/>
          <w:sz w:val="24"/>
        </w:rPr>
        <w:t>一</w:t>
      </w:r>
      <w:r>
        <w:rPr>
          <w:rFonts w:ascii="Times New Roman" w:cs="Times New Roman" w:hAnsi="Times New Roman"/>
          <w:bCs/>
          <w:sz w:val="24"/>
          <w:lang w:val="en-US" w:eastAsia="zh-CN" w:bidi="ar-SA"/>
        </w:rPr>
        <w:t>般公共预算财政拨款基本支出决算表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_Toc26843633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"_Toc26843634"</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九、</w:t>
      </w:r>
      <w:r>
        <w:rPr>
          <w:rFonts w:ascii="Times New Roman" w:cs="Times New Roman" w:hAnsi="Times New Roman"/>
          <w:sz w:val="24"/>
        </w:rPr>
        <w:t>一</w:t>
      </w:r>
      <w:r>
        <w:rPr>
          <w:rFonts w:ascii="Times New Roman" w:cs="Times New Roman" w:hAnsi="Times New Roman"/>
          <w:bCs/>
          <w:sz w:val="24"/>
          <w:lang w:val="en-US" w:eastAsia="zh-CN" w:bidi="ar-SA"/>
        </w:rPr>
        <w:t>般公共预算财政拨款项目支出决算表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_Toc26843634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"_Toc26843635"</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十、</w:t>
      </w:r>
      <w:r>
        <w:rPr>
          <w:rFonts w:ascii="Times New Roman" w:cs="Times New Roman" w:hAnsi="Times New Roman"/>
          <w:sz w:val="24"/>
        </w:rPr>
        <w:t>一</w:t>
      </w:r>
      <w:r>
        <w:rPr>
          <w:rFonts w:ascii="Times New Roman" w:cs="Times New Roman" w:hAnsi="Times New Roman"/>
          <w:bCs/>
          <w:sz w:val="24"/>
          <w:lang w:val="en-US" w:eastAsia="zh-CN" w:bidi="ar-SA"/>
        </w:rPr>
        <w:t>般公共预算财政拨款“三公”经费支出决算表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_Toc26843635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"_Toc26843636"</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十一、</w:t>
      </w:r>
      <w:r>
        <w:rPr>
          <w:rFonts w:ascii="Times New Roman" w:cs="Times New Roman" w:hAnsi="Times New Roman"/>
          <w:sz w:val="24"/>
        </w:rPr>
        <w:t>政</w:t>
      </w:r>
      <w:r>
        <w:rPr>
          <w:rFonts w:ascii="Times New Roman" w:cs="Times New Roman" w:hAnsi="Times New Roman"/>
          <w:bCs/>
          <w:sz w:val="24"/>
          <w:lang w:val="en-US" w:eastAsia="zh-CN" w:bidi="ar-SA"/>
        </w:rPr>
        <w:t>府性基金预算财政拨款收入支出决算表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_Toc26843636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"_Toc26843637"</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十二、</w:t>
      </w:r>
      <w:r>
        <w:rPr>
          <w:rFonts w:ascii="Times New Roman" w:cs="Times New Roman" w:hAnsi="Times New Roman"/>
          <w:sz w:val="24"/>
        </w:rPr>
        <w:t>政</w:t>
      </w:r>
      <w:r>
        <w:rPr>
          <w:rFonts w:ascii="Times New Roman" w:cs="Times New Roman" w:hAnsi="Times New Roman"/>
          <w:bCs/>
          <w:sz w:val="24"/>
          <w:lang w:val="en-US" w:eastAsia="zh-CN" w:bidi="ar-SA"/>
        </w:rPr>
        <w:t>府性基金预算财政拨款“三公”经费支出决算表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_Toc26843637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Hyperlink \l "_Toc26843638"</w:instrText>
      </w:r>
      <w:r>
        <w:rPr>
          <w:rFonts w:ascii="Times New Roman" w:cs="Times New Roman" w:hAnsi="Times New Roman"/>
          <w:sz w:val="24"/>
        </w:rPr>
        <w:fldChar w:fldCharType="separate"/>
      </w:r>
      <w:r>
        <w:rPr>
          <w:rFonts w:ascii="Times New Roman" w:cs="Times New Roman" w:hAnsi="Times New Roman"/>
          <w:bCs/>
          <w:sz w:val="24"/>
          <w:lang w:val="en-US" w:eastAsia="zh-CN" w:bidi="ar-SA"/>
        </w:rPr>
        <w:t>十三、</w:t>
      </w:r>
      <w:r>
        <w:rPr>
          <w:rFonts w:ascii="Times New Roman" w:cs="Times New Roman" w:hAnsi="Times New Roman"/>
          <w:sz w:val="24"/>
        </w:rPr>
        <w:t>国</w:t>
      </w:r>
      <w:r>
        <w:rPr>
          <w:rFonts w:ascii="Times New Roman" w:cs="Times New Roman" w:hAnsi="Times New Roman"/>
          <w:bCs/>
          <w:sz w:val="24"/>
          <w:lang w:val="en-US" w:eastAsia="zh-CN" w:bidi="ar-SA"/>
        </w:rPr>
        <w:t>有资本经营预算财政拨款收入支出决算表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_Toc26843638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p>
    <w:p>
      <w:pPr>
        <w:pStyle w:val="21"/>
        <w:tabs>
          <w:tab w:val="right" w:leader="dot" w:pos="8296"/>
        </w:tabs>
        <w:adjustRightInd w:val="0"/>
        <w:snapToGrid w:val="0"/>
        <w:spacing w:line="440" w:lineRule="exact"/>
        <w:jc w:val="left"/>
        <w:rPr>
          <w:rFonts w:ascii="Times New Roman" w:cs="Times New Roman" w:hAnsi="Times New Roman"/>
        </w:rPr>
      </w:pPr>
      <w:r>
        <w:rPr>
          <w:rFonts w:ascii="Times New Roman" w:cs="Times New Roman" w:hAnsi="Times New Roman"/>
          <w:sz w:val="24"/>
        </w:rPr>
        <w:fldChar w:fldCharType="begin"/>
      </w:r>
      <w:r>
        <w:rPr>
          <w:rFonts w:ascii="Times New Roman" w:cs="Times New Roman" w:hAnsi="Times New Roman"/>
          <w:sz w:val="24"/>
        </w:rPr>
        <w:instrText>Hyperlink \l "_Toc26843639"</w:instrText>
      </w:r>
      <w:r>
        <w:rPr>
          <w:rFonts w:ascii="Times New Roman" w:cs="Times New Roman" w:hAnsi="Times New Roman"/>
          <w:sz w:val="24"/>
        </w:rPr>
        <w:fldChar w:fldCharType="separate"/>
      </w:r>
      <w:r>
        <w:rPr>
          <w:rFonts w:ascii="Times New Roman" w:cs="Times New Roman" w:hAnsi="Times New Roman"/>
          <w:sz w:val="24"/>
          <w:lang w:val="en-US" w:eastAsia="zh-CN" w:bidi="ar-SA"/>
        </w:rPr>
        <w:t>十四、国有资本经营预算财政拨款支出决算表</w:t>
      </w:r>
      <w:r>
        <w:rPr>
          <w:rFonts w:ascii="Times New Roman" w:cs="Times New Roman" w:hAnsi="Times New Roman"/>
          <w:sz w:val="24"/>
        </w:rPr>
        <w:tab/>
      </w:r>
      <w:r>
        <w:rPr>
          <w:rFonts w:ascii="Times New Roman" w:cs="Times New Roman" w:hAnsi="Times New Roman"/>
          <w:sz w:val="24"/>
        </w:rPr>
        <w:fldChar w:fldCharType="begin"/>
      </w:r>
      <w:r>
        <w:rPr>
          <w:rFonts w:ascii="Times New Roman" w:cs="Times New Roman" w:hAnsi="Times New Roman"/>
          <w:sz w:val="24"/>
        </w:rPr>
        <w:instrText>PageRef _Toc26843639 \h</w:instrText>
      </w:r>
      <w:r>
        <w:rPr>
          <w:rFonts w:ascii="Times New Roman" w:cs="Times New Roman" w:hAnsi="Times New Roman"/>
          <w:sz w:val="24"/>
        </w:rPr>
        <w:fldChar w:fldCharType="separate"/>
      </w:r>
      <w:r>
        <w:rPr>
          <w:rFonts w:ascii="Times New Roman" w:cs="Times New Roman" w:hAnsi="Times New Roman"/>
          <w:sz w:val="24"/>
        </w:rPr>
        <w:t>32</w:t>
      </w:r>
      <w:r>
        <w:rPr>
          <w:rFonts w:ascii="Times New Roman" w:cs="Times New Roman" w:hAnsi="Times New Roman"/>
          <w:sz w:val="24"/>
        </w:rPr>
        <w:fldChar w:fldCharType="end"/>
      </w:r>
      <w:r>
        <w:rPr>
          <w:rFonts w:ascii="Times New Roman" w:cs="Times New Roman" w:hAnsi="Times New Roman"/>
          <w:sz w:val="24"/>
        </w:rPr>
        <w:fldChar w:fldCharType="end"/>
      </w:r>
      <w:r>
        <w:rPr>
          <w:rFonts w:ascii="Times New Roman" w:cs="Times New Roman" w:hAnsi="Times New Roman"/>
        </w:rPr>
        <w:fldChar w:fldCharType="end"/>
      </w:r>
    </w:p>
    <w:p>
      <w:pPr>
        <w:widowControl/>
        <w:spacing w:line="440" w:lineRule="exact"/>
        <w:jc w:val="left"/>
        <w:rPr>
          <w:rFonts w:ascii="Times New Roman" w:eastAsia="仿宋" w:cs="Times New Roman" w:hAnsi="Times New Roman"/>
          <w:bCs/>
          <w:kern w:val="44"/>
          <w:sz w:val="24"/>
        </w:rPr>
      </w:pPr>
      <w:bookmarkStart w:id="15" w:name="_Toc15396599"/>
      <w:bookmarkStart w:id="16" w:name="_Toc15377196"/>
      <w:r>
        <w:rPr>
          <w:rFonts w:ascii="Times New Roman" w:eastAsia="仿宋" w:cs="Times New Roman" w:hAnsi="Times New Roman"/>
          <w:b/>
          <w:sz w:val="24"/>
        </w:rPr>
        <w:br w:type="page"/>
      </w:r>
    </w:p>
    <w:p>
      <w:pPr>
        <w:pStyle w:val="1"/>
        <w:keepNext/>
        <w:keepLines/>
        <w:pageBreakBefore w:val="0"/>
        <w:widowControl w:val="0"/>
        <w:kinsoku/>
        <w:wordWrap/>
        <w:overflowPunct/>
        <w:topLinePunct w:val="0"/>
        <w:bidi w:val="0"/>
        <w:spacing w:line="576" w:lineRule="exact"/>
        <w:jc w:val="center"/>
        <w:rPr>
          <w:rStyle w:val="1Char"/>
          <w:rFonts w:ascii="Times New Roman" w:eastAsia="黑体" w:cs="Times New Roman" w:hAnsi="Times New Roman"/>
          <w:b/>
          <w:bCs w:val="0"/>
        </w:rPr>
      </w:pPr>
      <w:bookmarkStart w:id="17" w:name="_Toc26843604"/>
      <w:r>
        <w:rPr>
          <w:rFonts w:ascii="Times New Roman" w:eastAsia="黑体" w:cs="Times New Roman" w:hAnsi="Times New Roman"/>
          <w:b w:val="0"/>
        </w:rPr>
        <w:t xml:space="preserve">第一部分 </w:t>
      </w:r>
      <w:r>
        <w:rPr>
          <w:rFonts w:ascii="Times New Roman" w:eastAsia="黑体" w:cs="Times New Roman" w:hAnsi="Times New Roman"/>
          <w:b w:val="0"/>
          <w:kern w:val="44"/>
          <w:sz w:val="44"/>
          <w:szCs w:val="44"/>
        </w:rPr>
        <w:t>部门概况</w:t>
      </w:r>
      <w:bookmarkEnd w:id="15"/>
      <w:bookmarkEnd w:id="16"/>
      <w:bookmarkEnd w:id="17"/>
    </w:p>
    <w:p>
      <w:pPr>
        <w:pageBreakBefore w:val="0"/>
        <w:widowControl/>
        <w:kinsoku/>
        <w:wordWrap/>
        <w:overflowPunct/>
        <w:topLinePunct w:val="0"/>
        <w:bidi w:val="0"/>
        <w:spacing w:line="576" w:lineRule="exact"/>
        <w:jc w:val="left"/>
        <w:rPr>
          <w:rFonts w:ascii="Times New Roman" w:eastAsia="黑体" w:cs="Times New Roman" w:hAnsi="Times New Roman"/>
          <w:sz w:val="32"/>
          <w:szCs w:val="32"/>
        </w:rPr>
      </w:pPr>
    </w:p>
    <w:p>
      <w:pPr>
        <w:pStyle w:val="2"/>
        <w:keepNext/>
        <w:keepLines/>
        <w:pageBreakBefore w:val="0"/>
        <w:widowControl w:val="0"/>
        <w:kinsoku/>
        <w:wordWrap/>
        <w:overflowPunct/>
        <w:topLinePunct w:val="0"/>
        <w:bidi w:val="0"/>
        <w:spacing w:after="0" w:line="576" w:lineRule="exact"/>
        <w:rPr>
          <w:rStyle w:val="2Char"/>
          <w:rFonts w:ascii="Times New Roman" w:eastAsia="黑体" w:cs="Times New Roman" w:hAnsi="Times New Roman"/>
          <w:b w:val="0"/>
          <w:bCs w:val="0"/>
        </w:rPr>
      </w:pPr>
      <w:bookmarkStart w:id="18" w:name="_Toc15396600"/>
      <w:bookmarkStart w:id="19" w:name="_Toc26843605"/>
      <w:bookmarkStart w:id="20" w:name="_Toc15377197"/>
      <w:r>
        <w:rPr>
          <w:rStyle w:val="2Char"/>
          <w:rFonts w:ascii="Times New Roman" w:eastAsia="黑体" w:cs="Times New Roman" w:hAnsi="Times New Roman"/>
          <w:b w:val="0"/>
          <w:bCs w:val="0"/>
        </w:rPr>
        <w:t>一、基本职能及主要工作</w:t>
      </w:r>
      <w:bookmarkEnd w:id="18"/>
      <w:bookmarkEnd w:id="19"/>
      <w:bookmarkEnd w:id="20"/>
    </w:p>
    <w:p>
      <w:pPr>
        <w:pStyle w:val="17"/>
        <w:pageBreakBefore w:val="0"/>
        <w:widowControl w:val="0"/>
        <w:kinsoku/>
        <w:wordWrap/>
        <w:overflowPunct/>
        <w:topLinePunct w:val="0"/>
        <w:bidi w:val="0"/>
        <w:adjustRightInd w:val="0"/>
        <w:snapToGrid w:val="0"/>
        <w:spacing w:before="93" w:line="576" w:lineRule="exact"/>
        <w:ind w:left="0" w:firstLineChars="208" w:firstLine="666"/>
        <w:outlineLvl w:val="2"/>
        <w:rPr>
          <w:rFonts w:ascii="Times New Roman" w:eastAsia="楷体" w:cs="Times New Roman" w:hAnsi="Times New Roman"/>
          <w:b/>
          <w:color w:val="000000"/>
          <w:kern w:val="0"/>
          <w:sz w:val="32"/>
          <w:szCs w:val="32"/>
          <w:shd w:val="clear" w:color="auto" w:fill="auto"/>
        </w:rPr>
      </w:pPr>
      <w:bookmarkStart w:id="21" w:name="_Toc15377198"/>
      <w:bookmarkStart w:id="22" w:name="_Toc15378445"/>
      <w:r>
        <w:rPr>
          <w:rFonts w:ascii="Times New Roman" w:eastAsia="楷体" w:cs="Times New Roman" w:hAnsi="Times New Roman"/>
          <w:b/>
          <w:color w:val="000000"/>
          <w:kern w:val="0"/>
          <w:sz w:val="32"/>
          <w:szCs w:val="32"/>
          <w:shd w:val="clear" w:color="auto" w:fill="auto"/>
        </w:rPr>
        <w:t>（一）主要职能。</w:t>
      </w:r>
      <w:bookmarkEnd w:id="21"/>
      <w:bookmarkEnd w:id="22"/>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lang w:val="en-US" w:eastAsia="zh-CN"/>
        </w:rPr>
      </w:pPr>
      <w:bookmarkStart w:id="23" w:name="_Toc15378446"/>
      <w:bookmarkStart w:id="24" w:name="_Toc15377199"/>
      <w:r>
        <w:rPr>
          <w:rFonts w:ascii="Times New Roman" w:eastAsia="仿宋_GB2312" w:cs="Times New Roman" w:hAnsi="Times New Roman"/>
          <w:sz w:val="32"/>
          <w:szCs w:val="32"/>
        </w:rPr>
        <w:t>一是负责中央、省委、州委重要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省委藏区办工作的对接和办理。九是负责贯彻执行《中华人民共和国档案法》等相关法律法规；负责制定全州档案事业发展规划和年度计划组织实施；负责全州档案工作的统筹规划和宏观管理，依法对全州档案工作进行监督检查并查处违法行为。十是负责并协调州委办公室办公区、生活区的社会治安综合治理和安全防范。十一是负责州级专用通信网络的建设；负责州级专用通信网络的运行维护，服务保障；负责州级专用通信网络的密码设备管理。十二是负责整理保管州委所有收到及发出的涉密文件，并及时归档保管。十三是承办州委交办的其他任务。</w:t>
      </w:r>
    </w:p>
    <w:p>
      <w:pPr>
        <w:pStyle w:val="17"/>
        <w:pageBreakBefore w:val="0"/>
        <w:widowControl w:val="0"/>
        <w:kinsoku/>
        <w:wordWrap/>
        <w:overflowPunct/>
        <w:topLinePunct w:val="0"/>
        <w:bidi w:val="0"/>
        <w:adjustRightInd w:val="0"/>
        <w:snapToGrid w:val="0"/>
        <w:spacing w:before="93" w:line="576" w:lineRule="exact"/>
        <w:ind w:left="0" w:firstLineChars="208" w:firstLine="666"/>
        <w:outlineLvl w:val="2"/>
        <w:rPr>
          <w:rFonts w:ascii="Times New Roman" w:eastAsia="方正楷体_GBK" w:cs="Times New Roman" w:hAnsi="Times New Roman"/>
          <w:b/>
          <w:bCs/>
          <w:color w:val="000000"/>
          <w:kern w:val="0"/>
          <w:sz w:val="32"/>
          <w:szCs w:val="32"/>
          <w:shd w:val="clear" w:color="auto" w:fill="auto"/>
        </w:rPr>
      </w:pPr>
      <w:r>
        <w:rPr>
          <w:rFonts w:ascii="Times New Roman" w:eastAsia="方正楷体_GBK" w:cs="Times New Roman" w:hAnsi="Times New Roman"/>
          <w:b/>
          <w:bCs/>
          <w:color w:val="000000"/>
          <w:kern w:val="0"/>
          <w:sz w:val="32"/>
          <w:szCs w:val="32"/>
          <w:shd w:val="clear" w:color="auto" w:fill="auto"/>
        </w:rPr>
        <w:t>（二）2021年重点工作完成情况。</w:t>
      </w:r>
      <w:bookmarkEnd w:id="23"/>
      <w:bookmarkEnd w:id="24"/>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lang w:val="en-US" w:eastAsia="zh-CN"/>
        </w:rPr>
      </w:pPr>
      <w:r>
        <w:rPr>
          <w:rFonts w:ascii="Times New Roman" w:eastAsia="仿宋_GB2312" w:cs="Times New Roman" w:hAnsi="Times New Roman"/>
          <w:sz w:val="32"/>
          <w:szCs w:val="32"/>
          <w:lang w:val="en-US" w:eastAsia="zh-CN"/>
        </w:rPr>
        <w:t>2021年，在州委坚强领导和省委办公厅悉心指导下，州委办公室坚持以习近平新时代中国特色社会主义思想为指导，深入贯彻习近平总书记“五个坚持”、省委彭清华书记“六个机关”、州委刘坪书记“七个争当示范、走在前列”要求，努力提高“政治三力”，切实发扬“三牛精神”，紧紧围绕州委工作全局，承关怀而奋起、化重托为力量，以更高的标准找位置、定目标，以更严的要求争先进、创一流，努力打造政治上、工作上、作风上、廉洁上全面过硬的模范机关。</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b/>
          <w:bCs/>
          <w:sz w:val="32"/>
          <w:szCs w:val="32"/>
          <w:lang w:val="en-US" w:eastAsia="zh-CN"/>
        </w:rPr>
        <w:t>围绕中心，提升参谋辅政能力。</w:t>
      </w:r>
      <w:r>
        <w:rPr>
          <w:rFonts w:ascii="Times New Roman" w:eastAsia="仿宋_GB2312" w:cs="Times New Roman" w:hAnsi="Times New Roman"/>
          <w:sz w:val="32"/>
          <w:szCs w:val="32"/>
          <w:lang w:val="en-US" w:eastAsia="zh-CN"/>
        </w:rPr>
        <w:t>抓住重大事项落实、重要会议部署、专题工作汇报等关键，高质量起草国家、省领导的工作汇报，州委主要领导在疫情防控、生态文明建设、防汛减灾、维护稳定、意识形态、旅游发展等重要会议上的讲话等各类文稿，有效发挥以文辅政作用。</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b/>
          <w:bCs/>
          <w:sz w:val="32"/>
          <w:szCs w:val="32"/>
          <w:lang w:val="en-US" w:eastAsia="zh-CN"/>
        </w:rPr>
        <w:t>服务大局，提升督促检查质效。</w:t>
      </w:r>
      <w:r>
        <w:rPr>
          <w:rFonts w:ascii="Times New Roman" w:eastAsia="仿宋_GB2312" w:cs="Times New Roman" w:hAnsi="Times New Roman"/>
          <w:sz w:val="32"/>
          <w:szCs w:val="32"/>
          <w:lang w:val="en-US" w:eastAsia="zh-CN"/>
        </w:rPr>
        <w:t>建立《习近平总书记重要指示批示贯彻落实台账》，重点督办重点生态保护、生态环境领域等，开展实地核查。实行“一月一交办、一月一督查”。精简压缩负面清单管理指标。建立计划审核、备案审查工作机制，核定全州综合性、全局性“督检考”计划事项。着力整治指尖上的形式主义。</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b/>
          <w:bCs/>
          <w:sz w:val="32"/>
          <w:szCs w:val="32"/>
          <w:lang w:val="en-US" w:eastAsia="zh-CN"/>
        </w:rPr>
        <w:t>突出重点，提升调查研究质量。</w:t>
      </w:r>
      <w:r>
        <w:rPr>
          <w:rFonts w:ascii="Times New Roman" w:eastAsia="仿宋_GB2312" w:cs="Times New Roman" w:hAnsi="Times New Roman"/>
          <w:sz w:val="32"/>
          <w:szCs w:val="32"/>
          <w:lang w:val="en-US" w:eastAsia="zh-CN"/>
        </w:rPr>
        <w:t>聚焦州之大事，深入基层一线、问题一线、矛盾一线，扎扎实实勤调研、摸实情。按照“门类清晰、详略有当”原则，详实收录各领域文稿文件并规整分类，形成专卷专档。扎实做好文字跟随服务，及时收集掌握省领导和州委主要领导的指示要求、关注重点以及基层反映的热点难点，形成系列工作建议并被州委吸纳转换为工作举措。</w:t>
      </w: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lang w:val="en-US" w:eastAsia="zh-CN"/>
        </w:rPr>
      </w:pPr>
      <w:r>
        <w:rPr>
          <w:rFonts w:ascii="Times New Roman" w:eastAsia="仿宋_GB2312" w:cs="Times New Roman" w:hAnsi="Times New Roman"/>
          <w:b/>
          <w:bCs/>
          <w:sz w:val="32"/>
          <w:szCs w:val="32"/>
          <w:lang w:val="en-US" w:eastAsia="zh-CN"/>
        </w:rPr>
        <w:t>创新举措，提升涉藏工作水平。</w:t>
      </w:r>
      <w:r>
        <w:rPr>
          <w:rFonts w:ascii="Times New Roman" w:eastAsia="仿宋_GB2312" w:cs="Times New Roman" w:hAnsi="Times New Roman"/>
          <w:sz w:val="32"/>
          <w:szCs w:val="32"/>
          <w:lang w:val="en-US" w:eastAsia="zh-CN"/>
        </w:rPr>
        <w:t>力促涉藏事务研究中心挂牌运行，机构人员充实完善，相关业务有序开展。建立情报信息、涉稳动态精准研判、核查落地、归口上报制度，完善维稳工作基础台账。</w:t>
      </w:r>
      <w:r>
        <w:rPr>
          <w:rFonts w:ascii="Times New Roman" w:eastAsia="仿宋" w:cs="Times New Roman" w:hAnsi="Times New Roman"/>
          <w:sz w:val="32"/>
          <w:szCs w:val="32"/>
          <w:lang w:val="en-US" w:eastAsia="zh-CN"/>
        </w:rPr>
        <w:t>　</w:t>
      </w:r>
    </w:p>
    <w:p>
      <w:pPr>
        <w:pStyle w:val="2"/>
        <w:keepNext/>
        <w:keepLines/>
        <w:pageBreakBefore w:val="0"/>
        <w:widowControl w:val="0"/>
        <w:kinsoku/>
        <w:wordWrap/>
        <w:overflowPunct/>
        <w:topLinePunct w:val="0"/>
        <w:bidi w:val="0"/>
        <w:spacing w:after="0" w:line="576" w:lineRule="exact"/>
        <w:rPr>
          <w:rStyle w:val="2Char"/>
          <w:rFonts w:ascii="Times New Roman" w:eastAsia="方正黑体_GBK" w:cs="Times New Roman" w:hAnsi="Times New Roman"/>
          <w:b w:val="0"/>
          <w:bCs w:val="0"/>
        </w:rPr>
      </w:pPr>
      <w:bookmarkStart w:id="25" w:name="_Toc79163855"/>
      <w:bookmarkStart w:id="26" w:name="_Toc79163605"/>
      <w:r>
        <w:rPr>
          <w:rFonts w:ascii="Times New Roman" w:eastAsia="黑体" w:cs="Times New Roman" w:hAnsi="Times New Roman"/>
          <w:b w:val="0"/>
          <w:color w:val="000000"/>
          <w:lang w:val="en-US" w:eastAsia="zh-CN"/>
        </w:rPr>
        <w:t xml:space="preserve">   </w:t>
      </w:r>
      <w:bookmarkStart w:id="27" w:name="_Toc26843606"/>
      <w:bookmarkStart w:id="28" w:name="_Toc15396601"/>
      <w:bookmarkStart w:id="29" w:name="_Toc15377200"/>
      <w:bookmarkEnd w:id="25"/>
      <w:bookmarkEnd w:id="26"/>
      <w:r>
        <w:rPr>
          <w:rStyle w:val="2Char"/>
          <w:rFonts w:ascii="Times New Roman" w:eastAsia="黑体" w:cs="Times New Roman" w:hAnsi="Times New Roman"/>
          <w:b w:val="0"/>
          <w:bCs w:val="0"/>
        </w:rPr>
        <w:t>二、机构设置</w:t>
      </w:r>
      <w:bookmarkEnd w:id="27"/>
      <w:bookmarkEnd w:id="28"/>
      <w:bookmarkEnd w:id="29"/>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中共阿坝州委办公室属一级预算单位，内设：常委办、信息办、督查室、总值班室、法规科、秘书一科、秘书二科、秘书三科、秘书四科、人事行财科、档案监督管理科等11个行政科室。下属二级单位3个，其中行政单位0个，参照公务员法管理的事业单位0个，其他事业单位3个。</w:t>
      </w:r>
    </w:p>
    <w:p>
      <w:pPr>
        <w:pageBreakBefore w:val="0"/>
        <w:widowControl w:val="0"/>
        <w:kinsoku/>
        <w:wordWrap/>
        <w:overflowPunct/>
        <w:topLinePunct w:val="0"/>
        <w:bidi w:val="0"/>
        <w:spacing w:line="576" w:lineRule="exact"/>
        <w:ind w:firstLineChars="200" w:firstLine="640"/>
        <w:rPr>
          <w:lang w:val="en-US" w:eastAsia="zh-CN"/>
        </w:rPr>
      </w:pPr>
      <w:r>
        <w:rPr>
          <w:rFonts w:ascii="Times New Roman" w:eastAsia="仿宋_GB2312" w:cs="Times New Roman" w:hAnsi="Times New Roman"/>
          <w:bCs/>
          <w:kern w:val="0"/>
          <w:sz w:val="32"/>
          <w:szCs w:val="32"/>
          <w:shd w:val="clear" w:color="auto" w:fill="FFFFFF"/>
          <w:lang w:val="zh-CN"/>
        </w:rPr>
        <w:t>州</w:t>
      </w:r>
      <w:r>
        <w:rPr>
          <w:rFonts w:ascii="Times New Roman" w:eastAsia="仿宋_GB2312" w:cs="Times New Roman" w:hAnsi="Times New Roman"/>
          <w:bCs/>
          <w:kern w:val="0"/>
          <w:sz w:val="32"/>
          <w:szCs w:val="32"/>
          <w:shd w:val="clear" w:color="auto" w:fill="FFFFFF"/>
          <w:lang w:val="zh-CN" w:eastAsia="zh-CN"/>
        </w:rPr>
        <w:t>委编办</w:t>
      </w:r>
      <w:r>
        <w:rPr>
          <w:rFonts w:ascii="Times New Roman" w:eastAsia="仿宋_GB2312" w:cs="Times New Roman" w:hAnsi="Times New Roman"/>
          <w:bCs/>
          <w:kern w:val="0"/>
          <w:sz w:val="32"/>
          <w:szCs w:val="32"/>
          <w:shd w:val="clear" w:color="auto" w:fill="FFFFFF"/>
          <w:lang w:val="zh-CN"/>
        </w:rPr>
        <w:t>核定我</w:t>
      </w:r>
      <w:r>
        <w:rPr>
          <w:rFonts w:ascii="Times New Roman" w:eastAsia="仿宋_GB2312" w:cs="Times New Roman" w:hAnsi="Times New Roman"/>
          <w:bCs/>
          <w:kern w:val="0"/>
          <w:sz w:val="32"/>
          <w:szCs w:val="32"/>
          <w:shd w:val="clear" w:color="auto" w:fill="FFFFFF"/>
          <w:lang w:val="zh-CN" w:eastAsia="zh-CN"/>
        </w:rPr>
        <w:t>办</w:t>
      </w:r>
      <w:r>
        <w:rPr>
          <w:rFonts w:ascii="Times New Roman" w:eastAsia="仿宋_GB2312" w:cs="Times New Roman" w:hAnsi="Times New Roman"/>
          <w:bCs/>
          <w:kern w:val="0"/>
          <w:sz w:val="32"/>
          <w:szCs w:val="32"/>
          <w:shd w:val="clear" w:color="auto" w:fill="FFFFFF"/>
          <w:lang w:val="zh-CN"/>
        </w:rPr>
        <w:t>人员编制</w:t>
      </w:r>
      <w:r>
        <w:rPr>
          <w:rFonts w:eastAsia="仿宋_GB2312" w:cs="Times New Roman" w:hint="eastAsia"/>
          <w:bCs/>
          <w:kern w:val="0"/>
          <w:sz w:val="32"/>
          <w:szCs w:val="32"/>
          <w:shd w:val="clear" w:color="auto" w:fill="FFFFFF"/>
          <w:lang w:val="en-US" w:eastAsia="zh-CN"/>
        </w:rPr>
        <w:t>84</w:t>
      </w:r>
      <w:r>
        <w:rPr>
          <w:rFonts w:ascii="Times New Roman" w:eastAsia="仿宋_GB2312" w:cs="Times New Roman" w:hAnsi="Times New Roman"/>
          <w:bCs/>
          <w:kern w:val="0"/>
          <w:sz w:val="32"/>
          <w:szCs w:val="32"/>
          <w:shd w:val="clear" w:color="auto" w:fill="FFFFFF"/>
          <w:lang w:val="zh-CN"/>
        </w:rPr>
        <w:t>名，其中：公务员编制</w:t>
      </w:r>
      <w:r>
        <w:rPr>
          <w:rFonts w:ascii="Times New Roman" w:eastAsia="仿宋_GB2312" w:cs="Times New Roman" w:hAnsi="Times New Roman"/>
          <w:bCs/>
          <w:kern w:val="0"/>
          <w:sz w:val="32"/>
          <w:szCs w:val="32"/>
          <w:shd w:val="clear" w:color="auto" w:fill="FFFFFF"/>
          <w:lang w:val="zh-CN" w:eastAsia="zh-CN"/>
        </w:rPr>
        <w:t>41</w:t>
      </w:r>
      <w:r>
        <w:rPr>
          <w:rFonts w:ascii="Times New Roman" w:eastAsia="仿宋_GB2312" w:cs="Times New Roman" w:hAnsi="Times New Roman"/>
          <w:bCs/>
          <w:kern w:val="0"/>
          <w:sz w:val="32"/>
          <w:szCs w:val="32"/>
          <w:shd w:val="clear" w:color="auto" w:fill="FFFFFF"/>
          <w:lang w:val="zh-CN"/>
        </w:rPr>
        <w:t>名，机关</w:t>
      </w:r>
      <w:bookmarkStart w:id="30" w:name="_GoBack"/>
      <w:bookmarkEnd w:id="30"/>
      <w:r>
        <w:rPr>
          <w:rFonts w:ascii="Times New Roman" w:eastAsia="仿宋_GB2312" w:cs="Times New Roman" w:hAnsi="Times New Roman"/>
          <w:bCs/>
          <w:kern w:val="0"/>
          <w:sz w:val="32"/>
          <w:szCs w:val="32"/>
          <w:shd w:val="clear" w:color="auto" w:fill="FFFFFF"/>
          <w:lang w:val="zh-CN"/>
        </w:rPr>
        <w:t>工勤编制2</w:t>
      </w:r>
      <w:r>
        <w:rPr>
          <w:rFonts w:ascii="Times New Roman" w:eastAsia="仿宋_GB2312" w:cs="Times New Roman" w:hAnsi="Times New Roman"/>
          <w:bCs/>
          <w:kern w:val="0"/>
          <w:sz w:val="32"/>
          <w:szCs w:val="32"/>
          <w:shd w:val="clear" w:color="auto" w:fill="FFFFFF"/>
          <w:lang w:val="zh-CN" w:eastAsia="zh-CN"/>
        </w:rPr>
        <w:t>6</w:t>
      </w:r>
      <w:r>
        <w:rPr>
          <w:rFonts w:ascii="Times New Roman" w:eastAsia="仿宋_GB2312" w:cs="Times New Roman" w:hAnsi="Times New Roman"/>
          <w:bCs/>
          <w:kern w:val="0"/>
          <w:sz w:val="32"/>
          <w:szCs w:val="32"/>
          <w:shd w:val="clear" w:color="auto" w:fill="FFFFFF"/>
          <w:lang w:val="zh-CN"/>
        </w:rPr>
        <w:t>名</w:t>
      </w:r>
      <w:r>
        <w:rPr>
          <w:rFonts w:ascii="Times New Roman" w:eastAsia="仿宋_GB2312" w:cs="Times New Roman" w:hAnsi="Times New Roman"/>
          <w:bCs/>
          <w:kern w:val="0"/>
          <w:sz w:val="32"/>
          <w:szCs w:val="32"/>
          <w:shd w:val="clear" w:color="auto" w:fill="FFFFFF"/>
          <w:lang w:val="zh-CN" w:eastAsia="zh-CN"/>
        </w:rPr>
        <w:t>，公益一类事业编制</w:t>
      </w:r>
      <w:r>
        <w:rPr>
          <w:rFonts w:eastAsia="仿宋_GB2312" w:cs="Times New Roman" w:hint="eastAsia"/>
          <w:bCs/>
          <w:kern w:val="0"/>
          <w:sz w:val="32"/>
          <w:szCs w:val="32"/>
          <w:shd w:val="clear" w:color="auto" w:fill="FFFFFF"/>
          <w:lang w:val="en-US" w:eastAsia="zh-CN"/>
        </w:rPr>
        <w:t>17</w:t>
      </w:r>
      <w:r>
        <w:rPr>
          <w:rFonts w:ascii="Times New Roman" w:eastAsia="仿宋_GB2312" w:cs="Times New Roman" w:hAnsi="Times New Roman"/>
          <w:bCs/>
          <w:kern w:val="0"/>
          <w:sz w:val="32"/>
          <w:szCs w:val="32"/>
          <w:shd w:val="clear" w:color="auto" w:fill="FFFFFF"/>
          <w:lang w:val="zh-CN" w:eastAsia="zh-CN"/>
        </w:rPr>
        <w:t>名。年末实有人数</w:t>
      </w:r>
      <w:r>
        <w:rPr>
          <w:rFonts w:eastAsia="仿宋_GB2312" w:cs="Times New Roman" w:hint="eastAsia"/>
          <w:bCs/>
          <w:kern w:val="0"/>
          <w:sz w:val="32"/>
          <w:szCs w:val="32"/>
          <w:shd w:val="clear" w:color="auto" w:fill="FFFFFF"/>
          <w:lang w:val="en-US" w:eastAsia="zh-CN"/>
        </w:rPr>
        <w:t>68</w:t>
      </w:r>
      <w:r>
        <w:rPr>
          <w:rFonts w:ascii="Times New Roman" w:eastAsia="仿宋_GB2312" w:cs="Times New Roman" w:hAnsi="Times New Roman"/>
          <w:bCs/>
          <w:kern w:val="0"/>
          <w:sz w:val="32"/>
          <w:szCs w:val="32"/>
          <w:shd w:val="clear" w:color="auto" w:fill="FFFFFF"/>
          <w:lang w:val="zh-CN" w:eastAsia="zh-CN"/>
        </w:rPr>
        <w:t>名，其中：行政公务员36名，行政工勤21名，事业人员1</w:t>
      </w:r>
      <w:r>
        <w:rPr>
          <w:rFonts w:eastAsia="仿宋_GB2312" w:cs="Times New Roman" w:hint="eastAsia"/>
          <w:bCs/>
          <w:kern w:val="0"/>
          <w:sz w:val="32"/>
          <w:szCs w:val="32"/>
          <w:shd w:val="clear" w:color="auto" w:fill="FFFFFF"/>
          <w:lang w:val="en-US" w:eastAsia="zh-CN"/>
        </w:rPr>
        <w:t>1</w:t>
      </w:r>
      <w:r>
        <w:rPr>
          <w:rFonts w:ascii="Times New Roman" w:eastAsia="仿宋_GB2312" w:cs="Times New Roman" w:hAnsi="Times New Roman"/>
          <w:bCs/>
          <w:kern w:val="0"/>
          <w:sz w:val="32"/>
          <w:szCs w:val="32"/>
          <w:shd w:val="clear" w:color="auto" w:fill="FFFFFF"/>
          <w:lang w:val="zh-CN" w:eastAsia="zh-CN"/>
        </w:rPr>
        <w:t>名。</w:t>
      </w:r>
    </w:p>
    <w:p>
      <w:pPr>
        <w:pageBreakBefore w:val="0"/>
        <w:widowControl/>
        <w:kinsoku/>
        <w:wordWrap/>
        <w:overflowPunct/>
        <w:topLinePunct w:val="0"/>
        <w:bidi w:val="0"/>
        <w:spacing w:line="576" w:lineRule="exact"/>
        <w:jc w:val="left"/>
        <w:rPr>
          <w:rFonts w:ascii="Times New Roman" w:eastAsia="仿宋" w:cs="Times New Roman" w:hAnsi="Times New Roman"/>
          <w:kern w:val="0"/>
          <w:sz w:val="32"/>
          <w:szCs w:val="32"/>
        </w:rPr>
      </w:pPr>
      <w:r>
        <w:rPr>
          <w:rFonts w:ascii="Times New Roman" w:eastAsia="仿宋" w:cs="Times New Roman" w:hAnsi="Times New Roman"/>
          <w:sz w:val="32"/>
          <w:szCs w:val="32"/>
        </w:rPr>
        <w:br w:type="page"/>
      </w:r>
    </w:p>
    <w:p>
      <w:pPr>
        <w:pStyle w:val="1"/>
        <w:keepNext/>
        <w:keepLines/>
        <w:pageBreakBefore w:val="0"/>
        <w:widowControl w:val="0"/>
        <w:kinsoku/>
        <w:wordWrap/>
        <w:overflowPunct/>
        <w:topLinePunct w:val="0"/>
        <w:bidi w:val="0"/>
        <w:spacing w:line="576" w:lineRule="exact"/>
        <w:ind w:right="440"/>
        <w:jc w:val="center"/>
        <w:rPr>
          <w:rStyle w:val="1Char"/>
          <w:rFonts w:ascii="Times New Roman" w:eastAsia="黑体" w:cs="Times New Roman" w:hAnsi="Times New Roman"/>
          <w:b w:val="0"/>
          <w:bCs/>
        </w:rPr>
      </w:pPr>
      <w:bookmarkStart w:id="31" w:name="_Toc15377204"/>
      <w:bookmarkStart w:id="32" w:name="_Toc26843607"/>
      <w:bookmarkStart w:id="33" w:name="_Toc15396602"/>
      <w:r>
        <w:rPr>
          <w:rFonts w:ascii="Times New Roman" w:eastAsia="黑体" w:cs="Times New Roman" w:hAnsi="Times New Roman"/>
          <w:b w:val="0"/>
        </w:rPr>
        <w:t>第二部分 2021年度</w:t>
      </w:r>
      <w:r>
        <w:rPr>
          <w:rFonts w:ascii="Times New Roman" w:eastAsia="黑体" w:cs="Times New Roman" w:hAnsi="Times New Roman"/>
          <w:b w:val="0"/>
          <w:kern w:val="44"/>
          <w:sz w:val="44"/>
          <w:szCs w:val="44"/>
        </w:rPr>
        <w:t>部门决算情况说明</w:t>
      </w:r>
      <w:bookmarkEnd w:id="31"/>
      <w:bookmarkEnd w:id="32"/>
      <w:bookmarkEnd w:id="33"/>
    </w:p>
    <w:p>
      <w:pPr>
        <w:pageBreakBefore w:val="0"/>
        <w:widowControl w:val="0"/>
        <w:kinsoku/>
        <w:wordWrap/>
        <w:overflowPunct/>
        <w:topLinePunct w:val="0"/>
        <w:bidi w:val="0"/>
        <w:spacing w:line="576" w:lineRule="exact"/>
        <w:rPr>
          <w:rFonts w:ascii="Times New Roman" w:cs="Times New Roman" w:hAnsi="Times New Roman"/>
        </w:rPr>
      </w:pPr>
    </w:p>
    <w:p>
      <w:pPr>
        <w:pStyle w:val="28"/>
        <w:pageBreakBefore w:val="0"/>
        <w:widowControl w:val="0"/>
        <w:numPr>
          <w:ilvl w:val="0"/>
          <w:numId w:val="1"/>
        </w:numPr>
        <w:kinsoku/>
        <w:wordWrap/>
        <w:overflowPunct/>
        <w:topLinePunct w:val="0"/>
        <w:bidi w:val="0"/>
        <w:spacing w:line="576" w:lineRule="exact"/>
        <w:ind w:firstLineChars="0"/>
        <w:outlineLvl w:val="1"/>
        <w:rPr>
          <w:rStyle w:val="2Char"/>
          <w:rFonts w:ascii="Times New Roman" w:eastAsia="黑体" w:cs="Times New Roman" w:hAnsi="Times New Roman"/>
          <w:b w:val="0"/>
        </w:rPr>
      </w:pPr>
      <w:bookmarkStart w:id="34" w:name="_Toc15377205"/>
      <w:bookmarkStart w:id="35" w:name="_Toc15396603"/>
      <w:bookmarkStart w:id="36" w:name="_Toc26843608"/>
      <w:r>
        <w:rPr>
          <w:rFonts w:ascii="Times New Roman" w:eastAsia="黑体" w:cs="Times New Roman" w:hAnsi="Times New Roman"/>
          <w:sz w:val="32"/>
          <w:szCs w:val="32"/>
        </w:rPr>
        <w:t>收</w:t>
      </w:r>
      <w:r>
        <w:rPr>
          <w:rStyle w:val="2Char"/>
          <w:rFonts w:ascii="Times New Roman" w:eastAsia="黑体" w:cs="Times New Roman" w:hAnsi="Times New Roman"/>
          <w:b w:val="0"/>
        </w:rPr>
        <w:t>入支出决算总体情况说明</w:t>
      </w:r>
      <w:bookmarkEnd w:id="34"/>
      <w:bookmarkEnd w:id="35"/>
      <w:bookmarkEnd w:id="36"/>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rPr>
      </w:pPr>
      <w:r>
        <w:rPr>
          <w:rFonts w:ascii="Times New Roman" w:eastAsia="仿宋_GB2312" w:cs="Times New Roman" w:hAnsi="Times New Roman"/>
          <w:sz w:val="32"/>
          <w:szCs w:val="32"/>
        </w:rPr>
        <w:t>2021年度收、支总计</w:t>
      </w:r>
      <w:r>
        <w:rPr>
          <w:rFonts w:ascii="Times New Roman" w:eastAsia="仿宋_GB2312" w:cs="Times New Roman" w:hAnsi="Times New Roman"/>
          <w:spacing w:val="-2"/>
          <w:kern w:val="2"/>
          <w:sz w:val="32"/>
          <w:szCs w:val="32"/>
          <w:lang w:val="en-US" w:eastAsia="zh-CN" w:bidi="ar-SA"/>
        </w:rPr>
        <w:t>11433.29</w:t>
      </w:r>
      <w:r>
        <w:rPr>
          <w:rFonts w:ascii="Times New Roman" w:eastAsia="仿宋_GB2312" w:cs="Times New Roman" w:hAnsi="Times New Roman"/>
          <w:sz w:val="32"/>
          <w:szCs w:val="32"/>
        </w:rPr>
        <w:t>万元。与2020年相比，收、支总计各增加</w:t>
      </w:r>
      <w:r>
        <w:rPr>
          <w:rFonts w:eastAsia="仿宋_GB2312" w:cs="Times New Roman" w:hint="eastAsia"/>
          <w:sz w:val="32"/>
          <w:szCs w:val="32"/>
          <w:lang w:val="en-US" w:eastAsia="zh-CN"/>
        </w:rPr>
        <w:t>5951.24</w:t>
      </w:r>
      <w:r>
        <w:rPr>
          <w:rFonts w:ascii="Times New Roman" w:eastAsia="仿宋_GB2312" w:cs="Times New Roman" w:hAnsi="Times New Roman"/>
          <w:sz w:val="32"/>
          <w:szCs w:val="32"/>
        </w:rPr>
        <w:t>万元，增长</w:t>
      </w:r>
      <w:r>
        <w:rPr>
          <w:rFonts w:eastAsia="仿宋_GB2312" w:cs="Times New Roman" w:hint="eastAsia"/>
          <w:sz w:val="32"/>
          <w:szCs w:val="32"/>
          <w:lang w:val="en-US" w:eastAsia="zh-CN"/>
        </w:rPr>
        <w:t>115.91</w:t>
      </w:r>
      <w:r>
        <w:rPr>
          <w:rFonts w:ascii="Times New Roman" w:eastAsia="仿宋_GB2312" w:cs="Times New Roman" w:hAnsi="Times New Roman"/>
          <w:sz w:val="32"/>
          <w:szCs w:val="32"/>
        </w:rPr>
        <w:t>%。主要变动原因是</w:t>
      </w:r>
      <w:r>
        <w:rPr>
          <w:rFonts w:ascii="Times New Roman" w:eastAsia="仿宋_GB2312" w:cs="Times New Roman" w:hAnsi="Times New Roman"/>
          <w:color w:val="000000"/>
          <w:sz w:val="32"/>
          <w:szCs w:val="32"/>
          <w:lang w:eastAsia="zh-CN"/>
        </w:rPr>
        <w:t>按照项目实施进度，当年支付部分项目进度款及尾款</w:t>
      </w:r>
      <w:r>
        <w:rPr>
          <w:rFonts w:ascii="Times New Roman" w:eastAsia="仿宋_GB2312" w:cs="Times New Roman" w:hAnsi="Times New Roman"/>
          <w:color w:val="000000"/>
          <w:sz w:val="32"/>
          <w:szCs w:val="32"/>
          <w:lang w:val="en-US" w:eastAsia="zh-CN"/>
        </w:rPr>
        <w:t>。</w:t>
      </w: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type="#_x0000_t75" filled="f" stroked="f" alt="1035813062" style="position:absolute;margin-left:31.25pt;margin-top:3.8pt;width:386.4pt;height:241.6pt;z-index:18;mso-position-horizontal:absolute;mso-position-vertical:absolute;mso-wrap-distance-left:8.999863pt;mso-wrap-distance-right:8.999863pt;" o:ole="">
            <v:stroke color="#000000"/>
            <v:imagedata r:id="rId4" o:title="image1"/>
            <o:lock aspectratio="t"/>
          </v:shape>
          <o:OLEObject Type="Embed" ProgID="Package" ShapeID="_x0000_i1" DrawAspect="Content" ObjectID="_1393063351" r:id="rId5"/>
        </w:object>
      </w: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rPr>
      </w:pPr>
    </w:p>
    <w:p>
      <w:pPr>
        <w:pStyle w:val="15"/>
        <w:pageBreakBefore w:val="0"/>
        <w:widowControl w:val="0"/>
        <w:kinsoku/>
        <w:wordWrap/>
        <w:overflowPunct/>
        <w:topLinePunct w:val="0"/>
        <w:bidi w:val="0"/>
        <w:spacing w:line="576" w:lineRule="exact"/>
        <w:rPr>
          <w:rFonts w:ascii="Times New Roman" w:cs="Times New Roman" w:hAnsi="Times New Roman"/>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jc w:val="center"/>
        <w:rPr>
          <w:rFonts w:ascii="Times New Roman" w:eastAsia="仿宋" w:cs="Times New Roman" w:hAnsi="Times New Roman"/>
          <w:color w:val="auto"/>
          <w:sz w:val="32"/>
          <w:szCs w:val="32"/>
        </w:rPr>
      </w:pPr>
      <w:r>
        <w:rPr>
          <w:rFonts w:ascii="Times New Roman" w:eastAsia="仿宋_GB2312" w:cs="Times New Roman" w:hAnsi="Times New Roman"/>
          <w:color w:val="auto"/>
          <w:sz w:val="32"/>
          <w:szCs w:val="32"/>
        </w:rPr>
        <w:t>（图1：收、支决算总计变动情况图）</w:t>
      </w:r>
    </w:p>
    <w:p>
      <w:pPr>
        <w:pStyle w:val="15"/>
        <w:pageBreakBefore w:val="0"/>
        <w:widowControl w:val="0"/>
        <w:kinsoku/>
        <w:wordWrap/>
        <w:overflowPunct/>
        <w:topLinePunct w:val="0"/>
        <w:bidi w:val="0"/>
        <w:spacing w:line="576" w:lineRule="exact"/>
        <w:rPr>
          <w:rFonts w:ascii="Times New Roman" w:cs="Times New Roman" w:hAnsi="Times New Roman"/>
        </w:rPr>
      </w:pPr>
    </w:p>
    <w:p>
      <w:pPr>
        <w:pStyle w:val="28"/>
        <w:pageBreakBefore w:val="0"/>
        <w:widowControl w:val="0"/>
        <w:numPr>
          <w:ilvl w:val="0"/>
          <w:numId w:val="1"/>
        </w:numPr>
        <w:kinsoku/>
        <w:wordWrap/>
        <w:overflowPunct/>
        <w:topLinePunct w:val="0"/>
        <w:bidi w:val="0"/>
        <w:spacing w:line="576" w:lineRule="exact"/>
        <w:ind w:firstLineChars="0"/>
        <w:outlineLvl w:val="1"/>
        <w:rPr>
          <w:rStyle w:val="2Char"/>
          <w:rFonts w:ascii="Times New Roman" w:eastAsia="黑体" w:cs="Times New Roman" w:hAnsi="Times New Roman"/>
          <w:b w:val="0"/>
        </w:rPr>
      </w:pPr>
      <w:bookmarkStart w:id="37" w:name="_Toc26843609"/>
      <w:bookmarkStart w:id="38" w:name="_Toc15377206"/>
      <w:bookmarkStart w:id="39" w:name="_Toc15396604"/>
      <w:r>
        <w:rPr>
          <w:rFonts w:ascii="Times New Roman" w:eastAsia="黑体" w:cs="Times New Roman" w:hAnsi="Times New Roman"/>
          <w:sz w:val="32"/>
          <w:szCs w:val="32"/>
        </w:rPr>
        <w:t>收</w:t>
      </w:r>
      <w:r>
        <w:rPr>
          <w:rStyle w:val="2Char"/>
          <w:rFonts w:ascii="Times New Roman" w:eastAsia="黑体" w:cs="Times New Roman" w:hAnsi="Times New Roman"/>
          <w:b w:val="0"/>
        </w:rPr>
        <w:t>入决算情况说明</w:t>
      </w:r>
      <w:bookmarkEnd w:id="37"/>
      <w:bookmarkEnd w:id="38"/>
      <w:bookmarkEnd w:id="39"/>
    </w:p>
    <w:p>
      <w:pPr>
        <w:pageBreakBefore w:val="0"/>
        <w:widowControl w:val="0"/>
        <w:kinsoku/>
        <w:wordWrap/>
        <w:overflowPunct/>
        <w:topLinePunct w:val="0"/>
        <w:bidi w:val="0"/>
        <w:spacing w:line="576" w:lineRule="exact"/>
        <w:ind w:firstLineChars="200" w:firstLine="640"/>
        <w:outlineLvl w:val="1"/>
        <w:rPr>
          <w:rFonts w:ascii="Times New Roman" w:eastAsia="仿宋" w:cs="Times New Roman" w:hAnsi="Times New Roman"/>
          <w:sz w:val="32"/>
          <w:szCs w:val="32"/>
        </w:rPr>
      </w:pPr>
      <w:bookmarkStart w:id="40" w:name="_Toc26843610"/>
      <w:r>
        <w:rPr>
          <w:rFonts w:ascii="Times New Roman" w:eastAsia="仿宋_GB2312" w:cs="Times New Roman" w:hAnsi="Times New Roman"/>
          <w:sz w:val="32"/>
          <w:szCs w:val="32"/>
        </w:rPr>
        <w:t>2021年本年收入合计</w:t>
      </w:r>
      <w:r>
        <w:rPr>
          <w:rFonts w:ascii="Times New Roman" w:eastAsia="仿宋_GB2312" w:cs="Times New Roman" w:hAnsi="Times New Roman"/>
          <w:spacing w:val="-2"/>
          <w:kern w:val="2"/>
          <w:sz w:val="32"/>
          <w:szCs w:val="32"/>
          <w:lang w:val="en-US" w:eastAsia="zh-CN" w:bidi="ar-SA"/>
        </w:rPr>
        <w:t>11295.87</w:t>
      </w:r>
      <w:r>
        <w:rPr>
          <w:rFonts w:ascii="Times New Roman" w:eastAsia="仿宋_GB2312" w:cs="Times New Roman" w:hAnsi="Times New Roman"/>
          <w:sz w:val="32"/>
          <w:szCs w:val="32"/>
        </w:rPr>
        <w:t>万元，其中：一般公共预算财政拨款收入</w:t>
      </w:r>
      <w:r>
        <w:rPr>
          <w:rFonts w:ascii="Times New Roman" w:eastAsia="仿宋_GB2312" w:cs="Times New Roman" w:hAnsi="Times New Roman"/>
          <w:spacing w:val="-2"/>
          <w:kern w:val="2"/>
          <w:sz w:val="32"/>
          <w:szCs w:val="32"/>
          <w:lang w:val="en-US" w:eastAsia="zh-CN" w:bidi="ar-SA"/>
        </w:rPr>
        <w:t>11295.87</w:t>
      </w:r>
      <w:r>
        <w:rPr>
          <w:rFonts w:ascii="Times New Roman" w:eastAsia="仿宋_GB2312" w:cs="Times New Roman" w:hAnsi="Times New Roman"/>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bookmarkEnd w:id="40"/>
    </w:p>
    <w:p>
      <w:pPr>
        <w:pageBreakBefore w:val="0"/>
        <w:widowControl w:val="0"/>
        <w:kinsoku/>
        <w:wordWrap/>
        <w:overflowPunct/>
        <w:topLinePunct w:val="0"/>
        <w:bidi w:val="0"/>
        <w:spacing w:line="576" w:lineRule="exact"/>
        <w:ind w:firstLineChars="200" w:firstLine="640"/>
        <w:outlineLvl w:val="1"/>
        <w:rPr>
          <w:rFonts w:ascii="Times New Roman" w:eastAsia="仿宋" w:cs="Times New Roman" w:hAnsi="Times New Roman"/>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r>
        <w:rPr>
          <w:rFonts w:ascii="Times New Roman" w:eastAsia="仿宋" w:cs="Times New Roman" w:hAnsi="Times New Roman"/>
          <w:sz w:val="32"/>
          <w:szCs w:val="32"/>
          <w:lang w:val="en-US" w:eastAsia="zh-CN"/>
        </w:rPr>
        <w:drawing>
          <wp:anchor distT="0" distB="0" distL="114300" distR="114300" simplePos="0" relativeHeight="20" behindDoc="0" locked="0" layoutInCell="1" hidden="0" allowOverlap="1">
            <wp:simplePos x="0" y="0"/>
            <wp:positionH relativeFrom="column">
              <wp:posOffset>1123315</wp:posOffset>
            </wp:positionH>
            <wp:positionV relativeFrom="paragraph">
              <wp:posOffset>225425</wp:posOffset>
            </wp:positionV>
            <wp:extent cx="3496945" cy="2228215"/>
            <wp:effectExtent l="0" t="0" r="0" b="0"/>
            <wp:wrapNone/>
            <wp:docPr id="3" name="图表 1"/>
            <wp:cNvGraphicFramePr>
              <a:graphicFrameLocks noChangeAspect="0"/>
            </wp:cNvGraphicFramePr>
            <a:graphic>
              <a:graphicData uri="http://schemas.openxmlformats.org/drawingml/2006/chart">
                <c:chart xmlns:c="http://schemas.openxmlformats.org/drawingml/2006/chart" r:id="rId6"/>
              </a:graphicData>
            </a:graphic>
          </wp:anchor>
        </w:drawing>
      </w:r>
    </w:p>
    <w:p>
      <w:pPr>
        <w:pStyle w:val="15"/>
        <w:pageBreakBefore w:val="0"/>
        <w:widowControl w:val="0"/>
        <w:kinsoku/>
        <w:wordWrap/>
        <w:overflowPunct/>
        <w:topLinePunct w:val="0"/>
        <w:bidi w:val="0"/>
        <w:spacing w:line="576" w:lineRule="exact"/>
        <w:rPr>
          <w:rFonts w:ascii="Times New Roman" w:eastAsia="仿宋" w:cs="Times New Roman" w:hAnsi="Times New Roman"/>
          <w:color w:val="FF0000"/>
          <w:sz w:val="32"/>
          <w:szCs w:val="32"/>
        </w:rPr>
      </w:pPr>
    </w:p>
    <w:p>
      <w:pPr>
        <w:pStyle w:val="15"/>
        <w:pageBreakBefore w:val="0"/>
        <w:widowControl w:val="0"/>
        <w:kinsoku/>
        <w:wordWrap/>
        <w:overflowPunct/>
        <w:topLinePunct w:val="0"/>
        <w:bidi w:val="0"/>
        <w:spacing w:line="576" w:lineRule="exact"/>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jc w:val="center"/>
        <w:rPr>
          <w:rFonts w:ascii="Times New Roman" w:eastAsia="仿宋_GB2312"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jc w:val="center"/>
        <w:rPr>
          <w:rFonts w:ascii="Times New Roman" w:eastAsia="仿宋_GB2312"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jc w:val="center"/>
        <w:rPr>
          <w:rFonts w:ascii="Times New Roman" w:eastAsia="仿宋" w:cs="Times New Roman" w:hAnsi="Times New Roman"/>
          <w:color w:val="auto"/>
          <w:sz w:val="32"/>
          <w:szCs w:val="32"/>
        </w:rPr>
      </w:pPr>
      <w:r>
        <w:rPr>
          <w:rFonts w:ascii="Times New Roman" w:eastAsia="仿宋_GB2312" w:cs="Times New Roman" w:hAnsi="Times New Roman"/>
          <w:color w:val="auto"/>
          <w:sz w:val="32"/>
          <w:szCs w:val="32"/>
        </w:rPr>
        <w:t>（图2：收入决算结构图）</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p>
    <w:p>
      <w:pPr>
        <w:pStyle w:val="28"/>
        <w:pageBreakBefore w:val="0"/>
        <w:widowControl w:val="0"/>
        <w:numPr>
          <w:ilvl w:val="0"/>
          <w:numId w:val="1"/>
        </w:numPr>
        <w:kinsoku/>
        <w:wordWrap/>
        <w:overflowPunct/>
        <w:topLinePunct w:val="0"/>
        <w:bidi w:val="0"/>
        <w:spacing w:line="576" w:lineRule="exact"/>
        <w:ind w:firstLineChars="0"/>
        <w:outlineLvl w:val="1"/>
        <w:rPr>
          <w:rStyle w:val="2Char"/>
          <w:rFonts w:ascii="Times New Roman" w:eastAsia="黑体" w:cs="Times New Roman" w:hAnsi="Times New Roman"/>
          <w:b w:val="0"/>
        </w:rPr>
      </w:pPr>
      <w:bookmarkStart w:id="41" w:name="_Toc15377207"/>
      <w:bookmarkStart w:id="42" w:name="_Toc26843612"/>
      <w:bookmarkStart w:id="43" w:name="_Toc15396605"/>
      <w:r>
        <w:rPr>
          <w:rFonts w:ascii="Times New Roman" w:eastAsia="黑体" w:cs="Times New Roman" w:hAnsi="Times New Roman"/>
          <w:sz w:val="32"/>
          <w:szCs w:val="32"/>
        </w:rPr>
        <w:t>支</w:t>
      </w:r>
      <w:r>
        <w:rPr>
          <w:rStyle w:val="2Char"/>
          <w:rFonts w:ascii="Times New Roman" w:eastAsia="黑体" w:cs="Times New Roman" w:hAnsi="Times New Roman"/>
          <w:b w:val="0"/>
        </w:rPr>
        <w:t>出决算情况说明</w:t>
      </w:r>
      <w:bookmarkEnd w:id="41"/>
      <w:bookmarkEnd w:id="42"/>
      <w:bookmarkEnd w:id="43"/>
    </w:p>
    <w:p>
      <w:pPr>
        <w:pageBreakBefore w:val="0"/>
        <w:widowControl w:val="0"/>
        <w:kinsoku/>
        <w:wordWrap/>
        <w:overflowPunct/>
        <w:topLinePunct w:val="0"/>
        <w:bidi w:val="0"/>
        <w:spacing w:line="576" w:lineRule="exact"/>
        <w:ind w:firstLineChars="200" w:firstLine="640"/>
        <w:outlineLvl w:val="1"/>
        <w:rPr>
          <w:rFonts w:ascii="Times New Roman" w:eastAsia="仿宋_GB2312" w:cs="Times New Roman" w:hAnsi="Times New Roman"/>
          <w:sz w:val="32"/>
          <w:szCs w:val="32"/>
        </w:rPr>
      </w:pPr>
      <w:bookmarkStart w:id="44" w:name="_Toc26843613"/>
      <w:r>
        <w:rPr>
          <w:rFonts w:ascii="Times New Roman" w:eastAsia="仿宋_GB2312" w:cs="Times New Roman" w:hAnsi="Times New Roman"/>
          <w:sz w:val="32"/>
          <w:szCs w:val="32"/>
        </w:rPr>
        <w:t>2021年本年支出合计</w:t>
      </w:r>
      <w:r>
        <w:rPr>
          <w:rFonts w:ascii="Times New Roman" w:eastAsia="仿宋_GB2312" w:cs="Times New Roman" w:hAnsi="Times New Roman"/>
          <w:spacing w:val="-2"/>
          <w:kern w:val="2"/>
          <w:sz w:val="32"/>
          <w:szCs w:val="32"/>
          <w:lang w:val="en-US" w:eastAsia="zh-CN" w:bidi="ar-SA"/>
        </w:rPr>
        <w:t>11433.29</w:t>
      </w:r>
      <w:r>
        <w:rPr>
          <w:rFonts w:ascii="Times New Roman" w:eastAsia="仿宋_GB2312" w:cs="Times New Roman" w:hAnsi="Times New Roman"/>
          <w:sz w:val="32"/>
          <w:szCs w:val="32"/>
        </w:rPr>
        <w:t>万元，其中：基本支出2591.8</w:t>
      </w:r>
      <w:r>
        <w:rPr>
          <w:rFonts w:eastAsia="仿宋_GB2312" w:cs="Times New Roman" w:hint="eastAsia"/>
          <w:sz w:val="32"/>
          <w:szCs w:val="32"/>
          <w:lang w:val="en-US" w:eastAsia="zh-CN"/>
        </w:rPr>
        <w:t>0</w:t>
      </w:r>
      <w:r>
        <w:rPr>
          <w:rFonts w:ascii="Times New Roman" w:eastAsia="仿宋_GB2312" w:cs="Times New Roman" w:hAnsi="Times New Roman"/>
          <w:sz w:val="32"/>
          <w:szCs w:val="32"/>
        </w:rPr>
        <w:t>万元，占</w:t>
      </w:r>
      <w:r>
        <w:rPr>
          <w:rFonts w:eastAsia="仿宋_GB2312" w:cs="Times New Roman" w:hint="eastAsia"/>
          <w:sz w:val="32"/>
          <w:szCs w:val="32"/>
          <w:lang w:val="en-US" w:eastAsia="zh-CN"/>
        </w:rPr>
        <w:t>22.67</w:t>
      </w:r>
      <w:r>
        <w:rPr>
          <w:rFonts w:ascii="Times New Roman" w:eastAsia="仿宋_GB2312" w:cs="Times New Roman" w:hAnsi="Times New Roman"/>
          <w:sz w:val="32"/>
          <w:szCs w:val="32"/>
        </w:rPr>
        <w:t>%；项目支出8841.49万元，占</w:t>
      </w:r>
      <w:r>
        <w:rPr>
          <w:rFonts w:eastAsia="仿宋_GB2312" w:cs="Times New Roman" w:hint="eastAsia"/>
          <w:sz w:val="32"/>
          <w:szCs w:val="32"/>
          <w:lang w:val="en-US" w:eastAsia="zh-CN"/>
        </w:rPr>
        <w:t>77.33</w:t>
      </w:r>
      <w:r>
        <w:rPr>
          <w:rFonts w:ascii="Times New Roman" w:eastAsia="仿宋_GB2312" w:cs="Times New Roman" w:hAnsi="Times New Roman"/>
          <w:sz w:val="32"/>
          <w:szCs w:val="32"/>
        </w:rPr>
        <w:t>%；上缴上级支出0万元，占0%；经营支出0万元，占0%；对附属单位补助支出0万元，占0%。</w:t>
      </w:r>
      <w:bookmarkEnd w:id="44"/>
    </w:p>
    <w:p>
      <w:pPr>
        <w:pageBreakBefore w:val="0"/>
        <w:widowControl w:val="0"/>
        <w:kinsoku/>
        <w:wordWrap/>
        <w:overflowPunct/>
        <w:topLinePunct w:val="0"/>
        <w:bidi w:val="0"/>
        <w:spacing w:line="576" w:lineRule="exact"/>
        <w:ind w:firstLine="640"/>
        <w:rPr>
          <w:rFonts w:ascii="Times New Roman" w:eastAsia="仿宋" w:cs="Times New Roman" w:hAnsi="Times New Roman"/>
          <w:sz w:val="32"/>
          <w:szCs w:val="32"/>
          <w:shd w:val="pct10" w:color="auto" w:fill="FFFFFF"/>
        </w:rPr>
      </w:pPr>
      <w:r>
        <w:rPr>
          <w:rFonts w:ascii="Times New Roman" w:eastAsia="仿宋" w:cs="Times New Roman" w:hAnsi="Times New Roman"/>
          <w:sz w:val="32"/>
          <w:szCs w:val="32"/>
          <w:lang w:val="en-US" w:eastAsia="zh-CN"/>
        </w:rPr>
        <w:drawing>
          <wp:anchor distT="0" distB="0" distL="114300" distR="114300" simplePos="0" relativeHeight="22" behindDoc="0" locked="0" layoutInCell="1" hidden="0" allowOverlap="1">
            <wp:simplePos x="0" y="0"/>
            <wp:positionH relativeFrom="column">
              <wp:posOffset>963930</wp:posOffset>
            </wp:positionH>
            <wp:positionV relativeFrom="paragraph">
              <wp:posOffset>233045</wp:posOffset>
            </wp:positionV>
            <wp:extent cx="3674745" cy="2312035"/>
            <wp:effectExtent l="0" t="0" r="0" b="0"/>
            <wp:wrapNone/>
            <wp:docPr id="4" name="图表 2"/>
            <wp:cNvGraphicFramePr>
              <a:graphicFrameLocks noChangeAspect="0"/>
            </wp:cNvGraphicFramePr>
            <a:graphic>
              <a:graphicData uri="http://schemas.openxmlformats.org/drawingml/2006/chart">
                <c:chart xmlns:c="http://schemas.openxmlformats.org/drawingml/2006/chart" r:id="rId7"/>
              </a:graphicData>
            </a:graphic>
          </wp:anchor>
        </w:drawing>
      </w: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shd w:val="pct10" w:color="auto" w:fill="FFFFFF"/>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shd w:val="pct10" w:color="auto" w:fill="FFFFFF"/>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shd w:val="pct10" w:color="auto" w:fill="FFFFFF"/>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shd w:val="pct10" w:color="auto" w:fill="FFFFFF"/>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shd w:val="pct10" w:color="auto" w:fill="FFFFFF"/>
        </w:rPr>
      </w:pPr>
    </w:p>
    <w:p>
      <w:pPr>
        <w:pageBreakBefore w:val="0"/>
        <w:widowControl w:val="0"/>
        <w:kinsoku/>
        <w:wordWrap/>
        <w:overflowPunct/>
        <w:topLinePunct w:val="0"/>
        <w:bidi w:val="0"/>
        <w:spacing w:line="576" w:lineRule="exact"/>
        <w:ind w:firstLineChars="200" w:firstLine="640"/>
        <w:jc w:val="center"/>
        <w:rPr>
          <w:rFonts w:ascii="Times New Roman" w:eastAsia="仿宋_GB2312" w:cs="Times New Roman" w:hAnsi="Times New Roman"/>
          <w:sz w:val="32"/>
          <w:szCs w:val="32"/>
        </w:rPr>
      </w:pPr>
      <w:r>
        <w:rPr>
          <w:rFonts w:ascii="Times New Roman" w:eastAsia="仿宋_GB2312" w:cs="Times New Roman" w:hAnsi="Times New Roman"/>
          <w:color w:val="auto"/>
          <w:sz w:val="32"/>
          <w:szCs w:val="32"/>
        </w:rPr>
        <w:t>（图3：支出决算结构图）</w:t>
      </w:r>
    </w:p>
    <w:p>
      <w:pPr>
        <w:pageBreakBefore w:val="0"/>
        <w:widowControl w:val="0"/>
        <w:kinsoku/>
        <w:wordWrap/>
        <w:overflowPunct/>
        <w:topLinePunct w:val="0"/>
        <w:bidi w:val="0"/>
        <w:spacing w:line="576" w:lineRule="exact"/>
        <w:ind w:firstLineChars="200" w:firstLine="640"/>
        <w:outlineLvl w:val="1"/>
        <w:rPr>
          <w:rStyle w:val="2Char"/>
          <w:rFonts w:ascii="Times New Roman" w:eastAsia="黑体" w:cs="Times New Roman" w:hAnsi="Times New Roman"/>
          <w:b w:val="0"/>
        </w:rPr>
      </w:pPr>
      <w:bookmarkStart w:id="45" w:name="_Toc26843615"/>
      <w:bookmarkStart w:id="46" w:name="_Toc15377208"/>
      <w:bookmarkStart w:id="47" w:name="_Toc15396606"/>
      <w:r>
        <w:rPr>
          <w:rFonts w:ascii="Times New Roman" w:eastAsia="黑体" w:cs="Times New Roman" w:hAnsi="Times New Roman"/>
          <w:sz w:val="32"/>
          <w:szCs w:val="32"/>
        </w:rPr>
        <w:t>四、财</w:t>
      </w:r>
      <w:r>
        <w:rPr>
          <w:rStyle w:val="2Char"/>
          <w:rFonts w:ascii="Times New Roman" w:eastAsia="黑体" w:cs="Times New Roman" w:hAnsi="Times New Roman"/>
          <w:b w:val="0"/>
        </w:rPr>
        <w:t>政拨款收入支出决算总体情况说明</w:t>
      </w:r>
      <w:bookmarkEnd w:id="45"/>
      <w:bookmarkEnd w:id="46"/>
      <w:bookmarkEnd w:id="47"/>
    </w:p>
    <w:p>
      <w:pPr>
        <w:pStyle w:val="15"/>
        <w:pageBreakBefore w:val="0"/>
        <w:widowControl w:val="0"/>
        <w:kinsoku/>
        <w:wordWrap/>
        <w:overflowPunct/>
        <w:topLinePunct w:val="0"/>
        <w:bidi w:val="0"/>
        <w:adjustRightInd w:val="0"/>
        <w:snapToGrid w:val="0"/>
        <w:spacing w:beforeLines="0" w:before="93" w:line="576" w:lineRule="exact"/>
        <w:ind w:firstLineChars="208" w:firstLine="666"/>
        <w:rPr>
          <w:rFonts w:ascii="Times New Roman" w:eastAsia="仿宋" w:cs="Times New Roman" w:hAnsi="Times New Roman"/>
          <w:sz w:val="32"/>
          <w:szCs w:val="32"/>
        </w:rPr>
      </w:pPr>
      <w:r>
        <w:rPr>
          <w:rFonts w:ascii="Times New Roman" w:eastAsia="仿宋_GB2312" w:cs="Times New Roman" w:hAnsi="Times New Roman"/>
          <w:sz w:val="32"/>
          <w:szCs w:val="32"/>
          <w:lang w:val="en-US" w:eastAsia="zh-CN"/>
        </w:rPr>
        <w:t>2021年财政拨款收、支总计11433.29万元。与2020年相比，财政拨款收、支总计各增加</w:t>
      </w:r>
      <w:r>
        <w:rPr>
          <w:rFonts w:ascii="Times New Roman" w:cs="Times New Roman" w:hAnsi="Times New Roman" w:hint="eastAsia"/>
          <w:sz w:val="32"/>
          <w:szCs w:val="32"/>
          <w:lang w:val="en-US" w:eastAsia="zh-CN"/>
        </w:rPr>
        <w:t>5951.24</w:t>
      </w:r>
      <w:r>
        <w:rPr>
          <w:rFonts w:ascii="Times New Roman" w:eastAsia="仿宋_GB2312" w:cs="Times New Roman" w:hAnsi="Times New Roman"/>
          <w:sz w:val="32"/>
          <w:szCs w:val="32"/>
          <w:lang w:val="en-US" w:eastAsia="zh-CN"/>
        </w:rPr>
        <w:t>万元，增</w:t>
      </w:r>
      <w:r>
        <w:rPr>
          <w:rFonts w:ascii="Times New Roman" w:cs="Times New Roman" w:hAnsi="Times New Roman" w:hint="eastAsia"/>
          <w:sz w:val="32"/>
          <w:szCs w:val="32"/>
          <w:lang w:val="en-US" w:eastAsia="zh-CN"/>
        </w:rPr>
        <w:t>115.91</w:t>
      </w:r>
      <w:r>
        <w:rPr>
          <w:rFonts w:ascii="Times New Roman" w:eastAsia="仿宋_GB2312" w:cs="Times New Roman" w:hAnsi="Times New Roman"/>
          <w:sz w:val="32"/>
          <w:szCs w:val="32"/>
          <w:lang w:val="en-US" w:eastAsia="zh-CN"/>
        </w:rPr>
        <w:t>%。主要变动原因是按照项目实施进度，当年支付项目进度款及尾款。</w:t>
      </w: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lang w:eastAsia="zh-CN"/>
        </w:rPr>
      </w:pPr>
      <w:r>
        <w:rPr>
          <w:rFonts w:ascii="Times New Roman" w:eastAsia="仿宋" w:cs="Times New Roman" w:hAnsi="Times New Roman"/>
          <w:sz w:val="32"/>
          <w:szCs w:val="32"/>
        </w:rPr>
        <w:object>
          <v:shape id="_x0000_i2" type="#_x0000_t75" filled="f" stroked="f" alt="1035813062" style="position:absolute;margin-left:10.35pt;margin-top:6.05pt;width:386.4pt;height:241.6pt;z-index:24;mso-position-horizontal:absolute;mso-position-vertical:absolute;mso-wrap-distance-left:8.999863pt;mso-wrap-distance-right:8.999863pt;" o:ole="">
            <v:stroke color="#000000"/>
            <v:imagedata r:id="rId8" o:title="image1"/>
            <o:lock aspectratio="t"/>
          </v:shape>
          <o:OLEObject Type="Embed" ProgID="Package" ShapeID="_x0000_i2" DrawAspect="Content" ObjectID="_1393063352" r:id="rId9"/>
        </w:object>
      </w: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lang w:eastAsia="zh-CN"/>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lang w:eastAsia="zh-CN"/>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lang w:eastAsia="zh-CN"/>
        </w:rPr>
      </w:pPr>
    </w:p>
    <w:p>
      <w:pPr>
        <w:pStyle w:val="15"/>
        <w:pageBreakBefore w:val="0"/>
        <w:widowControl w:val="0"/>
        <w:kinsoku/>
        <w:wordWrap/>
        <w:overflowPunct/>
        <w:topLinePunct w:val="0"/>
        <w:bidi w:val="0"/>
        <w:spacing w:line="576" w:lineRule="exact"/>
        <w:rPr>
          <w:rFonts w:ascii="Times New Roman" w:eastAsia="仿宋" w:cs="Times New Roman" w:hAnsi="Times New Roman"/>
          <w:sz w:val="32"/>
          <w:szCs w:val="32"/>
          <w:lang w:eastAsia="zh-CN"/>
        </w:rPr>
      </w:pP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黑体" w:cs="Times New Roman" w:hAnsi="Times New Roman"/>
          <w:sz w:val="32"/>
          <w:szCs w:val="32"/>
        </w:rPr>
      </w:pPr>
      <w:r>
        <w:rPr>
          <w:rFonts w:ascii="Times New Roman" w:eastAsia="仿宋_GB2312" w:cs="Times New Roman" w:hAnsi="Times New Roman"/>
          <w:color w:val="auto"/>
          <w:sz w:val="32"/>
          <w:szCs w:val="32"/>
        </w:rPr>
        <w:t>（图4：财政拨款收、支决算总计变动情况）</w:t>
      </w:r>
      <w:bookmarkStart w:id="48" w:name="_Toc15396607"/>
      <w:bookmarkStart w:id="49" w:name="_Toc26843616"/>
      <w:bookmarkStart w:id="50" w:name="_Toc15377209"/>
    </w:p>
    <w:p>
      <w:pPr>
        <w:pageBreakBefore w:val="0"/>
        <w:widowControl w:val="0"/>
        <w:kinsoku/>
        <w:wordWrap/>
        <w:overflowPunct/>
        <w:topLinePunct w:val="0"/>
        <w:bidi w:val="0"/>
        <w:spacing w:line="576" w:lineRule="exact"/>
        <w:ind w:firstLineChars="200" w:firstLine="640"/>
        <w:outlineLvl w:val="1"/>
        <w:rPr>
          <w:rFonts w:ascii="Times New Roman" w:eastAsia="黑体" w:cs="Times New Roman" w:hAnsi="Times New Roman"/>
          <w:sz w:val="32"/>
          <w:szCs w:val="32"/>
        </w:rPr>
      </w:pPr>
    </w:p>
    <w:p>
      <w:pPr>
        <w:pageBreakBefore w:val="0"/>
        <w:widowControl w:val="0"/>
        <w:kinsoku/>
        <w:wordWrap/>
        <w:overflowPunct/>
        <w:topLinePunct w:val="0"/>
        <w:bidi w:val="0"/>
        <w:spacing w:line="576" w:lineRule="exact"/>
        <w:ind w:firstLineChars="200" w:firstLine="640"/>
        <w:outlineLvl w:val="1"/>
        <w:rPr>
          <w:rStyle w:val="2Char"/>
          <w:rFonts w:ascii="Times New Roman" w:eastAsia="黑体" w:cs="Times New Roman" w:hAnsi="Times New Roman"/>
          <w:b w:val="0"/>
        </w:rPr>
      </w:pPr>
      <w:r>
        <w:rPr>
          <w:rFonts w:ascii="Times New Roman" w:eastAsia="黑体" w:cs="Times New Roman" w:hAnsi="Times New Roman"/>
          <w:sz w:val="32"/>
          <w:szCs w:val="32"/>
        </w:rPr>
        <w:t>五、</w:t>
      </w:r>
      <w:r>
        <w:rPr>
          <w:rFonts w:ascii="Times New Roman" w:eastAsia="黑体" w:cs="Times New Roman" w:hAnsi="Times New Roman"/>
          <w:b/>
          <w:sz w:val="32"/>
          <w:szCs w:val="32"/>
        </w:rPr>
        <w:t>一</w:t>
      </w:r>
      <w:r>
        <w:rPr>
          <w:rStyle w:val="2Char"/>
          <w:rFonts w:ascii="Times New Roman" w:eastAsia="黑体" w:cs="Times New Roman" w:hAnsi="Times New Roman"/>
          <w:b w:val="0"/>
        </w:rPr>
        <w:t>般公共预算财政拨款支出决算情况说明</w:t>
      </w:r>
      <w:bookmarkEnd w:id="48"/>
      <w:bookmarkEnd w:id="49"/>
      <w:bookmarkEnd w:id="50"/>
    </w:p>
    <w:p>
      <w:pPr>
        <w:pageBreakBefore w:val="0"/>
        <w:widowControl w:val="0"/>
        <w:kinsoku/>
        <w:wordWrap/>
        <w:overflowPunct/>
        <w:topLinePunct w:val="0"/>
        <w:bidi w:val="0"/>
        <w:spacing w:line="576" w:lineRule="exact"/>
        <w:ind w:firstLineChars="200" w:firstLine="640"/>
        <w:outlineLvl w:val="2"/>
        <w:rPr>
          <w:rFonts w:ascii="Times New Roman" w:eastAsia="仿宋" w:cs="Times New Roman" w:hAnsi="Times New Roman"/>
          <w:b/>
          <w:sz w:val="32"/>
          <w:szCs w:val="32"/>
        </w:rPr>
      </w:pPr>
      <w:bookmarkStart w:id="51" w:name="_Toc15377210"/>
      <w:r>
        <w:rPr>
          <w:rFonts w:ascii="Times New Roman" w:eastAsia="仿宋" w:cs="Times New Roman" w:hAnsi="Times New Roman"/>
          <w:b/>
          <w:sz w:val="32"/>
          <w:szCs w:val="32"/>
        </w:rPr>
        <w:t>（一）一般公共预算财政拨款支出决算总体情况</w:t>
      </w:r>
      <w:bookmarkEnd w:id="51"/>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rPr>
      </w:pPr>
      <w:r>
        <w:rPr>
          <w:rFonts w:ascii="Times New Roman" w:eastAsia="仿宋_GB2312" w:cs="Times New Roman" w:hAnsi="Times New Roman"/>
          <w:sz w:val="32"/>
          <w:szCs w:val="32"/>
        </w:rPr>
        <w:t>2021年一般公共预算财政拨款支出11433.29万元，占本年支出合计的100%。与2020年相比，一般公共预算财政拨款支出增加</w:t>
      </w:r>
      <w:r>
        <w:rPr>
          <w:rFonts w:ascii="Times New Roman" w:cs="Times New Roman" w:hAnsi="Times New Roman" w:hint="eastAsia"/>
          <w:sz w:val="32"/>
          <w:szCs w:val="32"/>
          <w:lang w:val="en-US" w:eastAsia="zh-CN"/>
        </w:rPr>
        <w:t>5951.24</w:t>
      </w:r>
      <w:r>
        <w:rPr>
          <w:rFonts w:ascii="Times New Roman" w:eastAsia="仿宋_GB2312" w:cs="Times New Roman" w:hAnsi="Times New Roman"/>
          <w:sz w:val="32"/>
          <w:szCs w:val="32"/>
        </w:rPr>
        <w:t>万元，增长</w:t>
      </w:r>
      <w:r>
        <w:rPr>
          <w:rFonts w:eastAsia="仿宋_GB2312" w:cs="Times New Roman" w:hint="eastAsia"/>
          <w:sz w:val="32"/>
          <w:szCs w:val="32"/>
          <w:lang w:val="en-US" w:eastAsia="zh-CN"/>
        </w:rPr>
        <w:t>115.91</w:t>
      </w:r>
      <w:r>
        <w:rPr>
          <w:rFonts w:ascii="Times New Roman" w:eastAsia="仿宋_GB2312" w:cs="Times New Roman" w:hAnsi="Times New Roman"/>
          <w:sz w:val="32"/>
          <w:szCs w:val="32"/>
        </w:rPr>
        <w:t>%。主要变动原因为一是2020年年末结转结余</w:t>
      </w:r>
      <w:r>
        <w:rPr>
          <w:rFonts w:eastAsia="仿宋_GB2312" w:cs="Times New Roman" w:hint="eastAsia"/>
          <w:sz w:val="32"/>
          <w:szCs w:val="32"/>
          <w:lang w:val="en-US" w:eastAsia="zh-CN"/>
        </w:rPr>
        <w:t>137.42</w:t>
      </w:r>
      <w:r>
        <w:rPr>
          <w:rFonts w:ascii="Times New Roman" w:eastAsia="仿宋_GB2312" w:cs="Times New Roman" w:hAnsi="Times New Roman"/>
          <w:sz w:val="32"/>
          <w:szCs w:val="32"/>
        </w:rPr>
        <w:t>万元；二是</w:t>
      </w:r>
      <w:r>
        <w:rPr>
          <w:rFonts w:ascii="Times New Roman" w:eastAsia="仿宋_GB2312" w:cs="Times New Roman" w:hAnsi="Times New Roman"/>
          <w:sz w:val="32"/>
          <w:szCs w:val="32"/>
          <w:lang w:eastAsia="zh-CN"/>
        </w:rPr>
        <w:t>按照项目实施进度，当年支付项目进度款及尾款</w:t>
      </w:r>
      <w:r>
        <w:rPr>
          <w:rFonts w:ascii="Times New Roman" w:eastAsia="仿宋_GB2312" w:cs="Times New Roman" w:hAnsi="Times New Roman"/>
          <w:sz w:val="32"/>
          <w:szCs w:val="32"/>
          <w:lang w:val="en-US" w:eastAsia="zh-CN"/>
        </w:rPr>
        <w:t>。</w:t>
      </w: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r>
        <w:rPr>
          <w:rFonts w:ascii="Times New Roman" w:eastAsia="仿宋" w:cs="Times New Roman" w:hAnsi="Times New Roman"/>
          <w:sz w:val="32"/>
          <w:szCs w:val="32"/>
        </w:rPr>
        <w:object>
          <v:shape id="_x0000_i3" type="#_x0000_t75" filled="f" stroked="f" alt="1035813062" style="position:absolute;margin-left:27.8pt;margin-top:-8.6pt;width:386.34995pt;height:241.6pt;z-index:26;mso-position-horizontal:absolute;mso-position-vertical:absolute;mso-wrap-distance-left:8.999863pt;mso-wrap-distance-right:8.999863pt;" o:ole="">
            <v:stroke color="#000000"/>
            <v:imagedata r:id="rId10" o:title="image1"/>
            <o:lock aspectratio="t"/>
          </v:shape>
          <o:OLEObject Type="Embed" ProgID="Package" ShapeID="_x0000_i3" DrawAspect="Content" ObjectID="_1393063353" r:id="rId11"/>
        </w:object>
      </w: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仿宋_GB2312" w:eastAsia="仿宋_GB2312" w:cs="仿宋_GB2312" w:hint="eastAsia"/>
          <w:sz w:val="32"/>
          <w:szCs w:val="32"/>
        </w:rPr>
      </w:pPr>
      <w:r>
        <w:rPr>
          <w:rFonts w:ascii="仿宋_GB2312" w:eastAsia="仿宋_GB2312" w:cs="仿宋_GB2312" w:hint="eastAsia"/>
          <w:color w:val="auto"/>
          <w:sz w:val="32"/>
          <w:szCs w:val="32"/>
        </w:rPr>
        <w:t>（图5：一般公共预算财政拨款支出决算变动情况）</w:t>
      </w:r>
    </w:p>
    <w:p>
      <w:pPr>
        <w:pageBreakBefore w:val="0"/>
        <w:widowControl w:val="0"/>
        <w:kinsoku/>
        <w:wordWrap/>
        <w:overflowPunct/>
        <w:topLinePunct w:val="0"/>
        <w:bidi w:val="0"/>
        <w:spacing w:line="576" w:lineRule="exact"/>
        <w:ind w:firstLineChars="200" w:firstLine="640"/>
        <w:outlineLvl w:val="2"/>
        <w:rPr>
          <w:rFonts w:ascii="仿宋_GB2312" w:eastAsia="仿宋_GB2312" w:cs="仿宋_GB2312" w:hint="eastAsia"/>
          <w:b/>
          <w:sz w:val="32"/>
          <w:szCs w:val="32"/>
        </w:rPr>
      </w:pPr>
      <w:bookmarkStart w:id="52" w:name="_Toc15377211"/>
      <w:r>
        <w:rPr>
          <w:rFonts w:ascii="仿宋_GB2312" w:eastAsia="仿宋_GB2312" w:cs="仿宋_GB2312" w:hint="eastAsia"/>
          <w:b/>
          <w:sz w:val="32"/>
          <w:szCs w:val="32"/>
        </w:rPr>
        <w:t>（二）一般公共预算财政拨款支出决算结构情况</w:t>
      </w:r>
      <w:bookmarkEnd w:id="52"/>
    </w:p>
    <w:p>
      <w:pPr>
        <w:pageBreakBefore w:val="0"/>
        <w:widowControl w:val="0"/>
        <w:kinsoku/>
        <w:wordWrap/>
        <w:overflowPunct/>
        <w:topLinePunct w:val="0"/>
        <w:bidi w:val="0"/>
        <w:spacing w:line="576" w:lineRule="exact"/>
        <w:ind w:firstLine="640"/>
        <w:rPr>
          <w:rFonts w:ascii="仿宋_GB2312" w:eastAsia="仿宋_GB2312" w:cs="仿宋_GB2312" w:hint="eastAsia"/>
          <w:color w:val="auto"/>
          <w:sz w:val="32"/>
          <w:szCs w:val="32"/>
        </w:rPr>
      </w:pPr>
      <w:r>
        <w:rPr>
          <w:rFonts w:ascii="仿宋_GB2312" w:eastAsia="仿宋_GB2312" w:cs="仿宋_GB2312" w:hint="eastAsia"/>
          <w:color w:val="auto"/>
          <w:sz w:val="32"/>
          <w:szCs w:val="32"/>
        </w:rPr>
        <w:t>2021年一般公共预算财政拨款支出11433.29万元，主要用于以下方面:</w:t>
      </w:r>
      <w:bookmarkStart w:id="53" w:name="OLE_LINK1"/>
      <w:r>
        <w:rPr>
          <w:rFonts w:ascii="仿宋_GB2312" w:eastAsia="仿宋_GB2312" w:cs="仿宋_GB2312" w:hint="eastAsia"/>
          <w:b/>
          <w:color w:val="auto"/>
          <w:sz w:val="32"/>
          <w:szCs w:val="32"/>
        </w:rPr>
        <w:t>一般公共服务</w:t>
      </w:r>
      <w:bookmarkEnd w:id="53"/>
      <w:r>
        <w:rPr>
          <w:rFonts w:ascii="仿宋_GB2312" w:eastAsia="仿宋_GB2312" w:cs="仿宋_GB2312" w:hint="eastAsia"/>
          <w:b/>
          <w:color w:val="auto"/>
          <w:sz w:val="32"/>
          <w:szCs w:val="32"/>
        </w:rPr>
        <w:t>（201）</w:t>
      </w:r>
      <w:r>
        <w:rPr>
          <w:rFonts w:ascii="仿宋_GB2312" w:eastAsia="仿宋_GB2312" w:cs="仿宋_GB2312" w:hint="eastAsia"/>
          <w:color w:val="auto"/>
          <w:sz w:val="32"/>
          <w:szCs w:val="32"/>
        </w:rPr>
        <w:t>支出11103.15万元，占</w:t>
      </w:r>
      <w:r>
        <w:rPr>
          <w:rFonts w:ascii="仿宋_GB2312" w:eastAsia="仿宋_GB2312" w:cs="仿宋_GB2312" w:hint="eastAsia"/>
          <w:color w:val="auto"/>
          <w:sz w:val="32"/>
          <w:szCs w:val="32"/>
          <w:lang w:val="en-US" w:eastAsia="zh-CN"/>
        </w:rPr>
        <w:t>97.11</w:t>
      </w:r>
      <w:r>
        <w:rPr>
          <w:rFonts w:ascii="仿宋_GB2312" w:eastAsia="仿宋_GB2312" w:cs="仿宋_GB2312" w:hint="eastAsia"/>
          <w:color w:val="auto"/>
          <w:sz w:val="32"/>
          <w:szCs w:val="32"/>
        </w:rPr>
        <w:t>%；</w:t>
      </w:r>
      <w:r>
        <w:rPr>
          <w:rFonts w:ascii="仿宋_GB2312" w:eastAsia="仿宋_GB2312" w:cs="仿宋_GB2312" w:hint="eastAsia"/>
          <w:b/>
          <w:color w:val="auto"/>
          <w:sz w:val="32"/>
          <w:szCs w:val="32"/>
        </w:rPr>
        <w:t>教育（205）</w:t>
      </w:r>
      <w:r>
        <w:rPr>
          <w:rFonts w:ascii="仿宋_GB2312" w:eastAsia="仿宋_GB2312" w:cs="仿宋_GB2312" w:hint="eastAsia"/>
          <w:color w:val="auto"/>
          <w:sz w:val="32"/>
          <w:szCs w:val="32"/>
        </w:rPr>
        <w:t>支出0.6万元，占0%；</w:t>
      </w:r>
      <w:r>
        <w:rPr>
          <w:rFonts w:ascii="仿宋_GB2312" w:eastAsia="仿宋_GB2312" w:cs="仿宋_GB2312" w:hint="eastAsia"/>
          <w:b/>
          <w:color w:val="auto"/>
          <w:sz w:val="32"/>
          <w:szCs w:val="32"/>
        </w:rPr>
        <w:t>社会保障和就业（208）</w:t>
      </w:r>
      <w:r>
        <w:rPr>
          <w:rFonts w:ascii="仿宋_GB2312" w:eastAsia="仿宋_GB2312" w:cs="仿宋_GB2312" w:hint="eastAsia"/>
          <w:color w:val="auto"/>
          <w:sz w:val="32"/>
          <w:szCs w:val="32"/>
        </w:rPr>
        <w:t>支出155.43万元，占1.</w:t>
      </w:r>
      <w:r>
        <w:rPr>
          <w:rFonts w:ascii="仿宋_GB2312" w:eastAsia="仿宋_GB2312" w:cs="仿宋_GB2312" w:hint="eastAsia"/>
          <w:color w:val="auto"/>
          <w:sz w:val="32"/>
          <w:szCs w:val="32"/>
          <w:lang w:val="en-US" w:eastAsia="zh-CN"/>
        </w:rPr>
        <w:t>36</w:t>
      </w:r>
      <w:r>
        <w:rPr>
          <w:rFonts w:ascii="仿宋_GB2312" w:eastAsia="仿宋_GB2312" w:cs="仿宋_GB2312" w:hint="eastAsia"/>
          <w:color w:val="auto"/>
          <w:sz w:val="32"/>
          <w:szCs w:val="32"/>
        </w:rPr>
        <w:t>%；</w:t>
      </w:r>
      <w:r>
        <w:rPr>
          <w:rFonts w:ascii="仿宋_GB2312" w:eastAsia="仿宋_GB2312" w:cs="仿宋_GB2312" w:hint="eastAsia"/>
          <w:b/>
          <w:bCs/>
          <w:color w:val="auto"/>
          <w:sz w:val="32"/>
          <w:szCs w:val="32"/>
        </w:rPr>
        <w:t>卫生健康（210）</w:t>
      </w:r>
      <w:r>
        <w:rPr>
          <w:rFonts w:ascii="仿宋_GB2312" w:eastAsia="仿宋_GB2312" w:cs="仿宋_GB2312" w:hint="eastAsia"/>
          <w:bCs/>
          <w:color w:val="auto"/>
          <w:sz w:val="32"/>
          <w:szCs w:val="32"/>
        </w:rPr>
        <w:t>支出67.35</w:t>
      </w:r>
      <w:r>
        <w:rPr>
          <w:rFonts w:ascii="仿宋_GB2312" w:eastAsia="仿宋_GB2312" w:cs="仿宋_GB2312" w:hint="eastAsia"/>
          <w:color w:val="auto"/>
          <w:sz w:val="32"/>
          <w:szCs w:val="32"/>
        </w:rPr>
        <w:t>万元，占0.</w:t>
      </w:r>
      <w:r>
        <w:rPr>
          <w:rFonts w:ascii="仿宋_GB2312" w:eastAsia="仿宋_GB2312" w:cs="仿宋_GB2312" w:hint="eastAsia"/>
          <w:color w:val="auto"/>
          <w:sz w:val="32"/>
          <w:szCs w:val="32"/>
          <w:lang w:val="en-US" w:eastAsia="zh-CN"/>
        </w:rPr>
        <w:t>59</w:t>
      </w:r>
      <w:r>
        <w:rPr>
          <w:rFonts w:ascii="仿宋_GB2312" w:eastAsia="仿宋_GB2312" w:cs="仿宋_GB2312" w:hint="eastAsia"/>
          <w:color w:val="auto"/>
          <w:sz w:val="32"/>
          <w:szCs w:val="32"/>
        </w:rPr>
        <w:t>%；</w:t>
      </w:r>
      <w:r>
        <w:rPr>
          <w:rFonts w:ascii="仿宋_GB2312" w:eastAsia="仿宋_GB2312" w:cs="仿宋_GB2312" w:hint="eastAsia"/>
          <w:b/>
          <w:bCs/>
          <w:color w:val="auto"/>
          <w:sz w:val="32"/>
          <w:szCs w:val="32"/>
        </w:rPr>
        <w:t>住房保障（221）</w:t>
      </w:r>
      <w:r>
        <w:rPr>
          <w:rFonts w:ascii="仿宋_GB2312" w:eastAsia="仿宋_GB2312" w:cs="仿宋_GB2312" w:hint="eastAsia"/>
          <w:color w:val="auto"/>
          <w:sz w:val="32"/>
          <w:szCs w:val="32"/>
        </w:rPr>
        <w:t>支出106.76万元，占0.9</w:t>
      </w:r>
      <w:r>
        <w:rPr>
          <w:rFonts w:ascii="仿宋_GB2312" w:eastAsia="仿宋_GB2312" w:cs="仿宋_GB2312" w:hint="eastAsia"/>
          <w:color w:val="auto"/>
          <w:sz w:val="32"/>
          <w:szCs w:val="32"/>
          <w:lang w:val="en-US" w:eastAsia="zh-CN"/>
        </w:rPr>
        <w:t>4</w:t>
      </w:r>
      <w:r>
        <w:rPr>
          <w:rFonts w:ascii="仿宋_GB2312" w:eastAsia="仿宋_GB2312" w:cs="仿宋_GB2312" w:hint="eastAsia"/>
          <w:color w:val="auto"/>
          <w:sz w:val="32"/>
          <w:szCs w:val="32"/>
        </w:rPr>
        <w:t>%。</w:t>
      </w:r>
    </w:p>
    <w:p>
      <w:pPr>
        <w:pageBreakBefore w:val="0"/>
        <w:widowControl w:val="0"/>
        <w:kinsoku/>
        <w:wordWrap/>
        <w:overflowPunct/>
        <w:topLinePunct w:val="0"/>
        <w:bidi w:val="0"/>
        <w:spacing w:line="576" w:lineRule="exact"/>
        <w:ind w:firstLine="640"/>
        <w:rPr>
          <w:rFonts w:ascii="Times New Roman" w:eastAsia="仿宋" w:cs="Times New Roman" w:hAnsi="Times New Roman"/>
          <w:sz w:val="32"/>
          <w:szCs w:val="32"/>
          <w:lang w:eastAsia="zh-CN"/>
        </w:rPr>
      </w:pPr>
      <w:r>
        <w:rPr>
          <w:rFonts w:ascii="Times New Roman" w:eastAsia="仿宋" w:cs="Times New Roman" w:hAnsi="Times New Roman"/>
          <w:sz w:val="32"/>
          <w:szCs w:val="32"/>
          <w:lang w:eastAsia="zh-CN"/>
        </w:rPr>
        <w:drawing>
          <wp:anchor distT="0" distB="0" distL="114300" distR="114300" simplePos="0" relativeHeight="28" behindDoc="0" locked="0" layoutInCell="1" hidden="0" allowOverlap="1">
            <wp:simplePos x="0" y="0"/>
            <wp:positionH relativeFrom="column">
              <wp:posOffset>1310005</wp:posOffset>
            </wp:positionH>
            <wp:positionV relativeFrom="paragraph">
              <wp:posOffset>148590</wp:posOffset>
            </wp:positionV>
            <wp:extent cx="3139440" cy="2548889"/>
            <wp:effectExtent l="0" t="0" r="0" b="0"/>
            <wp:wrapNone/>
            <wp:docPr id="7" name="图表 1"/>
            <wp:cNvGraphicFramePr>
              <a:graphicFrameLocks noChangeAspect="0"/>
            </wp:cNvGraphicFramePr>
            <a:graphic>
              <a:graphicData uri="http://schemas.openxmlformats.org/drawingml/2006/chart">
                <c:chart xmlns:c="http://schemas.openxmlformats.org/drawingml/2006/chart" r:id="rId12"/>
              </a:graphicData>
            </a:graphic>
          </wp:anchor>
        </w:drawing>
      </w:r>
    </w:p>
    <w:p>
      <w:pPr>
        <w:pStyle w:val="15"/>
        <w:jc w:val="distribute"/>
        <w:rPr>
          <w:rFonts w:ascii="Times New Roman" w:eastAsia="仿宋" w:cs="Times New Roman" w:hAnsi="Times New Roman"/>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rPr>
          <w:rFonts w:ascii="Times New Roman" w:eastAsia="仿宋" w:cs="Times New Roman" w:hAnsi="Times New Roman"/>
          <w:color w:val="auto"/>
          <w:sz w:val="32"/>
          <w:szCs w:val="32"/>
        </w:rPr>
      </w:pPr>
    </w:p>
    <w:p>
      <w:pPr>
        <w:pageBreakBefore w:val="0"/>
        <w:widowControl w:val="0"/>
        <w:kinsoku/>
        <w:wordWrap/>
        <w:overflowPunct/>
        <w:topLinePunct w:val="0"/>
        <w:bidi w:val="0"/>
        <w:spacing w:line="576" w:lineRule="exact"/>
        <w:ind w:firstLineChars="200" w:firstLine="640"/>
        <w:rPr>
          <w:rFonts w:ascii="仿宋_GB2312" w:eastAsia="仿宋_GB2312" w:cs="仿宋_GB2312" w:hint="eastAsia"/>
          <w:sz w:val="32"/>
          <w:szCs w:val="32"/>
        </w:rPr>
      </w:pPr>
      <w:r>
        <w:rPr>
          <w:rFonts w:ascii="仿宋_GB2312" w:eastAsia="仿宋_GB2312" w:cs="仿宋_GB2312" w:hint="eastAsia"/>
          <w:color w:val="auto"/>
          <w:sz w:val="32"/>
          <w:szCs w:val="32"/>
        </w:rPr>
        <w:t>（图6：一般公共预算财政拨款支出决算结构）</w:t>
      </w:r>
    </w:p>
    <w:p>
      <w:pPr>
        <w:pageBreakBefore w:val="0"/>
        <w:widowControl w:val="0"/>
        <w:kinsoku/>
        <w:wordWrap/>
        <w:overflowPunct/>
        <w:topLinePunct w:val="0"/>
        <w:bidi w:val="0"/>
        <w:spacing w:line="576" w:lineRule="exact"/>
        <w:ind w:firstLineChars="200" w:firstLine="640"/>
        <w:outlineLvl w:val="2"/>
        <w:rPr>
          <w:rFonts w:ascii="仿宋_GB2312" w:eastAsia="仿宋_GB2312" w:cs="仿宋_GB2312" w:hint="eastAsia"/>
          <w:b/>
          <w:sz w:val="32"/>
          <w:szCs w:val="32"/>
        </w:rPr>
      </w:pPr>
      <w:bookmarkStart w:id="54" w:name="_Toc15377212"/>
      <w:r>
        <w:rPr>
          <w:rFonts w:ascii="仿宋_GB2312" w:eastAsia="仿宋_GB2312" w:cs="仿宋_GB2312" w:hint="eastAsia"/>
          <w:b/>
          <w:sz w:val="32"/>
          <w:szCs w:val="32"/>
        </w:rPr>
        <w:t>（三）一般公共预算财政拨款支出决算具体情况</w:t>
      </w:r>
      <w:bookmarkEnd w:id="54"/>
    </w:p>
    <w:p>
      <w:pPr>
        <w:pageBreakBefore w:val="0"/>
        <w:widowControl w:val="0"/>
        <w:kinsoku/>
        <w:wordWrap/>
        <w:overflowPunct/>
        <w:topLinePunct w:val="0"/>
        <w:bidi w:val="0"/>
        <w:spacing w:line="576" w:lineRule="exact"/>
        <w:ind w:firstLineChars="200" w:firstLine="640"/>
        <w:outlineLvl w:val="2"/>
        <w:rPr>
          <w:rFonts w:ascii="仿宋_GB2312" w:eastAsia="仿宋_GB2312" w:cs="仿宋_GB2312" w:hint="eastAsia"/>
          <w:sz w:val="32"/>
          <w:szCs w:val="32"/>
        </w:rPr>
      </w:pPr>
      <w:bookmarkStart w:id="55" w:name="_Toc15378460"/>
      <w:bookmarkStart w:id="56" w:name="_Toc15377213"/>
      <w:bookmarkStart w:id="57" w:name="_Toc15377444"/>
      <w:r>
        <w:rPr>
          <w:rFonts w:ascii="仿宋_GB2312" w:eastAsia="仿宋_GB2312" w:cs="仿宋_GB2312" w:hint="eastAsia"/>
          <w:b/>
          <w:sz w:val="32"/>
          <w:szCs w:val="32"/>
        </w:rPr>
        <w:t>2021年一般公共预算支出决算数为11433.29</w:t>
      </w:r>
      <w:r>
        <w:rPr>
          <w:rFonts w:ascii="仿宋_GB2312" w:eastAsia="仿宋_GB2312" w:cs="仿宋_GB2312" w:hint="eastAsia"/>
          <w:sz w:val="32"/>
          <w:szCs w:val="32"/>
        </w:rPr>
        <w:t>，</w:t>
      </w:r>
      <w:r>
        <w:rPr>
          <w:rStyle w:val="22"/>
          <w:rFonts w:ascii="仿宋_GB2312" w:eastAsia="仿宋_GB2312" w:cs="仿宋_GB2312" w:hint="eastAsia"/>
          <w:bCs/>
          <w:sz w:val="32"/>
          <w:szCs w:val="32"/>
        </w:rPr>
        <w:t>完成预算100%。其中：</w:t>
      </w:r>
      <w:bookmarkEnd w:id="55"/>
      <w:bookmarkEnd w:id="56"/>
      <w:bookmarkEnd w:id="57"/>
    </w:p>
    <w:p>
      <w:pPr>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Cs/>
          <w:sz w:val="32"/>
          <w:szCs w:val="32"/>
        </w:rPr>
      </w:pPr>
      <w:r>
        <w:rPr>
          <w:rStyle w:val="22"/>
          <w:rFonts w:ascii="仿宋_GB2312" w:eastAsia="仿宋_GB2312" w:cs="仿宋_GB2312" w:hint="eastAsia"/>
          <w:bCs/>
          <w:sz w:val="32"/>
          <w:szCs w:val="32"/>
        </w:rPr>
        <w:t>1.一般公共服务（201）</w:t>
      </w:r>
      <w:r>
        <w:rPr>
          <w:rFonts w:ascii="仿宋_GB2312" w:eastAsia="仿宋_GB2312" w:cs="仿宋_GB2312" w:hint="eastAsia"/>
          <w:b/>
          <w:bCs/>
          <w:color w:val="000000"/>
          <w:kern w:val="0"/>
          <w:sz w:val="32"/>
          <w:szCs w:val="32"/>
          <w:lang w:val="en-US" w:eastAsia="zh-CN" w:bidi="ar-SA"/>
        </w:rPr>
        <w:t>党委办公厅（室）及相关机构事务</w:t>
      </w:r>
      <w:r>
        <w:rPr>
          <w:rStyle w:val="22"/>
          <w:rFonts w:ascii="仿宋_GB2312" w:eastAsia="仿宋_GB2312" w:cs="仿宋_GB2312" w:hint="eastAsia"/>
          <w:bCs/>
          <w:sz w:val="32"/>
          <w:szCs w:val="32"/>
        </w:rPr>
        <w:t>（31），支出决算为11103.15万元，完成预算100%。</w:t>
      </w:r>
    </w:p>
    <w:p>
      <w:pPr>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Style w:val="22"/>
          <w:rFonts w:ascii="仿宋_GB2312" w:eastAsia="仿宋_GB2312" w:cs="仿宋_GB2312" w:hint="eastAsia"/>
          <w:b w:val="0"/>
          <w:bCs/>
          <w:sz w:val="32"/>
          <w:szCs w:val="32"/>
        </w:rPr>
        <w:t>1.1行政运行（01）: 支出决算为2262.26万元，完成预算100%。</w:t>
      </w:r>
    </w:p>
    <w:p>
      <w:pPr>
        <w:pStyle w:val="15"/>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Fonts w:ascii="仿宋_GB2312" w:eastAsia="仿宋_GB2312" w:cs="仿宋_GB2312" w:hint="eastAsia"/>
          <w:sz w:val="32"/>
          <w:szCs w:val="32"/>
        </w:rPr>
        <w:t>1.2一般行政管理事务（02）：</w:t>
      </w:r>
      <w:r>
        <w:rPr>
          <w:rStyle w:val="22"/>
          <w:rFonts w:ascii="仿宋_GB2312" w:eastAsia="仿宋_GB2312" w:cs="仿宋_GB2312" w:hint="eastAsia"/>
          <w:b w:val="0"/>
          <w:bCs/>
          <w:sz w:val="32"/>
          <w:szCs w:val="32"/>
        </w:rPr>
        <w:t>支出决算为8840.89万元，完成预算100%。</w:t>
      </w:r>
    </w:p>
    <w:p>
      <w:pPr>
        <w:pageBreakBefore w:val="0"/>
        <w:widowControl w:val="0"/>
        <w:kinsoku/>
        <w:wordWrap/>
        <w:overflowPunct/>
        <w:topLinePunct w:val="0"/>
        <w:bidi w:val="0"/>
        <w:spacing w:line="576" w:lineRule="exact"/>
        <w:ind w:firstLineChars="200" w:firstLine="640"/>
        <w:rPr>
          <w:rFonts w:ascii="仿宋_GB2312" w:eastAsia="仿宋_GB2312" w:cs="仿宋_GB2312" w:hint="eastAsia"/>
          <w:b/>
          <w:sz w:val="32"/>
          <w:szCs w:val="32"/>
        </w:rPr>
      </w:pPr>
      <w:r>
        <w:rPr>
          <w:rStyle w:val="22"/>
          <w:rFonts w:ascii="仿宋_GB2312" w:eastAsia="仿宋_GB2312" w:cs="仿宋_GB2312" w:hint="eastAsia"/>
          <w:bCs/>
          <w:sz w:val="32"/>
          <w:szCs w:val="32"/>
        </w:rPr>
        <w:t>2.教育（205）其他教育（99）其他教育（99）:</w:t>
      </w:r>
      <w:r>
        <w:rPr>
          <w:rStyle w:val="22"/>
          <w:rFonts w:ascii="仿宋_GB2312" w:eastAsia="仿宋_GB2312" w:cs="仿宋_GB2312" w:hint="eastAsia"/>
          <w:b w:val="0"/>
          <w:bCs/>
          <w:sz w:val="32"/>
          <w:szCs w:val="32"/>
        </w:rPr>
        <w:t xml:space="preserve"> 支出决算为0.6万元，完成预算100%。</w:t>
      </w:r>
    </w:p>
    <w:p>
      <w:pPr>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Style w:val="22"/>
          <w:rFonts w:ascii="仿宋_GB2312" w:eastAsia="仿宋_GB2312" w:cs="仿宋_GB2312" w:hint="eastAsia"/>
          <w:bCs/>
          <w:sz w:val="32"/>
          <w:szCs w:val="32"/>
        </w:rPr>
        <w:t>3.社会保障和就业（208）行政事业单位养老（05），</w:t>
      </w:r>
      <w:r>
        <w:rPr>
          <w:rStyle w:val="22"/>
          <w:rFonts w:ascii="仿宋_GB2312" w:eastAsia="仿宋_GB2312" w:cs="仿宋_GB2312" w:hint="eastAsia"/>
          <w:b w:val="0"/>
          <w:bCs/>
          <w:sz w:val="32"/>
          <w:szCs w:val="32"/>
        </w:rPr>
        <w:t>支出决算为155.43万元，完成预算100%。</w:t>
      </w:r>
    </w:p>
    <w:p>
      <w:pPr>
        <w:pStyle w:val="15"/>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Fonts w:ascii="仿宋_GB2312" w:eastAsia="仿宋_GB2312" w:cs="仿宋_GB2312" w:hint="eastAsia"/>
          <w:sz w:val="32"/>
          <w:szCs w:val="32"/>
        </w:rPr>
        <w:t>3.1机关事业单位基本养老保险缴费（05）：</w:t>
      </w:r>
      <w:r>
        <w:rPr>
          <w:rStyle w:val="22"/>
          <w:rFonts w:ascii="仿宋_GB2312" w:eastAsia="仿宋_GB2312" w:cs="仿宋_GB2312" w:hint="eastAsia"/>
          <w:b w:val="0"/>
          <w:bCs/>
          <w:sz w:val="32"/>
          <w:szCs w:val="32"/>
        </w:rPr>
        <w:t>支出决算为104.14万元，完成预算100%。</w:t>
      </w:r>
    </w:p>
    <w:p>
      <w:pPr>
        <w:pStyle w:val="15"/>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Style w:val="22"/>
          <w:rFonts w:ascii="仿宋_GB2312" w:eastAsia="仿宋_GB2312" w:cs="仿宋_GB2312" w:hint="eastAsia"/>
          <w:b w:val="0"/>
          <w:bCs/>
          <w:sz w:val="32"/>
          <w:szCs w:val="32"/>
        </w:rPr>
        <w:t>3.2机关事业单位职业年金缴费（06）：支出决算为51.29万元，完成预算100%。</w:t>
      </w:r>
    </w:p>
    <w:p>
      <w:pPr>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Style w:val="22"/>
          <w:rFonts w:ascii="仿宋_GB2312" w:eastAsia="仿宋_GB2312" w:cs="仿宋_GB2312" w:hint="eastAsia"/>
          <w:bCs/>
          <w:sz w:val="32"/>
          <w:szCs w:val="32"/>
        </w:rPr>
        <w:t>4.</w:t>
      </w:r>
      <w:r>
        <w:rPr>
          <w:rFonts w:ascii="仿宋_GB2312" w:eastAsia="仿宋_GB2312" w:cs="仿宋_GB2312" w:hint="eastAsia"/>
          <w:b/>
          <w:bCs/>
          <w:sz w:val="32"/>
          <w:szCs w:val="32"/>
        </w:rPr>
        <w:t>卫生健康</w:t>
      </w:r>
      <w:r>
        <w:rPr>
          <w:rStyle w:val="22"/>
          <w:rFonts w:ascii="仿宋_GB2312" w:eastAsia="仿宋_GB2312" w:cs="仿宋_GB2312" w:hint="eastAsia"/>
          <w:bCs/>
          <w:sz w:val="32"/>
          <w:szCs w:val="32"/>
        </w:rPr>
        <w:t>（210）行政事业单位医疗（11）:</w:t>
      </w:r>
      <w:r>
        <w:rPr>
          <w:rStyle w:val="22"/>
          <w:rFonts w:ascii="仿宋_GB2312" w:eastAsia="仿宋_GB2312" w:cs="仿宋_GB2312" w:hint="eastAsia"/>
          <w:b w:val="0"/>
          <w:bCs/>
          <w:sz w:val="32"/>
          <w:szCs w:val="32"/>
        </w:rPr>
        <w:t>支出决算为67.35万元，完成预算100%。</w:t>
      </w:r>
    </w:p>
    <w:p>
      <w:pPr>
        <w:pStyle w:val="15"/>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Fonts w:ascii="仿宋_GB2312" w:eastAsia="仿宋_GB2312" w:cs="仿宋_GB2312" w:hint="eastAsia"/>
          <w:sz w:val="32"/>
          <w:szCs w:val="32"/>
        </w:rPr>
        <w:t>4.1行政单位医疗（01）：</w:t>
      </w:r>
      <w:r>
        <w:rPr>
          <w:rStyle w:val="22"/>
          <w:rFonts w:ascii="仿宋_GB2312" w:eastAsia="仿宋_GB2312" w:cs="仿宋_GB2312" w:hint="eastAsia"/>
          <w:b w:val="0"/>
          <w:bCs/>
          <w:sz w:val="32"/>
          <w:szCs w:val="32"/>
        </w:rPr>
        <w:t>支出决算为49.78万元，完成预算100%。</w:t>
      </w:r>
    </w:p>
    <w:p>
      <w:pPr>
        <w:pStyle w:val="15"/>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Style w:val="22"/>
          <w:rFonts w:ascii="仿宋_GB2312" w:eastAsia="仿宋_GB2312" w:cs="仿宋_GB2312" w:hint="eastAsia"/>
          <w:b w:val="0"/>
          <w:bCs/>
          <w:sz w:val="32"/>
          <w:szCs w:val="32"/>
        </w:rPr>
        <w:t>4.2公务员医疗补助（03）：支出决算为17.58万元，完成预算100%。</w:t>
      </w:r>
    </w:p>
    <w:p>
      <w:pPr>
        <w:pageBreakBefore w:val="0"/>
        <w:widowControl w:val="0"/>
        <w:kinsoku/>
        <w:wordWrap/>
        <w:overflowPunct/>
        <w:topLinePunct w:val="0"/>
        <w:bidi w:val="0"/>
        <w:spacing w:line="576" w:lineRule="exact"/>
        <w:ind w:firstLineChars="200" w:firstLine="640"/>
        <w:rPr>
          <w:rStyle w:val="22"/>
          <w:rFonts w:ascii="仿宋_GB2312" w:eastAsia="仿宋_GB2312" w:cs="仿宋_GB2312" w:hint="eastAsia"/>
          <w:b w:val="0"/>
          <w:bCs/>
          <w:sz w:val="32"/>
          <w:szCs w:val="32"/>
        </w:rPr>
      </w:pPr>
      <w:r>
        <w:rPr>
          <w:rStyle w:val="22"/>
          <w:rFonts w:ascii="仿宋_GB2312" w:eastAsia="仿宋_GB2312" w:cs="仿宋_GB2312" w:hint="eastAsia"/>
          <w:bCs/>
          <w:sz w:val="32"/>
          <w:szCs w:val="32"/>
        </w:rPr>
        <w:t>5.</w:t>
      </w:r>
      <w:r>
        <w:rPr>
          <w:rFonts w:ascii="仿宋_GB2312" w:eastAsia="仿宋_GB2312" w:cs="仿宋_GB2312" w:hint="eastAsia"/>
          <w:b/>
          <w:bCs/>
          <w:sz w:val="32"/>
          <w:szCs w:val="32"/>
        </w:rPr>
        <w:t>住房保障</w:t>
      </w:r>
      <w:r>
        <w:rPr>
          <w:rStyle w:val="22"/>
          <w:rFonts w:ascii="仿宋_GB2312" w:eastAsia="仿宋_GB2312" w:cs="仿宋_GB2312" w:hint="eastAsia"/>
          <w:bCs/>
          <w:sz w:val="32"/>
          <w:szCs w:val="32"/>
        </w:rPr>
        <w:t>（221）住房改革（02）住房公积金（01）:</w:t>
      </w:r>
      <w:r>
        <w:rPr>
          <w:rStyle w:val="22"/>
          <w:rFonts w:ascii="仿宋_GB2312" w:eastAsia="仿宋_GB2312" w:cs="仿宋_GB2312" w:hint="eastAsia"/>
          <w:b w:val="0"/>
          <w:bCs/>
          <w:sz w:val="32"/>
          <w:szCs w:val="32"/>
        </w:rPr>
        <w:t>支出决算为106.76万元，完成预算100%。</w:t>
      </w:r>
    </w:p>
    <w:p>
      <w:pPr>
        <w:pStyle w:val="15"/>
      </w:pPr>
    </w:p>
    <w:p>
      <w:pPr>
        <w:pageBreakBefore w:val="0"/>
        <w:widowControl w:val="0"/>
        <w:tabs>
          <w:tab w:val="right" w:pos="8306"/>
        </w:tabs>
        <w:kinsoku/>
        <w:wordWrap/>
        <w:overflowPunct/>
        <w:topLinePunct w:val="0"/>
        <w:bidi w:val="0"/>
        <w:spacing w:line="576" w:lineRule="exact"/>
        <w:ind w:firstLine="640"/>
        <w:outlineLvl w:val="1"/>
        <w:rPr>
          <w:rStyle w:val="2Char"/>
          <w:rFonts w:ascii="Times New Roman" w:cs="Times New Roman" w:hAnsi="Times New Roman"/>
        </w:rPr>
      </w:pPr>
      <w:bookmarkStart w:id="58" w:name="_Toc15396608"/>
      <w:bookmarkStart w:id="59" w:name="_Toc15377214"/>
      <w:bookmarkStart w:id="60" w:name="_Toc26843617"/>
      <w:r>
        <w:rPr>
          <w:rFonts w:ascii="Times New Roman" w:eastAsia="黑体" w:cs="Times New Roman" w:hAnsi="Times New Roman"/>
          <w:sz w:val="32"/>
          <w:szCs w:val="32"/>
        </w:rPr>
        <w:t>六</w:t>
      </w:r>
      <w:r>
        <w:rPr>
          <w:rFonts w:ascii="Times New Roman" w:eastAsia="黑体" w:cs="Times New Roman" w:hAnsi="Times New Roman"/>
          <w:b/>
          <w:sz w:val="32"/>
          <w:szCs w:val="32"/>
        </w:rPr>
        <w:t>、一</w:t>
      </w:r>
      <w:r>
        <w:rPr>
          <w:rStyle w:val="2Char"/>
          <w:rFonts w:ascii="Times New Roman" w:eastAsia="黑体" w:cs="Times New Roman" w:hAnsi="Times New Roman"/>
          <w:b w:val="0"/>
        </w:rPr>
        <w:t>般公共预算财政拨款基本支出决算情况说明</w:t>
      </w:r>
      <w:bookmarkEnd w:id="58"/>
      <w:bookmarkEnd w:id="59"/>
      <w:r>
        <w:rPr>
          <w:rStyle w:val="2Char"/>
          <w:rFonts w:ascii="Times New Roman" w:eastAsia="黑体" w:cs="Times New Roman" w:hAnsi="Times New Roman"/>
          <w:b w:val="0"/>
        </w:rPr>
        <w:tab/>
      </w:r>
      <w:bookmarkEnd w:id="60"/>
    </w:p>
    <w:p>
      <w:pPr>
        <w:pageBreakBefore w:val="0"/>
        <w:widowControl w:val="0"/>
        <w:kinsoku/>
        <w:wordWrap/>
        <w:overflowPunct/>
        <w:topLinePunct w:val="0"/>
        <w:bidi w:val="0"/>
        <w:spacing w:line="576" w:lineRule="exact"/>
        <w:ind w:firstLine="645"/>
        <w:rPr>
          <w:rFonts w:ascii="Times New Roman" w:eastAsia="仿宋_GB2312" w:cs="Times New Roman" w:hAnsi="Times New Roman"/>
          <w:sz w:val="32"/>
          <w:szCs w:val="32"/>
        </w:rPr>
      </w:pPr>
      <w:r>
        <w:rPr>
          <w:rFonts w:ascii="Times New Roman" w:eastAsia="仿宋_GB2312" w:cs="Times New Roman" w:hAnsi="Times New Roman"/>
          <w:sz w:val="32"/>
          <w:szCs w:val="32"/>
        </w:rPr>
        <w:t>2021年一般公共预算财政拨款基本支出</w:t>
      </w:r>
      <w:r>
        <w:rPr>
          <w:rFonts w:eastAsia="仿宋_GB2312" w:cs="Times New Roman" w:hint="eastAsia"/>
          <w:sz w:val="32"/>
          <w:szCs w:val="32"/>
          <w:lang w:val="en-US" w:eastAsia="zh-CN"/>
        </w:rPr>
        <w:t>2591.80</w:t>
      </w:r>
      <w:r>
        <w:rPr>
          <w:rFonts w:ascii="Times New Roman" w:eastAsia="仿宋_GB2312" w:cs="Times New Roman" w:hAnsi="Times New Roman"/>
          <w:sz w:val="32"/>
          <w:szCs w:val="32"/>
        </w:rPr>
        <w:t>万元，其中：</w:t>
      </w:r>
    </w:p>
    <w:p>
      <w:pPr>
        <w:pageBreakBefore w:val="0"/>
        <w:widowControl w:val="0"/>
        <w:kinsoku/>
        <w:wordWrap/>
        <w:overflowPunct/>
        <w:topLinePunct w:val="0"/>
        <w:bidi w:val="0"/>
        <w:spacing w:line="576" w:lineRule="exact"/>
        <w:ind w:firstLine="645"/>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rPr>
        <w:t>人员经费</w:t>
      </w:r>
      <w:r>
        <w:rPr>
          <w:rFonts w:eastAsia="仿宋_GB2312" w:cs="Times New Roman" w:hint="eastAsia"/>
          <w:sz w:val="32"/>
          <w:szCs w:val="32"/>
          <w:lang w:val="en-US" w:eastAsia="zh-CN"/>
        </w:rPr>
        <w:t>1728.66</w:t>
      </w:r>
      <w:r>
        <w:rPr>
          <w:rFonts w:ascii="Times New Roman" w:eastAsia="仿宋_GB2312" w:cs="Times New Roman" w:hAnsi="Times New Roman"/>
          <w:sz w:val="32"/>
          <w:szCs w:val="32"/>
        </w:rPr>
        <w:t>万元，主要包括：基本工资278.78万元、津贴补贴807.95万元、奖金21.44万元、伙食补助费80.81万元、机关事业单位基本养老保险缴费104.14万元、职业年金缴费51.29万元、职工基本医疗保险缴费49.78万元、公务员医疗补助缴费17.58万元、其他社会保障缴费3.83万元、其他工资福利支出139.39万元、抚恤金26.77万元、生活补助40.15万元、住房公积金106.76万元等。</w:t>
      </w:r>
    </w:p>
    <w:p>
      <w:pPr>
        <w:pageBreakBefore w:val="0"/>
        <w:widowControl w:val="0"/>
        <w:kinsoku/>
        <w:wordWrap/>
        <w:overflowPunct/>
        <w:topLinePunct w:val="0"/>
        <w:bidi w:val="0"/>
        <w:spacing w:line="576" w:lineRule="exact"/>
        <w:ind w:firstLine="645"/>
        <w:rPr>
          <w:rFonts w:ascii="Times New Roman" w:eastAsia="仿宋_GB2312" w:cs="Times New Roman" w:hAnsi="Times New Roman"/>
          <w:sz w:val="32"/>
          <w:szCs w:val="32"/>
        </w:rPr>
      </w:pPr>
      <w:r>
        <w:rPr>
          <w:rFonts w:ascii="Times New Roman" w:eastAsia="仿宋_GB2312" w:cs="Times New Roman" w:hAnsi="Times New Roman"/>
          <w:sz w:val="32"/>
          <w:szCs w:val="32"/>
        </w:rPr>
        <w:t>公用经费</w:t>
      </w:r>
      <w:r>
        <w:rPr>
          <w:rFonts w:eastAsia="仿宋_GB2312" w:cs="Times New Roman" w:hint="eastAsia"/>
          <w:sz w:val="32"/>
          <w:szCs w:val="32"/>
          <w:lang w:val="en-US" w:eastAsia="zh-CN"/>
        </w:rPr>
        <w:t>863.15</w:t>
      </w:r>
      <w:r>
        <w:rPr>
          <w:rFonts w:ascii="Times New Roman" w:eastAsia="仿宋_GB2312" w:cs="Times New Roman" w:hAnsi="Times New Roman"/>
          <w:sz w:val="32"/>
          <w:szCs w:val="32"/>
        </w:rPr>
        <w:t>万元，主要包括：办公费153.36万元、印刷费10.04万元、手续费0.07万元、水费2.54万元、电费3.54万元、邮电费38.86万元、差旅费159.91万元、维修（护）费11.32万元、租赁费6.59万元、会议费122.78万元、培训费0.26万元、公务接待费3.04万元、劳务费23.88万元、委托业务费35.42万元、工会经费3.80万元、福利费6.52万元、公务用车运行维护费161.21万元、其他交通费0.10万元、办公设备购置0.90万元、公务用车购置119</w:t>
      </w:r>
      <w:r>
        <w:rPr>
          <w:rFonts w:eastAsia="仿宋_GB2312" w:cs="Times New Roman" w:hint="eastAsia"/>
          <w:sz w:val="32"/>
          <w:szCs w:val="32"/>
          <w:lang w:val="en-US" w:eastAsia="zh-CN"/>
        </w:rPr>
        <w:t>.00</w:t>
      </w:r>
      <w:r>
        <w:rPr>
          <w:rFonts w:ascii="Times New Roman" w:eastAsia="仿宋_GB2312" w:cs="Times New Roman" w:hAnsi="Times New Roman"/>
          <w:sz w:val="32"/>
          <w:szCs w:val="32"/>
        </w:rPr>
        <w:t>万元等。</w:t>
      </w:r>
    </w:p>
    <w:p>
      <w:pPr>
        <w:pStyle w:val="15"/>
        <w:pageBreakBefore w:val="0"/>
        <w:widowControl w:val="0"/>
        <w:kinsoku/>
        <w:wordWrap/>
        <w:overflowPunct/>
        <w:topLinePunct w:val="0"/>
        <w:bidi w:val="0"/>
        <w:spacing w:line="576" w:lineRule="exact"/>
        <w:rPr>
          <w:rFonts w:ascii="Times New Roman" w:cs="Times New Roman" w:hAnsi="Times New Roman"/>
        </w:rPr>
      </w:pPr>
    </w:p>
    <w:p>
      <w:pPr>
        <w:pageBreakBefore w:val="0"/>
        <w:widowControl w:val="0"/>
        <w:kinsoku/>
        <w:wordWrap/>
        <w:overflowPunct/>
        <w:topLinePunct w:val="0"/>
        <w:bidi w:val="0"/>
        <w:spacing w:line="576" w:lineRule="exact"/>
        <w:ind w:firstLine="640"/>
        <w:outlineLvl w:val="1"/>
        <w:rPr>
          <w:rStyle w:val="2Char"/>
          <w:rFonts w:ascii="Times New Roman" w:eastAsia="黑体" w:cs="Times New Roman" w:hAnsi="Times New Roman"/>
          <w:b w:val="0"/>
        </w:rPr>
      </w:pPr>
      <w:bookmarkStart w:id="61" w:name="_Toc15396609"/>
      <w:bookmarkStart w:id="62" w:name="_Toc15377215"/>
      <w:bookmarkStart w:id="63" w:name="_Toc26843618"/>
      <w:r>
        <w:rPr>
          <w:rFonts w:ascii="Times New Roman" w:eastAsia="黑体" w:cs="Times New Roman" w:hAnsi="Times New Roman"/>
          <w:sz w:val="32"/>
          <w:szCs w:val="32"/>
        </w:rPr>
        <w:t>七、</w:t>
      </w:r>
      <w:r>
        <w:rPr>
          <w:rStyle w:val="2Char"/>
          <w:rFonts w:ascii="Times New Roman" w:eastAsia="黑体" w:cs="Times New Roman" w:hAnsi="Times New Roman"/>
        </w:rPr>
        <w:t>“</w:t>
      </w:r>
      <w:r>
        <w:rPr>
          <w:rStyle w:val="2Char"/>
          <w:rFonts w:ascii="Times New Roman" w:eastAsia="黑体" w:cs="Times New Roman" w:hAnsi="Times New Roman"/>
          <w:b w:val="0"/>
        </w:rPr>
        <w:t>三公”经费财政拨款支出决算情况说明</w:t>
      </w:r>
      <w:bookmarkEnd w:id="61"/>
      <w:bookmarkEnd w:id="62"/>
      <w:bookmarkEnd w:id="63"/>
    </w:p>
    <w:p>
      <w:pPr>
        <w:pageBreakBefore w:val="0"/>
        <w:widowControl w:val="0"/>
        <w:kinsoku/>
        <w:wordWrap/>
        <w:overflowPunct/>
        <w:topLinePunct w:val="0"/>
        <w:bidi w:val="0"/>
        <w:spacing w:line="576" w:lineRule="exact"/>
        <w:ind w:firstLine="640"/>
        <w:outlineLvl w:val="2"/>
        <w:rPr>
          <w:rFonts w:ascii="Times New Roman" w:eastAsia="仿宋" w:cs="Times New Roman" w:hAnsi="Times New Roman"/>
          <w:b/>
          <w:sz w:val="32"/>
          <w:szCs w:val="32"/>
        </w:rPr>
      </w:pPr>
      <w:bookmarkStart w:id="64" w:name="_Toc15377216"/>
      <w:r>
        <w:rPr>
          <w:rFonts w:ascii="Times New Roman" w:eastAsia="仿宋" w:cs="Times New Roman" w:hAnsi="Times New Roman"/>
          <w:b/>
          <w:sz w:val="32"/>
          <w:szCs w:val="32"/>
        </w:rPr>
        <w:t>（一）“三公”经费财政拨款支出决算总体情况说明</w:t>
      </w:r>
      <w:bookmarkEnd w:id="64"/>
    </w:p>
    <w:p>
      <w:pPr>
        <w:pageBreakBefore w:val="0"/>
        <w:widowControl w:val="0"/>
        <w:kinsoku/>
        <w:wordWrap/>
        <w:overflowPunct/>
        <w:topLinePunct w:val="0"/>
        <w:bidi w:val="0"/>
        <w:spacing w:line="576" w:lineRule="exact"/>
        <w:ind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2021年“三公”经费财政拨款支出决算为358.84万元，完成预算131.32%，决算数大于预算数的主要原因是公务用车购置经费为年末专项经费，未在年初预算中编制。</w:t>
      </w:r>
    </w:p>
    <w:p>
      <w:pPr>
        <w:pageBreakBefore w:val="0"/>
        <w:widowControl w:val="0"/>
        <w:kinsoku/>
        <w:wordWrap/>
        <w:overflowPunct/>
        <w:topLinePunct w:val="0"/>
        <w:bidi w:val="0"/>
        <w:spacing w:line="576" w:lineRule="exact"/>
        <w:ind w:firstLine="640"/>
        <w:outlineLvl w:val="2"/>
        <w:rPr>
          <w:rFonts w:ascii="Times New Roman" w:eastAsia="仿宋" w:cs="Times New Roman" w:hAnsi="Times New Roman"/>
          <w:b/>
          <w:sz w:val="32"/>
          <w:szCs w:val="32"/>
        </w:rPr>
      </w:pPr>
      <w:bookmarkStart w:id="65" w:name="_Toc15377217"/>
      <w:r>
        <w:rPr>
          <w:rFonts w:ascii="Times New Roman" w:eastAsia="仿宋" w:cs="Times New Roman" w:hAnsi="Times New Roman"/>
          <w:b/>
          <w:sz w:val="32"/>
          <w:szCs w:val="32"/>
        </w:rPr>
        <w:t>（二）</w:t>
      </w:r>
      <w:bookmarkStart w:id="66" w:name="OLE_LINK2"/>
      <w:r>
        <w:rPr>
          <w:rFonts w:ascii="Times New Roman" w:eastAsia="仿宋" w:cs="Times New Roman" w:hAnsi="Times New Roman"/>
          <w:b/>
          <w:sz w:val="32"/>
          <w:szCs w:val="32"/>
        </w:rPr>
        <w:t>“三公”经费财政拨款支出</w:t>
      </w:r>
      <w:bookmarkEnd w:id="66"/>
      <w:r>
        <w:rPr>
          <w:rFonts w:ascii="Times New Roman" w:eastAsia="仿宋" w:cs="Times New Roman" w:hAnsi="Times New Roman"/>
          <w:b/>
          <w:sz w:val="32"/>
          <w:szCs w:val="32"/>
        </w:rPr>
        <w:t>决算具体情况说明</w:t>
      </w:r>
      <w:bookmarkEnd w:id="65"/>
    </w:p>
    <w:p>
      <w:pPr>
        <w:pageBreakBefore w:val="0"/>
        <w:widowControl w:val="0"/>
        <w:kinsoku/>
        <w:wordWrap/>
        <w:overflowPunct/>
        <w:topLinePunct w:val="0"/>
        <w:bidi w:val="0"/>
        <w:spacing w:line="576" w:lineRule="exact"/>
        <w:ind w:firstLine="640"/>
        <w:rPr>
          <w:rFonts w:ascii="Times New Roman" w:eastAsia="仿宋" w:cs="Times New Roman" w:hAnsi="Times New Roman"/>
          <w:sz w:val="32"/>
          <w:szCs w:val="32"/>
        </w:rPr>
      </w:pPr>
      <w:r>
        <w:rPr>
          <w:rFonts w:ascii="Times New Roman" w:eastAsia="仿宋_GB2312" w:cs="Times New Roman" w:hAnsi="Times New Roman"/>
          <w:sz w:val="32"/>
          <w:szCs w:val="32"/>
        </w:rPr>
        <w:t>2021年“三公”经费财政拨款支出决算中，</w:t>
      </w:r>
      <w:bookmarkStart w:id="67" w:name="OLE_LINK3"/>
      <w:r>
        <w:rPr>
          <w:rFonts w:ascii="Times New Roman" w:eastAsia="仿宋_GB2312" w:cs="Times New Roman" w:hAnsi="Times New Roman"/>
          <w:sz w:val="32"/>
          <w:szCs w:val="32"/>
        </w:rPr>
        <w:t>因公出国（境）费支出</w:t>
      </w:r>
      <w:bookmarkEnd w:id="67"/>
      <w:r>
        <w:rPr>
          <w:rFonts w:ascii="Times New Roman" w:eastAsia="仿宋_GB2312" w:cs="Times New Roman" w:hAnsi="Times New Roman"/>
          <w:sz w:val="32"/>
          <w:szCs w:val="32"/>
        </w:rPr>
        <w:t>决算0万元，占0%；</w:t>
      </w:r>
      <w:bookmarkStart w:id="68" w:name="OLE_LINK4"/>
      <w:r>
        <w:rPr>
          <w:rFonts w:ascii="Times New Roman" w:eastAsia="仿宋_GB2312" w:cs="Times New Roman" w:hAnsi="Times New Roman"/>
          <w:sz w:val="32"/>
          <w:szCs w:val="32"/>
        </w:rPr>
        <w:t>公务用车购置及运行维护费支出</w:t>
      </w:r>
      <w:bookmarkEnd w:id="68"/>
      <w:r>
        <w:rPr>
          <w:rFonts w:ascii="Times New Roman" w:eastAsia="仿宋_GB2312" w:cs="Times New Roman" w:hAnsi="Times New Roman"/>
          <w:sz w:val="32"/>
          <w:szCs w:val="32"/>
        </w:rPr>
        <w:t>决算355.8万元，占99.</w:t>
      </w:r>
      <w:r>
        <w:rPr>
          <w:rFonts w:eastAsia="仿宋_GB2312" w:cs="Times New Roman" w:hint="eastAsia"/>
          <w:sz w:val="32"/>
          <w:szCs w:val="32"/>
          <w:lang w:val="en-US" w:eastAsia="zh-CN"/>
        </w:rPr>
        <w:t>15</w:t>
      </w:r>
      <w:r>
        <w:rPr>
          <w:rFonts w:ascii="Times New Roman" w:eastAsia="仿宋_GB2312" w:cs="Times New Roman" w:hAnsi="Times New Roman"/>
          <w:sz w:val="32"/>
          <w:szCs w:val="32"/>
        </w:rPr>
        <w:t>%；公务接待费支出决算3.04万</w:t>
      </w:r>
      <w:r>
        <w:rPr>
          <w:rFonts w:ascii="Times New Roman" w:eastAsia="仿宋" w:cs="Times New Roman" w:hAnsi="Times New Roman"/>
          <w:sz w:val="32"/>
          <w:szCs w:val="32"/>
        </w:rPr>
        <w:t>元，占0.</w:t>
      </w:r>
      <w:r>
        <w:rPr>
          <w:rFonts w:eastAsia="仿宋" w:cs="Times New Roman" w:hint="eastAsia"/>
          <w:sz w:val="32"/>
          <w:szCs w:val="32"/>
          <w:lang w:val="en-US" w:eastAsia="zh-CN"/>
        </w:rPr>
        <w:t>85</w:t>
      </w:r>
      <w:r>
        <w:rPr>
          <w:rFonts w:ascii="Times New Roman" w:eastAsia="仿宋" w:cs="Times New Roman" w:hAnsi="Times New Roman"/>
          <w:sz w:val="32"/>
          <w:szCs w:val="32"/>
        </w:rPr>
        <w:t>%。具体情况如下：</w:t>
      </w:r>
    </w:p>
    <w:p>
      <w:pPr>
        <w:pStyle w:val="15"/>
        <w:pageBreakBefore w:val="0"/>
        <w:widowControl w:val="0"/>
        <w:kinsoku/>
        <w:wordWrap/>
        <w:overflowPunct/>
        <w:topLinePunct w:val="0"/>
        <w:bidi w:val="0"/>
        <w:spacing w:line="576" w:lineRule="exact"/>
        <w:rPr>
          <w:rFonts w:ascii="Times New Roman" w:cs="Times New Roman" w:hAnsi="Times New Roman"/>
        </w:rPr>
      </w:pPr>
      <w:r>
        <w:rPr>
          <w:rFonts w:ascii="Times New Roman" w:eastAsia="仿宋" w:cs="Times New Roman" w:hAnsi="Times New Roman"/>
          <w:sz w:val="32"/>
          <w:szCs w:val="32"/>
          <w:lang w:eastAsia="zh-CN"/>
        </w:rPr>
        <w:drawing>
          <wp:anchor distT="0" distB="0" distL="114300" distR="114300" simplePos="0" relativeHeight="30" behindDoc="0" locked="0" layoutInCell="1" hidden="0" allowOverlap="1">
            <wp:simplePos x="0" y="0"/>
            <wp:positionH relativeFrom="column">
              <wp:posOffset>1188085</wp:posOffset>
            </wp:positionH>
            <wp:positionV relativeFrom="paragraph">
              <wp:posOffset>300990</wp:posOffset>
            </wp:positionV>
            <wp:extent cx="3139440" cy="2548889"/>
            <wp:effectExtent l="0" t="0" r="0" b="0"/>
            <wp:wrapNone/>
            <wp:docPr id="8" name="图表 2"/>
            <wp:cNvGraphicFramePr>
              <a:graphicFrameLocks noChangeAspect="0"/>
            </wp:cNvGraphicFramePr>
            <a:graphic>
              <a:graphicData uri="http://schemas.openxmlformats.org/drawingml/2006/chart">
                <c:chart xmlns:c="http://schemas.openxmlformats.org/drawingml/2006/chart" r:id="rId13"/>
              </a:graphicData>
            </a:graphic>
          </wp:anchor>
        </w:drawing>
      </w:r>
    </w:p>
    <w:p>
      <w:pPr>
        <w:pStyle w:val="15"/>
        <w:pageBreakBefore w:val="0"/>
        <w:widowControl w:val="0"/>
        <w:kinsoku/>
        <w:wordWrap/>
        <w:overflowPunct/>
        <w:topLinePunct w:val="0"/>
        <w:bidi w:val="0"/>
        <w:spacing w:line="576" w:lineRule="exact"/>
        <w:rPr>
          <w:rFonts w:ascii="Times New Roman" w:cs="Times New Roman" w:hAnsi="Times New Roman"/>
        </w:rPr>
      </w:pPr>
    </w:p>
    <w:p>
      <w:pPr>
        <w:pStyle w:val="15"/>
        <w:pageBreakBefore w:val="0"/>
        <w:widowControl w:val="0"/>
        <w:kinsoku/>
        <w:wordWrap/>
        <w:overflowPunct/>
        <w:topLinePunct w:val="0"/>
        <w:bidi w:val="0"/>
        <w:spacing w:line="576" w:lineRule="exact"/>
        <w:rPr>
          <w:rFonts w:ascii="Times New Roman" w:cs="Times New Roman" w:hAnsi="Times New Roman"/>
        </w:rPr>
      </w:pPr>
    </w:p>
    <w:p>
      <w:pPr>
        <w:pStyle w:val="15"/>
        <w:pageBreakBefore w:val="0"/>
        <w:widowControl w:val="0"/>
        <w:kinsoku/>
        <w:wordWrap/>
        <w:overflowPunct/>
        <w:topLinePunct w:val="0"/>
        <w:bidi w:val="0"/>
        <w:spacing w:line="576" w:lineRule="exact"/>
        <w:rPr>
          <w:rFonts w:ascii="Times New Roman" w:cs="Times New Roman" w:hAnsi="Times New Roman"/>
        </w:rPr>
      </w:pPr>
    </w:p>
    <w:p>
      <w:pPr>
        <w:pageBreakBefore w:val="0"/>
        <w:widowControl w:val="0"/>
        <w:kinsoku/>
        <w:wordWrap/>
        <w:overflowPunct/>
        <w:topLinePunct w:val="0"/>
        <w:bidi w:val="0"/>
        <w:spacing w:line="576" w:lineRule="exact"/>
        <w:ind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640"/>
        <w:rPr>
          <w:rFonts w:ascii="Times New Roman" w:eastAsia="仿宋" w:cs="Times New Roman" w:hAnsi="Times New Roman"/>
          <w:color w:val="FF0000"/>
          <w:sz w:val="32"/>
          <w:szCs w:val="32"/>
        </w:rPr>
      </w:pPr>
    </w:p>
    <w:p>
      <w:pPr>
        <w:pageBreakBefore w:val="0"/>
        <w:widowControl w:val="0"/>
        <w:kinsoku/>
        <w:wordWrap/>
        <w:overflowPunct/>
        <w:topLinePunct w:val="0"/>
        <w:bidi w:val="0"/>
        <w:spacing w:line="576" w:lineRule="exact"/>
        <w:ind w:firstLine="640"/>
        <w:jc w:val="center"/>
        <w:rPr>
          <w:rFonts w:ascii="仿宋_GB2312" w:eastAsia="仿宋_GB2312" w:cs="仿宋_GB2312" w:hint="eastAsia"/>
          <w:color w:val="auto"/>
          <w:sz w:val="32"/>
          <w:szCs w:val="32"/>
        </w:rPr>
      </w:pPr>
      <w:r>
        <w:rPr>
          <w:rFonts w:ascii="仿宋_GB2312" w:eastAsia="仿宋_GB2312" w:cs="仿宋_GB2312" w:hint="eastAsia"/>
          <w:color w:val="auto"/>
          <w:sz w:val="32"/>
          <w:szCs w:val="32"/>
        </w:rPr>
        <w:t>（图7：“三公”经费财政拨款支出结构）</w:t>
      </w:r>
    </w:p>
    <w:p>
      <w:pPr>
        <w:pStyle w:val="15"/>
        <w:pageBreakBefore w:val="0"/>
        <w:widowControl w:val="0"/>
        <w:kinsoku/>
        <w:wordWrap/>
        <w:overflowPunct/>
        <w:topLinePunct w:val="0"/>
        <w:bidi w:val="0"/>
        <w:spacing w:line="576" w:lineRule="exact"/>
        <w:rPr>
          <w:rFonts w:ascii="Times New Roman" w:cs="Times New Roman" w:hAnsi="Times New Roman"/>
        </w:rPr>
      </w:pPr>
    </w:p>
    <w:p>
      <w:pPr>
        <w:pageBreakBefore w:val="0"/>
        <w:widowControl w:val="0"/>
        <w:kinsoku/>
        <w:wordWrap/>
        <w:overflowPunct/>
        <w:topLinePunct w:val="0"/>
        <w:bidi w:val="0"/>
        <w:spacing w:line="576" w:lineRule="exact"/>
        <w:ind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1.</w:t>
      </w:r>
      <w:r>
        <w:rPr>
          <w:rFonts w:ascii="Times New Roman" w:eastAsia="仿宋_GB2312" w:cs="Times New Roman" w:hAnsi="Times New Roman"/>
          <w:b/>
          <w:bCs/>
          <w:sz w:val="32"/>
          <w:szCs w:val="32"/>
        </w:rPr>
        <w:t>因公出国（境）经费支出</w:t>
      </w:r>
      <w:r>
        <w:rPr>
          <w:rFonts w:ascii="Times New Roman" w:eastAsia="仿宋_GB2312" w:cs="Times New Roman" w:hAnsi="Times New Roman"/>
          <w:sz w:val="32"/>
          <w:szCs w:val="32"/>
        </w:rPr>
        <w:t>0万元，</w:t>
      </w:r>
      <w:r>
        <w:rPr>
          <w:rFonts w:ascii="Times New Roman" w:eastAsia="仿宋_GB2312" w:cs="Times New Roman" w:hAnsi="Times New Roman"/>
          <w:bCs/>
          <w:sz w:val="32"/>
          <w:szCs w:val="32"/>
        </w:rPr>
        <w:t>完成预算100%。</w:t>
      </w:r>
      <w:r>
        <w:rPr>
          <w:rFonts w:ascii="Times New Roman" w:eastAsia="仿宋_GB2312" w:cs="Times New Roman" w:hAnsi="Times New Roman"/>
          <w:sz w:val="32"/>
          <w:szCs w:val="32"/>
        </w:rPr>
        <w:t>全年安排因公出国（境）团组0次，出国（境）0人。因公出国（境）支出决算比2020年持平。</w:t>
      </w:r>
    </w:p>
    <w:p>
      <w:pPr>
        <w:pageBreakBefore w:val="0"/>
        <w:widowControl w:val="0"/>
        <w:kinsoku/>
        <w:wordWrap/>
        <w:overflowPunct/>
        <w:topLinePunct w:val="0"/>
        <w:bidi w:val="0"/>
        <w:spacing w:line="576" w:lineRule="exact"/>
        <w:ind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2.公务用车购置及运行维护费支出</w:t>
      </w:r>
      <w:r>
        <w:rPr>
          <w:rFonts w:ascii="Times New Roman" w:eastAsia="仿宋_GB2312" w:cs="Times New Roman" w:hAnsi="Times New Roman"/>
          <w:sz w:val="32"/>
          <w:szCs w:val="32"/>
        </w:rPr>
        <w:t>355.8</w:t>
      </w:r>
      <w:r>
        <w:rPr>
          <w:rFonts w:eastAsia="仿宋_GB2312" w:cs="Times New Roman" w:hint="eastAsia"/>
          <w:sz w:val="32"/>
          <w:szCs w:val="32"/>
          <w:lang w:val="en-US" w:eastAsia="zh-CN"/>
        </w:rPr>
        <w:t>0</w:t>
      </w:r>
      <w:r>
        <w:rPr>
          <w:rFonts w:ascii="Times New Roman" w:eastAsia="仿宋_GB2312" w:cs="Times New Roman" w:hAnsi="Times New Roman"/>
          <w:sz w:val="32"/>
          <w:szCs w:val="32"/>
        </w:rPr>
        <w:t>万元,</w:t>
      </w:r>
      <w:r>
        <w:rPr>
          <w:rStyle w:val="22"/>
          <w:rFonts w:ascii="Times New Roman" w:eastAsia="仿宋" w:cs="Times New Roman" w:hAnsi="Times New Roman"/>
          <w:b w:val="0"/>
          <w:bCs/>
          <w:sz w:val="32"/>
          <w:szCs w:val="32"/>
        </w:rPr>
        <w:t>完成预算13</w:t>
      </w:r>
      <w:r>
        <w:rPr>
          <w:rStyle w:val="22"/>
          <w:rFonts w:eastAsia="仿宋" w:cs="Times New Roman" w:hint="eastAsia"/>
          <w:b w:val="0"/>
          <w:bCs/>
          <w:sz w:val="32"/>
          <w:szCs w:val="32"/>
          <w:lang w:val="en-US" w:eastAsia="zh-CN"/>
        </w:rPr>
        <w:t>5.39</w:t>
      </w:r>
      <w:r>
        <w:rPr>
          <w:rStyle w:val="22"/>
          <w:rFonts w:ascii="Times New Roman" w:eastAsia="仿宋" w:cs="Times New Roman" w:hAnsi="Times New Roman"/>
          <w:b w:val="0"/>
          <w:bCs/>
          <w:sz w:val="32"/>
          <w:szCs w:val="32"/>
        </w:rPr>
        <w:t>%。</w:t>
      </w:r>
      <w:r>
        <w:rPr>
          <w:rFonts w:ascii="Times New Roman" w:eastAsia="仿宋_GB2312" w:cs="Times New Roman" w:hAnsi="Times New Roman"/>
          <w:sz w:val="32"/>
          <w:szCs w:val="32"/>
        </w:rPr>
        <w:t>公务用车购置及运行维护费支出决算比2020年增加</w:t>
      </w:r>
      <w:r>
        <w:rPr>
          <w:rFonts w:eastAsia="仿宋_GB2312" w:cs="Times New Roman" w:hint="eastAsia"/>
          <w:sz w:val="32"/>
          <w:szCs w:val="32"/>
          <w:lang w:val="en-US" w:eastAsia="zh-CN"/>
        </w:rPr>
        <w:t>121.49</w:t>
      </w:r>
      <w:r>
        <w:rPr>
          <w:rFonts w:ascii="Times New Roman" w:eastAsia="仿宋_GB2312" w:cs="Times New Roman" w:hAnsi="Times New Roman"/>
          <w:sz w:val="32"/>
          <w:szCs w:val="32"/>
        </w:rPr>
        <w:t>万元，增长</w:t>
      </w:r>
      <w:r>
        <w:rPr>
          <w:rFonts w:eastAsia="仿宋_GB2312" w:cs="Times New Roman" w:hint="eastAsia"/>
          <w:sz w:val="32"/>
          <w:szCs w:val="32"/>
          <w:lang w:val="en-US" w:eastAsia="zh-CN"/>
        </w:rPr>
        <w:t>51.85</w:t>
      </w:r>
      <w:r>
        <w:rPr>
          <w:rFonts w:ascii="Times New Roman" w:eastAsia="仿宋_GB2312" w:cs="Times New Roman" w:hAnsi="Times New Roman"/>
          <w:sz w:val="32"/>
          <w:szCs w:val="32"/>
        </w:rPr>
        <w:t>%。主要原因是2021年州委办公室报废公务用车2辆，新购置公务用车3辆。</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sz w:val="32"/>
          <w:szCs w:val="32"/>
        </w:rPr>
        <w:t>其中：</w:t>
      </w:r>
      <w:r>
        <w:rPr>
          <w:rFonts w:ascii="Times New Roman" w:eastAsia="仿宋_GB2312" w:cs="Times New Roman" w:hAnsi="Times New Roman"/>
          <w:b/>
          <w:sz w:val="32"/>
          <w:szCs w:val="32"/>
        </w:rPr>
        <w:t>公务用车购置支出</w:t>
      </w:r>
      <w:r>
        <w:rPr>
          <w:rFonts w:ascii="Times New Roman" w:eastAsia="仿宋_GB2312" w:cs="Times New Roman" w:hAnsi="Times New Roman"/>
          <w:sz w:val="32"/>
          <w:szCs w:val="32"/>
        </w:rPr>
        <w:t>178.98万元。全年按规定更新购置公务用车</w:t>
      </w:r>
      <w:r>
        <w:rPr>
          <w:rFonts w:eastAsia="仿宋_GB2312" w:cs="Times New Roman" w:hint="eastAsia"/>
          <w:sz w:val="32"/>
          <w:szCs w:val="32"/>
          <w:lang w:val="en-US" w:eastAsia="zh-CN"/>
        </w:rPr>
        <w:t>3</w:t>
      </w:r>
      <w:r>
        <w:rPr>
          <w:rFonts w:ascii="Times New Roman" w:eastAsia="仿宋_GB2312" w:cs="Times New Roman" w:hAnsi="Times New Roman"/>
          <w:sz w:val="32"/>
          <w:szCs w:val="32"/>
        </w:rPr>
        <w:t>辆，其中：越野车</w:t>
      </w:r>
      <w:r>
        <w:rPr>
          <w:rFonts w:eastAsia="仿宋_GB2312" w:cs="Times New Roman" w:hint="eastAsia"/>
          <w:sz w:val="32"/>
          <w:szCs w:val="32"/>
          <w:lang w:val="en-US" w:eastAsia="zh-CN"/>
        </w:rPr>
        <w:t>3</w:t>
      </w:r>
      <w:r>
        <w:rPr>
          <w:rFonts w:ascii="Times New Roman" w:eastAsia="仿宋_GB2312" w:cs="Times New Roman" w:hAnsi="Times New Roman"/>
          <w:sz w:val="32"/>
          <w:szCs w:val="32"/>
        </w:rPr>
        <w:t>辆、金额178.98万元，主要用于</w:t>
      </w:r>
      <w:r>
        <w:rPr>
          <w:rFonts w:ascii="Times New Roman" w:eastAsia="仿宋_GB2312" w:cs="Times New Roman" w:hAnsi="Times New Roman"/>
          <w:sz w:val="32"/>
          <w:szCs w:val="32"/>
          <w:lang w:eastAsia="zh-CN"/>
        </w:rPr>
        <w:t>州委、州委办领导干部公务出行应急车辆保障</w:t>
      </w:r>
      <w:r>
        <w:rPr>
          <w:rFonts w:ascii="Times New Roman" w:eastAsia="仿宋_GB2312" w:cs="Times New Roman" w:hAnsi="Times New Roman"/>
          <w:sz w:val="32"/>
          <w:szCs w:val="32"/>
        </w:rPr>
        <w:t>。截至2021年12月底，部门共有公务用车1</w:t>
      </w:r>
      <w:r>
        <w:rPr>
          <w:rFonts w:eastAsia="仿宋_GB2312" w:cs="Times New Roman" w:hint="eastAsia"/>
          <w:sz w:val="32"/>
          <w:szCs w:val="32"/>
          <w:lang w:val="en-US" w:eastAsia="zh-CN"/>
        </w:rPr>
        <w:t>8</w:t>
      </w:r>
      <w:r>
        <w:rPr>
          <w:rFonts w:ascii="Times New Roman" w:eastAsia="仿宋_GB2312" w:cs="Times New Roman" w:hAnsi="Times New Roman"/>
          <w:sz w:val="32"/>
          <w:szCs w:val="32"/>
        </w:rPr>
        <w:t>辆，其中：轿车1辆、越野车1</w:t>
      </w:r>
      <w:r>
        <w:rPr>
          <w:rFonts w:eastAsia="仿宋_GB2312" w:cs="Times New Roman" w:hint="eastAsia"/>
          <w:sz w:val="32"/>
          <w:szCs w:val="32"/>
          <w:lang w:val="en-US" w:eastAsia="zh-CN"/>
        </w:rPr>
        <w:t>7</w:t>
      </w:r>
      <w:r>
        <w:rPr>
          <w:rFonts w:ascii="Times New Roman" w:eastAsia="仿宋_GB2312" w:cs="Times New Roman" w:hAnsi="Times New Roman"/>
          <w:sz w:val="32"/>
          <w:szCs w:val="32"/>
        </w:rPr>
        <w:t>辆。</w:t>
      </w:r>
    </w:p>
    <w:p>
      <w:pPr>
        <w:pageBreakBefore w:val="0"/>
        <w:widowControl w:val="0"/>
        <w:kinsoku/>
        <w:wordWrap/>
        <w:overflowPunct/>
        <w:topLinePunct w:val="0"/>
        <w:bidi w:val="0"/>
        <w:spacing w:line="576" w:lineRule="exact"/>
        <w:ind w:firstLine="640"/>
        <w:rPr>
          <w:rFonts w:ascii="Times New Roman" w:eastAsia="仿宋_GB2312" w:cs="Times New Roman" w:hAnsi="Times New Roman"/>
          <w:sz w:val="32"/>
          <w:szCs w:val="32"/>
        </w:rPr>
      </w:pPr>
      <w:r>
        <w:rPr>
          <w:rFonts w:ascii="Times New Roman" w:eastAsia="仿宋_GB2312" w:cs="Times New Roman" w:hAnsi="Times New Roman"/>
          <w:b/>
          <w:bCs/>
          <w:sz w:val="32"/>
          <w:szCs w:val="32"/>
        </w:rPr>
        <w:t>公务用车运行维护费支出</w:t>
      </w:r>
      <w:r>
        <w:rPr>
          <w:rFonts w:ascii="Times New Roman" w:eastAsia="仿宋_GB2312" w:cs="Times New Roman" w:hAnsi="Times New Roman"/>
          <w:sz w:val="32"/>
          <w:szCs w:val="32"/>
        </w:rPr>
        <w:t>176.82万元。主要用于</w:t>
      </w:r>
      <w:r>
        <w:rPr>
          <w:rFonts w:ascii="Times New Roman" w:eastAsia="仿宋_GB2312" w:cs="Times New Roman" w:hAnsi="Times New Roman"/>
          <w:sz w:val="32"/>
          <w:szCs w:val="32"/>
          <w:lang w:eastAsia="zh-CN"/>
        </w:rPr>
        <w:t>到省直相关部门汇报、对接工作，下各县（市）、乡（镇）基层调研及检查工作</w:t>
      </w:r>
      <w:r>
        <w:rPr>
          <w:rFonts w:ascii="Times New Roman" w:eastAsia="仿宋_GB2312" w:cs="Times New Roman" w:hAnsi="Times New Roman"/>
          <w:sz w:val="32"/>
          <w:szCs w:val="32"/>
        </w:rPr>
        <w:t>等所需的公务用车燃料费、维修费、过路过桥费、保险费等支出。</w:t>
      </w:r>
    </w:p>
    <w:p>
      <w:pPr>
        <w:pageBreakBefore w:val="0"/>
        <w:widowControl w:val="0"/>
        <w:kinsoku/>
        <w:wordWrap/>
        <w:overflowPunct/>
        <w:topLinePunct w:val="0"/>
        <w:bidi w:val="0"/>
        <w:spacing w:line="576" w:lineRule="exact"/>
        <w:ind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3.公务接待费支出</w:t>
      </w:r>
      <w:r>
        <w:rPr>
          <w:rFonts w:ascii="Times New Roman" w:eastAsia="仿宋_GB2312" w:cs="Times New Roman" w:hAnsi="Times New Roman"/>
          <w:sz w:val="32"/>
          <w:szCs w:val="32"/>
        </w:rPr>
        <w:t>3.04万元，</w:t>
      </w:r>
      <w:r>
        <w:rPr>
          <w:rFonts w:ascii="Times New Roman" w:eastAsia="仿宋_GB2312" w:cs="Times New Roman" w:hAnsi="Times New Roman"/>
          <w:bCs/>
          <w:sz w:val="32"/>
          <w:szCs w:val="32"/>
        </w:rPr>
        <w:t>完成预算29.</w:t>
      </w:r>
      <w:r>
        <w:rPr>
          <w:rFonts w:eastAsia="仿宋_GB2312" w:cs="Times New Roman" w:hint="eastAsia"/>
          <w:bCs/>
          <w:sz w:val="32"/>
          <w:szCs w:val="32"/>
          <w:lang w:val="en-US" w:eastAsia="zh-CN"/>
        </w:rPr>
        <w:t>0</w:t>
      </w:r>
      <w:r>
        <w:rPr>
          <w:rFonts w:ascii="Times New Roman" w:eastAsia="仿宋_GB2312" w:cs="Times New Roman" w:hAnsi="Times New Roman"/>
          <w:bCs/>
          <w:sz w:val="32"/>
          <w:szCs w:val="32"/>
        </w:rPr>
        <w:t>9%。</w:t>
      </w:r>
      <w:r>
        <w:rPr>
          <w:rFonts w:ascii="Times New Roman" w:eastAsia="仿宋_GB2312" w:cs="Times New Roman" w:hAnsi="Times New Roman"/>
          <w:sz w:val="32"/>
          <w:szCs w:val="32"/>
        </w:rPr>
        <w:t>公务接待费支出决算比2020年减少0.05万元，下降1.62%。主要原因是</w:t>
      </w:r>
      <w:r>
        <w:rPr>
          <w:rFonts w:ascii="Times New Roman" w:eastAsia="仿宋_GB2312" w:cs="Times New Roman" w:hAnsi="Times New Roman"/>
          <w:sz w:val="32"/>
          <w:szCs w:val="32"/>
          <w:lang w:eastAsia="zh-CN"/>
        </w:rPr>
        <w:t>我单位本着艰苦奋斗、</w:t>
      </w:r>
      <w:r>
        <w:rPr>
          <w:rFonts w:ascii="Times New Roman" w:eastAsia="仿宋_GB2312" w:cs="Times New Roman" w:hAnsi="Times New Roman"/>
          <w:sz w:val="32"/>
          <w:szCs w:val="32"/>
          <w:lang w:val="en-US" w:eastAsia="zh-CN" w:bidi="ar-SA"/>
        </w:rPr>
        <w:t>厉行节约的原则，严格控制公务接待费开支，确保公务接待费支出逐年呈下降态势</w:t>
      </w:r>
      <w:r>
        <w:rPr>
          <w:rFonts w:ascii="Times New Roman" w:eastAsia="仿宋_GB2312" w:cs="Times New Roman" w:hAnsi="Times New Roman"/>
          <w:sz w:val="32"/>
          <w:szCs w:val="32"/>
        </w:rPr>
        <w:t>。其中：</w:t>
      </w:r>
    </w:p>
    <w:p>
      <w:pPr>
        <w:pageBreakBefore w:val="0"/>
        <w:widowControl w:val="0"/>
        <w:kinsoku/>
        <w:wordWrap/>
        <w:overflowPunct/>
        <w:topLinePunct w:val="0"/>
        <w:autoSpaceDE w:val="0"/>
        <w:autoSpaceDN w:val="0"/>
        <w:bidi w:val="0"/>
        <w:adjustRightInd w:val="0"/>
        <w:spacing w:line="576"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b/>
          <w:bCs/>
          <w:sz w:val="32"/>
          <w:szCs w:val="32"/>
        </w:rPr>
        <w:t>国内公务接待支出</w:t>
      </w:r>
      <w:r>
        <w:rPr>
          <w:rFonts w:ascii="Times New Roman" w:eastAsia="仿宋_GB2312" w:cs="Times New Roman" w:hAnsi="Times New Roman"/>
          <w:sz w:val="32"/>
          <w:szCs w:val="32"/>
        </w:rPr>
        <w:t>3.04万元，主要用于</w:t>
      </w:r>
      <w:r>
        <w:rPr>
          <w:rFonts w:ascii="Times New Roman" w:eastAsia="仿宋_GB2312" w:cs="Times New Roman" w:hAnsi="Times New Roman"/>
          <w:sz w:val="32"/>
          <w:szCs w:val="32"/>
          <w:lang w:eastAsia="zh-CN"/>
        </w:rPr>
        <w:t>中央、省等考察团付州</w:t>
      </w:r>
      <w:r>
        <w:rPr>
          <w:rFonts w:ascii="Times New Roman" w:eastAsia="仿宋_GB2312" w:cs="Times New Roman" w:hAnsi="Times New Roman"/>
          <w:sz w:val="32"/>
          <w:szCs w:val="32"/>
        </w:rPr>
        <w:t>执行公务、开展业务活动开支的交通费、住宿费、用餐费等。国内公务接待28批次，256人次（不包括陪同人员），共计支出3.04万元，具体内容包括：接待国电大渡河公司一行人员，产生接待费960元；接待中电建开发一行人员，产生接待费用800元。</w:t>
      </w:r>
      <w:r>
        <w:rPr>
          <w:rFonts w:ascii="Times New Roman" w:eastAsia="仿宋_GB2312" w:cs="Times New Roman" w:hAnsi="Times New Roman"/>
          <w:sz w:val="32"/>
          <w:szCs w:val="32"/>
          <w:lang w:val="en-US" w:eastAsia="zh-CN"/>
        </w:rPr>
        <w:t>诸如此类共接待28批次，产生接待费3.04万元</w:t>
      </w:r>
      <w:r>
        <w:rPr>
          <w:rFonts w:ascii="Times New Roman" w:eastAsia="仿宋_GB2312" w:cs="Times New Roman" w:hAnsi="Times New Roman"/>
          <w:sz w:val="32"/>
          <w:szCs w:val="32"/>
        </w:rPr>
        <w:t>。</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 w:cs="Times New Roman" w:hAnsi="Times New Roman"/>
          <w:b/>
          <w:sz w:val="32"/>
          <w:szCs w:val="32"/>
        </w:rPr>
        <w:t>外事接待支出</w:t>
      </w:r>
      <w:r>
        <w:rPr>
          <w:rFonts w:ascii="Times New Roman" w:eastAsia="仿宋" w:cs="Times New Roman" w:hAnsi="Times New Roman"/>
          <w:sz w:val="32"/>
          <w:szCs w:val="32"/>
        </w:rPr>
        <w:t>0</w:t>
      </w:r>
      <w:r>
        <w:rPr>
          <w:rFonts w:ascii="Times New Roman" w:eastAsia="仿宋_GB2312" w:cs="Times New Roman" w:hAnsi="Times New Roman"/>
          <w:sz w:val="32"/>
          <w:szCs w:val="32"/>
        </w:rPr>
        <w:t>万元，外事接待0批次，0人，共计支出0万元</w:t>
      </w:r>
    </w:p>
    <w:p>
      <w:pPr>
        <w:pageBreakBefore w:val="0"/>
        <w:widowControl w:val="0"/>
        <w:kinsoku/>
        <w:wordWrap/>
        <w:overflowPunct/>
        <w:topLinePunct w:val="0"/>
        <w:bidi w:val="0"/>
        <w:spacing w:line="576" w:lineRule="exact"/>
        <w:ind w:firstLine="640"/>
        <w:outlineLvl w:val="1"/>
        <w:rPr>
          <w:rFonts w:ascii="Times New Roman" w:eastAsia="黑体" w:cs="Times New Roman" w:hAnsi="Times New Roman"/>
          <w:sz w:val="32"/>
          <w:szCs w:val="32"/>
        </w:rPr>
      </w:pPr>
      <w:bookmarkStart w:id="69" w:name="_Toc15396610"/>
      <w:bookmarkStart w:id="70" w:name="_Toc15377218"/>
    </w:p>
    <w:p>
      <w:pPr>
        <w:pageBreakBefore w:val="0"/>
        <w:widowControl w:val="0"/>
        <w:kinsoku/>
        <w:wordWrap/>
        <w:overflowPunct/>
        <w:topLinePunct w:val="0"/>
        <w:bidi w:val="0"/>
        <w:spacing w:line="576" w:lineRule="exact"/>
        <w:ind w:firstLine="640"/>
        <w:outlineLvl w:val="1"/>
        <w:rPr>
          <w:rStyle w:val="2Char"/>
          <w:rFonts w:ascii="Times New Roman" w:eastAsia="黑体" w:cs="Times New Roman" w:hAnsi="Times New Roman"/>
        </w:rPr>
      </w:pPr>
      <w:bookmarkStart w:id="71" w:name="_Toc26843619"/>
      <w:r>
        <w:rPr>
          <w:rFonts w:ascii="Times New Roman" w:eastAsia="黑体" w:cs="Times New Roman" w:hAnsi="Times New Roman"/>
          <w:sz w:val="32"/>
          <w:szCs w:val="32"/>
        </w:rPr>
        <w:t>八、</w:t>
      </w:r>
      <w:r>
        <w:rPr>
          <w:rStyle w:val="2Char"/>
          <w:rFonts w:ascii="Times New Roman" w:eastAsia="黑体" w:cs="Times New Roman" w:hAnsi="Times New Roman"/>
          <w:b w:val="0"/>
        </w:rPr>
        <w:t>政府性基金预算支出决算情况说明</w:t>
      </w:r>
      <w:bookmarkEnd w:id="69"/>
      <w:bookmarkEnd w:id="70"/>
      <w:bookmarkEnd w:id="71"/>
    </w:p>
    <w:p>
      <w:pPr>
        <w:pageBreakBefore w:val="0"/>
        <w:widowControl w:val="0"/>
        <w:kinsoku/>
        <w:wordWrap/>
        <w:overflowPunct/>
        <w:topLinePunct w:val="0"/>
        <w:bidi w:val="0"/>
        <w:spacing w:line="576" w:lineRule="exact"/>
        <w:ind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2021年政府性基金预算财政拨款支出0万元。</w:t>
      </w:r>
    </w:p>
    <w:p>
      <w:pPr>
        <w:pageBreakBefore w:val="0"/>
        <w:widowControl w:val="0"/>
        <w:kinsoku/>
        <w:wordWrap/>
        <w:overflowPunct/>
        <w:topLinePunct w:val="0"/>
        <w:bidi w:val="0"/>
        <w:spacing w:line="576" w:lineRule="exact"/>
        <w:ind w:firstLine="640"/>
        <w:rPr>
          <w:rFonts w:ascii="Times New Roman" w:eastAsia="仿宋_GB2312" w:cs="Times New Roman" w:hAnsi="Times New Roman"/>
          <w:sz w:val="32"/>
          <w:szCs w:val="32"/>
        </w:rPr>
      </w:pPr>
    </w:p>
    <w:p>
      <w:pPr>
        <w:pageBreakBefore w:val="0"/>
        <w:widowControl w:val="0"/>
        <w:numPr>
          <w:ilvl w:val="0"/>
          <w:numId w:val="2"/>
        </w:numPr>
        <w:kinsoku/>
        <w:wordWrap/>
        <w:overflowPunct/>
        <w:topLinePunct w:val="0"/>
        <w:bidi w:val="0"/>
        <w:spacing w:line="576" w:lineRule="exact"/>
        <w:ind w:left="0" w:firstLine="640"/>
        <w:outlineLvl w:val="1"/>
        <w:rPr>
          <w:rStyle w:val="2Char"/>
          <w:rFonts w:ascii="Times New Roman" w:eastAsia="黑体" w:cs="Times New Roman" w:hAnsi="Times New Roman"/>
          <w:b w:val="0"/>
        </w:rPr>
      </w:pPr>
      <w:bookmarkStart w:id="72" w:name="_Toc15377219"/>
      <w:bookmarkStart w:id="73" w:name="_Toc26843620"/>
      <w:bookmarkStart w:id="74" w:name="_Toc15396611"/>
      <w:r>
        <w:rPr>
          <w:rStyle w:val="2Char"/>
          <w:rFonts w:ascii="Times New Roman" w:eastAsia="黑体" w:cs="Times New Roman" w:hAnsi="Times New Roman"/>
          <w:b w:val="0"/>
        </w:rPr>
        <w:t>国有资本经营预算支出决算情况说明</w:t>
      </w:r>
      <w:bookmarkEnd w:id="72"/>
      <w:bookmarkEnd w:id="73"/>
      <w:bookmarkEnd w:id="74"/>
    </w:p>
    <w:p>
      <w:pPr>
        <w:pageBreakBefore w:val="0"/>
        <w:widowControl w:val="0"/>
        <w:kinsoku/>
        <w:wordWrap/>
        <w:overflowPunct/>
        <w:topLinePunct w:val="0"/>
        <w:bidi w:val="0"/>
        <w:spacing w:line="576" w:lineRule="exact"/>
        <w:ind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2021年国有资本经营预算财政拨款支出0万元。</w:t>
      </w:r>
    </w:p>
    <w:p>
      <w:pPr>
        <w:pageBreakBefore w:val="0"/>
        <w:widowControl w:val="0"/>
        <w:kinsoku/>
        <w:wordWrap/>
        <w:overflowPunct/>
        <w:topLinePunct w:val="0"/>
        <w:bidi w:val="0"/>
        <w:spacing w:line="576" w:lineRule="exact"/>
        <w:jc w:val="center"/>
        <w:rPr>
          <w:rFonts w:ascii="Times New Roman" w:eastAsia="方正小标宋简体" w:cs="Times New Roman" w:hAnsi="Times New Roman"/>
          <w:sz w:val="44"/>
          <w:szCs w:val="44"/>
        </w:rPr>
      </w:pPr>
    </w:p>
    <w:p>
      <w:pPr>
        <w:pageBreakBefore w:val="0"/>
        <w:widowControl w:val="0"/>
        <w:numPr>
          <w:ilvl w:val="0"/>
          <w:numId w:val="2"/>
        </w:numPr>
        <w:kinsoku/>
        <w:wordWrap/>
        <w:overflowPunct/>
        <w:topLinePunct w:val="0"/>
        <w:bidi w:val="0"/>
        <w:spacing w:line="576" w:lineRule="exact"/>
        <w:ind w:left="0" w:firstLine="640"/>
        <w:outlineLvl w:val="1"/>
        <w:rPr>
          <w:rStyle w:val="2Char"/>
          <w:rFonts w:ascii="Times New Roman" w:eastAsia="黑体" w:cs="Times New Roman" w:hAnsi="Times New Roman"/>
          <w:b w:val="0"/>
        </w:rPr>
      </w:pPr>
      <w:bookmarkStart w:id="75" w:name="_Toc26843621"/>
      <w:bookmarkStart w:id="76" w:name="_Toc15377221"/>
      <w:bookmarkStart w:id="77" w:name="_Toc15396612"/>
      <w:r>
        <w:rPr>
          <w:rStyle w:val="2Char"/>
          <w:rFonts w:ascii="Times New Roman" w:eastAsia="黑体" w:cs="Times New Roman" w:hAnsi="Times New Roman"/>
          <w:b w:val="0"/>
        </w:rPr>
        <w:t>其他重要事项的情况说明</w:t>
      </w:r>
      <w:bookmarkEnd w:id="75"/>
      <w:bookmarkEnd w:id="76"/>
      <w:bookmarkEnd w:id="77"/>
    </w:p>
    <w:p>
      <w:pPr>
        <w:pageBreakBefore w:val="0"/>
        <w:widowControl w:val="0"/>
        <w:kinsoku/>
        <w:wordWrap/>
        <w:overflowPunct/>
        <w:topLinePunct w:val="0"/>
        <w:bidi w:val="0"/>
        <w:spacing w:line="576" w:lineRule="exact"/>
        <w:ind w:firstLineChars="200" w:firstLine="640"/>
        <w:outlineLvl w:val="2"/>
        <w:rPr>
          <w:rFonts w:ascii="Times New Roman" w:eastAsia="仿宋" w:cs="Times New Roman" w:hAnsi="Times New Roman"/>
          <w:sz w:val="32"/>
          <w:szCs w:val="32"/>
        </w:rPr>
      </w:pPr>
      <w:bookmarkStart w:id="78" w:name="_Toc15377222"/>
      <w:r>
        <w:rPr>
          <w:rFonts w:ascii="Times New Roman" w:eastAsia="仿宋" w:cs="Times New Roman" w:hAnsi="Times New Roman"/>
          <w:b/>
          <w:sz w:val="32"/>
          <w:szCs w:val="32"/>
        </w:rPr>
        <w:t>（一）机关运行经费支出情况</w:t>
      </w:r>
      <w:bookmarkEnd w:id="78"/>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2021年，州委办机关运行经费支出863.14万元，比2020年增加281.33万元，增长48.35%。主要原因是2021年州委办及下属二级单位购置公务用车4辆；年末召开州第十二次党代会，支付部分费用。</w:t>
      </w:r>
    </w:p>
    <w:p>
      <w:pPr>
        <w:pageBreakBefore w:val="0"/>
        <w:widowControl w:val="0"/>
        <w:kinsoku/>
        <w:wordWrap/>
        <w:overflowPunct/>
        <w:topLinePunct w:val="0"/>
        <w:autoSpaceDE w:val="0"/>
        <w:autoSpaceDN w:val="0"/>
        <w:bidi w:val="0"/>
        <w:adjustRightInd w:val="0"/>
        <w:spacing w:line="576" w:lineRule="exact"/>
        <w:ind w:firstLineChars="200" w:firstLine="640"/>
        <w:jc w:val="left"/>
        <w:outlineLvl w:val="2"/>
        <w:rPr>
          <w:rFonts w:ascii="Times New Roman" w:eastAsia="仿宋" w:cs="Times New Roman" w:hAnsi="Times New Roman"/>
          <w:b/>
          <w:sz w:val="32"/>
          <w:szCs w:val="32"/>
        </w:rPr>
      </w:pPr>
      <w:bookmarkStart w:id="79" w:name="_Toc15377223"/>
      <w:r>
        <w:rPr>
          <w:rFonts w:ascii="Times New Roman" w:eastAsia="仿宋" w:cs="Times New Roman" w:hAnsi="Times New Roman"/>
          <w:b/>
          <w:sz w:val="32"/>
          <w:szCs w:val="32"/>
        </w:rPr>
        <w:t>（二）政府采购支出情况</w:t>
      </w:r>
      <w:bookmarkEnd w:id="79"/>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2021年，州委办政府采购支出总额375.01万元，其中：政府采购货物支出375.01万元、政府采购工程支出0万元、政府采购服务支出0万元。主要用于公务用车购置、办公设备购置、电动伸缩门等。授予中小企业合同金额375.01万元，占政府采购支出总额的100%，其中：授予小微企业合同金额375.01万元，占政府采购支出总额的100%。</w:t>
      </w:r>
    </w:p>
    <w:p>
      <w:pPr>
        <w:pageBreakBefore w:val="0"/>
        <w:widowControl w:val="0"/>
        <w:kinsoku/>
        <w:wordWrap/>
        <w:overflowPunct/>
        <w:topLinePunct w:val="0"/>
        <w:autoSpaceDE w:val="0"/>
        <w:autoSpaceDN w:val="0"/>
        <w:bidi w:val="0"/>
        <w:adjustRightInd w:val="0"/>
        <w:spacing w:line="576" w:lineRule="exact"/>
        <w:ind w:firstLineChars="200" w:firstLine="640"/>
        <w:jc w:val="left"/>
        <w:outlineLvl w:val="2"/>
        <w:rPr>
          <w:rFonts w:ascii="Times New Roman" w:eastAsia="仿宋" w:cs="Times New Roman" w:hAnsi="Times New Roman"/>
          <w:b/>
          <w:sz w:val="32"/>
          <w:szCs w:val="32"/>
        </w:rPr>
      </w:pPr>
      <w:bookmarkStart w:id="80" w:name="_Toc15377224"/>
      <w:r>
        <w:rPr>
          <w:rFonts w:ascii="Times New Roman" w:eastAsia="仿宋" w:cs="Times New Roman" w:hAnsi="Times New Roman"/>
          <w:b/>
          <w:sz w:val="32"/>
          <w:szCs w:val="32"/>
        </w:rPr>
        <w:t>（三）国有资产占有使用情况</w:t>
      </w:r>
      <w:bookmarkEnd w:id="80"/>
    </w:p>
    <w:p>
      <w:pPr>
        <w:pageBreakBefore w:val="0"/>
        <w:widowControl w:val="0"/>
        <w:kinsoku/>
        <w:wordWrap/>
        <w:overflowPunct/>
        <w:topLinePunct w:val="0"/>
        <w:autoSpaceDE w:val="0"/>
        <w:autoSpaceDN w:val="0"/>
        <w:bidi w:val="0"/>
        <w:adjustRightInd w:val="0"/>
        <w:spacing w:line="576"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截至2021年12月31日，州委办部门共有车辆1</w:t>
      </w:r>
      <w:r>
        <w:rPr>
          <w:rFonts w:eastAsia="仿宋_GB2312" w:cs="Times New Roman" w:hint="eastAsia"/>
          <w:sz w:val="32"/>
          <w:szCs w:val="32"/>
          <w:lang w:val="en-US" w:eastAsia="zh-CN"/>
        </w:rPr>
        <w:t>8</w:t>
      </w:r>
      <w:r>
        <w:rPr>
          <w:rFonts w:ascii="Times New Roman" w:eastAsia="仿宋_GB2312" w:cs="Times New Roman" w:hAnsi="Times New Roman"/>
          <w:sz w:val="32"/>
          <w:szCs w:val="32"/>
        </w:rPr>
        <w:t>辆，其中：主要领导干部用车0辆、机要通信用车0辆、应急保障用车1</w:t>
      </w:r>
      <w:r>
        <w:rPr>
          <w:rFonts w:eastAsia="仿宋_GB2312" w:cs="Times New Roman" w:hint="eastAsia"/>
          <w:sz w:val="32"/>
          <w:szCs w:val="32"/>
          <w:lang w:val="en-US" w:eastAsia="zh-CN"/>
        </w:rPr>
        <w:t>7</w:t>
      </w:r>
      <w:r>
        <w:rPr>
          <w:rFonts w:ascii="Times New Roman" w:eastAsia="仿宋_GB2312" w:cs="Times New Roman" w:hAnsi="Times New Roman"/>
          <w:sz w:val="32"/>
          <w:szCs w:val="32"/>
        </w:rPr>
        <w:t>辆、其他用车1辆，其他用车主要是用于通信应急保障车辆。单价50万元以上通用设备3台（套），单价100万元以上专用设备0台（套）。</w:t>
      </w:r>
    </w:p>
    <w:p>
      <w:pPr>
        <w:pageBreakBefore w:val="0"/>
        <w:widowControl w:val="0"/>
        <w:kinsoku/>
        <w:wordWrap/>
        <w:overflowPunct/>
        <w:topLinePunct w:val="0"/>
        <w:autoSpaceDE w:val="0"/>
        <w:autoSpaceDN w:val="0"/>
        <w:bidi w:val="0"/>
        <w:adjustRightInd w:val="0"/>
        <w:spacing w:line="576" w:lineRule="exact"/>
        <w:ind w:firstLineChars="200" w:firstLine="640"/>
        <w:jc w:val="left"/>
        <w:outlineLvl w:val="2"/>
        <w:rPr>
          <w:rFonts w:ascii="Times New Roman" w:eastAsia="仿宋" w:cs="Times New Roman" w:hAnsi="Times New Roman"/>
          <w:b/>
          <w:sz w:val="32"/>
          <w:szCs w:val="32"/>
        </w:rPr>
      </w:pPr>
      <w:r>
        <w:rPr>
          <w:rFonts w:ascii="Times New Roman" w:eastAsia="仿宋" w:cs="Times New Roman" w:hAnsi="Times New Roman"/>
          <w:b/>
          <w:sz w:val="32"/>
          <w:szCs w:val="32"/>
        </w:rPr>
        <w:t>（四）预算绩效管理情况</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根据预算绩效管理要求，本部门在2021年度预算编制阶段，组织对生产型彩色复印打印装订一体机项目等1</w:t>
      </w:r>
      <w:r>
        <w:rPr>
          <w:rFonts w:eastAsia="仿宋_GB2312" w:cs="Times New Roman" w:hint="eastAsia"/>
          <w:sz w:val="32"/>
          <w:szCs w:val="32"/>
          <w:lang w:val="en-US" w:eastAsia="zh-CN"/>
        </w:rPr>
        <w:t>5</w:t>
      </w:r>
      <w:r>
        <w:rPr>
          <w:rFonts w:ascii="Times New Roman" w:eastAsia="仿宋_GB2312" w:cs="Times New Roman" w:hAnsi="Times New Roman"/>
          <w:sz w:val="32"/>
          <w:szCs w:val="32"/>
        </w:rPr>
        <w:t>个项目开展了预算事前绩效评估，对1</w:t>
      </w:r>
      <w:r>
        <w:rPr>
          <w:rFonts w:eastAsia="仿宋_GB2312" w:cs="Times New Roman" w:hint="eastAsia"/>
          <w:sz w:val="32"/>
          <w:szCs w:val="32"/>
          <w:lang w:val="en-US" w:eastAsia="zh-CN"/>
        </w:rPr>
        <w:t>5</w:t>
      </w:r>
      <w:r>
        <w:rPr>
          <w:rFonts w:ascii="Times New Roman" w:eastAsia="仿宋_GB2312" w:cs="Times New Roman" w:hAnsi="Times New Roman"/>
          <w:sz w:val="32"/>
          <w:szCs w:val="32"/>
        </w:rPr>
        <w:t>项目编制了绩效目标，预算执行过程中，选取</w:t>
      </w:r>
      <w:r>
        <w:rPr>
          <w:rFonts w:eastAsia="仿宋_GB2312" w:cs="Times New Roman" w:hint="eastAsia"/>
          <w:sz w:val="32"/>
          <w:szCs w:val="32"/>
          <w:lang w:val="en-US" w:eastAsia="zh-CN"/>
        </w:rPr>
        <w:t>1</w:t>
      </w:r>
      <w:r>
        <w:rPr>
          <w:rFonts w:ascii="Times New Roman" w:eastAsia="仿宋_GB2312" w:cs="Times New Roman" w:hAnsi="Times New Roman"/>
          <w:sz w:val="32"/>
          <w:szCs w:val="32"/>
        </w:rPr>
        <w:t>个项目开展绩效监控，年终执行完毕后，对</w:t>
      </w:r>
      <w:r>
        <w:rPr>
          <w:rFonts w:eastAsia="仿宋_GB2312" w:cs="Times New Roman" w:hint="eastAsia"/>
          <w:sz w:val="32"/>
          <w:szCs w:val="32"/>
          <w:lang w:val="en-US" w:eastAsia="zh-CN"/>
        </w:rPr>
        <w:t>1</w:t>
      </w:r>
      <w:r>
        <w:rPr>
          <w:rFonts w:ascii="Times New Roman" w:eastAsia="仿宋_GB2312" w:cs="Times New Roman" w:hAnsi="Times New Roman"/>
          <w:sz w:val="32"/>
          <w:szCs w:val="32"/>
        </w:rPr>
        <w:t>个项目开展了绩效自评。同时，本部门对2021年部门整体开展绩效自评，《2021年州委办部门整体绩效评价报告》见附件（第四部分）。</w:t>
      </w:r>
    </w:p>
    <w:p>
      <w:pPr>
        <w:pageBreakBefore w:val="0"/>
        <w:widowControl/>
        <w:kinsoku/>
        <w:wordWrap/>
        <w:overflowPunct/>
        <w:topLinePunct w:val="0"/>
        <w:bidi w:val="0"/>
        <w:spacing w:line="576" w:lineRule="exact"/>
        <w:jc w:val="left"/>
        <w:rPr>
          <w:rFonts w:ascii="Times New Roman" w:eastAsia="仿宋_GB2312" w:cs="Times New Roman" w:hAnsi="Times New Roman"/>
          <w:b/>
          <w:sz w:val="32"/>
          <w:szCs w:val="32"/>
        </w:rPr>
      </w:pPr>
      <w:r>
        <w:rPr>
          <w:rFonts w:ascii="Times New Roman" w:eastAsia="仿宋_GB2312" w:cs="Times New Roman" w:hAnsi="Times New Roman"/>
          <w:b/>
          <w:sz w:val="32"/>
          <w:szCs w:val="32"/>
        </w:rPr>
        <w:br w:type="page"/>
      </w:r>
    </w:p>
    <w:p>
      <w:pPr>
        <w:pageBreakBefore w:val="0"/>
        <w:widowControl w:val="0"/>
        <w:numPr>
          <w:ilvl w:val="0"/>
          <w:numId w:val="3"/>
        </w:numPr>
        <w:kinsoku/>
        <w:wordWrap/>
        <w:overflowPunct/>
        <w:topLinePunct w:val="0"/>
        <w:bidi w:val="0"/>
        <w:spacing w:line="576" w:lineRule="exact"/>
        <w:ind w:left="0" w:firstLineChars="150" w:firstLine="660"/>
        <w:jc w:val="center"/>
        <w:outlineLvl w:val="0"/>
        <w:rPr>
          <w:rStyle w:val="1Char"/>
          <w:rFonts w:ascii="Times New Roman" w:eastAsia="黑体" w:cs="Times New Roman" w:hAnsi="Times New Roman"/>
          <w:b w:val="0"/>
        </w:rPr>
      </w:pPr>
      <w:bookmarkStart w:id="81" w:name="_Toc15377225"/>
      <w:bookmarkStart w:id="82" w:name="_Toc26843622"/>
      <w:bookmarkStart w:id="83" w:name="_Toc15396613"/>
      <w:r>
        <w:rPr>
          <w:rFonts w:ascii="Times New Roman" w:eastAsia="黑体" w:cs="Times New Roman" w:hAnsi="Times New Roman"/>
          <w:sz w:val="44"/>
          <w:szCs w:val="44"/>
        </w:rPr>
        <w:t>名</w:t>
      </w:r>
      <w:r>
        <w:rPr>
          <w:rStyle w:val="1Char"/>
          <w:rFonts w:ascii="Times New Roman" w:eastAsia="黑体" w:cs="Times New Roman" w:hAnsi="Times New Roman"/>
          <w:b w:val="0"/>
        </w:rPr>
        <w:t>词解释</w:t>
      </w:r>
      <w:bookmarkEnd w:id="81"/>
      <w:bookmarkEnd w:id="82"/>
      <w:bookmarkEnd w:id="83"/>
    </w:p>
    <w:p>
      <w:pPr>
        <w:pageBreakBefore w:val="0"/>
        <w:widowControl w:val="0"/>
        <w:kinsoku/>
        <w:wordWrap/>
        <w:overflowPunct/>
        <w:topLinePunct w:val="0"/>
        <w:bidi w:val="0"/>
        <w:spacing w:line="576" w:lineRule="exact"/>
        <w:jc w:val="left"/>
        <w:rPr>
          <w:rFonts w:ascii="Times New Roman" w:cs="Times New Roman" w:hAnsi="Times New Roman"/>
          <w:b/>
          <w:sz w:val="44"/>
          <w:szCs w:val="44"/>
        </w:rPr>
      </w:pP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1.财政拨款收入：指单位从同级财政部门取得的财政预算资金。</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2.事业收入：指事业单位开展专业业务活动及辅助活动取得的收入。</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3.经营收入：指事业单位在专业业务活动及其辅助活动之外开展非独立核算经营活动取得的收入</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4.其他收入：指单位取得的除上述收入以外的各项收入。主要是利息收入等。 </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5.使用非财政拨款结余：指事业单位使用以前年度积累的非财政拨款结余弥补当年收支差额的金额。 </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6.年初结转和结余：指以前年度尚未完成、结转到本年按有关规定继续使用的资金。 </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7.结余分配：指事业单位按照会计制度规定缴纳的所得税、提取的专用结余以及转入非财政拨款结余的金额等。</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8、年末结转和结余：指单位按有关规定结转到下年或以后年度继续使用的资金。</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9.</w:t>
      </w:r>
      <w:r>
        <w:rPr>
          <w:rFonts w:ascii="Times New Roman" w:eastAsia="仿宋_GB2312" w:cs="Times New Roman" w:hAnsi="Times New Roman"/>
          <w:bCs/>
          <w:kern w:val="0"/>
          <w:sz w:val="32"/>
          <w:szCs w:val="32"/>
        </w:rPr>
        <w:t>一般公共服务：行政运行</w:t>
      </w:r>
      <w:r>
        <w:rPr>
          <w:rFonts w:ascii="Times New Roman" w:eastAsia="仿宋_GB2312" w:cs="Times New Roman" w:hAnsi="Times New Roman"/>
          <w:bCs/>
          <w:kern w:val="0"/>
          <w:sz w:val="32"/>
          <w:szCs w:val="32"/>
          <w:lang w:eastAsia="zh-CN"/>
        </w:rPr>
        <w:t>，</w:t>
      </w:r>
      <w:r>
        <w:rPr>
          <w:rFonts w:ascii="Times New Roman" w:eastAsia="仿宋_GB2312" w:cs="Times New Roman" w:hAnsi="Times New Roman"/>
          <w:bCs/>
          <w:kern w:val="0"/>
          <w:sz w:val="32"/>
          <w:szCs w:val="32"/>
        </w:rPr>
        <w:t>反映党委办公厅（室）及相关机构的支出；一般行政管理事务</w:t>
      </w:r>
      <w:r>
        <w:rPr>
          <w:rFonts w:ascii="Times New Roman" w:eastAsia="仿宋_GB2312" w:cs="Times New Roman" w:hAnsi="Times New Roman"/>
          <w:bCs/>
          <w:kern w:val="0"/>
          <w:sz w:val="32"/>
          <w:szCs w:val="32"/>
          <w:lang w:eastAsia="zh-CN"/>
        </w:rPr>
        <w:t>，</w:t>
      </w:r>
      <w:r>
        <w:rPr>
          <w:rFonts w:ascii="Times New Roman" w:eastAsia="仿宋_GB2312" w:cs="Times New Roman" w:hAnsi="Times New Roman"/>
          <w:bCs/>
          <w:kern w:val="0"/>
          <w:sz w:val="32"/>
          <w:szCs w:val="32"/>
        </w:rPr>
        <w:t>反映行政单位（包括实行公务员管理的事业单位）未单独设置项级科目的其他项目支出。</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10.</w:t>
      </w:r>
      <w:r>
        <w:rPr>
          <w:rFonts w:ascii="Times New Roman" w:eastAsia="仿宋_GB2312" w:cs="Times New Roman" w:hAnsi="Times New Roman"/>
          <w:bCs/>
          <w:kern w:val="0"/>
          <w:sz w:val="32"/>
          <w:szCs w:val="32"/>
        </w:rPr>
        <w:t>社会保障和就业：反映政府在社会保障与就业方面的支出</w:t>
      </w:r>
      <w:r>
        <w:rPr>
          <w:rFonts w:ascii="Times New Roman" w:eastAsia="仿宋_GB2312" w:cs="Times New Roman" w:hAnsi="Times New Roman"/>
          <w:bCs/>
          <w:kern w:val="0"/>
          <w:sz w:val="32"/>
          <w:szCs w:val="32"/>
          <w:lang w:eastAsia="zh-CN"/>
        </w:rPr>
        <w:t>。</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11.</w:t>
      </w:r>
      <w:r>
        <w:rPr>
          <w:rFonts w:ascii="Times New Roman" w:eastAsia="仿宋_GB2312" w:cs="Times New Roman" w:hAnsi="Times New Roman"/>
          <w:bCs/>
          <w:sz w:val="32"/>
          <w:szCs w:val="32"/>
        </w:rPr>
        <w:t>医疗卫生与计划生育：反映政府医疗卫生计划生育管理方面的支出</w:t>
      </w:r>
      <w:r>
        <w:rPr>
          <w:rFonts w:ascii="Times New Roman" w:eastAsia="仿宋_GB2312" w:cs="Times New Roman" w:hAnsi="Times New Roman"/>
          <w:bCs/>
          <w:sz w:val="32"/>
          <w:szCs w:val="32"/>
          <w:lang w:eastAsia="zh-CN"/>
        </w:rPr>
        <w:t>。</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12.住房保障支出：集中反映政府用于住房方面的支出。</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13.基本支出：指为保障机构正常运转、完成日常工作任务而发生的人员支出和公用支出。</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14.项目支出：指在基本支出之外为完成特定行政任务和事业发展目标所发生的支出。</w:t>
      </w:r>
    </w:p>
    <w:p>
      <w:pPr>
        <w:pageBreakBefore w:val="0"/>
        <w:widowControl w:val="0"/>
        <w:kinsoku/>
        <w:wordWrap/>
        <w:overflowPunct/>
        <w:topLinePunct w:val="0"/>
        <w:bidi w:val="0"/>
        <w:spacing w:line="576"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15.经营支出：指事业单位在专业业务活动及其辅助活动之外开展非独立核算经营活动发生的支出。</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pageBreakBefore w:val="0"/>
        <w:widowControl w:val="0"/>
        <w:kinsoku/>
        <w:wordWrap/>
        <w:overflowPunct/>
        <w:topLinePunct w:val="0"/>
        <w:autoSpaceDE w:val="0"/>
        <w:autoSpaceDN w:val="0"/>
        <w:bidi w:val="0"/>
        <w:spacing w:line="576" w:lineRule="exact"/>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overflowPunct/>
        <w:topLinePunct w:val="0"/>
        <w:bidi w:val="0"/>
        <w:spacing w:line="576" w:lineRule="exact"/>
        <w:jc w:val="center"/>
        <w:outlineLvl w:val="0"/>
        <w:rPr>
          <w:rStyle w:val="1Char"/>
          <w:rFonts w:ascii="Times New Roman" w:eastAsia="黑体" w:cs="Times New Roman" w:hAnsi="Times New Roman"/>
          <w:b w:val="0"/>
        </w:rPr>
      </w:pPr>
      <w:bookmarkStart w:id="84" w:name="_Toc15377226"/>
      <w:r>
        <w:rPr>
          <w:rFonts w:ascii="Times New Roman" w:cs="Times New Roman" w:hAnsi="Times New Roman"/>
          <w:b/>
          <w:sz w:val="44"/>
          <w:szCs w:val="44"/>
        </w:rPr>
        <w:br w:type="page"/>
      </w:r>
      <w:bookmarkStart w:id="85" w:name="_Toc15396614"/>
      <w:bookmarkStart w:id="86" w:name="_Toc26843623"/>
      <w:r>
        <w:rPr>
          <w:rFonts w:ascii="Times New Roman" w:eastAsia="黑体" w:cs="Times New Roman" w:hAnsi="Times New Roman"/>
          <w:sz w:val="44"/>
          <w:szCs w:val="44"/>
        </w:rPr>
        <w:t>第</w:t>
      </w:r>
      <w:r>
        <w:rPr>
          <w:rStyle w:val="1Char"/>
          <w:rFonts w:ascii="Times New Roman" w:eastAsia="黑体" w:cs="Times New Roman" w:hAnsi="Times New Roman"/>
          <w:b w:val="0"/>
        </w:rPr>
        <w:t>四部分 附件</w:t>
      </w:r>
      <w:bookmarkEnd w:id="85"/>
      <w:bookmarkEnd w:id="86"/>
    </w:p>
    <w:p>
      <w:pPr>
        <w:pageBreakBefore w:val="0"/>
        <w:widowControl w:val="0"/>
        <w:kinsoku/>
        <w:wordWrap/>
        <w:overflowPunct/>
        <w:topLinePunct w:val="0"/>
        <w:bidi w:val="0"/>
        <w:spacing w:line="576" w:lineRule="exact"/>
        <w:jc w:val="left"/>
        <w:outlineLvl w:val="0"/>
        <w:rPr>
          <w:rFonts w:ascii="Times New Roman" w:eastAsia="方正小标宋简体" w:cs="Times New Roman" w:hAnsi="Times New Roman"/>
          <w:sz w:val="44"/>
          <w:szCs w:val="44"/>
        </w:rPr>
      </w:pPr>
      <w:bookmarkStart w:id="87" w:name="_Toc26843624"/>
      <w:r>
        <w:rPr>
          <w:rFonts w:ascii="Times New Roman" w:eastAsia="黑体" w:cs="Times New Roman" w:hAnsi="Times New Roman"/>
          <w:sz w:val="32"/>
          <w:szCs w:val="32"/>
        </w:rPr>
        <w:t>附件</w:t>
      </w:r>
      <w:bookmarkEnd w:id="87"/>
    </w:p>
    <w:tbl>
      <w:tblPr>
        <w:tblpPr w:leftFromText="180" w:rightFromText="180" w:vertAnchor="text" w:horzAnchor="page" w:tblpX="1281" w:tblpY="660"/>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77"/>
        <w:gridCol w:w="1142"/>
        <w:gridCol w:w="1635"/>
        <w:gridCol w:w="1189"/>
        <w:gridCol w:w="1224"/>
        <w:gridCol w:w="2410"/>
        <w:gridCol w:w="234"/>
      </w:tblGrid>
      <w:tr>
        <w:trPr>
          <w:trHeight w:val="675"/>
        </w:trPr>
        <w:tc>
          <w:tcPr>
            <w:tcW w:w="9577" w:type="dxa"/>
            <w:gridSpan w:val="6"/>
            <w:tcBorders>
              <w:top w:val="nil"/>
              <w:left w:val="nil"/>
              <w:bottom w:val="nil"/>
              <w:right w:val="nil"/>
            </w:tcBorders>
            <w:shd w:val="clear" w:color="auto" w:fill="auto"/>
            <w:noWrap/>
            <w:vAlign w:val="center"/>
          </w:tcPr>
          <w:p>
            <w:pPr>
              <w:pageBreakBefore w:val="0"/>
              <w:widowControl/>
              <w:kinsoku/>
              <w:wordWrap/>
              <w:overflowPunct/>
              <w:topLinePunct w:val="0"/>
              <w:bidi w:val="0"/>
              <w:spacing w:line="576" w:lineRule="exact"/>
              <w:textAlignment w:val="center"/>
              <w:rPr>
                <w:rFonts w:ascii="Times New Roman" w:cs="Times New Roman" w:hAnsi="Times New Roman"/>
                <w:b/>
                <w:sz w:val="32"/>
                <w:szCs w:val="32"/>
              </w:rPr>
            </w:pPr>
            <w:r>
              <w:rPr>
                <w:rFonts w:ascii="Times New Roman" w:cs="Times New Roman" w:hAnsi="Times New Roman"/>
                <w:b/>
                <w:sz w:val="32"/>
                <w:szCs w:val="32"/>
              </w:rPr>
              <w:t>2021年100万元以上（含）特定目标类部门预算项目绩效目标自评</w:t>
            </w:r>
          </w:p>
        </w:tc>
        <w:tc>
          <w:tcPr>
            <w:tcW w:w="234" w:type="dxa"/>
            <w:tcBorders>
              <w:top w:val="nil"/>
              <w:left w:val="nil"/>
              <w:bottom w:val="nil"/>
              <w:right w:val="nil"/>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b/>
                <w:kern w:val="0"/>
                <w:sz w:val="32"/>
                <w:szCs w:val="32"/>
              </w:rPr>
            </w:pPr>
          </w:p>
        </w:tc>
      </w:tr>
      <w:tr>
        <w:trPr>
          <w:trHeight w:val="299"/>
          <w:gridAfter w:val="1"/>
          <w:wAfter w:w="234" w:type="dxa"/>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kern w:val="0"/>
                <w:sz w:val="24"/>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textAlignment w:val="center"/>
              <w:rPr>
                <w:rFonts w:ascii="Times New Roman" w:cs="Times New Roman" w:hAnsi="Times New Roman"/>
                <w:sz w:val="24"/>
              </w:rPr>
            </w:pPr>
            <w:r>
              <w:rPr>
                <w:rFonts w:ascii="Times New Roman" w:cs="Times New Roman" w:hAnsi="Times New Roman"/>
                <w:sz w:val="24"/>
              </w:rPr>
              <w:t>中共阿坝州委办公室</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kern w:val="0"/>
                <w:sz w:val="24"/>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sz w:val="24"/>
              </w:rPr>
              <w:t>中共阿坝州委办公室</w:t>
            </w:r>
          </w:p>
        </w:tc>
      </w:tr>
      <w:tr>
        <w:trPr>
          <w:trHeight w:val="341"/>
          <w:gridAfter w:val="1"/>
          <w:wAfter w:w="234" w:type="dxa"/>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宋体" w:cs="Times New Roman" w:hAnsi="Times New Roman"/>
                <w:kern w:val="0"/>
                <w:sz w:val="24"/>
                <w:lang w:eastAsia="zh-CN"/>
              </w:rPr>
            </w:pPr>
            <w:r>
              <w:rPr>
                <w:rFonts w:ascii="Times New Roman" w:cs="Times New Roman" w:hAnsi="Times New Roman"/>
                <w:kern w:val="0"/>
                <w:sz w:val="24"/>
              </w:rPr>
              <w:t>项目预算</w:t>
            </w:r>
          </w:p>
          <w:p>
            <w:pPr>
              <w:pageBreakBefore w:val="0"/>
              <w:widowControl/>
              <w:kinsoku/>
              <w:wordWrap/>
              <w:overflowPunct/>
              <w:topLinePunct w:val="0"/>
              <w:bidi w:val="0"/>
              <w:spacing w:line="576" w:lineRule="exact"/>
              <w:jc w:val="center"/>
              <w:textAlignment w:val="center"/>
              <w:rPr>
                <w:rFonts w:ascii="Times New Roman" w:eastAsia="宋体" w:cs="Times New Roman" w:hAnsi="Times New Roman"/>
                <w:kern w:val="0"/>
                <w:sz w:val="24"/>
                <w:lang w:eastAsia="zh-CN"/>
              </w:rPr>
            </w:pPr>
            <w:r>
              <w:rPr>
                <w:rFonts w:ascii="Times New Roman" w:cs="Times New Roman" w:hAnsi="Times New Roman"/>
                <w:kern w:val="0"/>
                <w:sz w:val="24"/>
              </w:rPr>
              <w:t>执行情况</w:t>
            </w:r>
          </w:p>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kern w:val="0"/>
                <w:sz w:val="24"/>
              </w:rP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kern w:val="0"/>
                <w:sz w:val="24"/>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sz w:val="24"/>
              </w:rPr>
              <w:t>200</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kern w:val="0"/>
                <w:sz w:val="24"/>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sz w:val="24"/>
                <w:lang w:val="en-US" w:eastAsia="zh-CN" w:bidi="ar-SA"/>
              </w:rPr>
              <w:t>156.96</w:t>
            </w:r>
          </w:p>
        </w:tc>
      </w:tr>
      <w:tr>
        <w:trPr>
          <w:trHeight w:val="555"/>
          <w:gridAfter w:val="1"/>
          <w:wAfter w:w="234" w:type="dxa"/>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kern w:val="0"/>
                <w:sz w:val="24"/>
              </w:rPr>
            </w:pPr>
            <w:r>
              <w:rPr>
                <w:rFonts w:ascii="Times New Roman" w:cs="Times New Roman" w:hAnsi="Times New Roman"/>
                <w:kern w:val="0"/>
                <w:sz w:val="24"/>
              </w:rPr>
              <w:t>其中：</w:t>
            </w:r>
          </w:p>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sz w:val="24"/>
              </w:rPr>
              <w:t>200</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kern w:val="0"/>
                <w:sz w:val="24"/>
              </w:rPr>
            </w:pPr>
            <w:r>
              <w:rPr>
                <w:rFonts w:ascii="Times New Roman" w:cs="Times New Roman" w:hAnsi="Times New Roman"/>
                <w:kern w:val="0"/>
                <w:sz w:val="24"/>
              </w:rPr>
              <w:t>其中：</w:t>
            </w:r>
          </w:p>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kern w:val="0"/>
                <w:sz w:val="24"/>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textAlignment w:val="center"/>
              <w:rPr>
                <w:rFonts w:ascii="Times New Roman" w:cs="Times New Roman" w:hAnsi="Times New Roman"/>
                <w:sz w:val="24"/>
              </w:rPr>
            </w:pPr>
            <w:r>
              <w:rPr>
                <w:rFonts w:ascii="Times New Roman" w:cs="Times New Roman" w:hAnsi="Times New Roman"/>
                <w:sz w:val="24"/>
              </w:rPr>
              <w:t>156.96</w:t>
            </w:r>
          </w:p>
        </w:tc>
      </w:tr>
      <w:tr>
        <w:trPr>
          <w:trHeight w:val="341"/>
          <w:gridAfter w:val="1"/>
          <w:wAfter w:w="234" w:type="dxa"/>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left"/>
              <w:textAlignment w:val="center"/>
              <w:rPr>
                <w:rFonts w:ascii="Times New Roman" w:cs="Times New Roman" w:hAnsi="Times New Roman"/>
                <w:sz w:val="24"/>
              </w:rPr>
            </w:pPr>
            <w:r>
              <w:rPr>
                <w:rFonts w:ascii="Times New Roman" w:cs="Times New Roman" w:hAnsi="Times New Roman"/>
                <w:kern w:val="0"/>
                <w:sz w:val="24"/>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p>
        </w:tc>
      </w:tr>
      <w:tr>
        <w:trPr>
          <w:trHeight w:val="217"/>
          <w:gridAfter w:val="1"/>
          <w:wAfter w:w="234" w:type="dxa"/>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kern w:val="0"/>
                <w:sz w:val="24"/>
              </w:rPr>
            </w:pPr>
            <w:r>
              <w:rPr>
                <w:rFonts w:ascii="Times New Roman" w:cs="Times New Roman" w:hAnsi="Times New Roman"/>
                <w:kern w:val="0"/>
                <w:sz w:val="24"/>
              </w:rPr>
              <w:t>年度总体目标</w:t>
            </w:r>
          </w:p>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kern w:val="0"/>
                <w:sz w:val="24"/>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kern w:val="0"/>
                <w:sz w:val="24"/>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cs="Times New Roman" w:hAnsi="Times New Roman"/>
                <w:sz w:val="24"/>
              </w:rPr>
            </w:pPr>
            <w:r>
              <w:rPr>
                <w:rFonts w:ascii="Times New Roman" w:cs="Times New Roman" w:hAnsi="Times New Roman"/>
                <w:kern w:val="0"/>
                <w:sz w:val="24"/>
              </w:rPr>
              <w:t>目标实际完成情况</w:t>
            </w:r>
          </w:p>
        </w:tc>
      </w:tr>
      <w:tr>
        <w:trPr>
          <w:trHeight w:val="797"/>
          <w:gridAfter w:val="1"/>
          <w:wAfter w:w="234" w:type="dxa"/>
        </w:trPr>
        <w:tc>
          <w:tcPr>
            <w:tcW w:w="19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noWrap/>
          </w:tcPr>
          <w:p>
            <w:pPr>
              <w:pageBreakBefore w:val="0"/>
              <w:widowControl/>
              <w:kinsoku/>
              <w:wordWrap/>
              <w:overflowPunct/>
              <w:topLinePunct w:val="0"/>
              <w:bidi w:val="0"/>
              <w:spacing w:line="576" w:lineRule="exact"/>
              <w:jc w:val="left"/>
              <w:textAlignment w:val="top"/>
              <w:rPr>
                <w:rFonts w:ascii="Times New Roman" w:cs="Times New Roman" w:hAnsi="Times New Roman"/>
                <w:sz w:val="24"/>
              </w:rPr>
            </w:pPr>
            <w:r>
              <w:rPr>
                <w:rFonts w:ascii="Times New Roman" w:cs="Times New Roman" w:hAnsi="Times New Roman"/>
                <w:sz w:val="24"/>
                <w:lang w:val="en-US" w:eastAsia="zh-CN" w:bidi="ar-SA"/>
              </w:rPr>
              <w:t>该项目为保障州委工作运转的经费，主要用于州委临时作出重大决策部署。</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noWrap/>
          </w:tcPr>
          <w:p>
            <w:pPr>
              <w:pageBreakBefore w:val="0"/>
              <w:widowControl/>
              <w:kinsoku/>
              <w:wordWrap/>
              <w:overflowPunct/>
              <w:topLinePunct w:val="0"/>
              <w:bidi w:val="0"/>
              <w:spacing w:line="576" w:lineRule="exact"/>
              <w:jc w:val="left"/>
              <w:textAlignment w:val="top"/>
              <w:rPr>
                <w:rFonts w:ascii="Times New Roman" w:cs="Times New Roman" w:hAnsi="Times New Roman"/>
                <w:sz w:val="24"/>
              </w:rPr>
            </w:pPr>
            <w:r>
              <w:rPr>
                <w:rFonts w:ascii="Times New Roman" w:cs="Times New Roman" w:hAnsi="Times New Roman"/>
                <w:sz w:val="24"/>
                <w:lang w:val="en-US" w:eastAsia="zh-CN" w:bidi="ar-SA"/>
              </w:rPr>
              <w:t>保障州委工作运转的经费，贯彻落实州委临时作出重大决策部署。</w:t>
            </w:r>
          </w:p>
        </w:tc>
      </w:tr>
      <w:tr>
        <w:trPr>
          <w:trHeight w:val="693"/>
          <w:gridAfter w:val="1"/>
          <w:wAfter w:w="234" w:type="dxa"/>
        </w:trPr>
        <w:tc>
          <w:tcPr>
            <w:tcW w:w="1977" w:type="dxa"/>
            <w:vMerge w:val="restart"/>
            <w:tcBorders>
              <w:top w:val="single" w:sz="4" w:space="0" w:color="000000"/>
              <w:left w:val="single" w:sz="4" w:space="0" w:color="000000"/>
              <w:bottom w:val="nil"/>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sz w:val="28"/>
                <w:szCs w:val="28"/>
              </w:rPr>
            </w:pPr>
            <w:r>
              <w:rPr>
                <w:rFonts w:ascii="Times New Roman" w:eastAsia="仿宋_GB2312" w:cs="Times New Roman" w:hAnsi="Times New Roman"/>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kern w:val="0"/>
                <w:sz w:val="28"/>
                <w:szCs w:val="28"/>
              </w:rPr>
            </w:pPr>
            <w:r>
              <w:rPr>
                <w:rFonts w:ascii="Times New Roman" w:eastAsia="仿宋_GB2312" w:cs="Times New Roman" w:hAnsi="Times New Roman"/>
                <w:kern w:val="0"/>
                <w:sz w:val="28"/>
                <w:szCs w:val="28"/>
              </w:rPr>
              <w:t>一级</w:t>
            </w:r>
          </w:p>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kern w:val="0"/>
                <w:sz w:val="28"/>
                <w:szCs w:val="28"/>
              </w:rPr>
            </w:pPr>
            <w:r>
              <w:rPr>
                <w:rFonts w:ascii="Times New Roman" w:eastAsia="仿宋_GB2312" w:cs="Times New Roman" w:hAnsi="Times New Roman"/>
                <w:kern w:val="0"/>
                <w:sz w:val="28"/>
                <w:szCs w:val="28"/>
              </w:rPr>
              <w:t>二级</w:t>
            </w:r>
          </w:p>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kern w:val="0"/>
                <w:sz w:val="28"/>
                <w:szCs w:val="28"/>
              </w:rPr>
            </w:pPr>
            <w:r>
              <w:rPr>
                <w:rFonts w:ascii="Times New Roman" w:eastAsia="仿宋_GB2312" w:cs="Times New Roman" w:hAnsi="Times New Roman"/>
                <w:kern w:val="0"/>
                <w:sz w:val="28"/>
                <w:szCs w:val="28"/>
              </w:rPr>
              <w:t>三级</w:t>
            </w:r>
          </w:p>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sz w:val="28"/>
                <w:szCs w:val="28"/>
              </w:rPr>
            </w:pPr>
            <w:r>
              <w:rPr>
                <w:rFonts w:ascii="Times New Roman" w:eastAsia="仿宋_GB2312" w:cs="Times New Roman" w:hAnsi="Times New Roman"/>
                <w:kern w:val="0"/>
                <w:sz w:val="28"/>
                <w:szCs w:val="28"/>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center"/>
              <w:rPr>
                <w:rFonts w:ascii="Times New Roman" w:eastAsia="仿宋_GB2312" w:cs="Times New Roman" w:hAnsi="Times New Roman"/>
                <w:sz w:val="28"/>
                <w:szCs w:val="28"/>
              </w:rPr>
            </w:pPr>
            <w:r>
              <w:rPr>
                <w:rFonts w:ascii="Times New Roman" w:eastAsia="仿宋_GB2312" w:cs="Times New Roman" w:hAnsi="Times New Roman"/>
                <w:kern w:val="0"/>
                <w:sz w:val="28"/>
                <w:szCs w:val="28"/>
              </w:rPr>
              <w:t>实际完成指标值</w:t>
            </w:r>
          </w:p>
        </w:tc>
      </w:tr>
      <w:tr>
        <w:trPr>
          <w:trHeight w:val="415"/>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kern w:val="0"/>
                <w:sz w:val="28"/>
                <w:szCs w:val="28"/>
              </w:rPr>
            </w:pPr>
            <w:r>
              <w:rPr>
                <w:rFonts w:ascii="Times New Roman" w:eastAsia="仿宋_GB2312" w:cs="Times New Roman" w:hAnsi="Times New Roman"/>
                <w:kern w:val="0"/>
                <w:sz w:val="28"/>
                <w:szCs w:val="28"/>
              </w:rPr>
              <w:t>完成</w:t>
            </w:r>
          </w:p>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r>
      <w:tr>
        <w:trPr>
          <w:trHeight w:val="415"/>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sz w:val="28"/>
                <w:szCs w:val="28"/>
              </w:rPr>
              <w:t>完成质量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sz w:val="28"/>
                <w:szCs w:val="28"/>
              </w:rPr>
              <w:t>圆满完成各项任务</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sz w:val="28"/>
                <w:szCs w:val="28"/>
              </w:rPr>
              <w:t>圆满完成各项任务</w:t>
            </w:r>
          </w:p>
        </w:tc>
      </w:tr>
      <w:tr>
        <w:trPr>
          <w:trHeight w:val="415"/>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sz w:val="28"/>
                <w:szCs w:val="28"/>
              </w:rPr>
              <w:t>及时贯彻落实</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sz w:val="28"/>
                <w:szCs w:val="28"/>
              </w:rPr>
              <w:t>及时贯彻各项部署</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sz w:val="28"/>
                <w:szCs w:val="28"/>
              </w:rPr>
              <w:t>及时贯彻各项部署</w:t>
            </w:r>
          </w:p>
        </w:tc>
      </w:tr>
      <w:tr>
        <w:trPr>
          <w:trHeight w:val="480"/>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r>
      <w:tr>
        <w:trPr>
          <w:trHeight w:val="480"/>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kern w:val="0"/>
                <w:sz w:val="28"/>
                <w:szCs w:val="28"/>
                <w:lang w:eastAsia="zh-CN"/>
              </w:rPr>
            </w:pPr>
            <w:r>
              <w:rPr>
                <w:rFonts w:ascii="Times New Roman" w:eastAsia="仿宋_GB2312" w:cs="Times New Roman" w:hAnsi="Times New Roman"/>
                <w:kern w:val="0"/>
                <w:sz w:val="28"/>
                <w:szCs w:val="28"/>
              </w:rPr>
              <w:t>效益</w:t>
            </w:r>
          </w:p>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textAlignment w:val="bottom"/>
              <w:rPr>
                <w:rFonts w:ascii="Times New Roman" w:eastAsia="仿宋_GB2312" w:cs="Times New Roman" w:hAnsi="Times New Roman"/>
                <w:sz w:val="28"/>
                <w:szCs w:val="28"/>
              </w:rPr>
            </w:pPr>
          </w:p>
        </w:tc>
      </w:tr>
      <w:tr>
        <w:trPr>
          <w:trHeight w:val="480"/>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r>
      <w:tr>
        <w:trPr>
          <w:trHeight w:val="577"/>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ind w:leftChars="87" w:left="463" w:hangingChars="100" w:hanging="280"/>
              <w:jc w:val="left"/>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r>
      <w:tr>
        <w:trPr>
          <w:trHeight w:val="480"/>
          <w:gridAfter w:val="1"/>
          <w:wAfter w:w="234" w:type="dxa"/>
        </w:trPr>
        <w:tc>
          <w:tcPr>
            <w:tcW w:w="1977" w:type="dxa"/>
            <w:vMerge/>
            <w:tcBorders>
              <w:top w:val="nil"/>
              <w:left w:val="single" w:sz="4" w:space="0" w:color="000000"/>
              <w:bottom w:val="nil"/>
              <w:right w:val="single" w:sz="4" w:space="0" w:color="000000"/>
            </w:tcBorders>
            <w:shd w:val="clear" w:color="auto" w:fill="auto"/>
            <w:noWrap/>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p>
        </w:tc>
      </w:tr>
      <w:tr>
        <w:trPr>
          <w:trHeight w:val="530"/>
          <w:gridAfter w:val="1"/>
          <w:wAfter w:w="234" w:type="dxa"/>
        </w:trPr>
        <w:tc>
          <w:tcPr>
            <w:tcW w:w="1977" w:type="dxa"/>
            <w:vMerge/>
            <w:tcBorders>
              <w:top w:val="nil"/>
              <w:left w:val="single" w:sz="4" w:space="0" w:color="000000"/>
              <w:bottom w:val="single" w:sz="4" w:space="0" w:color="000000"/>
              <w:right w:val="single" w:sz="4" w:space="0" w:color="000000"/>
            </w:tcBorders>
            <w:shd w:val="clear" w:color="auto" w:fill="auto"/>
            <w:noWrap/>
            <w:vAlign w:val="center"/>
          </w:tcP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kern w:val="0"/>
                <w:sz w:val="28"/>
                <w:szCs w:val="28"/>
                <w:lang w:eastAsia="zh-CN"/>
              </w:rPr>
            </w:pPr>
            <w:r>
              <w:rPr>
                <w:rFonts w:ascii="Times New Roman" w:eastAsia="仿宋_GB2312" w:cs="Times New Roman" w:hAnsi="Times New Roman"/>
                <w:kern w:val="0"/>
                <w:sz w:val="28"/>
                <w:szCs w:val="28"/>
              </w:rPr>
              <w:t>满意</w:t>
            </w:r>
          </w:p>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kern w:val="0"/>
                <w:sz w:val="28"/>
                <w:szCs w:val="28"/>
              </w:rPr>
            </w:pPr>
            <w:r>
              <w:rPr>
                <w:rFonts w:ascii="Times New Roman" w:eastAsia="仿宋_GB2312" w:cs="Times New Roman" w:hAnsi="Times New Roman"/>
                <w:kern w:val="0"/>
                <w:sz w:val="28"/>
                <w:szCs w:val="28"/>
              </w:rPr>
              <w:t>满意度</w:t>
            </w:r>
          </w:p>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rPr>
            </w:pPr>
            <w:r>
              <w:rPr>
                <w:rFonts w:ascii="Times New Roman" w:eastAsia="仿宋_GB2312" w:cs="Times New Roman" w:hAnsi="Times New Roman"/>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lang w:val="en-US" w:eastAsia="zh-CN"/>
              </w:rPr>
            </w:pPr>
            <w:r>
              <w:rPr>
                <w:rFonts w:ascii="Times New Roman" w:eastAsia="仿宋_GB2312" w:cs="Times New Roman" w:hAnsi="Times New Roman"/>
                <w:sz w:val="28"/>
                <w:szCs w:val="28"/>
                <w:lang w:val="en-US" w:eastAsia="zh-CN"/>
              </w:rPr>
              <w:t>100</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lang w:val="en-US" w:eastAsia="zh-CN"/>
              </w:rPr>
            </w:pPr>
            <w:r>
              <w:rPr>
                <w:rFonts w:ascii="Times New Roman" w:eastAsia="仿宋_GB2312" w:cs="Times New Roman" w:hAnsi="Times New Roman"/>
                <w:sz w:val="28"/>
                <w:szCs w:val="28"/>
                <w:lang w:val="en-US" w:eastAsia="zh-CN"/>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pageBreakBefore w:val="0"/>
              <w:widowControl/>
              <w:kinsoku/>
              <w:wordWrap/>
              <w:overflowPunct/>
              <w:topLinePunct w:val="0"/>
              <w:bidi w:val="0"/>
              <w:spacing w:line="576" w:lineRule="exact"/>
              <w:jc w:val="center"/>
              <w:textAlignment w:val="bottom"/>
              <w:rPr>
                <w:rFonts w:ascii="Times New Roman" w:eastAsia="仿宋_GB2312" w:cs="Times New Roman" w:hAnsi="Times New Roman"/>
                <w:sz w:val="28"/>
                <w:szCs w:val="28"/>
                <w:lang w:val="en-US" w:eastAsia="zh-CN"/>
              </w:rPr>
            </w:pPr>
            <w:r>
              <w:rPr>
                <w:rFonts w:ascii="Times New Roman" w:eastAsia="仿宋_GB2312" w:cs="Times New Roman" w:hAnsi="Times New Roman"/>
                <w:sz w:val="28"/>
                <w:szCs w:val="28"/>
                <w:lang w:val="en-US" w:eastAsia="zh-CN"/>
              </w:rPr>
              <w:t>100</w:t>
            </w:r>
          </w:p>
        </w:tc>
      </w:tr>
    </w:tbl>
    <w:p>
      <w:pPr>
        <w:pageBreakBefore w:val="0"/>
        <w:widowControl/>
        <w:kinsoku/>
        <w:wordWrap/>
        <w:overflowPunct/>
        <w:topLinePunct w:val="0"/>
        <w:bidi w:val="0"/>
        <w:adjustRightInd w:val="0"/>
        <w:snapToGrid w:val="0"/>
        <w:spacing w:line="576" w:lineRule="exact"/>
        <w:ind w:firstLineChars="200" w:firstLine="640"/>
        <w:contextualSpacing/>
        <w:jc w:val="left"/>
        <w:rPr>
          <w:rFonts w:ascii="Times New Roman" w:eastAsia="仿宋_GB2312" w:cs="Times New Roman" w:hAnsi="Times New Roman"/>
          <w:kern w:val="0"/>
          <w:sz w:val="32"/>
          <w:szCs w:val="32"/>
          <w:shd w:val="clear" w:color="auto" w:fill="FFFFFF"/>
          <w:lang w:val="zh-CN"/>
        </w:rPr>
      </w:pPr>
      <w:r>
        <w:rPr>
          <w:rFonts w:ascii="Times New Roman" w:eastAsia="仿宋_GB2312" w:cs="Times New Roman" w:hAnsi="Times New Roman"/>
          <w:kern w:val="0"/>
          <w:sz w:val="32"/>
          <w:szCs w:val="32"/>
          <w:shd w:val="clear" w:color="auto" w:fill="FFFFFF"/>
          <w:lang w:val="zh-CN"/>
        </w:rPr>
        <w:t>附表：</w:t>
      </w:r>
    </w:p>
    <w:p>
      <w:pPr>
        <w:pageBreakBefore w:val="0"/>
        <w:widowControl/>
        <w:kinsoku/>
        <w:wordWrap/>
        <w:overflowPunct/>
        <w:topLinePunct w:val="0"/>
        <w:bidi w:val="0"/>
        <w:adjustRightInd w:val="0"/>
        <w:snapToGrid w:val="0"/>
        <w:spacing w:line="576" w:lineRule="exact"/>
        <w:contextualSpacing/>
        <w:jc w:val="left"/>
        <w:rPr>
          <w:rFonts w:ascii="Times New Roman" w:eastAsia="仿宋_GB2312" w:cs="Times New Roman" w:hAnsi="Times New Roman"/>
          <w:kern w:val="0"/>
          <w:sz w:val="32"/>
          <w:szCs w:val="32"/>
          <w:shd w:val="clear" w:color="auto" w:fill="FFFFFF"/>
        </w:rPr>
      </w:pPr>
      <w:r>
        <w:rPr>
          <w:rFonts w:ascii="Times New Roman" w:eastAsia="仿宋_GB2312" w:cs="Times New Roman" w:hAnsi="Times New Roman"/>
          <w:kern w:val="0"/>
          <w:sz w:val="32"/>
          <w:szCs w:val="32"/>
          <w:shd w:val="clear" w:color="auto" w:fill="FFFFFF"/>
        </w:rPr>
        <w:t>（注：有两个及以上100万元以上（含）特定目标类部门预算项目的，需分别开展绩效目标自评并填写附表）</w:t>
      </w:r>
    </w:p>
    <w:p>
      <w:pPr>
        <w:pStyle w:val="15"/>
        <w:pageBreakBefore w:val="0"/>
        <w:widowControl w:val="0"/>
        <w:kinsoku/>
        <w:wordWrap/>
        <w:overflowPunct/>
        <w:topLinePunct w:val="0"/>
        <w:bidi w:val="0"/>
        <w:spacing w:line="576" w:lineRule="exact"/>
        <w:rPr>
          <w:rFonts w:ascii="Times New Roman" w:cs="Times New Roman" w:hAnsi="Times New Roman"/>
        </w:rPr>
      </w:pPr>
    </w:p>
    <w:p>
      <w:pPr>
        <w:pageBreakBefore w:val="0"/>
        <w:widowControl w:val="0"/>
        <w:kinsoku/>
        <w:wordWrap/>
        <w:overflowPunct/>
        <w:topLinePunct w:val="0"/>
        <w:bidi w:val="0"/>
        <w:spacing w:line="576" w:lineRule="exact"/>
        <w:rPr>
          <w:rStyle w:val="1Char"/>
          <w:rFonts w:ascii="Times New Roman" w:eastAsia="黑体" w:cs="Times New Roman" w:hAnsi="Times New Roman"/>
          <w:b w:val="0"/>
        </w:rPr>
      </w:pPr>
    </w:p>
    <w:p>
      <w:pPr>
        <w:pageBreakBefore w:val="0"/>
        <w:widowControl/>
        <w:kinsoku/>
        <w:wordWrap/>
        <w:overflowPunct/>
        <w:topLinePunct w:val="0"/>
        <w:bidi w:val="0"/>
        <w:spacing w:line="576" w:lineRule="exact"/>
        <w:jc w:val="left"/>
        <w:rPr>
          <w:rStyle w:val="1Char"/>
          <w:rFonts w:ascii="Times New Roman" w:eastAsia="黑体" w:cs="Times New Roman" w:hAnsi="Times New Roman"/>
          <w:b w:val="0"/>
        </w:rPr>
      </w:pPr>
      <w:r>
        <w:rPr>
          <w:rStyle w:val="1Char"/>
          <w:rFonts w:ascii="Times New Roman" w:eastAsia="黑体" w:cs="Times New Roman" w:hAnsi="Times New Roman"/>
          <w:b w:val="0"/>
        </w:rPr>
        <w:br w:type="page"/>
      </w:r>
    </w:p>
    <w:p>
      <w:pPr>
        <w:pageBreakBefore w:val="0"/>
        <w:widowControl w:val="0"/>
        <w:kinsoku/>
        <w:wordWrap/>
        <w:overflowPunct/>
        <w:topLinePunct w:val="0"/>
        <w:bidi w:val="0"/>
        <w:spacing w:line="576" w:lineRule="exact"/>
        <w:jc w:val="center"/>
        <w:outlineLvl w:val="0"/>
        <w:rPr>
          <w:rFonts w:ascii="Times New Roman" w:eastAsia="仿宋" w:cs="Times New Roman" w:hAnsi="Times New Roman"/>
        </w:rPr>
      </w:pPr>
      <w:bookmarkStart w:id="88" w:name="_Toc15396618"/>
      <w:bookmarkStart w:id="89" w:name="_Toc26843625"/>
      <w:r>
        <w:rPr>
          <w:rFonts w:ascii="Times New Roman" w:eastAsia="黑体" w:cs="Times New Roman" w:hAnsi="Times New Roman"/>
          <w:sz w:val="44"/>
          <w:szCs w:val="44"/>
        </w:rPr>
        <w:t>第</w:t>
      </w:r>
      <w:r>
        <w:rPr>
          <w:rStyle w:val="1Char"/>
          <w:rFonts w:ascii="Times New Roman" w:eastAsia="黑体" w:cs="Times New Roman" w:hAnsi="Times New Roman"/>
          <w:b w:val="0"/>
        </w:rPr>
        <w:t>五部分 附表</w:t>
      </w:r>
      <w:bookmarkStart w:id="90" w:name="_Toc15396619"/>
      <w:bookmarkEnd w:id="84"/>
      <w:bookmarkEnd w:id="88"/>
      <w:bookmarkEnd w:id="89"/>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91" w:name="_Toc26843626"/>
      <w:r>
        <w:rPr>
          <w:rFonts w:ascii="Times New Roman" w:eastAsia="仿宋" w:cs="Times New Roman" w:hAnsi="Times New Roman"/>
          <w:b w:val="0"/>
        </w:rPr>
        <w:t>一、收</w:t>
      </w:r>
      <w:r>
        <w:rPr>
          <w:rStyle w:val="2Char"/>
          <w:rFonts w:ascii="Times New Roman" w:eastAsia="仿宋" w:cs="Times New Roman" w:hAnsi="Times New Roman"/>
          <w:b w:val="0"/>
          <w:bCs w:val="0"/>
        </w:rPr>
        <w:t>入支出决算总表</w:t>
      </w:r>
      <w:bookmarkEnd w:id="90"/>
      <w:bookmarkEnd w:id="91"/>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92" w:name="_Toc26843627"/>
      <w:bookmarkStart w:id="93" w:name="_Toc15396620"/>
      <w:r>
        <w:rPr>
          <w:rFonts w:ascii="Times New Roman" w:eastAsia="仿宋" w:cs="Times New Roman" w:hAnsi="Times New Roman"/>
          <w:b w:val="0"/>
        </w:rPr>
        <w:t>二、收</w:t>
      </w:r>
      <w:r>
        <w:rPr>
          <w:rStyle w:val="2Char"/>
          <w:rFonts w:ascii="Times New Roman" w:eastAsia="仿宋" w:cs="Times New Roman" w:hAnsi="Times New Roman"/>
          <w:b w:val="0"/>
          <w:bCs w:val="0"/>
        </w:rPr>
        <w:t>入决算表</w:t>
      </w:r>
      <w:bookmarkEnd w:id="92"/>
      <w:bookmarkEnd w:id="93"/>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94" w:name="_Toc26843628"/>
      <w:bookmarkStart w:id="95" w:name="_Toc15396621"/>
      <w:r>
        <w:rPr>
          <w:rStyle w:val="2Char"/>
          <w:rFonts w:ascii="Times New Roman" w:eastAsia="仿宋" w:cs="Times New Roman" w:hAnsi="Times New Roman"/>
          <w:b w:val="0"/>
          <w:bCs w:val="0"/>
        </w:rPr>
        <w:t>三、</w:t>
      </w:r>
      <w:r>
        <w:rPr>
          <w:rFonts w:ascii="Times New Roman" w:eastAsia="仿宋" w:cs="Times New Roman" w:hAnsi="Times New Roman"/>
          <w:b w:val="0"/>
        </w:rPr>
        <w:t>支</w:t>
      </w:r>
      <w:r>
        <w:rPr>
          <w:rStyle w:val="2Char"/>
          <w:rFonts w:ascii="Times New Roman" w:eastAsia="仿宋" w:cs="Times New Roman" w:hAnsi="Times New Roman"/>
          <w:b w:val="0"/>
          <w:bCs w:val="0"/>
        </w:rPr>
        <w:t>出决算表</w:t>
      </w:r>
      <w:bookmarkEnd w:id="94"/>
      <w:bookmarkEnd w:id="95"/>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b w:val="0"/>
        </w:rPr>
      </w:pPr>
      <w:bookmarkStart w:id="96" w:name="_Toc15396622"/>
      <w:bookmarkStart w:id="97" w:name="_Toc26843629"/>
      <w:r>
        <w:rPr>
          <w:rStyle w:val="2Char"/>
          <w:rFonts w:ascii="Times New Roman" w:eastAsia="仿宋" w:cs="Times New Roman" w:hAnsi="Times New Roman"/>
          <w:b w:val="0"/>
          <w:bCs w:val="0"/>
        </w:rPr>
        <w:t>四、</w:t>
      </w:r>
      <w:r>
        <w:rPr>
          <w:rFonts w:ascii="Times New Roman" w:eastAsia="仿宋" w:cs="Times New Roman" w:hAnsi="Times New Roman"/>
          <w:b w:val="0"/>
        </w:rPr>
        <w:t>财</w:t>
      </w:r>
      <w:r>
        <w:rPr>
          <w:rStyle w:val="2Char"/>
          <w:rFonts w:ascii="Times New Roman" w:eastAsia="仿宋" w:cs="Times New Roman" w:hAnsi="Times New Roman"/>
          <w:b w:val="0"/>
          <w:bCs w:val="0"/>
        </w:rPr>
        <w:t>政拨款收入支出决算总表</w:t>
      </w:r>
      <w:bookmarkEnd w:id="96"/>
      <w:bookmarkEnd w:id="97"/>
    </w:p>
    <w:p>
      <w:pPr>
        <w:pStyle w:val="2"/>
        <w:keepNext/>
        <w:keepLines/>
        <w:pageBreakBefore w:val="0"/>
        <w:widowControl w:val="0"/>
        <w:kinsoku/>
        <w:wordWrap/>
        <w:overflowPunct/>
        <w:topLinePunct w:val="0"/>
        <w:bidi w:val="0"/>
        <w:spacing w:line="576" w:lineRule="exact"/>
        <w:rPr>
          <w:rStyle w:val="2Char"/>
          <w:rFonts w:ascii="Times New Roman" w:eastAsia="仿宋" w:cs="Times New Roman" w:hAnsi="Times New Roman"/>
          <w:b w:val="0"/>
          <w:bCs w:val="0"/>
        </w:rPr>
      </w:pPr>
      <w:bookmarkStart w:id="98" w:name="_Toc15396623"/>
      <w:bookmarkStart w:id="99" w:name="_Toc26843630"/>
      <w:r>
        <w:rPr>
          <w:rStyle w:val="2Char"/>
          <w:rFonts w:ascii="Times New Roman" w:eastAsia="仿宋" w:cs="Times New Roman" w:hAnsi="Times New Roman"/>
          <w:b w:val="0"/>
          <w:bCs w:val="0"/>
        </w:rPr>
        <w:t>五、</w:t>
      </w:r>
      <w:r>
        <w:rPr>
          <w:rFonts w:ascii="Times New Roman" w:eastAsia="仿宋" w:cs="Times New Roman" w:hAnsi="Times New Roman"/>
          <w:b w:val="0"/>
        </w:rPr>
        <w:t>财</w:t>
      </w:r>
      <w:r>
        <w:rPr>
          <w:rStyle w:val="2Char"/>
          <w:rFonts w:ascii="Times New Roman" w:eastAsia="仿宋" w:cs="Times New Roman" w:hAnsi="Times New Roman"/>
          <w:b w:val="0"/>
          <w:bCs w:val="0"/>
        </w:rPr>
        <w:t>政拨款支出决算明细表</w:t>
      </w:r>
      <w:bookmarkStart w:id="100" w:name="_Toc15396624"/>
      <w:bookmarkEnd w:id="98"/>
      <w:bookmarkEnd w:id="99"/>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01" w:name="_Toc26843631"/>
      <w:r>
        <w:rPr>
          <w:rStyle w:val="2Char"/>
          <w:rFonts w:ascii="Times New Roman" w:eastAsia="仿宋" w:cs="Times New Roman" w:hAnsi="Times New Roman"/>
          <w:b w:val="0"/>
          <w:bCs w:val="0"/>
        </w:rPr>
        <w:t>六、</w:t>
      </w:r>
      <w:r>
        <w:rPr>
          <w:rFonts w:ascii="Times New Roman" w:eastAsia="仿宋" w:cs="Times New Roman" w:hAnsi="Times New Roman"/>
          <w:b w:val="0"/>
        </w:rPr>
        <w:t>一</w:t>
      </w:r>
      <w:r>
        <w:rPr>
          <w:rStyle w:val="2Char"/>
          <w:rFonts w:ascii="Times New Roman" w:eastAsia="仿宋" w:cs="Times New Roman" w:hAnsi="Times New Roman"/>
          <w:b w:val="0"/>
          <w:bCs w:val="0"/>
        </w:rPr>
        <w:t>般公共预算财政拨款支出决算表</w:t>
      </w:r>
      <w:bookmarkEnd w:id="100"/>
      <w:bookmarkEnd w:id="101"/>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02" w:name="_Toc15396625"/>
      <w:bookmarkStart w:id="103" w:name="_Toc26843632"/>
      <w:r>
        <w:rPr>
          <w:rStyle w:val="2Char"/>
          <w:rFonts w:ascii="Times New Roman" w:eastAsia="仿宋" w:cs="Times New Roman" w:hAnsi="Times New Roman"/>
          <w:b w:val="0"/>
          <w:bCs w:val="0"/>
        </w:rPr>
        <w:t>七、</w:t>
      </w:r>
      <w:r>
        <w:rPr>
          <w:rFonts w:ascii="Times New Roman" w:eastAsia="仿宋" w:cs="Times New Roman" w:hAnsi="Times New Roman"/>
          <w:b w:val="0"/>
        </w:rPr>
        <w:t>一</w:t>
      </w:r>
      <w:r>
        <w:rPr>
          <w:rStyle w:val="2Char"/>
          <w:rFonts w:ascii="Times New Roman" w:eastAsia="仿宋" w:cs="Times New Roman" w:hAnsi="Times New Roman"/>
          <w:b w:val="0"/>
          <w:bCs w:val="0"/>
        </w:rPr>
        <w:t>般公共预算财政拨款支出决算明细表</w:t>
      </w:r>
      <w:bookmarkEnd w:id="102"/>
      <w:bookmarkEnd w:id="103"/>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04" w:name="_Toc26843633"/>
      <w:bookmarkStart w:id="105" w:name="_Toc15396626"/>
      <w:r>
        <w:rPr>
          <w:rStyle w:val="2Char"/>
          <w:rFonts w:ascii="Times New Roman" w:eastAsia="仿宋" w:cs="Times New Roman" w:hAnsi="Times New Roman"/>
          <w:b w:val="0"/>
          <w:bCs w:val="0"/>
        </w:rPr>
        <w:t>八、</w:t>
      </w:r>
      <w:r>
        <w:rPr>
          <w:rFonts w:ascii="Times New Roman" w:eastAsia="仿宋" w:cs="Times New Roman" w:hAnsi="Times New Roman"/>
          <w:b w:val="0"/>
        </w:rPr>
        <w:t>一</w:t>
      </w:r>
      <w:r>
        <w:rPr>
          <w:rStyle w:val="2Char"/>
          <w:rFonts w:ascii="Times New Roman" w:eastAsia="仿宋" w:cs="Times New Roman" w:hAnsi="Times New Roman"/>
          <w:b w:val="0"/>
          <w:bCs w:val="0"/>
        </w:rPr>
        <w:t>般公共预算财政拨款基本支出决算表</w:t>
      </w:r>
      <w:bookmarkEnd w:id="104"/>
      <w:bookmarkEnd w:id="105"/>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06" w:name="_Toc15396627"/>
      <w:bookmarkStart w:id="107" w:name="_Toc26843634"/>
      <w:r>
        <w:rPr>
          <w:rStyle w:val="2Char"/>
          <w:rFonts w:ascii="Times New Roman" w:eastAsia="仿宋" w:cs="Times New Roman" w:hAnsi="Times New Roman"/>
          <w:b w:val="0"/>
          <w:bCs w:val="0"/>
        </w:rPr>
        <w:t>九、</w:t>
      </w:r>
      <w:r>
        <w:rPr>
          <w:rFonts w:ascii="Times New Roman" w:eastAsia="仿宋" w:cs="Times New Roman" w:hAnsi="Times New Roman"/>
          <w:b w:val="0"/>
        </w:rPr>
        <w:t>一</w:t>
      </w:r>
      <w:r>
        <w:rPr>
          <w:rStyle w:val="2Char"/>
          <w:rFonts w:ascii="Times New Roman" w:eastAsia="仿宋" w:cs="Times New Roman" w:hAnsi="Times New Roman"/>
          <w:b w:val="0"/>
          <w:bCs w:val="0"/>
        </w:rPr>
        <w:t>般公共预算财政拨款项目支出决算表</w:t>
      </w:r>
      <w:bookmarkEnd w:id="106"/>
      <w:bookmarkEnd w:id="107"/>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08" w:name="_Toc15396628"/>
      <w:bookmarkStart w:id="109" w:name="_Toc26843635"/>
      <w:r>
        <w:rPr>
          <w:rStyle w:val="2Char"/>
          <w:rFonts w:ascii="Times New Roman" w:eastAsia="仿宋" w:cs="Times New Roman" w:hAnsi="Times New Roman"/>
          <w:b w:val="0"/>
          <w:bCs w:val="0"/>
        </w:rPr>
        <w:t>十、</w:t>
      </w:r>
      <w:r>
        <w:rPr>
          <w:rFonts w:ascii="Times New Roman" w:eastAsia="仿宋" w:cs="Times New Roman" w:hAnsi="Times New Roman"/>
          <w:b w:val="0"/>
        </w:rPr>
        <w:t>一</w:t>
      </w:r>
      <w:r>
        <w:rPr>
          <w:rStyle w:val="2Char"/>
          <w:rFonts w:ascii="Times New Roman" w:eastAsia="仿宋" w:cs="Times New Roman" w:hAnsi="Times New Roman"/>
          <w:b w:val="0"/>
          <w:bCs w:val="0"/>
        </w:rPr>
        <w:t>般公共预算财政拨款“三公”经费支出决算表</w:t>
      </w:r>
      <w:bookmarkEnd w:id="108"/>
      <w:bookmarkEnd w:id="109"/>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10" w:name="_Toc26843636"/>
      <w:bookmarkStart w:id="111" w:name="_Toc15396629"/>
      <w:r>
        <w:rPr>
          <w:rStyle w:val="2Char"/>
          <w:rFonts w:ascii="Times New Roman" w:eastAsia="仿宋" w:cs="Times New Roman" w:hAnsi="Times New Roman"/>
          <w:b w:val="0"/>
          <w:bCs w:val="0"/>
        </w:rPr>
        <w:t>十一、</w:t>
      </w:r>
      <w:r>
        <w:rPr>
          <w:rFonts w:ascii="Times New Roman" w:eastAsia="仿宋" w:cs="Times New Roman" w:hAnsi="Times New Roman"/>
          <w:b w:val="0"/>
        </w:rPr>
        <w:t>政</w:t>
      </w:r>
      <w:r>
        <w:rPr>
          <w:rStyle w:val="2Char"/>
          <w:rFonts w:ascii="Times New Roman" w:eastAsia="仿宋" w:cs="Times New Roman" w:hAnsi="Times New Roman"/>
          <w:b w:val="0"/>
          <w:bCs w:val="0"/>
        </w:rPr>
        <w:t>府性基金预算财政拨款收入支出决算表</w:t>
      </w:r>
      <w:bookmarkEnd w:id="110"/>
      <w:bookmarkEnd w:id="111"/>
    </w:p>
    <w:p>
      <w:pPr>
        <w:pStyle w:val="2"/>
        <w:keepNext/>
        <w:keepLines/>
        <w:pageBreakBefore w:val="0"/>
        <w:widowControl w:val="0"/>
        <w:kinsoku/>
        <w:wordWrap/>
        <w:overflowPunct/>
        <w:topLinePunct w:val="0"/>
        <w:bidi w:val="0"/>
        <w:spacing w:line="576" w:lineRule="exact"/>
        <w:rPr>
          <w:rFonts w:ascii="Times New Roman" w:eastAsia="仿宋" w:cs="Times New Roman" w:hAnsi="Times New Roman"/>
        </w:rPr>
      </w:pPr>
      <w:bookmarkStart w:id="112" w:name="_Toc26843637"/>
      <w:bookmarkStart w:id="113" w:name="_Toc15396630"/>
      <w:r>
        <w:rPr>
          <w:rStyle w:val="2Char"/>
          <w:rFonts w:ascii="Times New Roman" w:eastAsia="仿宋" w:cs="Times New Roman" w:hAnsi="Times New Roman"/>
          <w:b w:val="0"/>
          <w:bCs w:val="0"/>
        </w:rPr>
        <w:t>十二、</w:t>
      </w:r>
      <w:r>
        <w:rPr>
          <w:rFonts w:ascii="Times New Roman" w:eastAsia="仿宋" w:cs="Times New Roman" w:hAnsi="Times New Roman"/>
          <w:b w:val="0"/>
        </w:rPr>
        <w:t>政</w:t>
      </w:r>
      <w:r>
        <w:rPr>
          <w:rStyle w:val="2Char"/>
          <w:rFonts w:ascii="Times New Roman" w:eastAsia="仿宋" w:cs="Times New Roman" w:hAnsi="Times New Roman"/>
          <w:b w:val="0"/>
          <w:bCs w:val="0"/>
        </w:rPr>
        <w:t>府性基金预算财政拨款“三公”经费支出决算表</w:t>
      </w:r>
      <w:bookmarkEnd w:id="112"/>
      <w:bookmarkEnd w:id="113"/>
    </w:p>
    <w:p>
      <w:pPr>
        <w:pStyle w:val="2"/>
        <w:keepNext/>
        <w:keepLines/>
        <w:pageBreakBefore w:val="0"/>
        <w:widowControl w:val="0"/>
        <w:kinsoku/>
        <w:wordWrap/>
        <w:overflowPunct/>
        <w:topLinePunct w:val="0"/>
        <w:bidi w:val="0"/>
        <w:spacing w:line="576" w:lineRule="exact"/>
        <w:rPr>
          <w:rStyle w:val="2Char"/>
          <w:rFonts w:ascii="Times New Roman" w:eastAsia="仿宋" w:cs="Times New Roman" w:hAnsi="Times New Roman"/>
          <w:b w:val="0"/>
          <w:bCs w:val="0"/>
        </w:rPr>
      </w:pPr>
      <w:bookmarkStart w:id="114" w:name="_Toc15396631"/>
      <w:bookmarkStart w:id="115" w:name="_Toc26843638"/>
      <w:r>
        <w:rPr>
          <w:rStyle w:val="2Char"/>
          <w:rFonts w:ascii="Times New Roman" w:eastAsia="仿宋" w:cs="Times New Roman" w:hAnsi="Times New Roman"/>
          <w:b w:val="0"/>
          <w:bCs w:val="0"/>
        </w:rPr>
        <w:t>十三、</w:t>
      </w:r>
      <w:r>
        <w:rPr>
          <w:rFonts w:ascii="Times New Roman" w:eastAsia="仿宋" w:cs="Times New Roman" w:hAnsi="Times New Roman"/>
          <w:b w:val="0"/>
        </w:rPr>
        <w:t>国</w:t>
      </w:r>
      <w:r>
        <w:rPr>
          <w:rStyle w:val="2Char"/>
          <w:rFonts w:ascii="Times New Roman" w:eastAsia="仿宋" w:cs="Times New Roman" w:hAnsi="Times New Roman"/>
          <w:b w:val="0"/>
          <w:bCs w:val="0"/>
        </w:rPr>
        <w:t>有资本经营预算财政拨款收入支出决算表</w:t>
      </w:r>
      <w:bookmarkEnd w:id="114"/>
      <w:bookmarkEnd w:id="115"/>
    </w:p>
    <w:p>
      <w:pPr>
        <w:pageBreakBefore w:val="0"/>
        <w:widowControl w:val="0"/>
        <w:kinsoku/>
        <w:wordWrap/>
        <w:overflowPunct/>
        <w:topLinePunct w:val="0"/>
        <w:bidi w:val="0"/>
        <w:spacing w:line="576" w:lineRule="exact"/>
        <w:rPr>
          <w:rFonts w:ascii="Times New Roman" w:eastAsia="仿宋" w:cs="Times New Roman" w:hAnsi="Times New Roman"/>
        </w:rPr>
      </w:pPr>
      <w:bookmarkStart w:id="116" w:name="_Toc26843639"/>
      <w:r>
        <w:rPr>
          <w:rStyle w:val="2Char"/>
          <w:rFonts w:ascii="Times New Roman" w:eastAsia="仿宋" w:cs="Times New Roman" w:hAnsi="Times New Roman"/>
          <w:b w:val="0"/>
          <w:bCs w:val="0"/>
        </w:rPr>
        <w:t>十四、国有资本经营预算财政拨款支出决算表</w:t>
      </w:r>
      <w:bookmarkEnd w:id="116"/>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1"/>
    <w:family w:val="auto"/>
    <w:pitch w:val="variable"/>
    <w:sig w:usb0="E0002EFF" w:usb1="C000785B" w:usb2="00000009" w:usb3="00000000" w:csb0="400001FF" w:csb1="FFFF0000"/>
  </w:font>
  <w:font w:name="方正小标宋简体">
    <w:panose1 w:val="02010601030101010101"/>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方正楷体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mbria">
    <w:altName w:val="DejaVu Sans"/>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78083886"/>
    </w:sdtPr>
    <w:sdtContent>
      <w:p>
        <w:pPr>
          <w:pStyle w:val="18"/>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CF652CEC"/>
    <w:multiLevelType w:val="singleLevel"/>
    <w:tmpl w:val="CF652CEC"/>
    <w:lvl w:ilvl="0">
      <w:start w:val="9"/>
      <w:numFmt w:val="chineseCounting"/>
      <w:lvlRestart w:val="0"/>
      <w:suff w:val="nothing"/>
      <w:lvlText w:val="%1、"/>
      <w:lvlJc w:val="left"/>
      <w:pPr>
        <w:ind w:left="0" w:hanging="0"/>
      </w:pPr>
      <w:rPr>
        <w:rFonts w:hint="eastAsia"/>
      </w:rPr>
    </w:lvl>
  </w:abstractNum>
  <w:abstractNum w:abstractNumId="2">
    <w:nsid w:val="E2FA047D"/>
    <w:multiLevelType w:val="singleLevel"/>
    <w:tmpl w:val="E2FA047D"/>
    <w:lvl w:ilvl="0">
      <w:start w:val="3"/>
      <w:numFmt w:val="chineseCounting"/>
      <w:lvlRestart w:val="0"/>
      <w:suff w:val="space"/>
      <w:lvlText w:val="第%1部分"/>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zJmOTUyMWM3ZDhhOTJlNzBkNDk1MGU1ODIwNGM2Y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30"/>
    </w:rPr>
  </w:style>
  <w:style w:type="paragraph" w:styleId="16">
    <w:name w:val="toc 3"/>
    <w:basedOn w:val="0"/>
    <w:next w:val="0"/>
    <w:pPr>
      <w:tabs>
        <w:tab w:val="right" w:leader="dot" w:pos="8296"/>
      </w:tabs>
      <w:ind w:leftChars="400" w:left="400"/>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rFonts w:ascii="Calibri" w:hAnsi="Calibri"/>
      <w:kern w:val="0"/>
      <w:sz w:val="18"/>
      <w:szCs w:val="18"/>
    </w:rPr>
  </w:style>
  <w:style w:type="paragraph" w:styleId="19">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0">
    <w:name w:val="toc 1"/>
    <w:basedOn w:val="0"/>
    <w:next w:val="0"/>
    <w:pPr>
      <w:tabs>
        <w:tab w:val="right" w:leader="dot" w:pos="8296"/>
      </w:tabs>
      <w:spacing w:before="93"/>
      <w:jc w:val="center"/>
    </w:pPr>
    <w:rPr>
      <w:rFonts w:ascii="仿宋" w:eastAsia="仿宋"/>
      <w:sz w:val="28"/>
      <w:szCs w:val="28"/>
    </w:rPr>
  </w:style>
  <w:style w:type="paragraph" w:styleId="21">
    <w:name w:val="toc 2"/>
    <w:basedOn w:val="0"/>
    <w:next w:val="0"/>
    <w:pPr>
      <w:tabs>
        <w:tab w:val="right" w:leader="dot" w:pos="8296"/>
      </w:tabs>
      <w:ind w:leftChars="200" w:left="200"/>
    </w:pPr>
  </w:style>
  <w:style w:type="character" w:styleId="22">
    <w:name w:val="Strong"/>
    <w:basedOn w:val="10"/>
    <w:rPr>
      <w:b/>
    </w:rPr>
  </w:style>
  <w:style w:type="character" w:styleId="23">
    <w:name w:val="Hyperlink"/>
    <w:basedOn w:val="10"/>
    <w:rPr>
      <w:color w:val="0000FF"/>
      <w:u w:val="single"/>
    </w:rPr>
  </w:style>
  <w:style w:type="character" w:customStyle="1" w:styleId="24">
    <w:name w:val="Header Char"/>
    <w:basedOn w:val="10"/>
    <w:rPr>
      <w:rFonts w:ascii="Times New Roman" w:hAnsi="Times New Roman"/>
      <w:sz w:val="18"/>
      <w:szCs w:val="18"/>
    </w:rPr>
  </w:style>
  <w:style w:type="character" w:customStyle="1" w:styleId="25">
    <w:name w:val="Footer Char"/>
    <w:basedOn w:val="10"/>
    <w:rPr>
      <w:rFonts w:ascii="Times New Roman" w:hAnsi="Times New Roman"/>
      <w:sz w:val="18"/>
      <w:szCs w:val="18"/>
    </w:rPr>
  </w:style>
  <w:style w:type="character" w:customStyle="1" w:styleId="26">
    <w:name w:val="Body Text Char"/>
    <w:basedOn w:val="10"/>
    <w:rPr>
      <w:rFonts w:ascii="Times New Roman" w:hAnsi="Times New Roman"/>
      <w:szCs w:val="24"/>
    </w:rPr>
  </w:style>
  <w:style w:type="paragraph" w:customStyle="1" w:styleId="27">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28">
    <w:name w:val="List Paragraph"/>
    <w:basedOn w:val="0"/>
    <w:pPr>
      <w:ind w:firstLineChars="200" w:firstLine="200"/>
    </w:pPr>
  </w:style>
  <w:style w:type="paragraph" w:customStyle="1" w:styleId="29">
    <w:name w:val="TOC 标题1"/>
    <w:basedOn w:val="1"/>
    <w:next w:val="0"/>
    <w:pPr>
      <w:keepNext/>
      <w:keepLines/>
      <w:widowControl/>
      <w:spacing w:before="480" w:after="0" w:line="276" w:lineRule="auto"/>
      <w:jc w:val="left"/>
      <w:outlineLvl w:val="9"/>
    </w:pPr>
    <w:rPr>
      <w:rFonts w:ascii="Cambria" w:hAnsi="Cambria"/>
      <w:color w:val="376092"/>
      <w:kern w:val="0"/>
      <w:sz w:val="28"/>
      <w:szCs w:val="28"/>
    </w:rPr>
  </w:style>
  <w:style w:type="paragraph" w:customStyle="1" w:styleId="30">
    <w:name w:val="TOC 标题2"/>
    <w:basedOn w:val="1"/>
    <w:next w:val="0"/>
    <w:pPr>
      <w:keepNext/>
      <w:keepLines/>
      <w:widowControl/>
      <w:spacing w:before="480" w:after="0" w:line="276" w:lineRule="auto"/>
      <w:jc w:val="left"/>
      <w:outlineLvl w:val="9"/>
    </w:pPr>
    <w:rPr>
      <w:rFonts w:ascii="Cambria" w:hAnsi="Cambria"/>
      <w:color w:val="376092"/>
      <w:kern w:val="0"/>
      <w:sz w:val="28"/>
      <w:szCs w:val="28"/>
    </w:rPr>
  </w:style>
  <w:style w:type="paragraph" w:customStyle="1" w:styleId="31">
    <w:name w:val="文档正文"/>
    <w:pPr>
      <w:adjustRightInd w:val="0"/>
      <w:spacing w:line="480" w:lineRule="atLeast"/>
      <w:textAlignment w:val="baseline"/>
    </w:pPr>
    <w:rPr>
      <w:rFonts w:ascii="Arial" w:eastAsia="宋体" w:cs="Times New Roman" w:hAnsi="Arial"/>
      <w:kern w:val="0"/>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emf"/><Relationship Id="rId5" Type="http://schemas.openxmlformats.org/officeDocument/2006/relationships/oleObject" Target="embeddings/oleObject1.bin"/><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image" Target="media/2.emf"/><Relationship Id="rId9" Type="http://schemas.openxmlformats.org/officeDocument/2006/relationships/oleObject" Target="embeddings/oleObject2.bin"/><Relationship Id="rId10" Type="http://schemas.openxmlformats.org/officeDocument/2006/relationships/image" Target="media/2.emf"/><Relationship Id="rId11" Type="http://schemas.openxmlformats.org/officeDocument/2006/relationships/oleObject" Target="embeddings/oleObject3.bin"/><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2021年收入</a:t>
            </a:r>
          </a:p>
        </c:rich>
      </c:tx>
      <c:layout>
        <c:manualLayout>
          <c:xMode val="edge"/>
          <c:yMode val="edge"/>
          <c:x val="0.3567278"/>
          <c:y val="0.034197778"/>
        </c:manualLayout>
      </c:layout>
      <c:overlay val="0"/>
      <c:spPr>
        <a:noFill/>
        <a:ln>
          <a:noFill/>
        </a:ln>
      </c:spPr>
    </c:title>
    <c:autoTitleDeleted val="1"/>
    <c:plotArea>
      <c:layout/>
      <c:pieChart>
        <c:varyColors val="1"/>
        <c:ser>
          <c:idx val="0"/>
          <c:order val="0"/>
          <c:tx>
            <c:strRef>
              <c:f>'Sheet1'!$B$1</c:f>
              <c:strCache>
                <c:ptCount val="1"/>
                <c:pt idx="0">
                  <c:v>2021年收入</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elete val="1"/>
            </c:dLbl>
            <c:dLbl>
              <c:idx val="1"/>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elete val="1"/>
            </c:dLbl>
            <c:showLegendKey val="0"/>
            <c:showVal val="0"/>
            <c:showCatName val="0"/>
            <c:showSerName val="0"/>
            <c:showPercent val="0"/>
            <c:showBubbleSize val="0"/>
            <c:showLeaderLines val="0"/>
          </c:dLbls>
          <c:cat>
            <c:strRef>
              <c:f>'Sheet1'!$A$2:$A$3</c:f>
              <c:strCache>
                <c:ptCount val="2"/>
                <c:pt idx="0">
                  <c:v>一般公共预算财政拨款收入</c:v>
                </c:pt>
                <c:pt idx="1">
                  <c:v>其他收入</c:v>
                </c:pt>
              </c:strCache>
            </c:strRef>
          </c:cat>
          <c:val>
            <c:numRef>
              <c:f>'Sheet1'!$B$2:$B$3</c:f>
              <c:numCache>
                <c:formatCode>General</c:formatCode>
                <c:ptCount val="2"/>
                <c:pt idx="0">
                  <c:v>11295.87</c:v>
                </c:pt>
                <c:pt idx="1">
                  <c:v>0.0</c:v>
                </c:pt>
              </c:numCache>
            </c:numRef>
          </c:val>
        </c:ser>
        <c:firstSliceAng val="0"/>
      </c:pieChart>
      <c:spPr>
        <a:noFill/>
        <a:ln>
          <a:noFill/>
        </a:ln>
      </c:spPr>
    </c:plotArea>
    <c:legend>
      <c:legendPos val="b"/>
      <c:layout>
        <c:manualLayout>
          <c:xMode val="edge"/>
          <c:yMode val="edge"/>
          <c:x val="0.1159768"/>
          <c:y val="0.87356013"/>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2021年支出</a:t>
            </a:r>
          </a:p>
        </c:rich>
      </c:tx>
      <c:layout/>
      <c:overlay val="0"/>
      <c:spPr>
        <a:noFill/>
        <a:ln>
          <a:noFill/>
        </a:ln>
      </c:spPr>
    </c:title>
    <c:autoTitleDeleted val="1"/>
    <c:plotArea>
      <c:layout/>
      <c:pieChart>
        <c:varyColors val="1"/>
        <c:ser>
          <c:idx val="0"/>
          <c:order val="0"/>
          <c:tx>
            <c:strRef>
              <c:f>'Sheet1 (2)'!$B$1</c:f>
              <c:strCache>
                <c:ptCount val="1"/>
                <c:pt idx="0">
                  <c:v>2021年支出</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elete val="1"/>
            </c:dLbl>
            <c:dLbl>
              <c:idx val="1"/>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delete val="1"/>
            </c:dLbl>
            <c:showLegendKey val="0"/>
            <c:showVal val="0"/>
            <c:showCatName val="0"/>
            <c:showSerName val="0"/>
            <c:showPercent val="0"/>
            <c:showBubbleSize val="0"/>
            <c:showLeaderLines val="0"/>
          </c:dLbls>
          <c:cat>
            <c:strRef>
              <c:f>'Sheet1 (2)'!$A$2:$A$3</c:f>
              <c:strCache>
                <c:ptCount val="2"/>
                <c:pt idx="0">
                  <c:v>基本支出</c:v>
                </c:pt>
                <c:pt idx="1">
                  <c:v>项目支出</c:v>
                </c:pt>
              </c:strCache>
            </c:strRef>
          </c:cat>
          <c:val>
            <c:numRef>
              <c:f>'Sheet1 (2)'!$B$2:$B$3</c:f>
              <c:numCache>
                <c:formatCode>General</c:formatCode>
                <c:ptCount val="2"/>
                <c:pt idx="0">
                  <c:v>2591.8</c:v>
                </c:pt>
                <c:pt idx="1">
                  <c:v>8841.49</c:v>
                </c:pt>
              </c:numCache>
            </c:numRef>
          </c:val>
        </c:ser>
        <c:firstSliceAng val="0"/>
      </c:pieChart>
      <c:spPr>
        <a:noFill/>
        <a:ln>
          <a:noFill/>
        </a:ln>
      </c:spPr>
    </c:plotArea>
    <c:legend>
      <c:legendPos val="b"/>
      <c:layout>
        <c:manualLayout>
          <c:xMode val="edge"/>
          <c:yMode val="edge"/>
          <c:x val="0.1159768"/>
          <c:y val="0.87356013"/>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 </a:t>
            </a:r>
          </a:p>
        </c:rich>
      </c:tx>
      <c:layout>
        <c:manualLayout>
          <c:xMode val="edge"/>
          <c:yMode val="edge"/>
          <c:x val="0.3960356"/>
          <c:y val="0.007473842"/>
        </c:manualLayout>
      </c:layout>
      <c:overlay val="0"/>
      <c:spPr>
        <a:noFill/>
        <a:ln>
          <a:noFill/>
        </a:ln>
      </c:spPr>
    </c:title>
    <c:autoTitleDeleted val="1"/>
    <c:plotArea>
      <c:layout/>
      <c:pieChart>
        <c:varyColors val="1"/>
        <c:ser>
          <c:idx val="0"/>
          <c:order val="0"/>
          <c:tx>
            <c:strRef>
              <c:f>'Sheet1 (3)'!$B$1</c:f>
              <c:strCache>
                <c:ptCount val="1"/>
                <c:pt idx="0">
                  <c:v>2021年一般公共预算财政拨款支出</c:v>
                </c:pt>
              </c:strCache>
            </c:strRef>
          </c:tx>
          <c:spPr>
            <a:solidFill>
              <a:srgbClr val="4F81BD"/>
            </a:solidFill>
            <a:ln>
              <a:noFill/>
            </a:ln>
          </c:spPr>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spPr>
              <a:pattFill prst="pct75">
                <a:fgClr>
                  <a:srgbClr val="404040"/>
                </a:fgClr>
                <a:bgClr>
                  <a:srgbClr val="595959"/>
                </a:bgClr>
              </a:pattFill>
              <a:ln>
                <a:noFill/>
              </a:ln>
            </c:spPr>
            <c:txPr>
              <a:bodyPr vert="horz"/>
              <a:lstStyle/>
              <a:p>
                <a:pPr>
                  <a:defRPr sz="1000" b="1" i="0" u="none" strike="noStrike" baseline="0">
                    <a:solidFill>
                      <a:srgbClr val="FFFFFF"/>
                    </a:solidFill>
                    <a:latin typeface="Times New Roman"/>
                    <a:ea typeface="宋体"/>
                    <a:cs typeface="Lucida Sans"/>
                  </a:defRPr>
                </a:pPr>
                <a:endParaRPr lang="zh-CN"/>
              </a:p>
            </c:txPr>
            <c:numFmt formatCode="0%" sourceLinked="0"/>
            <c:dLbl>
              <c:idx val="3"/>
              <c:layout>
                <c:manualLayout>
                  <c:x val="0.02568832"/>
                  <c:y val="0.13701162"/>
                </c:manualLayout>
              </c:layout>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Times New Roman"/>
                      <a:ea typeface="宋体"/>
                      <a:cs typeface="Lucida Sans"/>
                    </a:defRPr>
                  </a:pPr>
                  <a:endParaRPr lang="zh-CN"/>
                </a:p>
              </c:txPr>
              <c:dLblPos val="bestFit"/>
              <c:showLegendKey val="0"/>
              <c:showVal val="0"/>
              <c:showCatName val="0"/>
              <c:showSerName val="0"/>
              <c:showPercent val="1"/>
              <c:showBubbleSize val="0"/>
            </c:dLbl>
            <c:dLbl>
              <c:idx val="4"/>
              <c:layout>
                <c:manualLayout>
                  <c:x val="-0.041202687"/>
                  <c:y val="0.02948366"/>
                </c:manualLayout>
              </c:layout>
              <c:numFmt formatCode="0%" sourceLinked="0"/>
              <c:spPr>
                <a:pattFill prst="pct75">
                  <a:fgClr>
                    <a:srgbClr val="404040"/>
                  </a:fgClr>
                  <a:bgClr>
                    <a:srgbClr val="595959"/>
                  </a:bgClr>
                </a:pattFill>
                <a:ln>
                  <a:noFill/>
                </a:ln>
              </c:spPr>
              <c:txPr>
                <a:bodyPr vert="horz"/>
                <a:lstStyle/>
                <a:p>
                  <a:pPr>
                    <a:defRPr sz="1000" b="1" i="0" u="none" strike="noStrike" baseline="0">
                      <a:solidFill>
                        <a:srgbClr val="FFFFFF"/>
                      </a:solidFill>
                      <a:latin typeface="Times New Roman"/>
                      <a:ea typeface="宋体"/>
                      <a:cs typeface="Lucida Sans"/>
                    </a:defRPr>
                  </a:pPr>
                  <a:endParaRPr lang="zh-CN"/>
                </a:p>
              </c:txPr>
              <c:dLblPos val="bestFit"/>
              <c:showLegendKey val="0"/>
              <c:showVal val="0"/>
              <c:showCatName val="0"/>
              <c:showSerName val="0"/>
              <c:showPercent val="1"/>
              <c:showBubbleSize val="0"/>
            </c:dLbl>
            <c:dLblPos val="ctr"/>
            <c:showLegendKey val="0"/>
            <c:showVal val="0"/>
            <c:showCatName val="0"/>
            <c:showSerName val="0"/>
            <c:showPercent val="1"/>
            <c:showBubbleSize val="0"/>
            <c:showLeaderLines val="1"/>
          </c:dLbls>
          <c:cat>
            <c:strRef>
              <c:f>'Sheet1 (3)'!$A$2:$A$6</c:f>
              <c:strCache>
                <c:ptCount val="5"/>
                <c:pt idx="0">
                  <c:v>一般公共服务</c:v>
                </c:pt>
                <c:pt idx="1">
                  <c:v>教育</c:v>
                </c:pt>
                <c:pt idx="2">
                  <c:v>社会保障和就业</c:v>
                </c:pt>
                <c:pt idx="3">
                  <c:v>卫生健康</c:v>
                </c:pt>
                <c:pt idx="4">
                  <c:v>住房保障</c:v>
                </c:pt>
              </c:strCache>
            </c:strRef>
          </c:cat>
          <c:val>
            <c:numRef>
              <c:f>'Sheet1 (3)'!$B$2:$B$6</c:f>
              <c:numCache>
                <c:formatCode>General</c:formatCode>
                <c:ptCount val="5"/>
                <c:pt idx="0">
                  <c:v>11103.15</c:v>
                </c:pt>
                <c:pt idx="1">
                  <c:v>0.6</c:v>
                </c:pt>
                <c:pt idx="2">
                  <c:v>155.43</c:v>
                </c:pt>
                <c:pt idx="3">
                  <c:v>67.35</c:v>
                </c:pt>
                <c:pt idx="4">
                  <c:v>106.76</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 </a:t>
            </a:r>
          </a:p>
        </c:rich>
      </c:tx>
      <c:layout>
        <c:manualLayout>
          <c:xMode val="edge"/>
          <c:yMode val="edge"/>
          <c:x val="0.3960356"/>
          <c:y val="0.007473842"/>
        </c:manualLayout>
      </c:layout>
      <c:overlay val="0"/>
      <c:spPr>
        <a:noFill/>
        <a:ln>
          <a:noFill/>
        </a:ln>
      </c:spPr>
    </c:title>
    <c:autoTitleDeleted val="1"/>
    <c:plotArea>
      <c:layout/>
      <c:pieChart>
        <c:varyColors val="1"/>
        <c:ser>
          <c:idx val="0"/>
          <c:order val="0"/>
          <c:tx>
            <c:strRef>
              <c:f>'Sheet1 (4)'!$B$1</c:f>
              <c:strCache>
                <c:ptCount val="1"/>
                <c:pt idx="0">
                  <c:v>“三公”经费财政拨款支出</c:v>
                </c:pt>
              </c:strCache>
            </c:strRef>
          </c:tx>
          <c:spPr>
            <a:solidFill>
              <a:srgbClr val="4F81BD"/>
            </a:solidFill>
            <a:ln>
              <a:noFill/>
            </a:ln>
          </c:spPr>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Lbls>
            <c:spPr>
              <a:pattFill prst="pct75">
                <a:fgClr>
                  <a:srgbClr val="404040"/>
                </a:fgClr>
                <a:bgClr>
                  <a:srgbClr val="595959"/>
                </a:bgClr>
              </a:pattFill>
              <a:ln>
                <a:noFill/>
              </a:ln>
            </c:spPr>
            <c:txPr>
              <a:bodyPr vert="horz"/>
              <a:lstStyle/>
              <a:p>
                <a:pPr>
                  <a:defRPr sz="1000" b="1" i="0" u="none" strike="noStrike" baseline="0">
                    <a:solidFill>
                      <a:srgbClr val="FFFFFF"/>
                    </a:solidFill>
                    <a:latin typeface="Times New Roman"/>
                    <a:ea typeface="宋体"/>
                    <a:cs typeface="Lucida Sans"/>
                  </a:defRPr>
                </a:pPr>
                <a:endParaRPr lang="zh-CN"/>
              </a:p>
            </c:txPr>
            <c:numFmt formatCode="0%" sourceLinked="0"/>
            <c:dLblPos val="ctr"/>
            <c:showLegendKey val="0"/>
            <c:showVal val="0"/>
            <c:showCatName val="0"/>
            <c:showSerName val="0"/>
            <c:showPercent val="1"/>
            <c:showBubbleSize val="0"/>
            <c:showLeaderLines val="1"/>
          </c:dLbls>
          <c:cat>
            <c:strRef>
              <c:f>'Sheet1 (4)'!$A$2:$A$4</c:f>
              <c:strCache>
                <c:ptCount val="3"/>
                <c:pt idx="0">
                  <c:v>因公出国（境）费支出</c:v>
                </c:pt>
                <c:pt idx="1">
                  <c:v>公务用车购置及运行维护费支出</c:v>
                </c:pt>
                <c:pt idx="2">
                  <c:v>公务接待费支出</c:v>
                </c:pt>
              </c:strCache>
            </c:strRef>
          </c:cat>
          <c:val>
            <c:numRef>
              <c:f>'Sheet1 (4)'!$B$2:$B$4</c:f>
              <c:numCache>
                <c:formatCode>General</c:formatCode>
                <c:ptCount val="3"/>
                <c:pt idx="0">
                  <c:v>0.0</c:v>
                </c:pt>
                <c:pt idx="1">
                  <c:v>355.8</c:v>
                </c:pt>
                <c:pt idx="2">
                  <c:v>3.04</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0</TotalTime>
  <Application>Yozo_Office27021597764231179</Application>
  <Pages>21</Pages>
  <Words>6627</Words>
  <Characters>7435</Characters>
  <Lines>508</Lines>
  <Paragraphs>209</Paragraphs>
  <CharactersWithSpaces>7509</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33</cp:revision>
  <cp:lastPrinted>2022-08-08T09:11:00Z</cp:lastPrinted>
  <dcterms:created xsi:type="dcterms:W3CDTF">2020-08-05T01:49:00Z</dcterms:created>
  <dcterms:modified xsi:type="dcterms:W3CDTF">2022-10-09T06:38:19Z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BC54DA9398424DE59D63E92CA15B24B7</vt:lpwstr>
  </property>
</Properties>
</file>