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beforeLines="0" w:before="93"/>
        <w:rPr>
          <w:rFonts w:ascii="Times New Roman" w:eastAsia="方正小标宋简体" w:hAnsi="Times New Roman"/>
          <w:kern w:val="2"/>
          <w:sz w:val="72"/>
          <w:szCs w:val="72"/>
        </w:rPr>
      </w:pPr>
      <w:bookmarkStart w:id="0" w:name="_Toc15377425"/>
      <w:bookmarkStart w:id="1" w:name="_Toc15396597"/>
      <w:bookmarkStart w:id="2" w:name="_Toc15377193"/>
      <w:bookmarkStart w:id="3" w:name="_Toc15378441"/>
      <w:bookmarkStart w:id="4" w:name="_Toc15396475"/>
      <w:bookmarkStart w:id="5" w:name="_Toc15306267"/>
    </w:p>
    <w:p>
      <w:pPr>
        <w:pStyle w:val="18"/>
        <w:spacing w:beforeLines="0" w:before="93"/>
        <w:rPr>
          <w:rFonts w:ascii="Times New Roman" w:eastAsia="方正小标宋简体" w:hAnsi="Times New Roman"/>
          <w:kern w:val="2"/>
          <w:sz w:val="72"/>
          <w:szCs w:val="72"/>
        </w:rPr>
      </w:pPr>
    </w:p>
    <w:p>
      <w:pPr>
        <w:pStyle w:val="18"/>
        <w:spacing w:beforeLines="0" w:before="93"/>
        <w:rPr>
          <w:rFonts w:ascii="Times New Roman" w:eastAsia="方正小标宋简体" w:hAnsi="Times New Roman"/>
          <w:kern w:val="2"/>
          <w:sz w:val="72"/>
          <w:szCs w:val="72"/>
        </w:rPr>
      </w:pPr>
    </w:p>
    <w:p>
      <w:pPr>
        <w:pStyle w:val="18"/>
        <w:spacing w:beforeLines="0" w:before="93"/>
        <w:jc w:val="center"/>
        <w:rPr>
          <w:rFonts w:ascii="Times New Roman" w:eastAsia="方正小标宋简体" w:hAnsi="Times New Roman"/>
          <w:kern w:val="2"/>
          <w:sz w:val="44"/>
          <w:szCs w:val="44"/>
        </w:rPr>
      </w:pPr>
      <w:r>
        <w:rPr>
          <w:rFonts w:ascii="Times New Roman" w:eastAsia="方正小标宋简体" w:hAnsi="Times New Roman"/>
          <w:kern w:val="2"/>
          <w:sz w:val="44"/>
          <w:szCs w:val="44"/>
        </w:rPr>
        <w:t>2024年度中共阿坝州委办公室（部门）决算</w:t>
      </w:r>
    </w:p>
    <w:p>
      <w:pPr>
        <w:pStyle w:val="18"/>
        <w:spacing w:beforeLines="0" w:before="93"/>
        <w:jc w:val="center"/>
        <w:rPr>
          <w:rFonts w:ascii="Times New Roman" w:eastAsia="方正小标宋简体" w:hAnsi="Times New Roman"/>
          <w:kern w:val="2"/>
          <w:sz w:val="44"/>
          <w:szCs w:val="44"/>
        </w:rPr>
      </w:pPr>
      <w:r>
        <w:rPr>
          <w:rFonts w:ascii="Times New Roman" w:eastAsia="方正小标宋简体" w:hAnsi="Times New Roman"/>
          <w:kern w:val="2"/>
          <w:sz w:val="44"/>
          <w:szCs w:val="44"/>
        </w:rPr>
        <w:t>公开说明</w:t>
      </w:r>
    </w:p>
    <w:p>
      <w:pPr>
        <w:spacing w:line="600" w:lineRule="exact"/>
        <w:jc w:val="center"/>
        <w:outlineLvl w:val="0"/>
        <w:rPr>
          <w:rFonts w:eastAsia="方正小标宋简体"/>
          <w:sz w:val="72"/>
          <w:szCs w:val="72"/>
        </w:rPr>
      </w:pPr>
    </w:p>
    <w:p>
      <w:pPr>
        <w:pStyle w:val="27"/>
        <w:rPr>
          <w:rFonts w:ascii="Times New Roman" w:hAnsi="Times New Roman"/>
        </w:rPr>
        <w:sectPr>
          <w:headerReference w:type="default" r:id="rId2"/>
          <w:footerReference w:type="default" r:id="rId3"/>
          <w:pgSz w:w="11906" w:h="16838"/>
          <w:pgMar w:top="1440" w:right="1800" w:bottom="1440" w:left="1800" w:header="851" w:footer="992" w:gutter="0"/>
          <w:pgNumType w:fmt="numberInDash" w:start="1"/>
          <w:titlePg/>
          <w:docGrid w:type="lines" w:linePitch="312" w:charSpace="0"/>
        </w:sectPr>
      </w:pPr>
    </w:p>
    <w:p>
      <w:pPr>
        <w:widowControl/>
        <w:spacing w:line="560" w:lineRule="exact"/>
        <w:jc w:val="center"/>
        <w:rPr>
          <w:rFonts w:eastAsia="黑体"/>
          <w:sz w:val="48"/>
          <w:szCs w:val="48"/>
        </w:rPr>
      </w:pPr>
      <w:bookmarkEnd w:id="0"/>
      <w:bookmarkEnd w:id="1"/>
      <w:bookmarkEnd w:id="2"/>
      <w:bookmarkEnd w:id="3"/>
      <w:bookmarkEnd w:id="4"/>
      <w:bookmarkEnd w:id="5"/>
      <w:r>
        <w:rPr>
          <w:rFonts w:eastAsia="黑体"/>
          <w:sz w:val="48"/>
          <w:szCs w:val="48"/>
        </w:rPr>
        <w:t>目录</w:t>
      </w:r>
    </w:p>
    <w:p>
      <w:pPr>
        <w:widowControl/>
        <w:spacing w:line="240" w:lineRule="exact"/>
        <w:jc w:val="center"/>
        <w:rPr>
          <w:rFonts w:eastAsia="黑体"/>
          <w:sz w:val="28"/>
          <w:szCs w:val="28"/>
        </w:rPr>
      </w:pPr>
    </w:p>
    <w:p>
      <w:pPr>
        <w:pStyle w:val="23"/>
        <w:tabs>
          <w:tab w:val="right" w:leader="dot" w:pos="8296"/>
        </w:tabs>
        <w:spacing w:line="240" w:lineRule="exact"/>
      </w:pPr>
      <w:r>
        <w:rPr>
          <w:rFonts w:ascii="Times New Roman" w:eastAsia="仿宋_GB2312" w:hAnsi="Times New Roman"/>
          <w:sz w:val="32"/>
          <w:szCs w:val="32"/>
        </w:rPr>
        <w:t>公开时间：2024年 9 月 18 日</w:t>
      </w:r>
    </w:p>
    <w:p>
      <w:pPr>
        <w:pStyle w:val="23"/>
        <w:tabs>
          <w:tab w:val="right" w:leader="dot" w:pos="8296"/>
          <w:tab w:val="right" w:leader="dot" w:pos="8306"/>
        </w:tabs>
        <w:spacing w:line="320" w:lineRule="exact"/>
        <w:jc w:val="center"/>
      </w:pPr>
      <w:bookmarkStart w:id="6" w:name="_Toc15377196"/>
      <w:bookmarkStart w:id="7" w:name="_Toc15396599"/>
      <w:r>
        <w:rPr>
          <w:rFonts w:eastAsia="仿宋_GB2312"/>
          <w:b/>
          <w:sz w:val="32"/>
          <w:szCs w:val="32"/>
        </w:rPr>
        <w:fldChar w:fldCharType="begin"/>
      </w:r>
      <w:r>
        <w:rPr>
          <w:rFonts w:eastAsia="仿宋_GB2312"/>
          <w:b/>
          <w:sz w:val="32"/>
          <w:szCs w:val="32"/>
        </w:rPr>
        <w:instrText xml:space="preserve"> TOC \o "1-3" \h \u </w:instrText>
      </w:r>
      <w:r>
        <w:rPr>
          <w:rFonts w:eastAsia="仿宋_GB2312"/>
          <w:b/>
          <w:sz w:val="32"/>
          <w:szCs w:val="32"/>
        </w:rPr>
        <w:fldChar w:fldCharType="separate"/>
      </w:r>
      <w:r>
        <w:fldChar w:fldCharType="begin"/>
      </w:r>
      <w:r>
        <w:instrText>Hyperlink \l "_Toc97135346"</w:instrText>
      </w:r>
      <w:r>
        <w:fldChar w:fldCharType="separate"/>
      </w:r>
      <w:r>
        <w:rPr>
          <w:rFonts w:eastAsia="方正小标宋简体"/>
        </w:rPr>
        <w:t xml:space="preserve">第一部分  </w:t>
      </w:r>
      <w:r>
        <w:rPr>
          <w:rFonts w:ascii="Times New Roman" w:eastAsia="方正小标宋简体" w:cs="Times New Roman" w:hAnsi="Times New Roman"/>
          <w:bCs/>
          <w:kern w:val="44"/>
          <w:szCs w:val="44"/>
          <w:lang w:val="en-US" w:eastAsia="zh-CN" w:bidi="ar-SA"/>
        </w:rPr>
        <w:t>部门概况</w:t>
      </w:r>
      <w:r>
        <w:tab/>
      </w:r>
      <w:r>
        <w:fldChar w:fldCharType="begin"/>
      </w:r>
      <w:r>
        <w:instrText>PageRef _Toc97135346 \h</w:instrText>
      </w:r>
      <w:r>
        <w:fldChar w:fldCharType="separate"/>
      </w:r>
      <w:r>
        <w:t>- 3 -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"_Toc97135347"</w:instrText>
      </w:r>
      <w:r>
        <w:fldChar w:fldCharType="separate"/>
      </w:r>
      <w:r>
        <w:rPr>
          <w:rFonts w:ascii="Times New Roman" w:eastAsia="黑体" w:cs="Times New Roman" w:hAnsi="Times New Roman"/>
          <w:bCs/>
          <w:kern w:val="2"/>
          <w:szCs w:val="32"/>
          <w:lang w:val="en-US" w:eastAsia="zh-CN" w:bidi="ar-SA"/>
        </w:rPr>
        <w:t>一、部门职责</w:t>
      </w:r>
      <w:r>
        <w:tab/>
      </w:r>
      <w:r>
        <w:fldChar w:fldCharType="begin"/>
      </w:r>
      <w:r>
        <w:instrText>PageRef _Toc97135347 \h</w:instrText>
      </w:r>
      <w:r>
        <w:fldChar w:fldCharType="separate"/>
      </w:r>
      <w:r>
        <w:t>- 3 -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"_Toc97135348"</w:instrText>
      </w:r>
      <w:r>
        <w:fldChar w:fldCharType="separate"/>
      </w:r>
      <w:r>
        <w:rPr>
          <w:rFonts w:ascii="Times New Roman" w:eastAsia="黑体" w:cs="Times New Roman" w:hAnsi="Times New Roman"/>
          <w:bCs/>
          <w:kern w:val="2"/>
          <w:szCs w:val="32"/>
          <w:lang w:val="en-US" w:eastAsia="zh-CN" w:bidi="ar-SA"/>
        </w:rPr>
        <w:t>二、机构设置</w:t>
      </w:r>
      <w:r>
        <w:tab/>
      </w:r>
      <w:r>
        <w:fldChar w:fldCharType="begin"/>
      </w:r>
      <w:r>
        <w:instrText>PageRef _Toc97135348 \h</w:instrText>
      </w:r>
      <w:r>
        <w:fldChar w:fldCharType="separate"/>
      </w:r>
      <w:r>
        <w:t>- 3 -</w:t>
      </w:r>
      <w:r>
        <w:fldChar w:fldCharType="end"/>
      </w:r>
      <w:r>
        <w:fldChar w:fldCharType="end"/>
      </w:r>
    </w:p>
    <w:p>
      <w:pPr>
        <w:pStyle w:val="23"/>
        <w:tabs>
          <w:tab w:val="right" w:leader="dot" w:pos="8296"/>
          <w:tab w:val="right" w:leader="dot" w:pos="8306"/>
        </w:tabs>
        <w:spacing w:line="320" w:lineRule="exact"/>
        <w:jc w:val="center"/>
      </w:pPr>
      <w:r>
        <w:fldChar w:fldCharType="begin"/>
      </w:r>
      <w:r>
        <w:instrText>Hyperlink \l "_Toc97135349"</w:instrText>
      </w:r>
      <w:r>
        <w:fldChar w:fldCharType="separate"/>
      </w:r>
      <w:r>
        <w:rPr>
          <w:rFonts w:eastAsia="方正小标宋简体"/>
        </w:rPr>
        <w:t>第二部分  2024年度部门决算情况说明</w:t>
      </w:r>
      <w:r>
        <w:tab/>
      </w:r>
      <w:r>
        <w:fldChar w:fldCharType="begin"/>
      </w:r>
      <w:r>
        <w:instrText>PageRef _Toc97135349 \h</w:instrText>
      </w:r>
      <w:r>
        <w:fldChar w:fldCharType="separate"/>
      </w:r>
      <w:r>
        <w:t>- 5 -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"_Toc97135350"</w:instrText>
      </w:r>
      <w:r>
        <w:fldChar w:fldCharType="separate"/>
      </w:r>
      <w:r>
        <w:rPr>
          <w:rFonts w:eastAsia="黑体"/>
          <w:szCs w:val="32"/>
        </w:rPr>
        <w:t>一、收</w:t>
      </w:r>
      <w:r>
        <w:rPr>
          <w:rFonts w:ascii="Times New Roman" w:eastAsia="黑体" w:cs="Times New Roman" w:hAnsi="Times New Roman"/>
          <w:bCs/>
          <w:kern w:val="2"/>
          <w:szCs w:val="32"/>
          <w:lang w:val="en-US" w:eastAsia="zh-CN" w:bidi="ar-SA"/>
        </w:rPr>
        <w:t>入支出决算总体情况说明</w:t>
      </w:r>
      <w:r>
        <w:tab/>
      </w:r>
      <w:r>
        <w:fldChar w:fldCharType="begin"/>
      </w:r>
      <w:r>
        <w:instrText>PageRef _Toc97135350 \h</w:instrText>
      </w:r>
      <w:r>
        <w:fldChar w:fldCharType="separate"/>
      </w:r>
      <w:r>
        <w:t>- 5 -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"_Toc97135352"</w:instrText>
      </w:r>
      <w:r>
        <w:fldChar w:fldCharType="separate"/>
      </w:r>
      <w:r>
        <w:rPr>
          <w:rFonts w:eastAsia="黑体"/>
          <w:szCs w:val="32"/>
        </w:rPr>
        <w:t>二、收入决算情况说明</w:t>
      </w:r>
      <w:r>
        <w:tab/>
      </w:r>
      <w:r>
        <w:fldChar w:fldCharType="begin"/>
      </w:r>
      <w:r>
        <w:instrText>PageRef _Toc97135352 \h</w:instrText>
      </w:r>
      <w:r>
        <w:fldChar w:fldCharType="separate"/>
      </w:r>
      <w:r>
        <w:t>- 5 -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"_Toc97135354"</w:instrText>
      </w:r>
      <w:r>
        <w:fldChar w:fldCharType="separate"/>
      </w:r>
      <w:r>
        <w:rPr>
          <w:rFonts w:eastAsia="黑体"/>
          <w:szCs w:val="32"/>
        </w:rPr>
        <w:t>三、支</w:t>
      </w:r>
      <w:r>
        <w:rPr>
          <w:rFonts w:ascii="Times New Roman" w:eastAsia="黑体" w:cs="Times New Roman" w:hAnsi="Times New Roman"/>
          <w:bCs/>
          <w:kern w:val="2"/>
          <w:szCs w:val="32"/>
          <w:lang w:val="en-US" w:eastAsia="zh-CN" w:bidi="ar-SA"/>
        </w:rPr>
        <w:t>出决算情况说明</w:t>
      </w:r>
      <w:r>
        <w:tab/>
      </w:r>
      <w:r>
        <w:fldChar w:fldCharType="begin"/>
      </w:r>
      <w:r>
        <w:instrText>PageRef _Toc97135354 \h</w:instrText>
      </w:r>
      <w:r>
        <w:fldChar w:fldCharType="separate"/>
      </w:r>
      <w:r>
        <w:t>- 5 -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"_Toc97135356"</w:instrText>
      </w:r>
      <w:r>
        <w:fldChar w:fldCharType="separate"/>
      </w:r>
      <w:r>
        <w:rPr>
          <w:rFonts w:eastAsia="黑体"/>
          <w:szCs w:val="32"/>
        </w:rPr>
        <w:t>四、财</w:t>
      </w:r>
      <w:r>
        <w:rPr>
          <w:rFonts w:ascii="Times New Roman" w:eastAsia="黑体" w:cs="Times New Roman" w:hAnsi="Times New Roman"/>
          <w:bCs/>
          <w:kern w:val="2"/>
          <w:szCs w:val="32"/>
          <w:lang w:val="en-US" w:eastAsia="zh-CN" w:bidi="ar-SA"/>
        </w:rPr>
        <w:t>政拨款收入支出决算总体情况说明</w:t>
      </w:r>
      <w:r>
        <w:tab/>
      </w:r>
      <w:r>
        <w:fldChar w:fldCharType="begin"/>
      </w:r>
      <w:r>
        <w:instrText>PageRef _Toc97135356 \h</w:instrText>
      </w:r>
      <w:r>
        <w:fldChar w:fldCharType="separate"/>
      </w:r>
      <w:r>
        <w:t>- 6 -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"_Toc97135357"</w:instrText>
      </w:r>
      <w:r>
        <w:fldChar w:fldCharType="separate"/>
      </w:r>
      <w:r>
        <w:rPr>
          <w:rFonts w:eastAsia="黑体"/>
          <w:szCs w:val="32"/>
        </w:rPr>
        <w:t>五、一</w:t>
      </w:r>
      <w:r>
        <w:rPr>
          <w:rFonts w:ascii="Times New Roman" w:eastAsia="黑体" w:cs="Times New Roman" w:hAnsi="Times New Roman"/>
          <w:bCs/>
          <w:kern w:val="2"/>
          <w:szCs w:val="32"/>
          <w:lang w:val="en-US" w:eastAsia="zh-CN" w:bidi="ar-SA"/>
        </w:rPr>
        <w:t>般公共预算财政拨款支出决算情况说明</w:t>
      </w:r>
      <w:r>
        <w:tab/>
      </w:r>
      <w:r>
        <w:fldChar w:fldCharType="begin"/>
      </w:r>
      <w:r>
        <w:instrText>PageRef _Toc97135357 \h</w:instrText>
      </w:r>
      <w:r>
        <w:fldChar w:fldCharType="separate"/>
      </w:r>
      <w:r>
        <w:t>- 6 -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"_Toc97135358"</w:instrText>
      </w:r>
      <w:r>
        <w:fldChar w:fldCharType="separate"/>
      </w:r>
      <w:r>
        <w:rPr>
          <w:rFonts w:eastAsia="楷体_GB2312"/>
          <w:szCs w:val="32"/>
        </w:rPr>
        <w:t>（一）一般公共预算财政拨款支出决算总体情况</w:t>
      </w:r>
      <w:r>
        <w:tab/>
      </w:r>
      <w:r>
        <w:fldChar w:fldCharType="begin"/>
      </w:r>
      <w:r>
        <w:instrText>PageRef _Toc97135358 \h</w:instrText>
      </w:r>
      <w:r>
        <w:fldChar w:fldCharType="separate"/>
      </w:r>
      <w:r>
        <w:t>- 6 -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"_Toc97135359"</w:instrText>
      </w:r>
      <w:r>
        <w:fldChar w:fldCharType="separate"/>
      </w:r>
      <w:r>
        <w:rPr>
          <w:rFonts w:eastAsia="楷体_GB2312"/>
          <w:szCs w:val="32"/>
        </w:rPr>
        <w:t>（二）一般公共预算财政拨款支出决算结构情况</w:t>
      </w:r>
      <w:r>
        <w:tab/>
      </w:r>
      <w:r>
        <w:fldChar w:fldCharType="begin"/>
      </w:r>
      <w:r>
        <w:instrText>PageRef _Toc97135359 \h</w:instrText>
      </w:r>
      <w:r>
        <w:fldChar w:fldCharType="separate"/>
      </w:r>
      <w:r>
        <w:t>- 7 -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"_Toc97135360"</w:instrText>
      </w:r>
      <w:r>
        <w:fldChar w:fldCharType="separate"/>
      </w:r>
      <w:r>
        <w:rPr>
          <w:rFonts w:eastAsia="楷体_GB2312"/>
          <w:szCs w:val="32"/>
        </w:rPr>
        <w:t>（三）一般公共预算财政拨款支出决算具体情况</w:t>
      </w:r>
      <w:r>
        <w:tab/>
      </w:r>
      <w:r>
        <w:fldChar w:fldCharType="begin"/>
      </w:r>
      <w:r>
        <w:instrText>PageRef _Toc97135360 \h</w:instrText>
      </w:r>
      <w:r>
        <w:fldChar w:fldCharType="separate"/>
      </w:r>
      <w:r>
        <w:t>- 7 -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"_Toc97135361"</w:instrText>
      </w:r>
      <w:r>
        <w:fldChar w:fldCharType="separate"/>
      </w:r>
      <w:r>
        <w:rPr>
          <w:rFonts w:eastAsia="黑体"/>
          <w:szCs w:val="32"/>
        </w:rPr>
        <w:t>六、一</w:t>
      </w:r>
      <w:r>
        <w:rPr>
          <w:rFonts w:ascii="Times New Roman" w:eastAsia="黑体" w:cs="Times New Roman" w:hAnsi="Times New Roman"/>
          <w:bCs/>
          <w:kern w:val="2"/>
          <w:szCs w:val="32"/>
          <w:lang w:val="en-US" w:eastAsia="zh-CN" w:bidi="ar-SA"/>
        </w:rPr>
        <w:t>般公共预算财政拨款基本支出决算情况说明</w:t>
      </w:r>
      <w:r>
        <w:tab/>
      </w:r>
      <w:r>
        <w:fldChar w:fldCharType="begin"/>
      </w:r>
      <w:r>
        <w:instrText>PageRef _Toc97135361 \h</w:instrText>
      </w:r>
      <w:r>
        <w:fldChar w:fldCharType="separate"/>
      </w:r>
      <w:r>
        <w:t>- 9 -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"_Toc97135362"</w:instrText>
      </w:r>
      <w:r>
        <w:fldChar w:fldCharType="separate"/>
      </w:r>
      <w:r>
        <w:rPr>
          <w:rFonts w:eastAsia="黑体"/>
          <w:szCs w:val="32"/>
        </w:rPr>
        <w:t>七、</w:t>
      </w:r>
      <w:r>
        <w:rPr>
          <w:rFonts w:ascii="Times New Roman" w:eastAsia="黑体" w:cs="Times New Roman" w:hAnsi="Times New Roman"/>
          <w:bCs/>
          <w:kern w:val="2"/>
          <w:szCs w:val="32"/>
          <w:lang w:val="en-US" w:eastAsia="zh-CN" w:bidi="ar-SA"/>
        </w:rPr>
        <w:t>财政拨款“三公”经费支出决算情况说明</w:t>
      </w:r>
      <w:r>
        <w:tab/>
      </w:r>
      <w:r>
        <w:fldChar w:fldCharType="begin"/>
      </w:r>
      <w:r>
        <w:instrText>PageRef _Toc97135362 \h</w:instrText>
      </w:r>
      <w:r>
        <w:fldChar w:fldCharType="separate"/>
      </w:r>
      <w:r>
        <w:t>- 10 -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"_Toc97135363"</w:instrText>
      </w:r>
      <w:r>
        <w:fldChar w:fldCharType="separate"/>
      </w:r>
      <w:r>
        <w:rPr>
          <w:rFonts w:eastAsia="楷体_GB2312"/>
          <w:szCs w:val="32"/>
        </w:rPr>
        <w:t>（一）“三公”经费财政拨款支出决算总体情况说明</w:t>
      </w:r>
      <w:r>
        <w:tab/>
      </w:r>
      <w:r>
        <w:fldChar w:fldCharType="begin"/>
      </w:r>
      <w:r>
        <w:instrText>PageRef _Toc97135363 \h</w:instrText>
      </w:r>
      <w:r>
        <w:fldChar w:fldCharType="separate"/>
      </w:r>
      <w:r>
        <w:t>- 10 -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"_Toc97135364"</w:instrText>
      </w:r>
      <w:r>
        <w:fldChar w:fldCharType="separate"/>
      </w:r>
      <w:r>
        <w:rPr>
          <w:rFonts w:eastAsia="楷体_GB2312"/>
          <w:szCs w:val="32"/>
        </w:rPr>
        <w:t>（二）“三公”经费财政拨款支出决算具体情况说明</w:t>
      </w:r>
      <w:r>
        <w:tab/>
      </w:r>
      <w:r>
        <w:fldChar w:fldCharType="begin"/>
      </w:r>
      <w:r>
        <w:instrText>PageRef _Toc97135364 \h</w:instrText>
      </w:r>
      <w:r>
        <w:fldChar w:fldCharType="separate"/>
      </w:r>
      <w:r>
        <w:t>- 10 -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"_Toc97135365"</w:instrText>
      </w:r>
      <w:r>
        <w:fldChar w:fldCharType="separate"/>
      </w:r>
      <w:r>
        <w:rPr>
          <w:rFonts w:eastAsia="黑体"/>
          <w:szCs w:val="32"/>
        </w:rPr>
        <w:t>八、</w:t>
      </w:r>
      <w:r>
        <w:rPr>
          <w:rFonts w:ascii="Times New Roman" w:eastAsia="黑体" w:cs="Times New Roman" w:hAnsi="Times New Roman"/>
          <w:bCs/>
          <w:kern w:val="2"/>
          <w:szCs w:val="32"/>
          <w:lang w:val="en-US" w:eastAsia="zh-CN" w:bidi="ar-SA"/>
        </w:rPr>
        <w:t>政府性基金预算支出决算情况说明</w:t>
      </w:r>
      <w:r>
        <w:tab/>
      </w:r>
      <w:r>
        <w:fldChar w:fldCharType="begin"/>
      </w:r>
      <w:r>
        <w:instrText>PageRef _Toc97135365 \h</w:instrText>
      </w:r>
      <w:r>
        <w:fldChar w:fldCharType="separate"/>
      </w:r>
      <w:r>
        <w:t>- 11 -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"_Toc97135366"</w:instrText>
      </w:r>
      <w:r>
        <w:fldChar w:fldCharType="separate"/>
      </w:r>
      <w:r>
        <w:rPr>
          <w:rFonts w:ascii="Times New Roman" w:eastAsia="黑体" w:cs="Times New Roman" w:hAnsi="Times New Roman"/>
          <w:bCs/>
          <w:kern w:val="2"/>
          <w:szCs w:val="32"/>
          <w:lang w:val="en-US" w:eastAsia="zh-CN" w:bidi="ar-SA"/>
        </w:rPr>
        <w:t>九、国有资本经营预算支出决算情况说明</w:t>
      </w:r>
      <w:r>
        <w:tab/>
      </w:r>
      <w:r>
        <w:fldChar w:fldCharType="begin"/>
      </w:r>
      <w:r>
        <w:instrText>PageRef _Toc97135366 \h</w:instrText>
      </w:r>
      <w:r>
        <w:fldChar w:fldCharType="separate"/>
      </w:r>
      <w:r>
        <w:t>- 12 -</w:t>
      </w:r>
      <w:r>
        <w:fldChar w:fldCharType="end"/>
      </w:r>
      <w:r>
        <w:fldChar w:fldCharType="end"/>
      </w:r>
    </w:p>
    <w:p>
      <w:pPr>
        <w:pStyle w:val="24"/>
        <w:tabs>
          <w:tab w:val="right" w:leader="dot" w:pos="8296"/>
          <w:tab w:val="right" w:leader="dot" w:pos="8306"/>
        </w:tabs>
        <w:spacing w:line="320" w:lineRule="exact"/>
      </w:pPr>
      <w:r>
        <w:fldChar w:fldCharType="begin"/>
      </w:r>
      <w:r>
        <w:instrText>Hyperlink \l "_Toc97135367"</w:instrText>
      </w:r>
      <w:r>
        <w:fldChar w:fldCharType="separate"/>
      </w:r>
      <w:r>
        <w:rPr>
          <w:rFonts w:ascii="Times New Roman" w:eastAsia="黑体" w:cs="Times New Roman" w:hAnsi="Times New Roman"/>
          <w:bCs/>
          <w:kern w:val="2"/>
          <w:szCs w:val="32"/>
          <w:lang w:val="en-US" w:eastAsia="zh-CN" w:bidi="ar-SA"/>
        </w:rPr>
        <w:t>十、其他重要事项的情况说明</w:t>
      </w:r>
      <w:r>
        <w:tab/>
      </w:r>
      <w:r>
        <w:fldChar w:fldCharType="begin"/>
      </w:r>
      <w:r>
        <w:instrText>PageRef _Toc97135367 \h</w:instrText>
      </w:r>
      <w:r>
        <w:fldChar w:fldCharType="separate"/>
      </w:r>
      <w:r>
        <w:t>- 12 -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"_Toc97135368"</w:instrText>
      </w:r>
      <w:r>
        <w:fldChar w:fldCharType="separate"/>
      </w:r>
      <w:r>
        <w:rPr>
          <w:rFonts w:eastAsia="楷体_GB2312"/>
          <w:szCs w:val="32"/>
        </w:rPr>
        <w:t>（一）机关运行经费支出情况</w:t>
      </w:r>
      <w:r>
        <w:tab/>
      </w:r>
      <w:r>
        <w:fldChar w:fldCharType="begin"/>
      </w:r>
      <w:r>
        <w:instrText>PageRef _Toc97135368 \h</w:instrText>
      </w:r>
      <w:r>
        <w:fldChar w:fldCharType="separate"/>
      </w:r>
      <w:r>
        <w:t>- 12 -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"_Toc97135369"</w:instrText>
      </w:r>
      <w:r>
        <w:fldChar w:fldCharType="separate"/>
      </w:r>
      <w:r>
        <w:rPr>
          <w:rFonts w:eastAsia="楷体_GB2312"/>
          <w:szCs w:val="32"/>
        </w:rPr>
        <w:t>（二）政府采购支出情况</w:t>
      </w:r>
      <w:r>
        <w:tab/>
      </w:r>
      <w:r>
        <w:fldChar w:fldCharType="begin"/>
      </w:r>
      <w:r>
        <w:instrText>PageRef _Toc97135369 \h</w:instrText>
      </w:r>
      <w:r>
        <w:fldChar w:fldCharType="separate"/>
      </w:r>
      <w:r>
        <w:t>- 12 -</w:t>
      </w:r>
      <w:r>
        <w:fldChar w:fldCharType="end"/>
      </w:r>
      <w:r>
        <w:fldChar w:fldCharType="end"/>
      </w:r>
    </w:p>
    <w:p>
      <w:pPr>
        <w:pStyle w:val="19"/>
        <w:tabs>
          <w:tab w:val="right" w:leader="dot" w:pos="8296"/>
          <w:tab w:val="right" w:leader="dot" w:pos="8306"/>
        </w:tabs>
        <w:spacing w:line="320" w:lineRule="exact"/>
      </w:pPr>
      <w:r>
        <w:fldChar w:fldCharType="begin"/>
      </w:r>
      <w:r>
        <w:instrText>Hyperlink \l "_Toc97135370"</w:instrText>
      </w:r>
      <w:r>
        <w:fldChar w:fldCharType="separate"/>
      </w:r>
      <w:r>
        <w:rPr>
          <w:rFonts w:eastAsia="楷体_GB2312"/>
          <w:szCs w:val="32"/>
        </w:rPr>
        <w:t>（三）国有资产占有使用情况</w:t>
      </w:r>
      <w:r>
        <w:tab/>
      </w:r>
      <w:r>
        <w:fldChar w:fldCharType="begin"/>
      </w:r>
      <w:r>
        <w:instrText>PageRef _Toc97135370 \h</w:instrText>
      </w:r>
      <w:r>
        <w:fldChar w:fldCharType="separate"/>
      </w:r>
      <w:r>
        <w:t>- 12 -</w:t>
      </w:r>
      <w:r>
        <w:fldChar w:fldCharType="end"/>
      </w:r>
      <w:r>
        <w:fldChar w:fldCharType="end"/>
      </w:r>
    </w:p>
    <w:p>
      <w:pPr>
        <w:pStyle w:val="23"/>
        <w:tabs>
          <w:tab w:val="right" w:leader="dot" w:pos="8296"/>
          <w:tab w:val="right" w:leader="dot" w:pos="8306"/>
        </w:tabs>
        <w:spacing w:line="320" w:lineRule="exact"/>
        <w:jc w:val="center"/>
      </w:pPr>
      <w:r>
        <w:fldChar w:fldCharType="begin"/>
      </w:r>
      <w:r>
        <w:instrText>Hyperlink \l "_Toc97135371"</w:instrText>
      </w:r>
      <w:r>
        <w:fldChar w:fldCharType="separate"/>
      </w:r>
      <w:r>
        <w:rPr>
          <w:rFonts w:eastAsia="黑体"/>
          <w:szCs w:val="44"/>
        </w:rPr>
        <w:t>第三部分  名词解释</w:t>
      </w:r>
      <w:r>
        <w:tab/>
      </w:r>
      <w:r>
        <w:fldChar w:fldCharType="begin"/>
      </w:r>
      <w:r>
        <w:instrText>PageRef _Toc97135371 \h</w:instrText>
      </w:r>
      <w:r>
        <w:fldChar w:fldCharType="separate"/>
      </w:r>
      <w:r>
        <w:t>- 14 -</w:t>
      </w:r>
      <w:r>
        <w:fldChar w:fldCharType="end"/>
      </w:r>
      <w:r>
        <w:fldChar w:fldCharType="end"/>
      </w:r>
    </w:p>
    <w:p>
      <w:pPr>
        <w:pStyle w:val="23"/>
        <w:tabs>
          <w:tab w:val="right" w:leader="dot" w:pos="8296"/>
        </w:tabs>
        <w:adjustRightInd w:val="0"/>
        <w:snapToGrid w:val="0"/>
        <w:spacing w:before="0" w:line="320" w:lineRule="exact"/>
        <w:jc w:val="left"/>
        <w:rPr>
          <w:rFonts w:ascii="Times New Roman" w:eastAsia="黑体" w:hAnsi="Times New Roman"/>
          <w:sz w:val="32"/>
          <w:szCs w:val="32"/>
        </w:rPr>
      </w:pPr>
      <w:r>
        <w:rPr>
          <w:rFonts w:ascii="Times New Roman" w:eastAsia="黑体" w:hAnsi="Times New Roman"/>
          <w:sz w:val="32"/>
          <w:szCs w:val="32"/>
        </w:rPr>
        <w:t xml:space="preserve">第四部分 </w:t>
      </w:r>
      <w:r>
        <w:tab/>
      </w:r>
      <w:r>
        <w:fldChar w:fldCharType="begin"/>
      </w:r>
      <w:r>
        <w:instrText>PageRef _Toc97135371 \h</w:instrText>
      </w:r>
      <w:r>
        <w:fldChar w:fldCharType="separate"/>
      </w:r>
      <w:r>
        <w:t>- 18 -</w:t>
      </w:r>
      <w:r>
        <w:fldChar w:fldCharType="end"/>
      </w:r>
    </w:p>
    <w:p>
      <w:pPr>
        <w:pStyle w:val="23"/>
        <w:tabs>
          <w:tab w:val="right" w:leader="dot" w:pos="8296"/>
        </w:tabs>
        <w:adjustRightInd w:val="0"/>
        <w:snapToGrid w:val="0"/>
        <w:spacing w:before="0" w:line="320" w:lineRule="exact"/>
        <w:jc w:val="left"/>
        <w:rPr>
          <w:rFonts w:ascii="Times New Roman" w:eastAsia="黑体" w:hAnsi="Times New Roman"/>
          <w:sz w:val="32"/>
          <w:szCs w:val="32"/>
        </w:rPr>
      </w:pPr>
      <w:r>
        <w:rPr>
          <w:rFonts w:ascii="Times New Roman" w:eastAsia="黑体" w:hAnsi="Times New Roman"/>
          <w:sz w:val="32"/>
          <w:szCs w:val="32"/>
        </w:rPr>
        <w:t>第五部分 附表</w:t>
      </w:r>
      <w:r>
        <w:tab/>
        <w:t>- 25 -</w:t>
      </w:r>
    </w:p>
    <w:p>
      <w:pPr>
        <w:pStyle w:val="24"/>
        <w:tabs>
          <w:tab w:val="right" w:leader="dot" w:pos="8296"/>
          <w:tab w:val="right" w:leader="dot" w:pos="8306"/>
        </w:tabs>
        <w:spacing w:line="320" w:lineRule="exact"/>
        <w:rPr>
          <w:rFonts w:eastAsia="黑体"/>
          <w:szCs w:val="32"/>
        </w:rPr>
      </w:pPr>
      <w:r>
        <w:rPr>
          <w:rFonts w:eastAsia="黑体"/>
          <w:szCs w:val="32"/>
        </w:rPr>
        <w:t>一、收入支出决算总表</w:t>
      </w:r>
      <w:r>
        <w:fldChar w:fldCharType="begin"/>
      </w:r>
      <w:r>
        <w:instrText>Hyperlink \l "_Toc97135354"</w:instrText>
      </w:r>
      <w:r>
        <w:fldChar w:fldCharType="separate"/>
      </w:r>
      <w:r>
        <w:tab/>
      </w:r>
      <w:r>
        <w:fldChar w:fldCharType="begin"/>
      </w:r>
      <w:r>
        <w:instrText>PageRef _Toc97135354 \h</w:instrText>
      </w:r>
      <w:r>
        <w:fldChar w:fldCharType="separate"/>
      </w:r>
      <w:r>
        <w:t>- 25-</w:t>
      </w:r>
      <w:r>
        <w:fldChar w:fldCharType="end"/>
      </w:r>
      <w:r>
        <w:fldChar w:fldCharType="end"/>
      </w:r>
    </w:p>
    <w:p>
      <w:pPr>
        <w:pStyle w:val="24"/>
        <w:tabs>
          <w:tab w:val="right" w:leader="dot" w:pos="8296"/>
          <w:tab w:val="right" w:leader="dot" w:pos="8306"/>
        </w:tabs>
        <w:spacing w:line="320" w:lineRule="exact"/>
        <w:rPr>
          <w:rFonts w:eastAsia="黑体"/>
          <w:szCs w:val="32"/>
        </w:rPr>
      </w:pPr>
      <w:r>
        <w:rPr>
          <w:rFonts w:eastAsia="黑体"/>
          <w:szCs w:val="32"/>
        </w:rPr>
        <w:t>二、收入决算表</w:t>
      </w:r>
      <w:r>
        <w:tab/>
        <w:t>- 25-</w:t>
      </w:r>
    </w:p>
    <w:p>
      <w:pPr>
        <w:pStyle w:val="24"/>
        <w:tabs>
          <w:tab w:val="right" w:leader="dot" w:pos="8296"/>
          <w:tab w:val="right" w:leader="dot" w:pos="8306"/>
        </w:tabs>
        <w:spacing w:line="320" w:lineRule="exact"/>
        <w:rPr>
          <w:rFonts w:eastAsia="黑体"/>
          <w:szCs w:val="32"/>
        </w:rPr>
      </w:pPr>
      <w:r>
        <w:rPr>
          <w:rFonts w:eastAsia="黑体"/>
          <w:szCs w:val="32"/>
        </w:rPr>
        <w:t>三、支出决算表</w:t>
      </w:r>
      <w:r>
        <w:tab/>
        <w:t>- 25-</w:t>
      </w:r>
    </w:p>
    <w:p>
      <w:pPr>
        <w:pStyle w:val="24"/>
        <w:tabs>
          <w:tab w:val="right" w:leader="dot" w:pos="8296"/>
          <w:tab w:val="right" w:leader="dot" w:pos="8306"/>
        </w:tabs>
        <w:spacing w:line="320" w:lineRule="exact"/>
        <w:rPr>
          <w:rFonts w:eastAsia="黑体"/>
          <w:szCs w:val="32"/>
        </w:rPr>
      </w:pPr>
      <w:r>
        <w:rPr>
          <w:rFonts w:eastAsia="黑体"/>
          <w:szCs w:val="32"/>
        </w:rPr>
        <w:t>四、财政拨款收入支出决算总表</w:t>
      </w:r>
      <w:r>
        <w:tab/>
        <w:t>- 25-</w:t>
      </w:r>
    </w:p>
    <w:p>
      <w:pPr>
        <w:pStyle w:val="24"/>
        <w:tabs>
          <w:tab w:val="right" w:leader="dot" w:pos="8296"/>
          <w:tab w:val="right" w:leader="dot" w:pos="8306"/>
        </w:tabs>
        <w:spacing w:line="320" w:lineRule="exact"/>
        <w:rPr>
          <w:rFonts w:eastAsia="黑体"/>
          <w:szCs w:val="32"/>
        </w:rPr>
      </w:pPr>
      <w:r>
        <w:rPr>
          <w:rFonts w:eastAsia="黑体"/>
          <w:szCs w:val="32"/>
        </w:rPr>
        <w:t>五、财政拨款支出决算明细表</w:t>
      </w:r>
      <w:r>
        <w:tab/>
        <w:tab/>
        <w:t>- 25-</w:t>
      </w:r>
    </w:p>
    <w:p>
      <w:pPr>
        <w:pStyle w:val="24"/>
        <w:tabs>
          <w:tab w:val="right" w:leader="dot" w:pos="8296"/>
          <w:tab w:val="right" w:leader="dot" w:pos="8306"/>
        </w:tabs>
        <w:spacing w:line="320" w:lineRule="exact"/>
        <w:rPr>
          <w:rFonts w:eastAsia="黑体"/>
          <w:szCs w:val="32"/>
        </w:rPr>
      </w:pPr>
      <w:r>
        <w:rPr>
          <w:rFonts w:eastAsia="黑体"/>
          <w:szCs w:val="32"/>
        </w:rPr>
        <w:t>六、一般公共预算财政拨款支出决算表</w:t>
      </w:r>
      <w:r>
        <w:tab/>
        <w:t>- 25-</w:t>
      </w:r>
    </w:p>
    <w:p>
      <w:pPr>
        <w:pStyle w:val="24"/>
        <w:tabs>
          <w:tab w:val="right" w:leader="dot" w:pos="8296"/>
          <w:tab w:val="right" w:leader="dot" w:pos="8306"/>
        </w:tabs>
        <w:spacing w:line="320" w:lineRule="exact"/>
        <w:rPr>
          <w:rFonts w:eastAsia="黑体"/>
          <w:szCs w:val="32"/>
        </w:rPr>
      </w:pPr>
      <w:r>
        <w:rPr>
          <w:rFonts w:eastAsia="黑体"/>
          <w:szCs w:val="32"/>
        </w:rPr>
        <w:t>七、一般公共预算财政拨款支出决算明细表</w:t>
      </w:r>
      <w:r>
        <w:tab/>
        <w:t>- 25-</w:t>
      </w:r>
    </w:p>
    <w:p>
      <w:pPr>
        <w:pStyle w:val="24"/>
        <w:tabs>
          <w:tab w:val="right" w:leader="dot" w:pos="8296"/>
          <w:tab w:val="right" w:leader="dot" w:pos="8306"/>
        </w:tabs>
        <w:spacing w:line="320" w:lineRule="exact"/>
        <w:rPr>
          <w:rFonts w:eastAsia="黑体"/>
          <w:szCs w:val="32"/>
        </w:rPr>
      </w:pPr>
      <w:r>
        <w:rPr>
          <w:rFonts w:eastAsia="黑体"/>
          <w:szCs w:val="32"/>
        </w:rPr>
        <w:t>八、一般公共预算财政拨款基本支出决算明细表</w:t>
      </w:r>
      <w:r>
        <w:tab/>
        <w:t>- 25-</w:t>
      </w:r>
    </w:p>
    <w:p>
      <w:pPr>
        <w:pStyle w:val="24"/>
        <w:tabs>
          <w:tab w:val="right" w:leader="dot" w:pos="8296"/>
          <w:tab w:val="right" w:leader="dot" w:pos="8306"/>
        </w:tabs>
        <w:spacing w:line="320" w:lineRule="exact"/>
        <w:rPr>
          <w:rFonts w:eastAsia="黑体"/>
          <w:szCs w:val="32"/>
        </w:rPr>
      </w:pPr>
      <w:r>
        <w:rPr>
          <w:rFonts w:eastAsia="黑体"/>
          <w:szCs w:val="32"/>
        </w:rPr>
        <w:t>九、一般公共预算财政拨款项目支出决算表</w:t>
      </w:r>
      <w:r>
        <w:tab/>
        <w:t>- 25-</w:t>
      </w:r>
    </w:p>
    <w:p>
      <w:pPr>
        <w:pStyle w:val="24"/>
        <w:tabs>
          <w:tab w:val="right" w:leader="dot" w:pos="8296"/>
          <w:tab w:val="right" w:leader="dot" w:pos="8306"/>
        </w:tabs>
        <w:spacing w:line="320" w:lineRule="exact"/>
        <w:rPr>
          <w:rFonts w:eastAsia="黑体"/>
          <w:szCs w:val="32"/>
        </w:rPr>
      </w:pPr>
      <w:r>
        <w:rPr>
          <w:rFonts w:eastAsia="黑体"/>
          <w:szCs w:val="32"/>
        </w:rPr>
        <w:t>十、政府性基金预算财政拨款收入支出决算表</w:t>
      </w:r>
      <w:r>
        <w:tab/>
        <w:t>- 25-</w:t>
      </w:r>
    </w:p>
    <w:p>
      <w:pPr>
        <w:pStyle w:val="24"/>
        <w:tabs>
          <w:tab w:val="right" w:leader="dot" w:pos="8296"/>
          <w:tab w:val="right" w:leader="dot" w:pos="8306"/>
        </w:tabs>
        <w:spacing w:line="320" w:lineRule="exact"/>
        <w:rPr>
          <w:rFonts w:eastAsia="黑体"/>
          <w:szCs w:val="32"/>
        </w:rPr>
      </w:pPr>
      <w:r>
        <w:rPr>
          <w:rFonts w:eastAsia="黑体"/>
          <w:szCs w:val="32"/>
        </w:rPr>
        <w:t>十一、国有资本经营预算财政拨款收入支出决算表</w:t>
      </w:r>
      <w:r>
        <w:tab/>
        <w:t>- 25-</w:t>
      </w:r>
    </w:p>
    <w:p>
      <w:pPr>
        <w:pStyle w:val="24"/>
        <w:tabs>
          <w:tab w:val="right" w:leader="dot" w:pos="8296"/>
          <w:tab w:val="right" w:leader="dot" w:pos="8306"/>
        </w:tabs>
        <w:spacing w:line="320" w:lineRule="exact"/>
        <w:rPr>
          <w:rFonts w:eastAsia="黑体"/>
          <w:szCs w:val="32"/>
        </w:rPr>
      </w:pPr>
      <w:r>
        <w:rPr>
          <w:rFonts w:eastAsia="黑体"/>
          <w:szCs w:val="32"/>
        </w:rPr>
        <w:t>十二、国有资本经营预算财政拨款支出决算表</w:t>
      </w:r>
      <w:r>
        <w:tab/>
        <w:t>- 25-</w:t>
      </w:r>
    </w:p>
    <w:p>
      <w:pPr>
        <w:pStyle w:val="24"/>
        <w:tabs>
          <w:tab w:val="right" w:leader="dot" w:pos="8296"/>
          <w:tab w:val="right" w:leader="dot" w:pos="8306"/>
        </w:tabs>
        <w:spacing w:line="320" w:lineRule="exact"/>
      </w:pPr>
      <w:r>
        <w:rPr>
          <w:rFonts w:eastAsia="黑体"/>
          <w:szCs w:val="32"/>
        </w:rPr>
        <w:t>十三、财政拨款“三公”经费支出决算表</w:t>
      </w:r>
      <w:r>
        <w:fldChar w:fldCharType="begin"/>
      </w:r>
      <w:r>
        <w:instrText>Hyperlink \l "_Toc97135372"</w:instrText>
      </w:r>
      <w:r>
        <w:fldChar w:fldCharType="separate"/>
      </w:r>
      <w:r>
        <w:fldChar w:fldCharType="end"/>
      </w:r>
      <w:r>
        <w:rPr>
          <w:rFonts w:eastAsia="仿宋_GB2312"/>
          <w:b/>
          <w:sz w:val="32"/>
          <w:szCs w:val="32"/>
        </w:rPr>
        <w:fldChar w:fldCharType="end"/>
      </w:r>
      <w:r>
        <w:tab/>
        <w:t>- 25-</w:t>
      </w:r>
    </w:p>
    <w:p>
      <w:pPr>
        <w:rPr>
          <w:rFonts w:eastAsia="仿宋_GB2312"/>
          <w:bCs/>
          <w:kern w:val="44"/>
          <w:sz w:val="32"/>
          <w:szCs w:val="32"/>
        </w:rPr>
      </w:pPr>
      <w:r>
        <w:rPr>
          <w:rFonts w:eastAsia="仿宋_GB2312"/>
          <w:bCs/>
          <w:kern w:val="44"/>
          <w:sz w:val="32"/>
          <w:szCs w:val="32"/>
        </w:rPr>
        <w:br w:type="page"/>
      </w:r>
    </w:p>
    <w:p>
      <w:pPr>
        <w:pStyle w:val="1"/>
        <w:spacing w:line="600" w:lineRule="exact"/>
        <w:jc w:val="center"/>
        <w:rPr>
          <w:rStyle w:val="1Char"/>
          <w:rFonts w:eastAsia="方正小标宋简体"/>
          <w:b/>
        </w:rPr>
      </w:pPr>
      <w:bookmarkStart w:id="8" w:name="_Toc97135346"/>
      <w:r>
        <w:rPr>
          <w:rFonts w:eastAsia="方正小标宋简体"/>
          <w:b w:val="0"/>
        </w:rPr>
        <w:t xml:space="preserve">第一部分  </w:t>
      </w:r>
      <w:r>
        <w:rPr>
          <w:rStyle w:val="1Char"/>
          <w:rFonts w:eastAsia="方正小标宋简体"/>
        </w:rPr>
        <w:t>部门概况</w:t>
      </w:r>
      <w:bookmarkEnd w:id="6"/>
      <w:bookmarkEnd w:id="7"/>
      <w:bookmarkEnd w:id="8"/>
    </w:p>
    <w:p>
      <w:pPr>
        <w:widowControl/>
        <w:spacing w:line="600" w:lineRule="exact"/>
        <w:jc w:val="left"/>
        <w:rPr>
          <w:rFonts w:eastAsia="黑体"/>
          <w:sz w:val="32"/>
          <w:szCs w:val="32"/>
        </w:rPr>
      </w:pPr>
    </w:p>
    <w:p>
      <w:pPr>
        <w:spacing w:line="600" w:lineRule="exact"/>
        <w:ind w:firstLineChars="200" w:firstLine="640"/>
        <w:rPr>
          <w:rStyle w:val="2Char"/>
          <w:rFonts w:ascii="Times New Roman" w:eastAsia="黑体" w:hAnsi="Times New Roman"/>
        </w:rPr>
      </w:pPr>
      <w:bookmarkStart w:id="9" w:name="_Toc15377197"/>
      <w:bookmarkStart w:id="10" w:name="_Toc15396600"/>
      <w:bookmarkStart w:id="11" w:name="_Toc97135347"/>
      <w:bookmarkEnd w:id="9"/>
      <w:bookmarkEnd w:id="10"/>
      <w:r>
        <w:rPr>
          <w:rStyle w:val="2Char"/>
          <w:rFonts w:ascii="Times New Roman" w:eastAsia="黑体" w:hAnsi="Times New Roman"/>
        </w:rPr>
        <w:t>一、部门职责</w:t>
      </w:r>
    </w:p>
    <w:p>
      <w:pPr>
        <w:spacing w:line="600" w:lineRule="exact"/>
        <w:ind w:firstLineChars="200" w:firstLine="640"/>
        <w:rPr>
          <w:rFonts w:eastAsia="方正仿宋_GBK"/>
          <w:sz w:val="32"/>
          <w:szCs w:val="32"/>
        </w:rPr>
      </w:pPr>
      <w:bookmarkEnd w:id="11"/>
      <w:r>
        <w:rPr>
          <w:rFonts w:eastAsia="方正仿宋_GBK"/>
          <w:sz w:val="32"/>
          <w:szCs w:val="32"/>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报备等工作。六是承担州委值班工作，负责全州党委办公室系统值班指导，对突出事件紧急情况跟踪了解、协调处理。七是负责</w:t>
      </w:r>
      <w:bookmarkStart w:id="12" w:name="_GoBack"/>
      <w:bookmarkEnd w:id="12"/>
      <w:r>
        <w:rPr>
          <w:rFonts w:eastAsia="方正仿宋_GBK"/>
          <w:sz w:val="32"/>
          <w:szCs w:val="32"/>
        </w:rPr>
        <w:t>州委与民主党派中央、民主党派四川省委之间战略合作事项的协调、落实。八是负责并协调州委办公室办公区、生活区的社会治安综合治理和安全防范。九是负责党中央路线方针政策和省委重大决策部署及重要工作安排落实情况的督促检查。十是负责贯彻执行《中华人民共和国档案法》等相关法律法规。十一是承办州委交办的其他任务。</w:t>
      </w:r>
      <w:bookmarkStart w:id="13" w:name="_Toc15396601"/>
      <w:bookmarkStart w:id="14" w:name="_Toc15377200"/>
    </w:p>
    <w:p>
      <w:pPr>
        <w:spacing w:line="600" w:lineRule="exact"/>
        <w:ind w:firstLineChars="200" w:firstLine="640"/>
        <w:rPr>
          <w:rStyle w:val="2Char"/>
          <w:rFonts w:ascii="Times New Roman" w:eastAsia="黑体" w:hAnsi="Times New Roman"/>
        </w:rPr>
      </w:pPr>
      <w:bookmarkStart w:id="15" w:name="_Toc97135348"/>
      <w:r>
        <w:rPr>
          <w:rStyle w:val="2Char"/>
          <w:rFonts w:ascii="Times New Roman" w:eastAsia="黑体" w:hAnsi="Times New Roman"/>
        </w:rPr>
        <w:t>二、机构设置</w:t>
      </w:r>
      <w:bookmarkEnd w:id="13"/>
      <w:bookmarkEnd w:id="14"/>
    </w:p>
    <w:p>
      <w:pPr>
        <w:spacing w:line="600" w:lineRule="exact"/>
        <w:ind w:firstLineChars="200" w:firstLine="640"/>
        <w:rPr>
          <w:rFonts w:eastAsia="方正仿宋_GBK"/>
          <w:sz w:val="32"/>
          <w:szCs w:val="32"/>
          <w:highlight w:val="auto"/>
        </w:rPr>
      </w:pPr>
      <w:bookmarkEnd w:id="15"/>
      <w:r>
        <w:rPr>
          <w:rFonts w:eastAsia="方正仿宋_GBK"/>
          <w:sz w:val="32"/>
          <w:szCs w:val="32"/>
          <w:highlight w:val="auto"/>
        </w:rPr>
        <w:t>中共阿坝州委办公室下属二级</w:t>
      </w:r>
      <w:r>
        <w:rPr>
          <w:rFonts w:eastAsia="方正仿宋_GBK"/>
          <w:sz w:val="32"/>
          <w:szCs w:val="32"/>
          <w:lang w:eastAsia="zh-CN"/>
          <w:highlight w:val="auto"/>
        </w:rPr>
        <w:t>预算</w:t>
      </w:r>
      <w:r>
        <w:rPr>
          <w:rFonts w:eastAsia="方正仿宋_GBK"/>
          <w:sz w:val="32"/>
          <w:szCs w:val="32"/>
          <w:highlight w:val="auto"/>
        </w:rPr>
        <w:t>单位4个，其中行政单位1个，其他事业单位3个。</w:t>
      </w:r>
    </w:p>
    <w:p>
      <w:pPr>
        <w:spacing w:line="576" w:lineRule="exact"/>
        <w:ind w:firstLineChars="200" w:firstLine="640"/>
        <w:rPr>
          <w:rFonts w:eastAsia="方正仿宋_GBK"/>
          <w:sz w:val="32"/>
          <w:szCs w:val="32"/>
          <w:highlight w:val="auto"/>
        </w:rPr>
      </w:pPr>
      <w:r>
        <w:rPr>
          <w:rFonts w:eastAsia="方正仿宋_GBK"/>
          <w:sz w:val="32"/>
          <w:szCs w:val="32"/>
          <w:highlight w:val="auto"/>
        </w:rPr>
        <w:t>纳入</w:t>
      </w:r>
      <w:r>
        <w:rPr>
          <w:rFonts w:eastAsia="方正仿宋_GBK"/>
          <w:sz w:val="32"/>
          <w:szCs w:val="32"/>
        </w:rPr>
        <w:t>中共阿坝州委办公室（部门）</w:t>
      </w:r>
      <w:r>
        <w:rPr>
          <w:rFonts w:eastAsia="方正仿宋_GBK"/>
          <w:sz w:val="32"/>
          <w:szCs w:val="32"/>
          <w:lang w:eastAsia="zh-CN"/>
          <w:highlight w:val="auto"/>
        </w:rPr>
        <w:t>2024年度</w:t>
      </w:r>
      <w:r>
        <w:rPr>
          <w:rFonts w:eastAsia="方正仿宋_GBK"/>
          <w:sz w:val="32"/>
          <w:szCs w:val="32"/>
          <w:highlight w:val="auto"/>
        </w:rPr>
        <w:t>部门决算编制范围的二级预算单位包括：</w:t>
      </w:r>
    </w:p>
    <w:p>
      <w:pPr>
        <w:spacing w:line="576" w:lineRule="exact"/>
        <w:ind w:firstLineChars="200" w:firstLine="640"/>
        <w:rPr>
          <w:rFonts w:eastAsia="方正仿宋_GBK"/>
          <w:sz w:val="32"/>
          <w:szCs w:val="32"/>
          <w:highlight w:val="auto"/>
        </w:rPr>
      </w:pPr>
      <w:bookmarkStart w:id="16" w:name="_Toc15378448"/>
      <w:bookmarkStart w:id="17" w:name="_Toc15377201"/>
      <w:bookmarkStart w:id="18" w:name="_Toc15306275"/>
      <w:bookmarkStart w:id="19" w:name="_Toc15377432"/>
      <w:r>
        <w:rPr>
          <w:rFonts w:eastAsia="方正仿宋_GBK"/>
          <w:sz w:val="32"/>
          <w:szCs w:val="32"/>
          <w:highlight w:val="auto"/>
        </w:rPr>
        <w:t>1.中共阿坝州委办公室</w:t>
      </w:r>
      <w:bookmarkEnd w:id="16"/>
      <w:bookmarkEnd w:id="17"/>
      <w:bookmarkEnd w:id="18"/>
      <w:bookmarkEnd w:id="19"/>
      <w:r>
        <w:rPr>
          <w:rFonts w:eastAsia="方正仿宋_GBK"/>
          <w:sz w:val="32"/>
          <w:szCs w:val="32"/>
          <w:highlight w:val="auto"/>
        </w:rPr>
        <w:t>（本级）</w:t>
      </w:r>
    </w:p>
    <w:p>
      <w:pPr>
        <w:spacing w:line="576" w:lineRule="exact"/>
        <w:ind w:firstLineChars="200" w:firstLine="640"/>
        <w:rPr>
          <w:rFonts w:eastAsia="方正仿宋_GBK"/>
          <w:sz w:val="32"/>
          <w:szCs w:val="32"/>
          <w:highlight w:val="auto"/>
        </w:rPr>
      </w:pPr>
      <w:r>
        <w:rPr>
          <w:rFonts w:eastAsia="方正仿宋_GBK"/>
          <w:sz w:val="32"/>
          <w:szCs w:val="32"/>
          <w:highlight w:val="auto"/>
        </w:rPr>
        <w:t>2.州涉藏事务研究中心</w:t>
      </w:r>
    </w:p>
    <w:p>
      <w:pPr>
        <w:spacing w:line="576" w:lineRule="exact"/>
        <w:ind w:firstLineChars="200" w:firstLine="640"/>
        <w:rPr>
          <w:rFonts w:eastAsia="方正仿宋_GBK"/>
          <w:sz w:val="32"/>
          <w:szCs w:val="32"/>
        </w:rPr>
      </w:pPr>
      <w:r>
        <w:rPr>
          <w:rFonts w:eastAsia="方正仿宋_GBK"/>
          <w:sz w:val="32"/>
          <w:szCs w:val="32"/>
        </w:rPr>
        <w:t>3.州专用通信中心</w:t>
      </w:r>
    </w:p>
    <w:p>
      <w:pPr>
        <w:spacing w:line="576" w:lineRule="exact"/>
        <w:ind w:firstLineChars="200" w:firstLine="640"/>
        <w:rPr>
          <w:rFonts w:eastAsia="方正仿宋_GBK"/>
          <w:sz w:val="32"/>
          <w:szCs w:val="32"/>
          <w:highlight w:val="auto"/>
        </w:rPr>
      </w:pPr>
      <w:bookmarkStart w:id="20" w:name="_Toc15377434"/>
      <w:bookmarkStart w:id="21" w:name="_Toc15378450"/>
      <w:bookmarkStart w:id="22" w:name="_Toc15306277"/>
      <w:bookmarkStart w:id="23" w:name="_Toc15377203"/>
      <w:r>
        <w:rPr>
          <w:rFonts w:eastAsia="方正仿宋_GBK"/>
          <w:sz w:val="32"/>
          <w:szCs w:val="32"/>
          <w:highlight w:val="auto"/>
        </w:rPr>
        <w:t>4.州涉密文档专管中心</w:t>
      </w:r>
      <w:bookmarkEnd w:id="20"/>
      <w:bookmarkEnd w:id="21"/>
      <w:bookmarkEnd w:id="22"/>
      <w:bookmarkEnd w:id="23"/>
    </w:p>
    <w:p>
      <w:pPr>
        <w:spacing w:line="576" w:lineRule="exact"/>
        <w:ind w:firstLineChars="200" w:firstLine="640"/>
        <w:rPr>
          <w:rFonts w:eastAsia="仿宋"/>
          <w:kern w:val="0"/>
          <w:sz w:val="32"/>
          <w:szCs w:val="32"/>
        </w:rPr>
      </w:pPr>
      <w:r>
        <w:rPr>
          <w:rFonts w:eastAsia="方正仿宋_GBK"/>
          <w:sz w:val="32"/>
          <w:szCs w:val="32"/>
        </w:rPr>
        <w:t>部分项目支出涉密，不作公开。</w:t>
      </w:r>
      <w:r>
        <w:rPr>
          <w:rFonts w:eastAsia="仿宋"/>
          <w:sz w:val="32"/>
          <w:szCs w:val="32"/>
        </w:rPr>
        <w:br w:type="page"/>
      </w:r>
    </w:p>
    <w:p>
      <w:pPr>
        <w:pStyle w:val="1"/>
        <w:spacing w:line="576" w:lineRule="exact"/>
        <w:jc w:val="center"/>
        <w:rPr>
          <w:rFonts w:eastAsia="方正小标宋简体"/>
          <w:b w:val="0"/>
        </w:rPr>
      </w:pPr>
      <w:bookmarkStart w:id="24" w:name="_Toc15396602"/>
      <w:bookmarkStart w:id="25" w:name="_Toc15377204"/>
      <w:bookmarkStart w:id="26" w:name="_Toc97135349"/>
      <w:r>
        <w:rPr>
          <w:rFonts w:eastAsia="方正小标宋简体"/>
          <w:b w:val="0"/>
        </w:rPr>
        <w:t>第二部分  2024年度部门决算情况说明</w:t>
      </w:r>
      <w:bookmarkEnd w:id="24"/>
      <w:bookmarkEnd w:id="25"/>
      <w:bookmarkEnd w:id="26"/>
    </w:p>
    <w:p>
      <w:pPr>
        <w:spacing w:line="576" w:lineRule="exact"/>
      </w:pPr>
    </w:p>
    <w:p>
      <w:pPr>
        <w:pStyle w:val="32"/>
        <w:spacing w:line="576" w:lineRule="exact"/>
        <w:outlineLvl w:val="1"/>
        <w:rPr>
          <w:rStyle w:val="2Char"/>
          <w:rFonts w:ascii="Times New Roman" w:eastAsia="黑体" w:hAnsi="Times New Roman"/>
          <w:b w:val="0"/>
        </w:rPr>
      </w:pPr>
      <w:bookmarkStart w:id="27" w:name="_Toc15377205"/>
      <w:bookmarkStart w:id="28" w:name="_Toc15396603"/>
      <w:bookmarkStart w:id="29" w:name="_Toc97135350"/>
      <w:r>
        <w:rPr>
          <w:rFonts w:eastAsia="黑体"/>
          <w:sz w:val="32"/>
          <w:szCs w:val="32"/>
        </w:rPr>
        <w:t>一、收</w:t>
      </w:r>
      <w:r>
        <w:rPr>
          <w:rStyle w:val="2Char"/>
          <w:rFonts w:ascii="Times New Roman" w:eastAsia="黑体" w:hAnsi="Times New Roman"/>
          <w:b w:val="0"/>
        </w:rPr>
        <w:t>入支出决算总体情况说明</w:t>
      </w:r>
      <w:bookmarkEnd w:id="27"/>
      <w:bookmarkEnd w:id="28"/>
      <w:bookmarkEnd w:id="29"/>
    </w:p>
    <w:p>
      <w:pPr>
        <w:pStyle w:val="32"/>
        <w:spacing w:line="576" w:lineRule="exact"/>
        <w:outlineLvl w:val="1"/>
        <w:rPr>
          <w:rFonts w:eastAsia="仿宋_GB2312"/>
          <w:sz w:val="32"/>
          <w:szCs w:val="32"/>
        </w:rPr>
      </w:pPr>
      <w:bookmarkStart w:id="30" w:name="_Toc97135351"/>
      <w:r>
        <w:rPr>
          <w:rFonts w:eastAsia="仿宋_GB2312"/>
          <w:sz w:val="32"/>
          <w:szCs w:val="32"/>
        </w:rPr>
        <w:t>2024年度收入、支出总计均为3451.66万元。与2023年度相比，收入、支出总计各增加241.63万元，增长7.52%。主要变动原因是人员增加及基本工资调整等。</w:t>
      </w:r>
      <w:bookmarkEnd w:id="30"/>
    </w:p>
    <w:p>
      <w:pPr>
        <w:pStyle w:val="32"/>
        <w:spacing w:line="576" w:lineRule="exact"/>
        <w:jc w:val="center"/>
        <w:outlineLvl w:val="1"/>
      </w:pPr>
      <w:r>
        <w:drawing>
          <wp:inline distT="0" distB="0" distL="85723" distR="85723">
            <wp:extent cx="4124261" cy="1809722"/>
            <wp:effectExtent l="0" t="0" r="0" b="0"/>
            <wp:docPr id="1" name="对象"/>
            <wp:cNvGraphicFramePr>
              <a:graphicFrameLocks noChangeAspect="1"/>
            </wp:cNvGraphicFramePr>
            <a:graphic>
              <a:graphicData uri="http://schemas.openxmlformats.org/drawingml/2006/chart">
                <c:chart xmlns:c="http://schemas.openxmlformats.org/drawingml/2006/chart" r:id="rId6"/>
              </a:graphicData>
            </a:graphic>
          </wp:inline>
        </w:drawing>
      </w:r>
    </w:p>
    <w:p>
      <w:pPr>
        <w:spacing w:line="576" w:lineRule="exact"/>
        <w:ind w:firstLineChars="200" w:firstLine="640"/>
        <w:jc w:val="center"/>
        <w:rPr>
          <w:rFonts w:eastAsia="仿宋_GB2312"/>
          <w:sz w:val="32"/>
          <w:szCs w:val="32"/>
        </w:rPr>
      </w:pPr>
      <w:r>
        <w:rPr>
          <w:rFonts w:eastAsia="仿宋_GB2312"/>
          <w:sz w:val="32"/>
          <w:szCs w:val="32"/>
        </w:rPr>
        <w:t>（图1：收入、支出决算总计变动情况图）</w:t>
      </w:r>
    </w:p>
    <w:p>
      <w:pPr>
        <w:pStyle w:val="32"/>
        <w:spacing w:line="576" w:lineRule="exact"/>
        <w:outlineLvl w:val="1"/>
        <w:rPr>
          <w:rFonts w:eastAsia="黑体"/>
          <w:sz w:val="32"/>
          <w:szCs w:val="32"/>
        </w:rPr>
      </w:pPr>
      <w:bookmarkStart w:id="31" w:name="_Toc15377206"/>
      <w:bookmarkStart w:id="32" w:name="_Toc15396604"/>
      <w:bookmarkStart w:id="33" w:name="_Toc97135352"/>
      <w:r>
        <w:rPr>
          <w:rFonts w:eastAsia="黑体"/>
          <w:sz w:val="32"/>
          <w:szCs w:val="32"/>
        </w:rPr>
        <w:t>二、收入决算情况说明</w:t>
      </w:r>
      <w:bookmarkEnd w:id="31"/>
      <w:bookmarkEnd w:id="32"/>
      <w:bookmarkEnd w:id="33"/>
    </w:p>
    <w:p>
      <w:pPr>
        <w:pStyle w:val="32"/>
        <w:spacing w:line="576" w:lineRule="exact"/>
        <w:jc w:val="left"/>
        <w:outlineLvl w:val="1"/>
        <w:rPr>
          <w:rFonts w:eastAsia="仿宋_GB2312"/>
          <w:sz w:val="32"/>
          <w:szCs w:val="32"/>
        </w:rPr>
      </w:pPr>
      <w:bookmarkStart w:id="34" w:name="_Toc97135353"/>
      <w:r>
        <w:rPr>
          <w:rFonts w:eastAsia="仿宋_GB2312"/>
          <w:sz w:val="32"/>
          <w:szCs w:val="32"/>
        </w:rPr>
        <w:t>2024年度本年收入合计3451.66万元，其中：一般公共预算财政拨款收入3451.66万元，占100%。</w:t>
      </w:r>
      <w:bookmarkEnd w:id="34"/>
    </w:p>
    <w:p>
      <w:pPr>
        <w:pStyle w:val="32"/>
        <w:spacing w:line="576" w:lineRule="exact"/>
        <w:jc w:val="center"/>
        <w:outlineLvl w:val="1"/>
      </w:pPr>
      <w:r>
        <w:drawing>
          <wp:inline distT="0" distB="0" distL="85723" distR="85723">
            <wp:extent cx="4124261" cy="1809722"/>
            <wp:effectExtent l="0" t="0" r="0" b="0"/>
            <wp:docPr id="2" name="对象"/>
            <wp:cNvGraphicFramePr>
              <a:graphicFrameLocks noChangeAspect="1"/>
            </wp:cNvGraphicFramePr>
            <a:graphic>
              <a:graphicData uri="http://schemas.openxmlformats.org/drawingml/2006/chart">
                <c:chart xmlns:c="http://schemas.openxmlformats.org/drawingml/2006/chart" r:id="rId7"/>
              </a:graphicData>
            </a:graphic>
          </wp:inline>
        </w:drawing>
      </w:r>
    </w:p>
    <w:p>
      <w:pPr>
        <w:spacing w:line="576" w:lineRule="exact"/>
        <w:ind w:firstLineChars="250" w:firstLine="800"/>
        <w:jc w:val="center"/>
        <w:rPr>
          <w:rFonts w:eastAsia="仿宋_GB2312"/>
          <w:sz w:val="32"/>
          <w:szCs w:val="32"/>
        </w:rPr>
      </w:pPr>
      <w:r>
        <w:rPr>
          <w:rFonts w:eastAsia="仿宋_GB2312"/>
          <w:sz w:val="32"/>
          <w:szCs w:val="32"/>
        </w:rPr>
        <w:t>（图2：收入决算结构图）</w:t>
      </w:r>
    </w:p>
    <w:p>
      <w:pPr>
        <w:pStyle w:val="32"/>
        <w:spacing w:line="576" w:lineRule="exact"/>
        <w:outlineLvl w:val="1"/>
        <w:rPr>
          <w:rStyle w:val="2Char"/>
          <w:rFonts w:ascii="Times New Roman" w:eastAsia="黑体" w:hAnsi="Times New Roman"/>
          <w:b w:val="0"/>
        </w:rPr>
      </w:pPr>
      <w:bookmarkStart w:id="35" w:name="_Toc15396605"/>
      <w:bookmarkStart w:id="36" w:name="_Toc15377207"/>
      <w:bookmarkStart w:id="37" w:name="_Toc97135354"/>
      <w:r>
        <w:rPr>
          <w:rFonts w:eastAsia="黑体"/>
          <w:sz w:val="32"/>
          <w:szCs w:val="32"/>
        </w:rPr>
        <w:t>三、支</w:t>
      </w:r>
      <w:r>
        <w:rPr>
          <w:rStyle w:val="2Char"/>
          <w:rFonts w:ascii="Times New Roman" w:eastAsia="黑体" w:hAnsi="Times New Roman"/>
          <w:b w:val="0"/>
        </w:rPr>
        <w:t>出决算情况说明</w:t>
      </w:r>
      <w:bookmarkEnd w:id="35"/>
      <w:bookmarkEnd w:id="36"/>
      <w:bookmarkEnd w:id="37"/>
    </w:p>
    <w:p>
      <w:pPr>
        <w:pStyle w:val="32"/>
        <w:spacing w:line="576" w:lineRule="exact"/>
        <w:jc w:val="left"/>
        <w:outlineLvl w:val="1"/>
        <w:rPr>
          <w:rFonts w:eastAsia="仿宋_GB2312"/>
          <w:sz w:val="32"/>
          <w:szCs w:val="32"/>
        </w:rPr>
      </w:pPr>
      <w:bookmarkStart w:id="38" w:name="_Toc97135355"/>
      <w:r>
        <w:rPr>
          <w:rFonts w:eastAsia="仿宋_GB2312"/>
          <w:sz w:val="32"/>
          <w:szCs w:val="32"/>
        </w:rPr>
        <w:t>2024年度本年支出合计3451.66万元，其中：基本支出3352.04万元，占97.11%；项目支出99.62万元，占2.89%。</w:t>
      </w:r>
      <w:bookmarkEnd w:id="38"/>
    </w:p>
    <w:p>
      <w:pPr>
        <w:pStyle w:val="32"/>
        <w:spacing w:line="576" w:lineRule="exact"/>
        <w:jc w:val="center"/>
        <w:outlineLvl w:val="1"/>
      </w:pPr>
      <w:r>
        <w:drawing>
          <wp:inline distT="0" distB="0" distL="85723" distR="85723">
            <wp:extent cx="4124261" cy="1809722"/>
            <wp:effectExtent l="0" t="0" r="0" b="0"/>
            <wp:docPr id="3" name="对象"/>
            <wp:cNvGraphicFramePr>
              <a:graphicFrameLocks noChangeAspect="1"/>
            </wp:cNvGraphicFramePr>
            <a:graphic>
              <a:graphicData uri="http://schemas.openxmlformats.org/drawingml/2006/chart">
                <c:chart xmlns:c="http://schemas.openxmlformats.org/drawingml/2006/chart" r:id="rId8"/>
              </a:graphicData>
            </a:graphic>
          </wp:inline>
        </w:drawing>
      </w:r>
    </w:p>
    <w:p>
      <w:pPr>
        <w:spacing w:line="576" w:lineRule="exact"/>
        <w:ind w:firstLineChars="250" w:firstLine="800"/>
        <w:jc w:val="center"/>
        <w:rPr>
          <w:rFonts w:eastAsia="仿宋_GB2312"/>
          <w:sz w:val="32"/>
          <w:szCs w:val="32"/>
        </w:rPr>
      </w:pPr>
      <w:r>
        <w:rPr>
          <w:rFonts w:eastAsia="仿宋_GB2312"/>
          <w:sz w:val="32"/>
          <w:szCs w:val="32"/>
        </w:rPr>
        <w:t>（图3：支出决算结构图）</w:t>
      </w:r>
    </w:p>
    <w:p>
      <w:pPr>
        <w:spacing w:line="576" w:lineRule="exact"/>
        <w:ind w:firstLineChars="200" w:firstLine="640"/>
        <w:outlineLvl w:val="1"/>
        <w:rPr>
          <w:rStyle w:val="2Char"/>
          <w:rFonts w:ascii="Times New Roman" w:eastAsia="黑体" w:hAnsi="Times New Roman"/>
          <w:b w:val="0"/>
        </w:rPr>
      </w:pPr>
      <w:bookmarkStart w:id="39" w:name="_Toc15377208"/>
      <w:bookmarkStart w:id="40" w:name="_Toc15396606"/>
      <w:bookmarkStart w:id="41" w:name="_Toc97135356"/>
      <w:r>
        <w:rPr>
          <w:rFonts w:eastAsia="黑体"/>
          <w:sz w:val="32"/>
          <w:szCs w:val="32"/>
        </w:rPr>
        <w:t>四、财</w:t>
      </w:r>
      <w:r>
        <w:rPr>
          <w:rStyle w:val="2Char"/>
          <w:rFonts w:ascii="Times New Roman" w:eastAsia="黑体" w:hAnsi="Times New Roman"/>
          <w:b w:val="0"/>
        </w:rPr>
        <w:t>政拨款收入支出决算总体情况说明</w:t>
      </w:r>
      <w:bookmarkEnd w:id="39"/>
      <w:bookmarkEnd w:id="40"/>
      <w:bookmarkEnd w:id="41"/>
    </w:p>
    <w:p>
      <w:pPr>
        <w:spacing w:line="576" w:lineRule="exact"/>
        <w:ind w:firstLine="640"/>
        <w:rPr>
          <w:rFonts w:eastAsia="仿宋_GB2312"/>
          <w:sz w:val="32"/>
          <w:szCs w:val="32"/>
        </w:rPr>
      </w:pPr>
      <w:r>
        <w:rPr>
          <w:rFonts w:eastAsia="仿宋_GB2312"/>
          <w:sz w:val="32"/>
          <w:szCs w:val="32"/>
        </w:rPr>
        <w:t>2024年度财政拨款收入、支出总计均为3451.66万元。与2023年度相比，财政拨款收入总计、支出总计各增加241.63万元，增长7.52%。主要变动原因是人员增加及基本工资调整等。</w:t>
      </w:r>
    </w:p>
    <w:p>
      <w:pPr>
        <w:pStyle w:val="32"/>
        <w:spacing w:line="576" w:lineRule="exact"/>
        <w:jc w:val="center"/>
        <w:outlineLvl w:val="1"/>
      </w:pPr>
      <w:r>
        <w:drawing>
          <wp:inline distT="0" distB="0" distL="85723" distR="85723">
            <wp:extent cx="4114736" cy="1809722"/>
            <wp:effectExtent l="0" t="0" r="0" b="0"/>
            <wp:docPr id="4" name="对象"/>
            <wp:cNvGraphicFramePr>
              <a:graphicFrameLocks noChangeAspect="1"/>
            </wp:cNvGraphicFramePr>
            <a:graphic>
              <a:graphicData uri="http://schemas.openxmlformats.org/drawingml/2006/chart">
                <c:chart xmlns:c="http://schemas.openxmlformats.org/drawingml/2006/chart" r:id="rId9"/>
              </a:graphicData>
            </a:graphic>
          </wp:inline>
        </w:drawing>
      </w:r>
    </w:p>
    <w:p>
      <w:pPr>
        <w:spacing w:line="576" w:lineRule="exact"/>
        <w:ind w:firstLineChars="200" w:firstLine="640"/>
        <w:jc w:val="center"/>
        <w:rPr>
          <w:rFonts w:eastAsia="仿宋_GB2312"/>
          <w:sz w:val="32"/>
          <w:szCs w:val="32"/>
        </w:rPr>
      </w:pPr>
      <w:r>
        <w:rPr>
          <w:rFonts w:eastAsia="仿宋_GB2312"/>
          <w:sz w:val="32"/>
          <w:szCs w:val="32"/>
        </w:rPr>
        <w:t>（图4：财政拨款收、支决算总计变动情况）</w:t>
      </w:r>
    </w:p>
    <w:p>
      <w:pPr>
        <w:spacing w:line="576" w:lineRule="exact"/>
        <w:ind w:firstLineChars="200" w:firstLine="640"/>
        <w:outlineLvl w:val="1"/>
        <w:rPr>
          <w:rStyle w:val="2Char"/>
          <w:rFonts w:ascii="Times New Roman" w:eastAsia="黑体" w:hAnsi="Times New Roman"/>
          <w:b w:val="0"/>
        </w:rPr>
      </w:pPr>
      <w:bookmarkStart w:id="42" w:name="_Toc15396607"/>
      <w:bookmarkStart w:id="43" w:name="_Toc15377209"/>
      <w:bookmarkStart w:id="44" w:name="_Toc97135357"/>
      <w:r>
        <w:rPr>
          <w:rFonts w:eastAsia="黑体"/>
          <w:sz w:val="32"/>
          <w:szCs w:val="32"/>
        </w:rPr>
        <w:t>五、</w:t>
      </w:r>
      <w:r>
        <w:rPr>
          <w:rFonts w:eastAsia="黑体"/>
          <w:b/>
          <w:sz w:val="32"/>
          <w:szCs w:val="32"/>
        </w:rPr>
        <w:t>一</w:t>
      </w:r>
      <w:r>
        <w:rPr>
          <w:rStyle w:val="2Char"/>
          <w:rFonts w:ascii="Times New Roman" w:eastAsia="黑体" w:hAnsi="Times New Roman"/>
          <w:b w:val="0"/>
        </w:rPr>
        <w:t>般公共预算财政拨款支出决算情况说明</w:t>
      </w:r>
      <w:bookmarkEnd w:id="42"/>
      <w:bookmarkEnd w:id="43"/>
      <w:bookmarkEnd w:id="44"/>
    </w:p>
    <w:p>
      <w:pPr>
        <w:spacing w:line="576" w:lineRule="exact"/>
        <w:ind w:firstLineChars="200" w:firstLine="640"/>
        <w:outlineLvl w:val="2"/>
        <w:rPr>
          <w:rFonts w:eastAsia="楷体_GB2312"/>
          <w:b/>
          <w:sz w:val="32"/>
          <w:szCs w:val="32"/>
        </w:rPr>
      </w:pPr>
      <w:bookmarkStart w:id="45" w:name="_Toc15377210"/>
      <w:bookmarkStart w:id="46" w:name="_Toc97135358"/>
      <w:r>
        <w:rPr>
          <w:rFonts w:eastAsia="楷体_GB2312"/>
          <w:b/>
          <w:sz w:val="32"/>
          <w:szCs w:val="32"/>
        </w:rPr>
        <w:t>（一）一般公共预算财政拨款支出决算总体情况</w:t>
      </w:r>
      <w:bookmarkEnd w:id="45"/>
      <w:bookmarkEnd w:id="46"/>
    </w:p>
    <w:p>
      <w:pPr>
        <w:spacing w:line="576" w:lineRule="exact"/>
        <w:ind w:firstLine="640"/>
      </w:pPr>
      <w:r>
        <w:rPr>
          <w:rFonts w:eastAsia="仿宋_GB2312"/>
          <w:sz w:val="32"/>
          <w:szCs w:val="32"/>
        </w:rPr>
        <w:t>2024年度一般公共预算财政拨款支出3451.66万元，占本年支出合计的100%。与2023年度相比，一般公共预算财政拨款支出增加241.63万元，增长7.52%。主要变动原因是人员增加及基本工资调整等。</w:t>
      </w:r>
    </w:p>
    <w:p>
      <w:pPr>
        <w:pStyle w:val="32"/>
        <w:spacing w:line="576" w:lineRule="exact"/>
        <w:jc w:val="center"/>
        <w:outlineLvl w:val="1"/>
      </w:pPr>
      <w:r>
        <w:drawing>
          <wp:inline distT="0" distB="0" distL="85723" distR="85723">
            <wp:extent cx="4105213" cy="1809722"/>
            <wp:effectExtent l="0" t="0" r="0" b="0"/>
            <wp:docPr id="5" name="对象"/>
            <wp:cNvGraphicFramePr>
              <a:graphicFrameLocks noChangeAspect="1"/>
            </wp:cNvGraphicFramePr>
            <a:graphic>
              <a:graphicData uri="http://schemas.openxmlformats.org/drawingml/2006/chart">
                <c:chart xmlns:c="http://schemas.openxmlformats.org/drawingml/2006/chart" r:id="rId10"/>
              </a:graphicData>
            </a:graphic>
          </wp:inline>
        </w:drawing>
      </w:r>
    </w:p>
    <w:p>
      <w:pPr>
        <w:spacing w:line="576" w:lineRule="exact"/>
        <w:ind w:firstLine="640"/>
        <w:jc w:val="center"/>
        <w:rPr>
          <w:rFonts w:eastAsia="仿宋_GB2312"/>
          <w:sz w:val="32"/>
          <w:szCs w:val="32"/>
        </w:rPr>
      </w:pPr>
      <w:r>
        <w:rPr>
          <w:rFonts w:eastAsia="仿宋_GB2312"/>
          <w:sz w:val="32"/>
          <w:szCs w:val="32"/>
        </w:rPr>
        <w:t>（图5：一般公共预算财政拨款支出决算变动情况）</w:t>
      </w:r>
    </w:p>
    <w:p>
      <w:pPr>
        <w:spacing w:line="576" w:lineRule="exact"/>
        <w:ind w:firstLineChars="200" w:firstLine="640"/>
        <w:outlineLvl w:val="2"/>
        <w:rPr>
          <w:rFonts w:eastAsia="楷体_GB2312"/>
          <w:b/>
          <w:sz w:val="32"/>
          <w:szCs w:val="32"/>
        </w:rPr>
      </w:pPr>
      <w:bookmarkStart w:id="47" w:name="_Toc15377211"/>
      <w:bookmarkStart w:id="48" w:name="_Toc97135359"/>
      <w:r>
        <w:rPr>
          <w:rFonts w:eastAsia="楷体_GB2312"/>
          <w:b/>
          <w:sz w:val="32"/>
          <w:szCs w:val="32"/>
        </w:rPr>
        <w:t>（二）一般公共预算财政拨款支出决算结构情况</w:t>
      </w:r>
      <w:bookmarkEnd w:id="47"/>
      <w:bookmarkEnd w:id="48"/>
    </w:p>
    <w:p>
      <w:pPr>
        <w:spacing w:line="576" w:lineRule="exact"/>
        <w:ind w:firstLine="640"/>
        <w:rPr>
          <w:rFonts w:eastAsia="仿宋_GB2312"/>
          <w:sz w:val="32"/>
          <w:szCs w:val="32"/>
        </w:rPr>
      </w:pPr>
      <w:r>
        <w:rPr>
          <w:rFonts w:eastAsia="仿宋_GB2312"/>
          <w:sz w:val="32"/>
          <w:szCs w:val="32"/>
        </w:rPr>
        <w:t>2024年度一般公共预算财政拨款支出3451.66万元，主要用于以下方面：一般公共服务支出2880.76万元，占83.47%；教育支出1.18万元，占0.03%；文化旅游体育与传媒支出0.5万元，占0.01%；社会保障和就业支出291.07万元，占8.43%；卫生健康支出118.61万元，占3.44%；住房保障支出159.54万元，占4.62%。</w:t>
      </w:r>
    </w:p>
    <w:p>
      <w:pPr>
        <w:pStyle w:val="15"/>
        <w:jc w:val="center"/>
      </w:pPr>
      <w:r>
        <w:drawing>
          <wp:inline distT="0" distB="0" distL="85723" distR="85723">
            <wp:extent cx="4124261" cy="1885920"/>
            <wp:effectExtent l="0" t="0" r="0" b="0"/>
            <wp:docPr id="6" name="对象"/>
            <wp:cNvGraphicFramePr>
              <a:graphicFrameLocks noChangeAspect="1"/>
            </wp:cNvGraphicFramePr>
            <a:graphic>
              <a:graphicData uri="http://schemas.openxmlformats.org/drawingml/2006/chart">
                <c:chart xmlns:c="http://schemas.openxmlformats.org/drawingml/2006/chart" r:id="rId11"/>
              </a:graphicData>
            </a:graphic>
          </wp:inline>
        </w:drawing>
      </w:r>
    </w:p>
    <w:p>
      <w:pPr>
        <w:pStyle w:val="15"/>
        <w:jc w:val="center"/>
      </w:pPr>
    </w:p>
    <w:p>
      <w:pPr>
        <w:spacing w:line="576" w:lineRule="exact"/>
        <w:ind w:firstLine="640"/>
        <w:jc w:val="center"/>
        <w:rPr>
          <w:rFonts w:eastAsia="仿宋_GB2312"/>
          <w:sz w:val="32"/>
          <w:szCs w:val="32"/>
        </w:rPr>
      </w:pPr>
      <w:r>
        <w:rPr>
          <w:rFonts w:eastAsia="仿宋_GB2312"/>
          <w:sz w:val="32"/>
          <w:szCs w:val="32"/>
        </w:rPr>
        <w:t>（图6：一般公共预算财政拨款支出决算结构）</w:t>
      </w:r>
    </w:p>
    <w:p>
      <w:pPr>
        <w:spacing w:line="576" w:lineRule="exact"/>
        <w:ind w:firstLineChars="200" w:firstLine="640"/>
        <w:outlineLvl w:val="2"/>
        <w:rPr>
          <w:rFonts w:eastAsia="楷体_GB2312"/>
          <w:b/>
          <w:sz w:val="32"/>
          <w:szCs w:val="32"/>
        </w:rPr>
      </w:pPr>
      <w:bookmarkStart w:id="49" w:name="_Toc15377212"/>
      <w:bookmarkStart w:id="50" w:name="_Toc97135360"/>
      <w:r>
        <w:rPr>
          <w:rFonts w:eastAsia="楷体_GB2312"/>
          <w:b/>
          <w:sz w:val="32"/>
          <w:szCs w:val="32"/>
        </w:rPr>
        <w:t>（三）一般公共预算财政拨款支出决算具体情况</w:t>
      </w:r>
      <w:bookmarkEnd w:id="49"/>
      <w:bookmarkEnd w:id="50"/>
    </w:p>
    <w:p>
      <w:pPr>
        <w:spacing w:line="576" w:lineRule="exact"/>
        <w:ind w:firstLine="640"/>
        <w:rPr>
          <w:rFonts w:eastAsia="仿宋_GB2312"/>
          <w:sz w:val="32"/>
          <w:szCs w:val="32"/>
        </w:rPr>
      </w:pPr>
      <w:bookmarkStart w:id="51" w:name="_Toc15378460"/>
      <w:bookmarkStart w:id="52" w:name="_Toc15377213"/>
      <w:bookmarkStart w:id="53" w:name="_Toc15377444"/>
      <w:r>
        <w:rPr>
          <w:rFonts w:eastAsia="仿宋_GB2312"/>
          <w:sz w:val="32"/>
          <w:szCs w:val="32"/>
        </w:rPr>
        <w:t>2024年度一般公共预算财政拨款支出决算数为3451.66万元，完成预算100%。其中：</w:t>
      </w:r>
      <w:bookmarkEnd w:id="51"/>
      <w:bookmarkEnd w:id="52"/>
      <w:bookmarkEnd w:id="53"/>
    </w:p>
    <w:p>
      <w:pPr>
        <w:spacing w:line="576" w:lineRule="exact"/>
        <w:ind w:firstLine="640"/>
        <w:rPr>
          <w:rFonts w:eastAsia="仿宋_GB2312"/>
          <w:sz w:val="32"/>
          <w:szCs w:val="32"/>
        </w:rPr>
      </w:pPr>
      <w:r>
        <w:rPr>
          <w:rFonts w:eastAsia="仿宋_GB2312"/>
          <w:b/>
          <w:bCs/>
          <w:sz w:val="32"/>
          <w:szCs w:val="32"/>
        </w:rPr>
        <w:t>1.一般公共服务（201）党委办公厅（室）及相关机构事务（31）行政运行（01）：</w:t>
      </w:r>
      <w:r>
        <w:rPr>
          <w:rFonts w:eastAsia="仿宋_GB2312"/>
          <w:sz w:val="32"/>
          <w:szCs w:val="32"/>
        </w:rPr>
        <w:t>支出决算为2372.17万元，完成预算100%。</w:t>
      </w:r>
    </w:p>
    <w:p>
      <w:pPr>
        <w:spacing w:line="576" w:lineRule="exact"/>
        <w:ind w:firstLine="640"/>
        <w:rPr>
          <w:rFonts w:eastAsia="仿宋_GB2312"/>
          <w:sz w:val="32"/>
          <w:szCs w:val="32"/>
        </w:rPr>
      </w:pPr>
      <w:r>
        <w:rPr>
          <w:rFonts w:eastAsia="仿宋_GB2312"/>
          <w:b/>
          <w:bCs/>
          <w:sz w:val="32"/>
          <w:szCs w:val="32"/>
        </w:rPr>
        <w:t>2.一般公共服务（201）党委办公厅（室）及相关机构事务（31）一般行政管理事务（02）：</w:t>
      </w:r>
      <w:r>
        <w:rPr>
          <w:rFonts w:eastAsia="仿宋_GB2312"/>
          <w:sz w:val="32"/>
          <w:szCs w:val="32"/>
        </w:rPr>
        <w:t>支出决算为85.02万元，完成预算100%。</w:t>
      </w:r>
    </w:p>
    <w:p>
      <w:pPr>
        <w:spacing w:line="576" w:lineRule="exact"/>
        <w:ind w:firstLine="640"/>
        <w:rPr>
          <w:rFonts w:eastAsia="仿宋_GB2312"/>
          <w:sz w:val="32"/>
          <w:szCs w:val="32"/>
        </w:rPr>
      </w:pPr>
      <w:r>
        <w:rPr>
          <w:rFonts w:eastAsia="仿宋_GB2312"/>
          <w:b/>
          <w:bCs/>
          <w:sz w:val="32"/>
          <w:szCs w:val="32"/>
        </w:rPr>
        <w:t>3.一般公共服务（201）党委办公厅（室）及相关机构事务（31）专项业务（05）：</w:t>
      </w:r>
      <w:r>
        <w:rPr>
          <w:rFonts w:eastAsia="仿宋_GB2312"/>
          <w:sz w:val="32"/>
          <w:szCs w:val="32"/>
        </w:rPr>
        <w:t>支出决算为12.92万元，完成预算100%。</w:t>
      </w:r>
    </w:p>
    <w:p>
      <w:pPr>
        <w:spacing w:line="576" w:lineRule="exact"/>
        <w:ind w:firstLine="640"/>
      </w:pPr>
      <w:r>
        <w:rPr>
          <w:rFonts w:eastAsia="仿宋_GB2312"/>
          <w:b/>
          <w:bCs/>
          <w:sz w:val="32"/>
          <w:szCs w:val="32"/>
        </w:rPr>
        <w:t>4.一般公共服务（201）党委办公厅（室）及相关机构事务（31）事业运行（50）：</w:t>
      </w:r>
      <w:r>
        <w:rPr>
          <w:rFonts w:eastAsia="仿宋_GB2312"/>
          <w:sz w:val="32"/>
          <w:szCs w:val="32"/>
        </w:rPr>
        <w:t>支出决算为410.65万元，完成预算100%。</w:t>
      </w:r>
    </w:p>
    <w:p>
      <w:pPr>
        <w:spacing w:line="576" w:lineRule="exact"/>
        <w:ind w:firstLine="640"/>
        <w:rPr>
          <w:rFonts w:eastAsia="仿宋_GB2312"/>
          <w:sz w:val="32"/>
          <w:szCs w:val="32"/>
        </w:rPr>
      </w:pPr>
      <w:r>
        <w:rPr>
          <w:rFonts w:eastAsia="仿宋_GB2312"/>
          <w:b/>
          <w:bCs/>
          <w:sz w:val="32"/>
          <w:szCs w:val="32"/>
        </w:rPr>
        <w:t xml:space="preserve">5.教育（205）其他教育支出（99）其他教育支出（99）: </w:t>
      </w:r>
      <w:r>
        <w:rPr>
          <w:rFonts w:eastAsia="仿宋_GB2312"/>
          <w:sz w:val="32"/>
          <w:szCs w:val="32"/>
        </w:rPr>
        <w:t>支出决算为1.18万元，完成预算100%。</w:t>
      </w:r>
    </w:p>
    <w:p>
      <w:pPr>
        <w:spacing w:line="576" w:lineRule="exact"/>
        <w:ind w:firstLine="640"/>
        <w:rPr>
          <w:rFonts w:eastAsia="仿宋_GB2312"/>
          <w:sz w:val="32"/>
          <w:szCs w:val="32"/>
        </w:rPr>
      </w:pPr>
      <w:r>
        <w:rPr>
          <w:rFonts w:eastAsia="仿宋_GB2312"/>
          <w:b/>
          <w:bCs/>
          <w:sz w:val="32"/>
          <w:szCs w:val="32"/>
        </w:rPr>
        <w:t>6.文化旅游体育与传媒（207）其他文化旅游体育与传媒支出（99）其他文化旅游体育与传媒支出（99）：</w:t>
      </w:r>
      <w:r>
        <w:rPr>
          <w:rFonts w:eastAsia="仿宋_GB2312"/>
          <w:sz w:val="32"/>
          <w:szCs w:val="32"/>
        </w:rPr>
        <w:t>支出决算为0.5万元，完成预算100%。</w:t>
      </w:r>
    </w:p>
    <w:p>
      <w:pPr>
        <w:spacing w:line="576" w:lineRule="exact"/>
        <w:ind w:firstLine="640"/>
        <w:rPr>
          <w:rFonts w:eastAsia="仿宋_GB2312"/>
          <w:sz w:val="32"/>
          <w:szCs w:val="32"/>
        </w:rPr>
      </w:pPr>
      <w:r>
        <w:rPr>
          <w:rFonts w:eastAsia="仿宋_GB2312"/>
          <w:b/>
          <w:bCs/>
          <w:sz w:val="32"/>
          <w:szCs w:val="32"/>
        </w:rPr>
        <w:t>7.社会保障和就业（208）行政事业单位养老支出（05）机关事业单位基本养老保险缴费支出（05）：</w:t>
      </w:r>
      <w:r>
        <w:rPr>
          <w:rFonts w:eastAsia="仿宋_GB2312"/>
          <w:sz w:val="32"/>
          <w:szCs w:val="32"/>
        </w:rPr>
        <w:t>支出决算为194.11万元，完成预算100%。</w:t>
      </w:r>
    </w:p>
    <w:p>
      <w:pPr>
        <w:spacing w:line="576" w:lineRule="exact"/>
        <w:ind w:firstLine="640"/>
        <w:rPr>
          <w:rFonts w:eastAsia="仿宋_GB2312"/>
          <w:sz w:val="32"/>
          <w:szCs w:val="32"/>
        </w:rPr>
      </w:pPr>
      <w:r>
        <w:rPr>
          <w:rFonts w:eastAsia="仿宋_GB2312"/>
          <w:b/>
          <w:bCs/>
          <w:sz w:val="32"/>
          <w:szCs w:val="32"/>
        </w:rPr>
        <w:t>8.社会保障和就业（208）行政事业单位养老支出（05）机关事业单位职业年金缴费支出（06）：</w:t>
      </w:r>
      <w:r>
        <w:rPr>
          <w:rFonts w:eastAsia="仿宋_GB2312"/>
          <w:sz w:val="32"/>
          <w:szCs w:val="32"/>
        </w:rPr>
        <w:t>支出决算为96.96万元，完成预算100%。</w:t>
      </w:r>
    </w:p>
    <w:p>
      <w:pPr>
        <w:spacing w:line="576" w:lineRule="exact"/>
        <w:ind w:firstLine="640"/>
        <w:rPr>
          <w:rFonts w:eastAsia="仿宋_GB2312"/>
          <w:sz w:val="32"/>
          <w:szCs w:val="32"/>
        </w:rPr>
      </w:pPr>
      <w:r>
        <w:rPr>
          <w:rFonts w:eastAsia="仿宋_GB2312"/>
          <w:b/>
          <w:bCs/>
          <w:sz w:val="32"/>
          <w:szCs w:val="32"/>
        </w:rPr>
        <w:t>9.卫生健康（210）行政事业单位医疗（11）行政单位医疗（01）：</w:t>
      </w:r>
      <w:r>
        <w:rPr>
          <w:rFonts w:eastAsia="仿宋_GB2312"/>
          <w:sz w:val="32"/>
          <w:szCs w:val="32"/>
        </w:rPr>
        <w:t>支出决算为72.28万元，完成预算100%。</w:t>
      </w:r>
    </w:p>
    <w:p>
      <w:pPr>
        <w:spacing w:line="576" w:lineRule="exact"/>
        <w:ind w:firstLine="640"/>
        <w:rPr>
          <w:rFonts w:eastAsia="仿宋_GB2312"/>
          <w:sz w:val="32"/>
          <w:szCs w:val="32"/>
        </w:rPr>
      </w:pPr>
      <w:r>
        <w:rPr>
          <w:rFonts w:eastAsia="仿宋_GB2312"/>
          <w:b/>
          <w:bCs/>
          <w:sz w:val="32"/>
          <w:szCs w:val="32"/>
        </w:rPr>
        <w:t>10.卫生健康（210）行政事业单位医疗（11）行政单位医疗（02）：</w:t>
      </w:r>
      <w:r>
        <w:rPr>
          <w:rFonts w:eastAsia="仿宋_GB2312"/>
          <w:sz w:val="32"/>
          <w:szCs w:val="32"/>
        </w:rPr>
        <w:t>支出决算为21.77万元，完成预算100%。</w:t>
      </w:r>
    </w:p>
    <w:p>
      <w:pPr>
        <w:spacing w:line="576" w:lineRule="exact"/>
        <w:ind w:firstLine="640"/>
        <w:rPr>
          <w:rFonts w:eastAsia="仿宋_GB2312"/>
          <w:sz w:val="32"/>
          <w:szCs w:val="32"/>
        </w:rPr>
      </w:pPr>
      <w:r>
        <w:rPr>
          <w:rFonts w:eastAsia="仿宋_GB2312"/>
          <w:b/>
          <w:bCs/>
          <w:sz w:val="32"/>
          <w:szCs w:val="32"/>
        </w:rPr>
        <w:t>11.卫生健康（210）行政事业单位医疗（11）行政单位医疗（03）：</w:t>
      </w:r>
      <w:r>
        <w:rPr>
          <w:rFonts w:eastAsia="仿宋_GB2312"/>
          <w:sz w:val="32"/>
          <w:szCs w:val="32"/>
        </w:rPr>
        <w:t>支出决算为19.65万元，完成预算100%。</w:t>
      </w:r>
    </w:p>
    <w:p>
      <w:pPr>
        <w:spacing w:line="576" w:lineRule="exact"/>
        <w:ind w:firstLine="640"/>
        <w:rPr>
          <w:rFonts w:eastAsia="仿宋_GB2312"/>
          <w:sz w:val="32"/>
          <w:szCs w:val="32"/>
        </w:rPr>
      </w:pPr>
      <w:r>
        <w:rPr>
          <w:rFonts w:eastAsia="仿宋_GB2312"/>
          <w:b/>
          <w:bCs/>
          <w:sz w:val="32"/>
          <w:szCs w:val="32"/>
        </w:rPr>
        <w:t>12.住房保障支出（221）住房改革支出（02）住房公积金（01）：</w:t>
      </w:r>
      <w:r>
        <w:rPr>
          <w:rFonts w:eastAsia="仿宋_GB2312"/>
          <w:sz w:val="32"/>
          <w:szCs w:val="32"/>
        </w:rPr>
        <w:t>支出决算为158.54万元，完成预算100%。</w:t>
      </w:r>
    </w:p>
    <w:p>
      <w:pPr>
        <w:spacing w:line="576" w:lineRule="exact"/>
        <w:ind w:firstLine="640"/>
        <w:rPr>
          <w:rFonts w:eastAsia="仿宋_GB2312"/>
          <w:sz w:val="32"/>
          <w:szCs w:val="32"/>
        </w:rPr>
      </w:pPr>
      <w:r>
        <w:rPr>
          <w:rFonts w:eastAsia="仿宋_GB2312"/>
          <w:b/>
          <w:bCs/>
          <w:sz w:val="32"/>
          <w:szCs w:val="32"/>
        </w:rPr>
        <w:t>13.住房保障支出（221）住房改革支出（02）住房公积金（03）：</w:t>
      </w:r>
      <w:r>
        <w:rPr>
          <w:rFonts w:eastAsia="仿宋_GB2312"/>
          <w:sz w:val="32"/>
          <w:szCs w:val="32"/>
        </w:rPr>
        <w:t>支出决算为1万元，完成预算100%。</w:t>
      </w:r>
    </w:p>
    <w:p>
      <w:pPr>
        <w:tabs>
          <w:tab w:val="right" w:pos="8306"/>
        </w:tabs>
        <w:spacing w:line="576" w:lineRule="exact"/>
        <w:ind w:firstLine="640"/>
        <w:outlineLvl w:val="1"/>
        <w:rPr>
          <w:rStyle w:val="2Char"/>
          <w:rFonts w:ascii="Times New Roman" w:hAnsi="Times New Roman"/>
        </w:rPr>
      </w:pPr>
      <w:bookmarkStart w:id="54" w:name="_Toc15396608"/>
      <w:bookmarkStart w:id="55" w:name="_Toc15377214"/>
      <w:bookmarkStart w:id="56" w:name="_Toc97135361"/>
      <w:r>
        <w:rPr>
          <w:rFonts w:eastAsia="黑体"/>
          <w:sz w:val="32"/>
          <w:szCs w:val="32"/>
        </w:rPr>
        <w:t>六</w:t>
      </w:r>
      <w:r>
        <w:rPr>
          <w:rFonts w:eastAsia="黑体"/>
          <w:b/>
          <w:sz w:val="32"/>
          <w:szCs w:val="32"/>
        </w:rPr>
        <w:t>、一</w:t>
      </w:r>
      <w:r>
        <w:rPr>
          <w:rStyle w:val="2Char"/>
          <w:rFonts w:ascii="Times New Roman" w:eastAsia="黑体" w:hAnsi="Times New Roman"/>
          <w:b w:val="0"/>
        </w:rPr>
        <w:t>般公共预算财政拨款基本支出决算情况说明</w:t>
      </w:r>
      <w:bookmarkEnd w:id="54"/>
      <w:bookmarkEnd w:id="55"/>
      <w:bookmarkEnd w:id="56"/>
    </w:p>
    <w:p>
      <w:pPr>
        <w:spacing w:line="576" w:lineRule="exact"/>
        <w:ind w:firstLine="640"/>
        <w:rPr>
          <w:rFonts w:eastAsia="仿宋_GB2312"/>
          <w:sz w:val="32"/>
          <w:szCs w:val="32"/>
        </w:rPr>
      </w:pPr>
      <w:r>
        <w:rPr>
          <w:rFonts w:eastAsia="仿宋_GB2312"/>
          <w:sz w:val="32"/>
          <w:szCs w:val="32"/>
        </w:rPr>
        <w:t>2024年度一般公共预算财政拨款基本支出3352.05万元，其中：</w:t>
      </w:r>
    </w:p>
    <w:p>
      <w:pPr>
        <w:spacing w:line="576" w:lineRule="exact"/>
        <w:ind w:firstLine="640"/>
        <w:rPr>
          <w:rFonts w:eastAsia="仿宋_GB2312"/>
          <w:sz w:val="32"/>
          <w:szCs w:val="32"/>
        </w:rPr>
      </w:pPr>
      <w:r>
        <w:rPr>
          <w:rFonts w:eastAsia="仿宋_GB2312"/>
          <w:sz w:val="32"/>
          <w:szCs w:val="32"/>
        </w:rPr>
        <w:t>人员经费2368.72万元，主要包括：基本工资396.53万元、津贴补贴464.38万元、奖金456.05万元、伙食补助费62.57万元、绩效工资116万元、机关事业单位基本养老保险缴费194.11万元、职业年金缴费96.96万元、职工基本医疗保险缴费94.04万元、公务员医疗补助缴费19.65万元、其他社会保障缴费10.81万元、住房公积金158.54万元、其他工资福利支出130.63万元、抚恤金53.05万元、生活补助115.34万元、奖励金0.05万元。</w:t>
        <w:br/>
        <w:t>　　公用经费983.33万元，主要包括：办公费103.67万元、印刷费5.63万元、水费2.81万元、电费83.13万元、邮电费47.01万元、物业管理费25.87万元、差旅费149.86万元、维修（护）费44.58万元、租赁费16.05万元、会议费22.27万元、培训费4.43万元、公务接待费0.6万元、专用燃料费0.92万元、劳务费11.46万元、委托业务费11.9万元、工会经费3万元、福利费13.72万元、公务用车运行维护费247.35万元、其他商品和服务支出16.2万元、办公设备购置53.27万元、公务用车购置119.6万元。</w:t>
      </w:r>
    </w:p>
    <w:p>
      <w:pPr>
        <w:spacing w:line="576" w:lineRule="exact"/>
        <w:ind w:firstLine="640"/>
        <w:outlineLvl w:val="1"/>
        <w:rPr>
          <w:rStyle w:val="2Char"/>
          <w:rFonts w:ascii="Times New Roman" w:eastAsia="黑体" w:hAnsi="Times New Roman"/>
          <w:b w:val="0"/>
        </w:rPr>
      </w:pPr>
      <w:bookmarkStart w:id="57" w:name="_Toc15396609"/>
      <w:bookmarkStart w:id="58" w:name="_Toc15377215"/>
      <w:bookmarkStart w:id="59" w:name="_Toc97135362"/>
      <w:r>
        <w:rPr>
          <w:rFonts w:eastAsia="黑体"/>
          <w:sz w:val="32"/>
          <w:szCs w:val="32"/>
        </w:rPr>
        <w:t>七、</w:t>
      </w:r>
      <w:r>
        <w:rPr>
          <w:rStyle w:val="2Char"/>
          <w:rFonts w:ascii="Times New Roman" w:eastAsia="黑体" w:hAnsi="Times New Roman"/>
          <w:b w:val="0"/>
        </w:rPr>
        <w:t>财政拨款</w:t>
      </w:r>
      <w:r>
        <w:rPr>
          <w:rStyle w:val="2Char"/>
          <w:rFonts w:ascii="Times New Roman" w:eastAsia="黑体" w:hAnsi="Times New Roman"/>
        </w:rPr>
        <w:t>“</w:t>
      </w:r>
      <w:r>
        <w:rPr>
          <w:rStyle w:val="2Char"/>
          <w:rFonts w:ascii="Times New Roman" w:eastAsia="黑体" w:hAnsi="Times New Roman"/>
          <w:b w:val="0"/>
        </w:rPr>
        <w:t>三公”经费支出决算情况说明</w:t>
      </w:r>
      <w:bookmarkEnd w:id="57"/>
      <w:bookmarkEnd w:id="58"/>
      <w:bookmarkEnd w:id="59"/>
    </w:p>
    <w:p>
      <w:pPr>
        <w:spacing w:line="576" w:lineRule="exact"/>
        <w:ind w:firstLineChars="200" w:firstLine="640"/>
        <w:outlineLvl w:val="2"/>
        <w:rPr>
          <w:rFonts w:eastAsia="楷体_GB2312"/>
          <w:b/>
          <w:sz w:val="32"/>
          <w:szCs w:val="32"/>
        </w:rPr>
      </w:pPr>
      <w:bookmarkStart w:id="60" w:name="_Toc15377216"/>
      <w:bookmarkStart w:id="61" w:name="_Toc97135363"/>
      <w:r>
        <w:rPr>
          <w:rFonts w:eastAsia="楷体_GB2312"/>
          <w:b/>
          <w:sz w:val="32"/>
          <w:szCs w:val="32"/>
        </w:rPr>
        <w:t>（一）“三公”经费财政拨款支出决算总体情况说明</w:t>
      </w:r>
      <w:bookmarkEnd w:id="60"/>
      <w:bookmarkEnd w:id="61"/>
    </w:p>
    <w:p>
      <w:pPr>
        <w:spacing w:line="576" w:lineRule="exact"/>
        <w:ind w:firstLine="640"/>
        <w:rPr>
          <w:rFonts w:eastAsia="仿宋_GB2312"/>
          <w:sz w:val="32"/>
          <w:szCs w:val="32"/>
        </w:rPr>
      </w:pPr>
      <w:r>
        <w:rPr>
          <w:rFonts w:eastAsia="仿宋_GB2312"/>
          <w:sz w:val="32"/>
          <w:szCs w:val="32"/>
        </w:rPr>
        <w:t>2024年度“三公”经费财政拨款支出决算为371.49万元，完成预算100%，较上年度增加89.17万元，增长31.58%。</w:t>
      </w:r>
      <w:r>
        <w:rPr>
          <w:rFonts w:eastAsia="仿宋"/>
          <w:sz w:val="32"/>
          <w:szCs w:val="32"/>
        </w:rPr>
        <w:t>决算数与预算数持平。</w:t>
      </w:r>
    </w:p>
    <w:p>
      <w:pPr>
        <w:spacing w:line="576" w:lineRule="exact"/>
        <w:ind w:firstLineChars="200" w:firstLine="640"/>
        <w:outlineLvl w:val="2"/>
        <w:rPr>
          <w:rFonts w:eastAsia="楷体_GB2312"/>
          <w:b/>
          <w:sz w:val="32"/>
          <w:szCs w:val="32"/>
        </w:rPr>
      </w:pPr>
      <w:bookmarkStart w:id="62" w:name="_Toc15377217"/>
      <w:bookmarkStart w:id="63" w:name="_Toc97135364"/>
      <w:r>
        <w:rPr>
          <w:rFonts w:eastAsia="楷体_GB2312"/>
          <w:b/>
          <w:sz w:val="32"/>
          <w:szCs w:val="32"/>
        </w:rPr>
        <w:t>（二）“三公”经费财政拨款支出决算具体情况说明</w:t>
      </w:r>
      <w:bookmarkEnd w:id="62"/>
      <w:bookmarkEnd w:id="63"/>
    </w:p>
    <w:p>
      <w:pPr>
        <w:spacing w:line="576" w:lineRule="exact"/>
        <w:ind w:firstLine="640"/>
        <w:rPr>
          <w:rFonts w:eastAsia="仿宋_GB2312"/>
          <w:sz w:val="32"/>
          <w:szCs w:val="32"/>
        </w:rPr>
      </w:pPr>
      <w:r>
        <w:rPr>
          <w:rFonts w:eastAsia="仿宋_GB2312"/>
          <w:sz w:val="32"/>
          <w:szCs w:val="32"/>
        </w:rPr>
        <w:t>2024年度“三公”经费财政拨款支出决算中，因公出国（境）费支出决算0万元；公务用车购置及运行维护费支出决算370.89万元，占99.84%；公务接待费支出决算0.6万元，占0.16%。具体情况如下：</w:t>
      </w:r>
    </w:p>
    <w:p>
      <w:pPr>
        <w:pStyle w:val="15"/>
        <w:jc w:val="center"/>
      </w:pPr>
      <w:r>
        <w:drawing>
          <wp:inline distT="0" distB="0" distL="85723" distR="85723">
            <wp:extent cx="4124261" cy="1809722"/>
            <wp:effectExtent l="0" t="0" r="0" b="0"/>
            <wp:docPr id="7" name="对象"/>
            <wp:cNvGraphicFramePr>
              <a:graphicFrameLocks noChangeAspect="1"/>
            </wp:cNvGraphicFramePr>
            <a:graphic>
              <a:graphicData uri="http://schemas.openxmlformats.org/drawingml/2006/chart">
                <c:chart xmlns:c="http://schemas.openxmlformats.org/drawingml/2006/chart" r:id="rId12"/>
              </a:graphicData>
            </a:graphic>
          </wp:inline>
        </w:drawing>
      </w:r>
    </w:p>
    <w:p>
      <w:pPr>
        <w:spacing w:line="576" w:lineRule="exact"/>
        <w:ind w:firstLine="640"/>
        <w:jc w:val="center"/>
        <w:rPr>
          <w:rFonts w:eastAsia="仿宋_GB2312"/>
          <w:sz w:val="32"/>
          <w:szCs w:val="32"/>
        </w:rPr>
      </w:pPr>
      <w:r>
        <w:rPr>
          <w:rFonts w:eastAsia="仿宋_GB2312"/>
          <w:sz w:val="32"/>
          <w:szCs w:val="32"/>
        </w:rPr>
        <w:t>（图7：“三公”经费财政拨款支出结构）</w:t>
      </w:r>
    </w:p>
    <w:p>
      <w:pPr>
        <w:spacing w:line="576" w:lineRule="exact"/>
        <w:ind w:firstLine="640"/>
        <w:rPr>
          <w:rFonts w:eastAsia="仿宋_GB2312"/>
          <w:sz w:val="32"/>
          <w:szCs w:val="32"/>
        </w:rPr>
      </w:pPr>
      <w:r>
        <w:rPr>
          <w:rFonts w:eastAsia="仿宋_GB2312"/>
          <w:b/>
          <w:bCs/>
          <w:sz w:val="32"/>
          <w:szCs w:val="32"/>
        </w:rPr>
        <w:t>1.因公出国（境）经费支出0万元。</w:t>
      </w:r>
      <w:r>
        <w:rPr>
          <w:rFonts w:eastAsia="仿宋_GB2312"/>
          <w:sz w:val="32"/>
          <w:szCs w:val="32"/>
        </w:rPr>
        <w:t>全年安排因公出国（境）团组0次，出国（境）0人。因公出国（境）支出决算比2023年减少92.96元，下降100%。主要原因是2024年无因公出国（境）事项。</w:t>
      </w:r>
    </w:p>
    <w:p>
      <w:pPr>
        <w:spacing w:line="576" w:lineRule="exact"/>
        <w:ind w:firstLine="640"/>
        <w:rPr>
          <w:rFonts w:eastAsia="仿宋_GB2312"/>
          <w:sz w:val="32"/>
          <w:szCs w:val="32"/>
        </w:rPr>
      </w:pPr>
      <w:r>
        <w:rPr>
          <w:rFonts w:eastAsia="仿宋_GB2312"/>
          <w:b/>
          <w:bCs/>
          <w:sz w:val="32"/>
          <w:szCs w:val="32"/>
        </w:rPr>
        <w:t>2.公务用车购置及运行维护费支出370.89万元，完成预算100%。</w:t>
      </w:r>
      <w:r>
        <w:rPr>
          <w:rFonts w:eastAsia="仿宋_GB2312"/>
          <w:sz w:val="32"/>
          <w:szCs w:val="32"/>
        </w:rPr>
        <w:t>公务用车购置及运行维护费支出决算比2023年度增加183.06万元，增长97.46%。主要原因是2024年报废公务用车2辆，新购置公务用车2辆；根据我州发展需要，2024年调研任务增加。</w:t>
      </w:r>
    </w:p>
    <w:p>
      <w:pPr>
        <w:spacing w:line="576" w:lineRule="exact"/>
        <w:ind w:firstLine="640"/>
        <w:rPr>
          <w:rFonts w:eastAsia="仿宋_GB2312"/>
          <w:sz w:val="32"/>
          <w:szCs w:val="32"/>
        </w:rPr>
      </w:pPr>
      <w:r>
        <w:rPr>
          <w:rFonts w:eastAsia="仿宋_GB2312"/>
          <w:sz w:val="32"/>
          <w:szCs w:val="32"/>
        </w:rPr>
        <w:t>其中：公务用车购置支出119.6万元。全年按规定更新购置公务用车2辆，其中：越野车2辆、金额119.6万元，主要用于公务出差保障。截至2024年12月31日，单位共有公务用车19辆，其中：轿车1辆、越野车17辆、皮卡车1辆。</w:t>
      </w:r>
    </w:p>
    <w:p>
      <w:pPr>
        <w:spacing w:line="576" w:lineRule="exact"/>
        <w:ind w:firstLine="640"/>
        <w:rPr>
          <w:rFonts w:eastAsia="仿宋_GB2312"/>
          <w:sz w:val="32"/>
          <w:szCs w:val="32"/>
        </w:rPr>
      </w:pPr>
      <w:r>
        <w:rPr>
          <w:rFonts w:eastAsia="仿宋_GB2312"/>
          <w:sz w:val="32"/>
          <w:szCs w:val="32"/>
        </w:rPr>
        <w:t>公务用车运行维护费支出251.29万元。主要用于公务出行及一线调研等所需的公务用车燃料费、维修费、过路过桥费、保险费等支出。</w:t>
      </w:r>
    </w:p>
    <w:p>
      <w:pPr>
        <w:spacing w:line="576" w:lineRule="exact"/>
        <w:ind w:firstLine="640"/>
        <w:rPr>
          <w:rFonts w:eastAsia="仿宋_GB2312"/>
          <w:sz w:val="32"/>
          <w:szCs w:val="32"/>
        </w:rPr>
      </w:pPr>
      <w:r>
        <w:rPr>
          <w:rFonts w:eastAsia="仿宋_GB2312"/>
          <w:b/>
          <w:bCs/>
          <w:sz w:val="32"/>
          <w:szCs w:val="32"/>
        </w:rPr>
        <w:t>3.公务接待费支出0.6万元，完成预算100%。</w:t>
      </w:r>
      <w:r>
        <w:rPr>
          <w:rFonts w:eastAsia="仿宋_GB2312"/>
          <w:sz w:val="32"/>
          <w:szCs w:val="32"/>
        </w:rPr>
        <w:t>公务接待费支出决算比2023年度减少0.93万元，下降60.78%。主要原因是厉行节约。其中：</w:t>
      </w:r>
    </w:p>
    <w:p>
      <w:pPr>
        <w:spacing w:line="576" w:lineRule="exact"/>
        <w:ind w:firstLine="640"/>
        <w:rPr>
          <w:rFonts w:eastAsia="仿宋_GB2312"/>
          <w:sz w:val="32"/>
          <w:szCs w:val="32"/>
        </w:rPr>
      </w:pPr>
      <w:r>
        <w:rPr>
          <w:rFonts w:eastAsia="仿宋_GB2312"/>
          <w:sz w:val="32"/>
          <w:szCs w:val="32"/>
        </w:rPr>
        <w:t>国内公务接待支出0.6万元，主要用于来州调研等业务活动开支的用餐费。国内公务接待9批次，49人次，共计支出0.6万元，具体内容包括：国家能源集团四川发电公司等9批次接待，人均餐标在70元/人/天至80元/人/天。。</w:t>
      </w:r>
    </w:p>
    <w:p>
      <w:pPr>
        <w:spacing w:line="576" w:lineRule="exact"/>
        <w:ind w:firstLine="640"/>
        <w:rPr>
          <w:rFonts w:eastAsia="仿宋_GB2312"/>
          <w:sz w:val="32"/>
          <w:szCs w:val="32"/>
        </w:rPr>
      </w:pPr>
      <w:r>
        <w:rPr>
          <w:rFonts w:eastAsia="仿宋_GB2312"/>
          <w:sz w:val="32"/>
          <w:szCs w:val="32"/>
        </w:rPr>
        <w:t>外事接待支出0万元。</w:t>
      </w:r>
      <w:bookmarkStart w:id="64" w:name="_Toc15396610"/>
      <w:bookmarkStart w:id="65" w:name="_Toc15377218"/>
    </w:p>
    <w:p>
      <w:pPr>
        <w:spacing w:line="576" w:lineRule="exact"/>
        <w:ind w:firstLine="640"/>
        <w:outlineLvl w:val="1"/>
        <w:rPr>
          <w:rStyle w:val="2Char"/>
          <w:rFonts w:ascii="Times New Roman" w:eastAsia="黑体" w:hAnsi="Times New Roman"/>
        </w:rPr>
      </w:pPr>
      <w:bookmarkStart w:id="66" w:name="_Toc97135365"/>
      <w:r>
        <w:rPr>
          <w:rFonts w:eastAsia="黑体"/>
          <w:sz w:val="32"/>
          <w:szCs w:val="32"/>
        </w:rPr>
        <w:t>八、</w:t>
      </w:r>
      <w:r>
        <w:rPr>
          <w:rStyle w:val="2Char"/>
          <w:rFonts w:ascii="Times New Roman" w:eastAsia="黑体" w:hAnsi="Times New Roman"/>
          <w:b w:val="0"/>
        </w:rPr>
        <w:t>政府性基金预算支出决算情况说明</w:t>
      </w:r>
      <w:bookmarkEnd w:id="64"/>
      <w:bookmarkEnd w:id="65"/>
      <w:bookmarkEnd w:id="66"/>
    </w:p>
    <w:p>
      <w:pPr>
        <w:spacing w:line="576" w:lineRule="exact"/>
        <w:ind w:firstLine="640"/>
        <w:rPr>
          <w:rFonts w:eastAsia="仿宋_GB2312"/>
          <w:sz w:val="32"/>
          <w:szCs w:val="32"/>
        </w:rPr>
      </w:pPr>
      <w:r>
        <w:rPr>
          <w:rFonts w:eastAsia="仿宋_GB2312"/>
          <w:sz w:val="32"/>
          <w:szCs w:val="32"/>
        </w:rPr>
        <w:t>2024年度政府性基金预算财政拨款支出0万元。</w:t>
      </w:r>
    </w:p>
    <w:p>
      <w:pPr>
        <w:spacing w:line="576" w:lineRule="exact"/>
        <w:ind w:left="630"/>
        <w:outlineLvl w:val="1"/>
        <w:rPr>
          <w:rStyle w:val="2Char"/>
          <w:rFonts w:ascii="Times New Roman" w:eastAsia="黑体" w:hAnsi="Times New Roman"/>
          <w:b w:val="0"/>
        </w:rPr>
      </w:pPr>
      <w:bookmarkStart w:id="67" w:name="_Toc15377219"/>
      <w:bookmarkStart w:id="68" w:name="_Toc15396611"/>
      <w:bookmarkStart w:id="69" w:name="_Toc97135366"/>
      <w:r>
        <w:rPr>
          <w:rStyle w:val="2Char"/>
          <w:rFonts w:ascii="Times New Roman" w:eastAsia="黑体" w:hAnsi="Times New Roman"/>
          <w:b w:val="0"/>
        </w:rPr>
        <w:t>九、国有资本经营预算支出决算情况说明</w:t>
      </w:r>
      <w:bookmarkEnd w:id="67"/>
      <w:bookmarkEnd w:id="68"/>
      <w:bookmarkEnd w:id="69"/>
    </w:p>
    <w:p>
      <w:pPr>
        <w:spacing w:line="576" w:lineRule="exact"/>
        <w:ind w:firstLine="640"/>
        <w:rPr>
          <w:rFonts w:eastAsia="仿宋_GB2312"/>
          <w:sz w:val="32"/>
          <w:szCs w:val="32"/>
        </w:rPr>
      </w:pPr>
      <w:r>
        <w:rPr>
          <w:rFonts w:eastAsia="仿宋_GB2312"/>
          <w:sz w:val="32"/>
          <w:szCs w:val="32"/>
        </w:rPr>
        <w:t>2024年度国有资本经营预算财政拨款支出0万元。</w:t>
      </w:r>
    </w:p>
    <w:p>
      <w:pPr>
        <w:spacing w:line="576" w:lineRule="exact"/>
        <w:ind w:left="630"/>
        <w:outlineLvl w:val="1"/>
        <w:rPr>
          <w:rStyle w:val="2Char"/>
          <w:rFonts w:ascii="Times New Roman" w:eastAsia="黑体" w:hAnsi="Times New Roman"/>
          <w:b w:val="0"/>
        </w:rPr>
      </w:pPr>
      <w:bookmarkStart w:id="70" w:name="_Toc15396612"/>
      <w:bookmarkStart w:id="71" w:name="_Toc15377221"/>
      <w:bookmarkStart w:id="72" w:name="_Toc97135367"/>
      <w:r>
        <w:rPr>
          <w:rStyle w:val="2Char"/>
          <w:rFonts w:ascii="Times New Roman" w:eastAsia="黑体" w:hAnsi="Times New Roman"/>
          <w:b w:val="0"/>
        </w:rPr>
        <w:t>十、其他重要事项的情况说明</w:t>
      </w:r>
      <w:bookmarkEnd w:id="70"/>
      <w:bookmarkEnd w:id="71"/>
      <w:bookmarkEnd w:id="72"/>
    </w:p>
    <w:p>
      <w:pPr>
        <w:spacing w:line="576" w:lineRule="exact"/>
        <w:ind w:firstLineChars="200" w:firstLine="640"/>
        <w:outlineLvl w:val="2"/>
        <w:rPr>
          <w:rFonts w:eastAsia="楷体_GB2312"/>
          <w:b/>
          <w:sz w:val="32"/>
          <w:szCs w:val="32"/>
        </w:rPr>
      </w:pPr>
      <w:bookmarkStart w:id="73" w:name="_Toc15377222"/>
      <w:bookmarkStart w:id="74" w:name="_Toc97135368"/>
      <w:r>
        <w:rPr>
          <w:rFonts w:eastAsia="楷体_GB2312"/>
          <w:b/>
          <w:sz w:val="32"/>
          <w:szCs w:val="32"/>
        </w:rPr>
        <w:t>（一）机关运行经费支出情况</w:t>
      </w:r>
      <w:bookmarkEnd w:id="73"/>
      <w:bookmarkEnd w:id="74"/>
    </w:p>
    <w:p>
      <w:pPr>
        <w:spacing w:line="576" w:lineRule="exact"/>
        <w:ind w:firstLine="640"/>
        <w:rPr>
          <w:rFonts w:eastAsia="仿宋_GB2312"/>
          <w:sz w:val="32"/>
          <w:szCs w:val="32"/>
        </w:rPr>
      </w:pPr>
      <w:r>
        <w:rPr>
          <w:rFonts w:eastAsia="仿宋_GB2312"/>
          <w:sz w:val="32"/>
          <w:szCs w:val="32"/>
        </w:rPr>
        <w:t>2024年度，中共阿坝州委办公室机关运行经费支出983.33万元，比2023年度增加267.16万元，增长37.3%。主要原因为一是2024年按程序报废公务用车2辆，新购置公务用车2辆；二是2024年一线调研任务增加，导致公务用车运行维护费增加；三是州委大楼中央空调运行维护费从项目调整为机关运行经费支出。</w:t>
      </w:r>
    </w:p>
    <w:p>
      <w:pPr>
        <w:spacing w:line="576" w:lineRule="exact"/>
        <w:ind w:firstLineChars="200" w:firstLine="640"/>
        <w:outlineLvl w:val="2"/>
        <w:rPr>
          <w:rFonts w:eastAsia="楷体_GB2312"/>
          <w:b/>
          <w:sz w:val="32"/>
          <w:szCs w:val="32"/>
        </w:rPr>
      </w:pPr>
      <w:bookmarkStart w:id="75" w:name="_Toc15377223"/>
      <w:bookmarkStart w:id="76" w:name="_Toc97135369"/>
      <w:r>
        <w:rPr>
          <w:rFonts w:eastAsia="楷体_GB2312"/>
          <w:b/>
          <w:sz w:val="32"/>
          <w:szCs w:val="32"/>
        </w:rPr>
        <w:t>（二）政府采购支出情况</w:t>
      </w:r>
      <w:bookmarkEnd w:id="75"/>
      <w:bookmarkEnd w:id="76"/>
    </w:p>
    <w:p>
      <w:pPr>
        <w:spacing w:line="576" w:lineRule="exact"/>
        <w:ind w:firstLine="640"/>
        <w:rPr>
          <w:rFonts w:eastAsia="仿宋_GB2312"/>
          <w:sz w:val="32"/>
          <w:szCs w:val="32"/>
        </w:rPr>
      </w:pPr>
      <w:r>
        <w:rPr>
          <w:rFonts w:eastAsia="仿宋_GB2312"/>
          <w:sz w:val="32"/>
          <w:szCs w:val="32"/>
        </w:rPr>
        <w:t>2024年度，中共阿坝州委办公室政府采购支出总额83.66万元，其中：政府采购货物支出83.66万元。主要用于视频会商建设采购项目、办公设备购置、办公家具购置。授予中小企业合同金额31.56万元，占政府采购支出总额的37.72%。</w:t>
      </w:r>
    </w:p>
    <w:p>
      <w:pPr>
        <w:spacing w:line="576" w:lineRule="exact"/>
        <w:ind w:firstLineChars="200" w:firstLine="640"/>
        <w:outlineLvl w:val="2"/>
        <w:rPr>
          <w:rFonts w:eastAsia="楷体_GB2312"/>
          <w:b/>
          <w:sz w:val="32"/>
          <w:szCs w:val="32"/>
        </w:rPr>
      </w:pPr>
      <w:bookmarkStart w:id="77" w:name="_Toc15377224"/>
      <w:bookmarkStart w:id="78" w:name="_Toc97135370"/>
      <w:r>
        <w:rPr>
          <w:rFonts w:eastAsia="楷体_GB2312"/>
          <w:b/>
          <w:sz w:val="32"/>
          <w:szCs w:val="32"/>
        </w:rPr>
        <w:t>（三）国有资产占有使用情况</w:t>
      </w:r>
      <w:bookmarkEnd w:id="77"/>
      <w:bookmarkEnd w:id="78"/>
    </w:p>
    <w:p>
      <w:pPr>
        <w:spacing w:line="576" w:lineRule="exact"/>
        <w:ind w:firstLine="640"/>
        <w:rPr>
          <w:rFonts w:eastAsia="仿宋_GB2312"/>
          <w:sz w:val="32"/>
          <w:szCs w:val="32"/>
        </w:rPr>
      </w:pPr>
      <w:r>
        <w:rPr>
          <w:rFonts w:eastAsia="仿宋_GB2312"/>
          <w:sz w:val="32"/>
          <w:szCs w:val="32"/>
        </w:rPr>
        <w:t>截至2024年12月31日，中共阿坝州委办公室共有车辆19辆，其中：应急保障用车18辆、特种专业技术用车1辆。单价50万元以上通用设备0台（套），单价100万元以上专用设备（不含车辆）0台（套）。</w:t>
      </w:r>
    </w:p>
    <w:p>
      <w:pPr>
        <w:spacing w:line="576" w:lineRule="exact"/>
        <w:ind w:firstLine="640"/>
        <w:rPr>
          <w:rFonts w:eastAsia="楷体_GB2312"/>
          <w:b/>
          <w:sz w:val="32"/>
          <w:szCs w:val="32"/>
        </w:rPr>
      </w:pPr>
      <w:r>
        <w:rPr>
          <w:rFonts w:eastAsia="楷体_GB2312"/>
          <w:b/>
          <w:sz w:val="32"/>
          <w:szCs w:val="32"/>
        </w:rPr>
        <w:t>（四）预算绩效管理情况</w:t>
      </w:r>
    </w:p>
    <w:p>
      <w:pPr>
        <w:spacing w:line="576" w:lineRule="exact"/>
        <w:ind w:firstLine="640"/>
        <w:rPr>
          <w:rFonts w:eastAsia="仿宋_GB2312"/>
          <w:sz w:val="32"/>
          <w:szCs w:val="32"/>
        </w:rPr>
      </w:pPr>
      <w:r>
        <w:rPr>
          <w:rFonts w:eastAsia="仿宋_GB2312"/>
          <w:sz w:val="32"/>
          <w:szCs w:val="32"/>
        </w:rPr>
        <w:t>根据预算绩效管理要求，中共阿坝州委办公室在2024年度预算编制阶段，组织对车辆大修、办公设备购置等6个项目开展了预算事前绩效评估，对6个项目编制了绩效目标，预算执行过程中，选取6个项目开展绩效监控。</w:t>
      </w:r>
    </w:p>
    <w:p>
      <w:pPr>
        <w:spacing w:line="576" w:lineRule="exact"/>
        <w:ind w:firstLine="640"/>
        <w:rPr>
          <w:rFonts w:eastAsia="仿宋_GB2312"/>
          <w:sz w:val="32"/>
          <w:szCs w:val="32"/>
        </w:rPr>
      </w:pPr>
      <w:r>
        <w:rPr>
          <w:rFonts w:eastAsia="仿宋_GB2312"/>
          <w:sz w:val="32"/>
          <w:szCs w:val="32"/>
        </w:rPr>
        <w:t>组织对2024年度一般公共预算、社会保险基金预算以及资本资产等全面开展绩效自评，形成中共阿坝州委办公室部门整体绩效自评报告、车辆大修等专项预算项目绩效自评报告，其中，中共阿坝州委办公室部门整体绩效自评得分为98分，主要从财政拨款预算偏离度、单位收入统筹度、预算年终结余率、一般性支出、财务管理规范、资产配置预算偏离度、采购执行率等方面进行评价。车辆大修专项预算项目绩效自评得分为99分，绩效自评主要从预算精准度、大修质量等方面进行评价。绩效自评报告详见附件。</w:t>
      </w:r>
    </w:p>
    <w:p>
      <w:pPr>
        <w:rPr>
          <w:rFonts w:eastAsia="仿宋_GB2312"/>
          <w:sz w:val="32"/>
          <w:szCs w:val="32"/>
        </w:rPr>
      </w:pPr>
      <w:r>
        <w:rPr>
          <w:rFonts w:eastAsia="仿宋_GB2312"/>
          <w:sz w:val="32"/>
          <w:szCs w:val="32"/>
        </w:rPr>
        <w:br w:type="page"/>
      </w:r>
    </w:p>
    <w:p>
      <w:pPr>
        <w:spacing w:line="576" w:lineRule="exact"/>
        <w:jc w:val="center"/>
        <w:outlineLvl w:val="0"/>
        <w:rPr>
          <w:rFonts w:eastAsia="黑体"/>
          <w:sz w:val="44"/>
          <w:szCs w:val="44"/>
        </w:rPr>
      </w:pPr>
      <w:bookmarkStart w:id="79" w:name="_Toc15396613"/>
      <w:bookmarkStart w:id="80" w:name="_Toc15377225"/>
      <w:bookmarkStart w:id="81" w:name="_Toc97135371"/>
      <w:r>
        <w:rPr>
          <w:rFonts w:eastAsia="黑体"/>
          <w:sz w:val="44"/>
          <w:szCs w:val="44"/>
        </w:rPr>
        <w:t>第三部分  名词解释</w:t>
      </w:r>
      <w:bookmarkEnd w:id="79"/>
      <w:bookmarkEnd w:id="80"/>
      <w:bookmarkEnd w:id="81"/>
    </w:p>
    <w:p>
      <w:pPr>
        <w:spacing w:line="576" w:lineRule="exact"/>
        <w:jc w:val="left"/>
        <w:rPr>
          <w:b/>
          <w:sz w:val="44"/>
          <w:szCs w:val="44"/>
        </w:rPr>
      </w:pP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1.财政拨款收入：指单位从同级财政部门取得的财政预算资金。</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2.一般公共服务支出（201）党委办公厅（室）及相关机构事务（31）行政运行（01）：指行政单位的基本支出。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3.一般公共服务支出（201）党委办公厅（室）及相关机构事务（31）一般行政管理事务（02）：指行政单位未单独设置项级科目的其他项目支出。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4.教育支出（205）其他教育支出（99）其他教育支出（99）：指其他用于教育方面的支出。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5.社会保障和就业支出（208）行政事业单位养老支出（05）机关事业单位基本养老保险缴费支出（05）：指机关事业单位实施养老保险制度由单位缴纳的基本养老保险费支出。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6.社会保障和就业支出（208）行政事业单位养老支出（05）机关事业单位职业年金缴费支出（06）：指机关事业单位实施养老保险制度由单位实际缴纳的职业年金支出。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7.卫生健康支出（210）行政事业单位医疗（11）行政单位医疗（01）：指财政部门安排的行政单位基本医疗保险缴费经费。</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8.卫生健康支出（210）行政事业单位医疗（11）公务员医疗补助（03）：指财政部门安排的公务员医疗补助经费。</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9.住房保障支出（221）住房改革支出（02）住房公积金（01）：指行政事业单位按人力资源和社会保障部、财政部规定的基本工资和津贴补贴以及规定比例为职工缴纳的住房公积金。</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10.住房保障支出（221）住房改革支出（02）购房补贴（03）：指按房改政策规定，行政事业单位向符合条件职工（含离退休人员）发放的用于购买住房的补贴。</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11.基本支出：指为保障机构正常运转、完成日常工作任务而发生的人员支出和公用支出。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12.项目支出：指在基本支出之外为完成特定行政任务和事业发展目标所发生的支出。</w:t>
      </w:r>
    </w:p>
    <w:p>
      <w:pPr>
        <w:pStyle w:val="18"/>
        <w:spacing w:line="576" w:lineRule="exact"/>
        <w:ind w:firstLineChars="200" w:firstLine="640"/>
        <w:rPr>
          <w:rStyle w:val="25"/>
          <w:rFonts w:eastAsia="方正仿宋_GBK"/>
          <w:b w:val="0"/>
          <w:bCs/>
          <w:sz w:val="32"/>
          <w:szCs w:val="32"/>
        </w:rPr>
      </w:pPr>
      <w:r>
        <w:rPr>
          <w:rStyle w:val="25"/>
          <w:rFonts w:eastAsia="方正仿宋_GBK"/>
          <w:b w:val="0"/>
          <w:bCs/>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eastAsia="仿宋_GB2312"/>
          <w:b/>
          <w:bCs/>
          <w:sz w:val="32"/>
          <w:szCs w:val="32"/>
        </w:rPr>
      </w:pPr>
      <w:r>
        <w:rPr>
          <w:rStyle w:val="25"/>
          <w:rFonts w:eastAsia="方正仿宋_GBK"/>
          <w:b w:val="0"/>
          <w:bCs/>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p>
    <w:p>
      <w:pPr>
        <w:spacing w:line="576" w:lineRule="exact"/>
        <w:jc w:val="center"/>
        <w:rPr>
          <w:rStyle w:val="1Char"/>
          <w:rFonts w:eastAsia="黑体"/>
          <w:b w:val="0"/>
        </w:rPr>
      </w:pPr>
      <w:bookmarkStart w:id="82" w:name="_Toc15377226"/>
      <w:r>
        <w:rPr>
          <w:rFonts w:eastAsia="仿宋_GB2312"/>
          <w:sz w:val="32"/>
          <w:szCs w:val="32"/>
        </w:rPr>
        <w:br w:type="page"/>
      </w:r>
      <w:bookmarkStart w:id="83" w:name="_Toc15396614"/>
      <w:r>
        <w:rPr>
          <w:rFonts w:eastAsia="黑体"/>
          <w:sz w:val="44"/>
          <w:szCs w:val="44"/>
        </w:rPr>
        <w:t>第四部分  附件</w:t>
      </w:r>
      <w:bookmarkEnd w:id="83"/>
    </w:p>
    <w:p>
      <w:pPr>
        <w:spacing w:line="576" w:lineRule="exact"/>
        <w:jc w:val="left"/>
        <w:outlineLvl w:val="0"/>
        <w:rPr>
          <w:rFonts w:eastAsia="黑体"/>
          <w:color w:val="FF0000"/>
          <w:sz w:val="32"/>
          <w:szCs w:val="32"/>
        </w:rPr>
      </w:pPr>
    </w:p>
    <w:p>
      <w:pPr>
        <w:spacing w:line="576" w:lineRule="exact"/>
        <w:jc w:val="left"/>
        <w:outlineLvl w:val="0"/>
        <w:rPr>
          <w:rFonts w:eastAsia="黑体"/>
          <w:sz w:val="44"/>
          <w:szCs w:val="44"/>
        </w:rPr>
      </w:pPr>
      <w:bookmarkStart w:id="84" w:name="_Toc97135372"/>
      <w:r>
        <w:rPr>
          <w:rFonts w:eastAsia="黑体"/>
          <w:sz w:val="32"/>
          <w:szCs w:val="32"/>
        </w:rPr>
        <w:t>附件1</w:t>
      </w:r>
      <w:bookmarkEnd w:id="84"/>
    </w:p>
    <w:p>
      <w:pPr>
        <w:widowControl/>
        <w:spacing w:line="576" w:lineRule="exact"/>
        <w:contextualSpacing/>
        <w:jc w:val="center"/>
        <w:rPr>
          <w:rFonts w:eastAsia="方正小标宋简体"/>
          <w:bCs/>
          <w:sz w:val="44"/>
          <w:szCs w:val="44"/>
          <w:shd w:val="clear" w:color="auto" w:fill="FFFFFF"/>
        </w:rPr>
      </w:pPr>
    </w:p>
    <w:p>
      <w:pPr>
        <w:widowControl/>
        <w:spacing w:line="576"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部门预算绩效评价报告</w:t>
      </w:r>
    </w:p>
    <w:p>
      <w:pPr>
        <w:widowControl/>
        <w:spacing w:line="576" w:lineRule="exact"/>
        <w:contextualSpacing/>
        <w:jc w:val="center"/>
        <w:rPr>
          <w:rFonts w:eastAsia="仿宋_GB2312"/>
          <w:sz w:val="32"/>
          <w:szCs w:val="32"/>
          <w:shd w:val="clear" w:color="auto" w:fill="FFFFFF"/>
        </w:rPr>
      </w:pPr>
      <w:r>
        <w:rPr>
          <w:rFonts w:eastAsia="仿宋_GB2312"/>
          <w:sz w:val="32"/>
          <w:szCs w:val="32"/>
          <w:shd w:val="clear" w:color="auto" w:fill="FFFFFF"/>
        </w:rPr>
        <w:t>（中共阿坝州委办公室）</w:t>
      </w:r>
    </w:p>
    <w:p>
      <w:pPr>
        <w:widowControl/>
        <w:adjustRightInd w:val="0"/>
        <w:snapToGrid w:val="0"/>
        <w:spacing w:line="576" w:lineRule="exact"/>
        <w:ind w:firstLineChars="200" w:firstLine="480"/>
        <w:contextualSpacing/>
        <w:jc w:val="left"/>
        <w:rPr>
          <w:rFonts w:eastAsia="黑体"/>
          <w:color w:val="000000"/>
          <w:kern w:val="0"/>
          <w:sz w:val="24"/>
          <w:szCs w:val="32"/>
          <w:shd w:val="clear" w:color="auto" w:fill="FFFFFF"/>
        </w:rPr>
      </w:pP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一、部门（单位）基本情况</w:t>
      </w:r>
    </w:p>
    <w:p>
      <w:pPr>
        <w:widowControl/>
        <w:spacing w:line="576" w:lineRule="exact"/>
        <w:ind w:firstLineChars="200" w:firstLine="640"/>
        <w:jc w:val="left"/>
        <w:rPr>
          <w:rFonts w:eastAsia="楷体_GB2312"/>
          <w:b/>
          <w:sz w:val="32"/>
          <w:szCs w:val="32"/>
          <w:lang w:val="zh-CN"/>
        </w:rPr>
      </w:pPr>
      <w:r>
        <w:rPr>
          <w:rFonts w:eastAsia="楷体_GB2312"/>
          <w:b/>
          <w:sz w:val="32"/>
          <w:szCs w:val="32"/>
          <w:lang w:val="zh-CN"/>
        </w:rPr>
        <w:t>（一）机构组成。</w:t>
      </w:r>
    </w:p>
    <w:p>
      <w:pPr>
        <w:spacing w:line="576" w:lineRule="exact"/>
        <w:ind w:firstLineChars="200" w:firstLine="640"/>
        <w:rPr>
          <w:rFonts w:eastAsia="方正仿宋_GBK"/>
          <w:sz w:val="32"/>
          <w:szCs w:val="32"/>
          <w:highlight w:val="auto"/>
        </w:rPr>
      </w:pPr>
      <w:r>
        <w:rPr>
          <w:rFonts w:eastAsia="方正仿宋_GBK"/>
          <w:sz w:val="32"/>
          <w:szCs w:val="32"/>
          <w:highlight w:val="auto"/>
        </w:rPr>
        <w:t>纳入</w:t>
      </w:r>
      <w:r>
        <w:rPr>
          <w:rFonts w:eastAsia="方正仿宋_GBK"/>
          <w:sz w:val="32"/>
          <w:szCs w:val="32"/>
        </w:rPr>
        <w:t>中共阿坝州委办公室（部门）</w:t>
      </w:r>
      <w:r>
        <w:rPr>
          <w:rFonts w:eastAsia="方正仿宋_GBK"/>
          <w:sz w:val="32"/>
          <w:szCs w:val="32"/>
          <w:lang w:eastAsia="zh-CN"/>
          <w:highlight w:val="auto"/>
        </w:rPr>
        <w:t>2024年度</w:t>
      </w:r>
      <w:r>
        <w:rPr>
          <w:rFonts w:eastAsia="方正仿宋_GBK"/>
          <w:sz w:val="32"/>
          <w:szCs w:val="32"/>
          <w:highlight w:val="auto"/>
        </w:rPr>
        <w:t>部门决算编制范围的二级预算单位包括：</w:t>
      </w:r>
    </w:p>
    <w:p>
      <w:pPr>
        <w:spacing w:line="576" w:lineRule="exact"/>
        <w:ind w:firstLineChars="200" w:firstLine="640"/>
        <w:rPr>
          <w:rFonts w:eastAsia="方正仿宋_GBK"/>
          <w:sz w:val="32"/>
          <w:szCs w:val="32"/>
          <w:highlight w:val="auto"/>
        </w:rPr>
      </w:pPr>
      <w:r>
        <w:rPr>
          <w:rFonts w:eastAsia="方正仿宋_GBK"/>
          <w:sz w:val="32"/>
          <w:szCs w:val="32"/>
          <w:highlight w:val="auto"/>
        </w:rPr>
        <w:t>1.中共阿坝州委办公室（本级）</w:t>
      </w:r>
    </w:p>
    <w:p>
      <w:pPr>
        <w:spacing w:line="576" w:lineRule="exact"/>
        <w:ind w:firstLineChars="200" w:firstLine="640"/>
        <w:rPr>
          <w:rFonts w:eastAsia="方正仿宋_GBK"/>
          <w:sz w:val="32"/>
          <w:szCs w:val="32"/>
          <w:highlight w:val="auto"/>
        </w:rPr>
      </w:pPr>
      <w:r>
        <w:rPr>
          <w:rFonts w:eastAsia="方正仿宋_GBK"/>
          <w:sz w:val="32"/>
          <w:szCs w:val="32"/>
          <w:highlight w:val="auto"/>
        </w:rPr>
        <w:t>2.州涉藏事务研究中心</w:t>
      </w:r>
    </w:p>
    <w:p>
      <w:pPr>
        <w:spacing w:line="576" w:lineRule="exact"/>
        <w:ind w:firstLineChars="200" w:firstLine="640"/>
        <w:rPr>
          <w:rFonts w:eastAsia="方正仿宋_GBK"/>
          <w:sz w:val="32"/>
          <w:szCs w:val="32"/>
        </w:rPr>
      </w:pPr>
      <w:r>
        <w:rPr>
          <w:rFonts w:eastAsia="方正仿宋_GBK"/>
          <w:sz w:val="32"/>
          <w:szCs w:val="32"/>
        </w:rPr>
        <w:t>3.州专用通信中心</w:t>
      </w:r>
    </w:p>
    <w:p>
      <w:pPr>
        <w:widowControl/>
        <w:adjustRightInd w:val="0"/>
        <w:snapToGrid w:val="0"/>
        <w:spacing w:line="576" w:lineRule="exact"/>
        <w:ind w:firstLineChars="200" w:firstLine="640"/>
        <w:contextualSpacing/>
        <w:jc w:val="left"/>
        <w:rPr>
          <w:rFonts w:eastAsia="方正仿宋_GBK"/>
          <w:sz w:val="32"/>
          <w:szCs w:val="32"/>
          <w:highlight w:val="auto"/>
        </w:rPr>
      </w:pPr>
      <w:r>
        <w:rPr>
          <w:rFonts w:eastAsia="方正仿宋_GBK"/>
          <w:sz w:val="32"/>
          <w:szCs w:val="32"/>
          <w:highlight w:val="auto"/>
        </w:rPr>
        <w:t>4.州涉密文档专管中心</w:t>
      </w:r>
    </w:p>
    <w:p>
      <w:pPr>
        <w:widowControl/>
        <w:adjustRightInd w:val="0"/>
        <w:snapToGrid w:val="0"/>
        <w:spacing w:line="576" w:lineRule="exact"/>
        <w:ind w:firstLineChars="200" w:firstLine="640"/>
        <w:contextualSpacing/>
        <w:jc w:val="left"/>
        <w:rPr>
          <w:rFonts w:eastAsia="楷体_GB2312"/>
          <w:b/>
          <w:sz w:val="32"/>
          <w:szCs w:val="32"/>
          <w:lang w:val="zh-CN"/>
        </w:rPr>
      </w:pPr>
      <w:r>
        <w:rPr>
          <w:rFonts w:eastAsia="楷体_GB2312"/>
          <w:b/>
          <w:sz w:val="32"/>
          <w:szCs w:val="32"/>
          <w:lang w:val="zh-CN"/>
        </w:rPr>
        <w:t>（二）机构职能。</w:t>
      </w:r>
    </w:p>
    <w:p>
      <w:pPr>
        <w:widowControl/>
        <w:adjustRightInd w:val="0"/>
        <w:snapToGrid w:val="0"/>
        <w:spacing w:line="576" w:lineRule="exact"/>
        <w:ind w:firstLineChars="200" w:firstLine="640"/>
        <w:contextualSpacing/>
        <w:jc w:val="left"/>
        <w:rPr>
          <w:rFonts w:eastAsia="仿宋_GB2312"/>
          <w:bCs/>
          <w:sz w:val="32"/>
          <w:szCs w:val="32"/>
          <w:lang w:val="zh-CN"/>
        </w:rPr>
      </w:pPr>
      <w:r>
        <w:rPr>
          <w:rFonts w:eastAsia="仿宋_GB2312"/>
          <w:sz w:val="32"/>
          <w:szCs w:val="32"/>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报备等工作。六是承担州委值班工作，负责全州党委办公室系统值班指导，对突出事件紧急情况跟踪了解、协调处理。七是负责州委与民主党派中央、民主党派四川省委之间战略合作事项的协调、落实。八是负责省委涉藏办工作的对接和办理。九是负责并协调州委办公室办公区、生活区的社会治安综合治理和安全防范。十是负责党中央路线方针政策和省委重大决策部署及重要工作安排落实情况的督促检查。十一是负责贯彻执行《中华人民共和国档案法》等相关法律法规。十二是承办州委交办的其他任务。</w:t>
      </w:r>
    </w:p>
    <w:p>
      <w:pPr>
        <w:spacing w:line="576" w:lineRule="exact"/>
        <w:ind w:firstLineChars="200" w:firstLine="640"/>
        <w:rPr>
          <w:szCs w:val="32"/>
        </w:rPr>
      </w:pPr>
      <w:r>
        <w:rPr>
          <w:rFonts w:eastAsia="楷体_GB2312"/>
          <w:b/>
          <w:bCs/>
          <w:color w:val="000000"/>
          <w:kern w:val="0"/>
          <w:sz w:val="32"/>
          <w:szCs w:val="32"/>
          <w:shd w:val="clear" w:color="auto" w:fill="FFFFFF"/>
          <w:lang w:val="zh-CN"/>
        </w:rPr>
        <w:t>（三）人员概况。</w:t>
      </w:r>
      <w:r>
        <w:rPr>
          <w:rFonts w:eastAsia="仿宋_GB2312"/>
          <w:sz w:val="32"/>
          <w:szCs w:val="32"/>
        </w:rPr>
        <w:t>截至2024年末，中共阿坝州委办公室年末实有人数81人。</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6" w:lineRule="exact"/>
        <w:ind w:firstLineChars="200" w:firstLine="64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（一）收入情况。</w:t>
      </w:r>
      <w:r>
        <w:rPr>
          <w:rFonts w:eastAsia="仿宋_GB2312"/>
          <w:sz w:val="32"/>
          <w:szCs w:val="32"/>
        </w:rPr>
        <w:t>中共阿坝州委办公室2024年年初预算收入3451.66万元，决算报表收入3451.66万元。</w:t>
      </w:r>
    </w:p>
    <w:p>
      <w:pPr>
        <w:widowControl/>
        <w:adjustRightInd w:val="0"/>
        <w:snapToGrid w:val="0"/>
        <w:spacing w:line="576" w:lineRule="exact"/>
        <w:ind w:firstLineChars="200" w:firstLine="640"/>
        <w:contextualSpacing/>
        <w:jc w:val="left"/>
        <w:rPr>
          <w:szCs w:val="32"/>
          <w:lang w:val="zh-CN"/>
        </w:rPr>
      </w:pPr>
      <w:r>
        <w:rPr>
          <w:rFonts w:eastAsia="楷体_GB2312"/>
          <w:b/>
          <w:bCs/>
          <w:color w:val="000000"/>
          <w:kern w:val="0"/>
          <w:sz w:val="32"/>
          <w:szCs w:val="32"/>
          <w:shd w:val="clear" w:color="auto" w:fill="FFFFFF"/>
          <w:lang w:val="zh-CN"/>
        </w:rPr>
        <w:t>（二）支出情况。</w:t>
      </w:r>
      <w:r>
        <w:rPr>
          <w:rFonts w:eastAsia="仿宋_GB2312"/>
          <w:sz w:val="32"/>
          <w:szCs w:val="32"/>
        </w:rPr>
        <w:t>中共阿坝州委办公室2024年年初预算支出3451.66万元、决算报表支出3451.66万元。</w:t>
      </w:r>
    </w:p>
    <w:p>
      <w:pPr>
        <w:widowControl/>
        <w:adjustRightInd w:val="0"/>
        <w:snapToGrid w:val="0"/>
        <w:spacing w:line="576" w:lineRule="exact"/>
        <w:ind w:firstLineChars="200" w:firstLine="64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（三）结余分配和结转结余情况。</w:t>
      </w:r>
      <w:r>
        <w:rPr>
          <w:rFonts w:eastAsia="仿宋_GB2312"/>
          <w:sz w:val="32"/>
          <w:szCs w:val="32"/>
        </w:rPr>
        <w:t>中共阿坝州委办公室2024年决算报表无结转结余资金。</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76" w:lineRule="exact"/>
        <w:ind w:firstLineChars="200" w:firstLine="640"/>
        <w:contextualSpacing/>
        <w:jc w:val="left"/>
        <w:rPr>
          <w:rFonts w:eastAsia="仿宋_GB2312"/>
          <w:sz w:val="32"/>
          <w:szCs w:val="32"/>
          <w:lang w:val="zh-CN"/>
        </w:rPr>
      </w:pPr>
      <w:r>
        <w:rPr>
          <w:rFonts w:eastAsia="楷体_GB2312"/>
          <w:b/>
          <w:bCs/>
          <w:color w:val="000000"/>
          <w:kern w:val="0"/>
          <w:sz w:val="32"/>
          <w:szCs w:val="32"/>
          <w:shd w:val="clear" w:color="auto" w:fill="FFFFFF"/>
          <w:lang w:val="zh-CN"/>
        </w:rPr>
        <w:t>（一）部门预算总体绩效分析。</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lang w:val="zh-CN"/>
          <w:highlight w:val="auto"/>
        </w:rPr>
      </w:pPr>
      <w:r>
        <w:rPr>
          <w:rFonts w:eastAsia="仿宋_GB2312"/>
          <w:b/>
          <w:bCs/>
          <w:sz w:val="32"/>
          <w:szCs w:val="32"/>
          <w:lang w:val="zh-CN" w:eastAsia="zh-CN"/>
          <w:highlight w:val="auto"/>
        </w:rPr>
        <w:t>1.</w:t>
      </w:r>
      <w:r>
        <w:rPr>
          <w:rFonts w:eastAsia="仿宋_GB2312"/>
          <w:b/>
          <w:bCs/>
          <w:sz w:val="32"/>
          <w:szCs w:val="32"/>
          <w:lang w:val="zh-CN"/>
          <w:highlight w:val="auto"/>
        </w:rPr>
        <w:t>履职效能。</w:t>
      </w:r>
      <w:r>
        <w:rPr>
          <w:rFonts w:eastAsia="仿宋_GB2312"/>
          <w:bCs/>
          <w:sz w:val="32"/>
          <w:szCs w:val="32"/>
          <w:lang w:val="zh-CN"/>
          <w:highlight w:val="auto"/>
        </w:rPr>
        <w:t>一是完成</w:t>
      </w:r>
      <w:r>
        <w:rPr>
          <w:rFonts w:eastAsia="仿宋_GB2312"/>
          <w:sz w:val="32"/>
          <w:szCs w:val="32"/>
          <w:u w:val="none"/>
          <w:lang w:bidi="ar-SA"/>
        </w:rPr>
        <w:t>筹办各类州委会议、重大活动的准备和实施，州委领导活动的协调安排，州委各类文稿的撰写、修改和印制；二是完成上级公文的承办和州委文件的草拟、印制、分发、管理等工作；三是完成州委值班工作，负责全州党委办公室系统值班指导，对突出事件紧急情况跟踪了解、协调处理。</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sz w:val="32"/>
          <w:szCs w:val="32"/>
        </w:rPr>
      </w:pPr>
      <w:r>
        <w:rPr>
          <w:rFonts w:eastAsia="仿宋_GB2312"/>
          <w:b/>
          <w:bCs/>
          <w:sz w:val="32"/>
          <w:szCs w:val="32"/>
          <w:lang w:val="zh-CN" w:eastAsia="zh-CN"/>
          <w:highlight w:val="auto"/>
        </w:rPr>
        <w:t>2.</w:t>
      </w:r>
      <w:r>
        <w:rPr>
          <w:rFonts w:eastAsia="仿宋_GB2312"/>
          <w:b/>
          <w:bCs/>
          <w:sz w:val="32"/>
          <w:szCs w:val="32"/>
          <w:lang w:val="zh-CN"/>
          <w:highlight w:val="auto"/>
        </w:rPr>
        <w:t>预算管理。</w:t>
      </w:r>
      <w:r>
        <w:rPr>
          <w:rFonts w:eastAsia="仿宋_GB2312"/>
          <w:sz w:val="32"/>
          <w:szCs w:val="32"/>
          <w:lang w:val="en-US" w:eastAsia="zh-CN"/>
        </w:rPr>
        <w:t>单位不断强化预算意识，实行部门综合预算管理，形成以单位领导支持、财务部门牵头、其他部门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以采取措施纠正执行偏差，促进预算目标的全面完成。</w:t>
      </w:r>
      <w:r>
        <w:rPr>
          <w:rFonts w:eastAsia="仿宋_GB2312"/>
          <w:bCs/>
          <w:sz w:val="32"/>
          <w:szCs w:val="32"/>
          <w:lang w:val="zh-CN"/>
          <w:highlight w:val="auto"/>
        </w:rPr>
        <w:t>按照年初预算管理要求，做到应编尽编的原则，将全年支出纳入预算管理。2024年州委办（部门）一般公共预算财政拨款收入调整预算数</w:t>
      </w:r>
      <w:r>
        <w:rPr>
          <w:rFonts w:eastAsia="仿宋_GB2312"/>
          <w:sz w:val="32"/>
          <w:szCs w:val="32"/>
        </w:rPr>
        <w:t>3451.66</w:t>
      </w:r>
      <w:r>
        <w:rPr>
          <w:rFonts w:eastAsia="仿宋_GB2312"/>
          <w:bCs/>
          <w:sz w:val="32"/>
          <w:szCs w:val="32"/>
          <w:lang w:val="zh-CN"/>
          <w:highlight w:val="auto"/>
        </w:rPr>
        <w:t>万元，支出数</w:t>
      </w:r>
      <w:r>
        <w:rPr>
          <w:rFonts w:eastAsia="仿宋_GB2312"/>
          <w:sz w:val="32"/>
          <w:szCs w:val="32"/>
        </w:rPr>
        <w:t>3451.66</w:t>
      </w:r>
      <w:r>
        <w:rPr>
          <w:rFonts w:eastAsia="仿宋_GB2312"/>
          <w:bCs/>
          <w:sz w:val="32"/>
          <w:szCs w:val="32"/>
          <w:lang w:val="zh-CN"/>
          <w:highlight w:val="auto"/>
        </w:rPr>
        <w:t>万元，支出进度达100%，年末无结转结余资金。</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rPr>
      </w:pPr>
      <w:r>
        <w:rPr>
          <w:rFonts w:eastAsia="仿宋_GB2312"/>
          <w:b/>
          <w:bCs/>
          <w:sz w:val="32"/>
          <w:szCs w:val="32"/>
          <w:lang w:val="zh-CN" w:eastAsia="zh-CN"/>
          <w:highlight w:val="auto"/>
        </w:rPr>
        <w:t>3.</w:t>
      </w:r>
      <w:r>
        <w:rPr>
          <w:rFonts w:eastAsia="仿宋_GB2312"/>
          <w:b/>
          <w:bCs/>
          <w:sz w:val="32"/>
          <w:szCs w:val="32"/>
          <w:lang w:val="zh-CN"/>
          <w:highlight w:val="auto"/>
        </w:rPr>
        <w:t>财务管理。</w:t>
      </w:r>
      <w:r>
        <w:rPr>
          <w:rFonts w:eastAsia="仿宋_GB2312"/>
          <w:b/>
          <w:bCs/>
          <w:sz w:val="32"/>
          <w:szCs w:val="32"/>
          <w:lang w:val="zh-CN"/>
        </w:rPr>
        <w:t> </w:t>
      </w:r>
      <w:r>
        <w:rPr>
          <w:rFonts w:eastAsia="仿宋_GB2312"/>
          <w:bCs/>
          <w:sz w:val="32"/>
          <w:szCs w:val="32"/>
          <w:lang w:val="zh-CN"/>
        </w:rPr>
        <w:t>我办建立了完善的财务审核机制，对每一笔经济业务都进行严格的审核，包括原始凭证的真实性、合法性、准确性以及审批手续的完整性。记账凭证的编制依据充分、内容准确，如实反映了经济业务的实质，不存在虚假记载、误导性陈述或重大遗漏。定期进行财务对账工作，包括账账核对、账证核对、账实核对等，确保会计数据的一致性和准确性，未发现重大差异和不符之处</w:t>
      </w:r>
      <w:r>
        <w:rPr>
          <w:rFonts w:eastAsia="仿宋_GB2312"/>
          <w:bCs/>
          <w:sz w:val="32"/>
          <w:szCs w:val="32"/>
        </w:rPr>
        <w:t>。</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lang w:val="zh-CN"/>
          <w:highlight w:val="auto"/>
        </w:rPr>
      </w:pPr>
      <w:r>
        <w:rPr>
          <w:rFonts w:eastAsia="仿宋_GB2312"/>
          <w:b/>
          <w:bCs/>
          <w:sz w:val="32"/>
          <w:szCs w:val="32"/>
          <w:lang w:val="zh-CN" w:eastAsia="zh-CN"/>
          <w:highlight w:val="auto"/>
        </w:rPr>
        <w:t>4.</w:t>
      </w:r>
      <w:r>
        <w:rPr>
          <w:rFonts w:eastAsia="仿宋_GB2312"/>
          <w:b/>
          <w:bCs/>
          <w:sz w:val="32"/>
          <w:szCs w:val="32"/>
          <w:lang w:val="zh-CN"/>
          <w:highlight w:val="auto"/>
        </w:rPr>
        <w:t>资产管理。</w:t>
      </w:r>
      <w:r>
        <w:rPr>
          <w:rFonts w:eastAsia="仿宋_GB2312"/>
          <w:bCs/>
          <w:sz w:val="32"/>
          <w:szCs w:val="32"/>
          <w:lang w:val="zh-CN"/>
        </w:rPr>
        <w:t>一是加强会计核算工作。严格执行现行固定资产管理制度，对已完工的基建工程、购入的固定资产、收到的捐赠资产等及时入账，并按照数量、金额登记明细账，编制固定资产卡片，确保账面上能真实、完整的反映单位的固定资产情况，并结合本单位的实际情况，完善固定资产管理制度。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三是加强内部监督。定期或不定期的对固定资产进行抽查。检查固定资产的购置、领用、处置等程序是否合规，账实是否相符等，防止国有资产的流失。</w:t>
      </w:r>
    </w:p>
    <w:p>
      <w:pPr>
        <w:keepNext w:val="0"/>
        <w:keepLines w:val="0"/>
        <w:pageBreakBefore w:val="0"/>
        <w:widowControl w:val="0"/>
        <w:kinsoku/>
        <w:wordWrap/>
        <w:overflowPunct/>
        <w:topLinePunct w:val="0"/>
        <w:autoSpaceDE/>
        <w:autoSpaceDN/>
        <w:adjustRightInd w:val="0"/>
        <w:snapToGrid w:val="0"/>
        <w:spacing w:line="578" w:lineRule="exact"/>
        <w:ind w:left="0" w:firstLineChars="200" w:firstLine="640"/>
        <w:contextualSpacing/>
        <w:jc w:val="left"/>
        <w:rPr>
          <w:rFonts w:eastAsia="仿宋_GB2312"/>
          <w:sz w:val="32"/>
          <w:szCs w:val="32"/>
          <w:lang w:val="zh-CN"/>
        </w:rPr>
      </w:pPr>
      <w:r>
        <w:rPr>
          <w:rFonts w:eastAsia="仿宋_GB2312"/>
          <w:b/>
          <w:bCs/>
          <w:sz w:val="32"/>
          <w:szCs w:val="32"/>
          <w:lang w:val="zh-CN" w:eastAsia="zh-CN"/>
          <w:highlight w:val="auto"/>
        </w:rPr>
        <w:t>5.</w:t>
      </w:r>
      <w:r>
        <w:rPr>
          <w:rFonts w:eastAsia="仿宋_GB2312"/>
          <w:b/>
          <w:bCs/>
          <w:sz w:val="32"/>
          <w:szCs w:val="32"/>
          <w:lang w:val="zh-CN"/>
          <w:highlight w:val="auto"/>
        </w:rPr>
        <w:t>采购管理。</w:t>
      </w:r>
      <w:r>
        <w:rPr>
          <w:rFonts w:eastAsia="仿宋_GB2312"/>
          <w:bCs/>
          <w:sz w:val="32"/>
          <w:szCs w:val="32"/>
          <w:lang w:val="zh-CN"/>
          <w:highlight w:val="auto"/>
        </w:rPr>
        <w:t>按照政府采购相关要求，</w:t>
      </w:r>
      <w:r>
        <w:rPr>
          <w:rFonts w:eastAsia="仿宋_GB2312"/>
          <w:bCs/>
          <w:sz w:val="32"/>
          <w:szCs w:val="32"/>
          <w:lang w:val="zh-CN"/>
        </w:rPr>
        <w:t>健全完善部门内控制度，全面梳理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确保采购资金安全、合理、有效使用，最大限度发挥财政资金使用效益。</w:t>
      </w:r>
    </w:p>
    <w:p>
      <w:pPr>
        <w:adjustRightInd w:val="0"/>
        <w:snapToGrid w:val="0"/>
        <w:spacing w:line="576" w:lineRule="exact"/>
        <w:ind w:firstLineChars="200" w:firstLine="64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rPr>
        <w:t>常年项目绩效分析。</w:t>
      </w:r>
      <w:r>
        <w:rPr>
          <w:rFonts w:eastAsia="仿宋_GB2312"/>
          <w:sz w:val="32"/>
          <w:szCs w:val="32"/>
          <w:lang w:val="zh-CN"/>
        </w:rPr>
        <w:t>该类项目总数</w:t>
      </w:r>
      <w:r>
        <w:rPr>
          <w:rFonts w:eastAsia="仿宋_GB2312"/>
          <w:sz w:val="32"/>
          <w:szCs w:val="32"/>
        </w:rPr>
        <w:t>5</w:t>
      </w:r>
      <w:r>
        <w:rPr>
          <w:rFonts w:eastAsia="仿宋_GB2312"/>
          <w:sz w:val="32"/>
          <w:szCs w:val="32"/>
          <w:lang w:val="zh-CN"/>
        </w:rPr>
        <w:t>个，涉及预算总金额</w:t>
      </w:r>
      <w:r>
        <w:rPr>
          <w:rFonts w:eastAsia="仿宋_GB2312"/>
          <w:sz w:val="32"/>
          <w:szCs w:val="32"/>
        </w:rPr>
        <w:t>85.02</w:t>
      </w:r>
      <w:r>
        <w:rPr>
          <w:rFonts w:eastAsia="仿宋_GB2312"/>
          <w:sz w:val="32"/>
          <w:szCs w:val="32"/>
          <w:lang w:val="zh-CN"/>
        </w:rPr>
        <w:t>万元，1—1</w:t>
      </w:r>
      <w:r>
        <w:rPr>
          <w:rFonts w:eastAsia="仿宋_GB2312"/>
          <w:sz w:val="32"/>
          <w:szCs w:val="32"/>
        </w:rPr>
        <w:t>2</w:t>
      </w:r>
      <w:r>
        <w:rPr>
          <w:rFonts w:eastAsia="仿宋_GB2312"/>
          <w:sz w:val="32"/>
          <w:szCs w:val="32"/>
          <w:lang w:val="zh-CN"/>
        </w:rPr>
        <w:t>月预算执行总体进度为</w:t>
      </w:r>
      <w:r>
        <w:rPr>
          <w:rFonts w:eastAsia="仿宋_GB2312"/>
          <w:sz w:val="32"/>
          <w:szCs w:val="32"/>
        </w:rPr>
        <w:t>100</w:t>
      </w:r>
      <w:r>
        <w:rPr>
          <w:rFonts w:eastAsia="仿宋_GB2312"/>
          <w:sz w:val="32"/>
          <w:szCs w:val="32"/>
          <w:lang w:val="zh-CN"/>
        </w:rPr>
        <w:t>%。</w:t>
      </w:r>
    </w:p>
    <w:p>
      <w:pPr>
        <w:adjustRightInd w:val="0"/>
        <w:snapToGrid w:val="0"/>
        <w:spacing w:line="576" w:lineRule="exact"/>
        <w:ind w:firstLineChars="200" w:firstLine="640"/>
        <w:contextualSpacing/>
        <w:rPr>
          <w:rFonts w:eastAsia="仿宋_GB2312"/>
          <w:sz w:val="32"/>
          <w:szCs w:val="32"/>
          <w:lang w:val="zh-CN"/>
        </w:rPr>
      </w:pPr>
      <w:r>
        <w:rPr>
          <w:rFonts w:eastAsia="仿宋_GB2312"/>
          <w:b/>
          <w:bCs/>
          <w:sz w:val="32"/>
          <w:szCs w:val="32"/>
        </w:rPr>
        <w:t>1.</w:t>
      </w:r>
      <w:r>
        <w:rPr>
          <w:rFonts w:eastAsia="仿宋_GB2312"/>
          <w:b/>
          <w:bCs/>
          <w:sz w:val="32"/>
          <w:szCs w:val="32"/>
          <w:lang w:val="zh-CN"/>
        </w:rPr>
        <w:t>项目决策。</w:t>
      </w:r>
      <w:r>
        <w:rPr>
          <w:rFonts w:eastAsia="仿宋_GB2312"/>
          <w:bCs/>
          <w:sz w:val="32"/>
          <w:szCs w:val="32"/>
          <w:lang w:val="zh-CN"/>
          <w:highlight w:val="auto"/>
        </w:rPr>
        <w:t>围绕部门中心工作，按照时间节点要求，设置各类项目目标绩效目标，在单位完成“三重一大”集体讨论程序后，按要求在预算管理一体化中进行申报，根据相关科室（中心项目推进要求，及时将项目入库，并编制绩效目标。</w:t>
      </w:r>
    </w:p>
    <w:p>
      <w:pPr>
        <w:adjustRightInd w:val="0"/>
        <w:snapToGrid w:val="0"/>
        <w:spacing w:line="576" w:lineRule="exact"/>
        <w:ind w:firstLineChars="200" w:firstLine="640"/>
        <w:contextualSpacing/>
        <w:rPr>
          <w:rFonts w:eastAsia="仿宋_GB2312"/>
          <w:sz w:val="32"/>
          <w:szCs w:val="32"/>
          <w:lang w:val="zh-CN"/>
        </w:rPr>
      </w:pPr>
      <w:r>
        <w:rPr>
          <w:rFonts w:eastAsia="仿宋_GB2312"/>
          <w:b/>
          <w:bCs/>
          <w:sz w:val="32"/>
          <w:szCs w:val="32"/>
        </w:rPr>
        <w:t>2.项目执</w:t>
      </w:r>
      <w:r>
        <w:rPr>
          <w:rFonts w:eastAsia="仿宋_GB2312"/>
          <w:b/>
          <w:bCs/>
          <w:sz w:val="32"/>
          <w:szCs w:val="32"/>
          <w:lang w:val="zh-CN"/>
        </w:rPr>
        <w:t>行。</w:t>
      </w:r>
      <w:r>
        <w:rPr>
          <w:rFonts w:eastAsia="仿宋_GB2312"/>
          <w:bCs/>
          <w:sz w:val="32"/>
          <w:szCs w:val="32"/>
          <w:lang w:val="zh-CN"/>
          <w:highlight w:val="auto"/>
        </w:rPr>
        <w:t>根据项目绩效目标，及时推进项目执行，在年初预定的间节点完成相应工作，如未及时完成，需及时调整项目绩效目标，保证资金执行的同时，达到预计继续熬目标。</w:t>
      </w:r>
    </w:p>
    <w:p>
      <w:pPr>
        <w:adjustRightInd w:val="0"/>
        <w:snapToGrid w:val="0"/>
        <w:spacing w:line="576" w:lineRule="exact"/>
        <w:ind w:firstLineChars="200" w:firstLine="640"/>
        <w:contextualSpacing/>
        <w:rPr>
          <w:rFonts w:eastAsia="仿宋_GB2312"/>
          <w:sz w:val="32"/>
          <w:szCs w:val="32"/>
          <w:lang w:val="zh-CN"/>
        </w:rPr>
      </w:pPr>
      <w:r>
        <w:rPr>
          <w:rFonts w:eastAsia="仿宋_GB2312"/>
          <w:b/>
          <w:bCs/>
          <w:sz w:val="32"/>
          <w:szCs w:val="32"/>
        </w:rPr>
        <w:t>3.</w:t>
      </w:r>
      <w:r>
        <w:rPr>
          <w:rFonts w:eastAsia="仿宋_GB2312"/>
          <w:b/>
          <w:bCs/>
          <w:sz w:val="32"/>
          <w:szCs w:val="32"/>
          <w:lang w:val="zh-CN"/>
        </w:rPr>
        <w:t>目标实现。</w:t>
      </w:r>
      <w:r>
        <w:rPr>
          <w:rFonts w:eastAsia="仿宋_GB2312"/>
          <w:bCs/>
          <w:sz w:val="32"/>
          <w:szCs w:val="32"/>
          <w:lang w:val="zh-CN"/>
          <w:highlight w:val="auto"/>
        </w:rPr>
        <w:t>综合考虑绩效目标完成情况、目标偏离原因和实现效果，本年度绩效评价表现较好，虽然在文稿编制、会务保障、后勤管理等方面取得一定的成绩，但仍需对目标偏离的问题采取有效的改进措施，以提高单位的整体绩效水平。</w:t>
      </w:r>
    </w:p>
    <w:p>
      <w:pPr>
        <w:snapToGrid w:val="0"/>
        <w:spacing w:line="576" w:lineRule="exact"/>
        <w:ind w:firstLineChars="200" w:firstLine="640"/>
        <w:rPr>
          <w:rFonts w:eastAsia="仿宋_GB2312"/>
          <w:bCs/>
          <w:sz w:val="32"/>
          <w:szCs w:val="32"/>
          <w:lang w:val="zh-CN"/>
        </w:rPr>
      </w:pPr>
      <w:r>
        <w:rPr>
          <w:rFonts w:eastAsia="楷体_GB2312"/>
          <w:b/>
          <w:bCs/>
          <w:color w:val="000000"/>
          <w:kern w:val="0"/>
          <w:sz w:val="32"/>
          <w:szCs w:val="32"/>
          <w:shd w:val="clear" w:color="auto" w:fill="FFFFFF"/>
          <w:lang w:val="zh-CN"/>
        </w:rPr>
        <w:t>（</w:t>
      </w:r>
      <w:r>
        <w:rPr>
          <w:rFonts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仿宋_GB2312"/>
          <w:bCs/>
          <w:sz w:val="32"/>
          <w:szCs w:val="32"/>
          <w:lang w:val="zh-CN"/>
        </w:rPr>
        <w:t>。根据室务会的决定，人事行财科应当根据国家有关法律法规和监管规则的要求，结合实际情况，围绕对合理保证单位经济活动合法合规、资产安全和使用有效、财务信息真实完整，有效防范舞弊和预防腐败，提高公共服务的效率和效果等单个或整体控制目标的实现程度，组织实施对单位内部控制系统设计和执行的有效性进行定期或不定期（每年至少一次）的调查、测试、分析、评估及改进，以合理保证单位目标的实现。</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widowControl/>
        <w:adjustRightInd w:val="0"/>
        <w:snapToGrid w:val="0"/>
        <w:spacing w:line="576" w:lineRule="exact"/>
        <w:ind w:firstLineChars="200" w:firstLine="640"/>
        <w:contextualSpacing/>
        <w:jc w:val="left"/>
        <w:rPr>
          <w:rFonts w:eastAsia="仿宋_GB2312"/>
          <w:bCs/>
          <w:sz w:val="32"/>
          <w:szCs w:val="32"/>
          <w:lang w:val="zh-CN"/>
        </w:rPr>
      </w:pPr>
      <w:r>
        <w:rPr>
          <w:rFonts w:eastAsia="楷体_GB2312"/>
          <w:b/>
          <w:bCs/>
          <w:color w:val="000000"/>
          <w:kern w:val="0"/>
          <w:sz w:val="32"/>
          <w:szCs w:val="32"/>
          <w:shd w:val="clear" w:color="auto" w:fill="FFFFFF"/>
          <w:lang w:val="zh-CN"/>
        </w:rPr>
        <w:t>（一）评价结论</w:t>
      </w:r>
      <w:r>
        <w:rPr>
          <w:rFonts w:eastAsia="仿宋_GB2312"/>
          <w:bCs/>
          <w:sz w:val="32"/>
          <w:szCs w:val="32"/>
          <w:lang w:val="zh-CN"/>
        </w:rPr>
        <w:t>。</w:t>
      </w:r>
      <w:r>
        <w:rPr>
          <w:rFonts w:eastAsia="仿宋_GB2312"/>
          <w:bCs/>
          <w:sz w:val="32"/>
          <w:szCs w:val="32"/>
          <w:lang w:val="zh-CN" w:eastAsia="zh-CN" w:bidi="ar-SA"/>
        </w:rPr>
        <w:t>2024年我办严格遵守财经纪律，严格执行“八项规定”，严格按照预算法及州财政相关要求进行收支管理，准确编制预决算，严格支出标准，按时对预决算信息在政府部门网站公开，严格执行内控制度，整体评价结果总体较好。</w:t>
      </w:r>
    </w:p>
    <w:p>
      <w:pPr>
        <w:wordWrap/>
        <w:adjustRightInd/>
        <w:snapToGrid/>
        <w:spacing w:line="576" w:lineRule="exact"/>
        <w:ind w:left="0" w:firstLine="640"/>
        <w:rPr>
          <w:rFonts w:eastAsia="仿宋_GB2312"/>
          <w:sz w:val="32"/>
          <w:szCs w:val="32"/>
        </w:rPr>
      </w:pPr>
      <w:r>
        <w:rPr>
          <w:rFonts w:eastAsia="楷体_GB2312"/>
          <w:b/>
          <w:bCs/>
          <w:color w:val="000000"/>
          <w:kern w:val="0"/>
          <w:sz w:val="32"/>
          <w:szCs w:val="32"/>
          <w:shd w:val="clear" w:color="auto" w:fill="FFFFFF"/>
          <w:lang w:val="zh-CN"/>
        </w:rPr>
        <w:t>（二）存在问题。</w:t>
      </w:r>
      <w:r>
        <w:rPr>
          <w:rFonts w:eastAsia="仿宋_GB2312"/>
          <w:bCs/>
          <w:sz w:val="32"/>
          <w:szCs w:val="32"/>
          <w:lang w:val="zh-CN"/>
        </w:rPr>
        <w:t>2024，我办整体收支管理情况较好，但依然存在部分业务理论知识欠缺，导致部分预算编制欠缺。</w:t>
      </w:r>
    </w:p>
    <w:p>
      <w:pPr>
        <w:widowControl/>
        <w:adjustRightInd w:val="0"/>
        <w:snapToGrid w:val="0"/>
        <w:spacing w:line="576" w:lineRule="exact"/>
        <w:ind w:firstLineChars="200" w:firstLine="640"/>
        <w:contextualSpacing/>
        <w:jc w:val="left"/>
        <w:rPr>
          <w:rFonts w:eastAsia="仿宋_GB2312"/>
          <w:sz w:val="32"/>
          <w:szCs w:val="32"/>
        </w:rPr>
      </w:pPr>
      <w:r>
        <w:rPr>
          <w:rFonts w:eastAsia="楷体_GB2312"/>
          <w:b/>
          <w:bCs/>
          <w:color w:val="000000"/>
          <w:kern w:val="0"/>
          <w:sz w:val="32"/>
          <w:szCs w:val="32"/>
          <w:shd w:val="clear" w:color="auto" w:fill="FFFFFF"/>
          <w:lang w:val="zh-CN"/>
        </w:rPr>
        <w:t>（三）改进建议。</w:t>
      </w:r>
      <w:bookmarkStart w:id="85" w:name="_Hlk110546638"/>
      <w:r>
        <w:rPr>
          <w:rFonts w:eastAsia="仿宋_GB2312"/>
          <w:bCs/>
          <w:sz w:val="32"/>
          <w:szCs w:val="32"/>
          <w:lang w:val="zh-CN" w:eastAsia="zh-CN" w:bidi="ar-SA"/>
        </w:rPr>
        <w:t>一是进一步严格财务审核，提高精细化管理自我要求。二是建议财政部门加大对支出评价业务的培训和指导，以全面提高部门整体支出绩效。</w:t>
      </w:r>
    </w:p>
    <w:p>
      <w:pPr>
        <w:pStyle w:val="17"/>
        <w:spacing w:line="576" w:lineRule="exact"/>
        <w:ind w:leftChars="0" w:left="0"/>
        <w:rPr>
          <w:rFonts w:ascii="Times New Roman" w:eastAsia="仿宋_GB2312" w:hAnsi="Times New Roman"/>
          <w:sz w:val="32"/>
          <w:lang w:val="zh-CN"/>
        </w:rPr>
      </w:pPr>
      <w:bookmarkEnd w:id="85"/>
    </w:p>
    <w:p>
      <w:pPr>
        <w:pStyle w:val="17"/>
        <w:spacing w:line="576" w:lineRule="exact"/>
        <w:ind w:leftChars="0" w:left="0"/>
        <w:rPr>
          <w:rFonts w:ascii="Times New Roman" w:eastAsia="仿宋_GB2312" w:hAnsi="Times New Roman"/>
          <w:sz w:val="32"/>
          <w:lang w:val="zh-CN"/>
        </w:rPr>
      </w:pPr>
      <w:r>
        <w:rPr>
          <w:rFonts w:ascii="Times New Roman" w:eastAsia="仿宋_GB2312" w:hAnsi="Times New Roman"/>
          <w:sz w:val="32"/>
          <w:lang w:val="zh-CN"/>
        </w:rPr>
        <w:t>附表：</w:t>
      </w:r>
      <w:r>
        <w:rPr>
          <w:rFonts w:ascii="Times New Roman" w:eastAsia="仿宋_GB2312" w:hAnsi="Times New Roman"/>
          <w:sz w:val="32"/>
        </w:rPr>
        <w:t>部门预算项目支出绩效自评表（2024年度）</w:t>
      </w:r>
    </w:p>
    <w:p>
      <w:pPr>
        <w:pStyle w:val="17"/>
        <w:spacing w:line="576" w:lineRule="exact"/>
        <w:ind w:leftChars="0" w:left="0" w:firstLineChars="0" w:firstLine="0"/>
        <w:rPr>
          <w:rFonts w:ascii="Times New Roman" w:hAnsi="Times New Roman"/>
          <w:sz w:val="32"/>
          <w:lang w:val="zh-CN"/>
          <w:highlight w:val="yellow"/>
        </w:rPr>
      </w:pPr>
    </w:p>
    <w:p>
      <w:pPr>
        <w:pStyle w:val="18"/>
        <w:spacing w:beforeLines="0" w:before="93" w:line="576" w:lineRule="exact"/>
        <w:rPr>
          <w:rFonts w:ascii="Times New Roman" w:hAnsi="Times New Roman"/>
          <w:color w:val="FF0000"/>
          <w:sz w:val="32"/>
          <w:szCs w:val="32"/>
          <w:shd w:val="clear" w:color="auto" w:fill="FFFFFF"/>
          <w:lang w:val="zh-CN"/>
          <w:highlight w:val="yellow"/>
        </w:rPr>
      </w:pPr>
    </w:p>
    <w:p>
      <w:pPr>
        <w:spacing w:line="576" w:lineRule="exact"/>
        <w:rPr>
          <w:rFonts w:eastAsia="黑体"/>
          <w:kern w:val="0"/>
          <w:sz w:val="32"/>
          <w:szCs w:val="32"/>
          <w:shd w:val="clear" w:color="auto" w:fill="FFFFFF"/>
          <w:lang w:val="zh-CN"/>
        </w:rPr>
      </w:pPr>
      <w:r>
        <w:rPr>
          <w:rFonts w:eastAsia="黑体"/>
          <w:kern w:val="0"/>
          <w:sz w:val="32"/>
          <w:szCs w:val="32"/>
          <w:shd w:val="clear" w:color="auto" w:fill="FFFFFF"/>
          <w:lang w:val="zh-CN"/>
        </w:rPr>
        <w:br w:type="page"/>
      </w:r>
    </w:p>
    <w:p>
      <w:pPr>
        <w:pStyle w:val="18"/>
        <w:spacing w:beforeLines="0" w:before="93" w:line="576" w:lineRule="exact"/>
        <w:rPr>
          <w:rFonts w:ascii="Times New Roman" w:eastAsia="黑体" w:hAnsi="Times New Roman"/>
          <w:sz w:val="32"/>
          <w:szCs w:val="32"/>
        </w:rPr>
      </w:pPr>
      <w:r>
        <w:rPr>
          <w:rFonts w:ascii="Times New Roman" w:eastAsia="黑体" w:hAnsi="Times New Roman"/>
          <w:sz w:val="32"/>
          <w:szCs w:val="32"/>
          <w:shd w:val="clear" w:color="auto" w:fill="FFFFFF"/>
          <w:lang w:val="zh-CN"/>
        </w:rPr>
        <w:t>附件</w:t>
      </w:r>
      <w:r>
        <w:rPr>
          <w:rFonts w:ascii="Times New Roman" w:eastAsia="黑体" w:hAnsi="Times New Roman"/>
          <w:sz w:val="32"/>
          <w:szCs w:val="32"/>
          <w:shd w:val="clear" w:color="auto" w:fill="FFFFFF"/>
        </w:rPr>
        <w:t>2</w:t>
      </w:r>
    </w:p>
    <w:p>
      <w:pPr>
        <w:pStyle w:val="35"/>
        <w:spacing w:line="576" w:lineRule="exact"/>
        <w:jc w:val="center"/>
        <w:rPr>
          <w:rFonts w:ascii="Times New Roman" w:eastAsia="方正小标宋简体" w:hAnsi="Times New Roman"/>
          <w:color w:val="auto"/>
          <w:kern w:val="2"/>
          <w:sz w:val="44"/>
          <w:szCs w:val="44"/>
          <w:lang w:val="en-US"/>
        </w:rPr>
      </w:pPr>
    </w:p>
    <w:p>
      <w:pPr>
        <w:pStyle w:val="35"/>
        <w:spacing w:line="576"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pPr>
        <w:pStyle w:val="35"/>
        <w:spacing w:line="576" w:lineRule="exact"/>
        <w:ind w:firstLine="640"/>
        <w:jc w:val="center"/>
        <w:rPr>
          <w:rFonts w:ascii="Times New Roman" w:hAnsi="Times New Roman"/>
          <w:color w:val="auto"/>
          <w:kern w:val="2"/>
          <w:sz w:val="32"/>
          <w:szCs w:val="32"/>
        </w:rPr>
      </w:pPr>
    </w:p>
    <w:p>
      <w:pPr>
        <w:widowControl/>
        <w:adjustRightInd w:val="0"/>
        <w:snapToGrid w:val="0"/>
        <w:spacing w:line="576" w:lineRule="exact"/>
        <w:ind w:firstLineChars="200" w:firstLine="64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中共阿坝州委办公室2024年无专项资金预算项目</w:t>
      </w:r>
    </w:p>
    <w:p>
      <w:pPr>
        <w:rPr>
          <w:rFonts w:eastAsia="仿宋_GB2312"/>
          <w:kern w:val="0"/>
          <w:sz w:val="32"/>
          <w:szCs w:val="32"/>
          <w:shd w:val="clear" w:color="auto" w:fill="FFFFFF"/>
          <w:lang w:val="zh-CN"/>
        </w:rPr>
      </w:pPr>
      <w:r>
        <w:rPr>
          <w:rFonts w:eastAsia="仿宋_GB2312"/>
          <w:kern w:val="0"/>
          <w:sz w:val="32"/>
          <w:szCs w:val="32"/>
          <w:shd w:val="clear" w:color="auto" w:fill="FFFFFF"/>
          <w:lang w:val="zh-CN"/>
        </w:rPr>
        <w:br w:type="page"/>
      </w:r>
    </w:p>
    <w:p>
      <w:pPr>
        <w:widowControl/>
        <w:spacing w:line="576" w:lineRule="exact"/>
        <w:jc w:val="center"/>
        <w:rPr>
          <w:rFonts w:eastAsia="仿宋"/>
        </w:rPr>
      </w:pPr>
      <w:bookmarkStart w:id="86" w:name="_Toc15396618"/>
      <w:r>
        <w:rPr>
          <w:rFonts w:eastAsia="黑体"/>
          <w:sz w:val="44"/>
          <w:szCs w:val="44"/>
        </w:rPr>
        <w:t>第</w:t>
      </w:r>
      <w:r>
        <w:rPr>
          <w:rStyle w:val="1Char"/>
          <w:rFonts w:eastAsia="黑体"/>
          <w:b w:val="0"/>
        </w:rPr>
        <w:t>五部分 附表</w:t>
      </w:r>
      <w:bookmarkStart w:id="87" w:name="_Toc15396619"/>
      <w:bookmarkEnd w:id="82"/>
      <w:bookmarkEnd w:id="86"/>
    </w:p>
    <w:p>
      <w:pPr>
        <w:pStyle w:val="24"/>
        <w:tabs>
          <w:tab w:val="right" w:leader="dot" w:pos="8296"/>
        </w:tabs>
        <w:adjustRightInd w:val="0"/>
        <w:snapToGrid w:val="0"/>
        <w:spacing w:line="576" w:lineRule="exact"/>
        <w:jc w:val="left"/>
        <w:rPr>
          <w:rFonts w:eastAsia="仿宋_GB2312"/>
          <w:sz w:val="32"/>
          <w:szCs w:val="32"/>
        </w:rPr>
      </w:pPr>
    </w:p>
    <w:p>
      <w:pPr>
        <w:pStyle w:val="24"/>
        <w:tabs>
          <w:tab w:val="right" w:leader="dot" w:pos="8296"/>
        </w:tabs>
        <w:adjustRightInd w:val="0"/>
        <w:snapToGrid w:val="0"/>
        <w:spacing w:line="576" w:lineRule="exact"/>
        <w:jc w:val="left"/>
        <w:rPr>
          <w:rFonts w:eastAsia="仿宋_GB2312"/>
          <w:sz w:val="32"/>
          <w:szCs w:val="32"/>
        </w:rPr>
      </w:pPr>
      <w:r>
        <w:rPr>
          <w:rFonts w:eastAsia="仿宋_GB2312"/>
          <w:sz w:val="32"/>
          <w:szCs w:val="32"/>
        </w:rPr>
        <w:t>一、收入支出决算总表</w:t>
      </w:r>
      <w:bookmarkEnd w:id="87"/>
    </w:p>
    <w:p>
      <w:pPr>
        <w:pStyle w:val="24"/>
        <w:tabs>
          <w:tab w:val="right" w:leader="dot" w:pos="8296"/>
        </w:tabs>
        <w:adjustRightInd w:val="0"/>
        <w:snapToGrid w:val="0"/>
        <w:spacing w:line="576" w:lineRule="exact"/>
        <w:jc w:val="left"/>
        <w:rPr>
          <w:rFonts w:eastAsia="仿宋_GB2312"/>
          <w:sz w:val="32"/>
          <w:szCs w:val="32"/>
        </w:rPr>
      </w:pPr>
      <w:bookmarkStart w:id="88" w:name="_Toc15396620"/>
      <w:r>
        <w:rPr>
          <w:rFonts w:eastAsia="仿宋_GB2312"/>
          <w:sz w:val="32"/>
          <w:szCs w:val="32"/>
        </w:rPr>
        <w:t>二、收入决算表</w:t>
      </w:r>
      <w:bookmarkEnd w:id="88"/>
    </w:p>
    <w:p>
      <w:pPr>
        <w:pStyle w:val="24"/>
        <w:tabs>
          <w:tab w:val="right" w:leader="dot" w:pos="8296"/>
        </w:tabs>
        <w:adjustRightInd w:val="0"/>
        <w:snapToGrid w:val="0"/>
        <w:spacing w:line="576" w:lineRule="exact"/>
        <w:jc w:val="left"/>
        <w:rPr>
          <w:rFonts w:eastAsia="仿宋_GB2312"/>
          <w:sz w:val="32"/>
          <w:szCs w:val="32"/>
        </w:rPr>
      </w:pPr>
      <w:bookmarkStart w:id="89" w:name="_Toc15396621"/>
      <w:r>
        <w:rPr>
          <w:rFonts w:eastAsia="仿宋_GB2312"/>
          <w:sz w:val="32"/>
          <w:szCs w:val="32"/>
        </w:rPr>
        <w:t>三、支出决算表</w:t>
      </w:r>
      <w:bookmarkEnd w:id="89"/>
    </w:p>
    <w:p>
      <w:pPr>
        <w:pStyle w:val="24"/>
        <w:tabs>
          <w:tab w:val="right" w:leader="dot" w:pos="8296"/>
        </w:tabs>
        <w:adjustRightInd w:val="0"/>
        <w:snapToGrid w:val="0"/>
        <w:spacing w:line="576" w:lineRule="exact"/>
        <w:jc w:val="left"/>
        <w:rPr>
          <w:rFonts w:eastAsia="仿宋_GB2312"/>
          <w:sz w:val="32"/>
          <w:szCs w:val="32"/>
        </w:rPr>
      </w:pPr>
      <w:bookmarkStart w:id="90" w:name="_Toc15396622"/>
      <w:r>
        <w:rPr>
          <w:rFonts w:eastAsia="仿宋_GB2312"/>
          <w:sz w:val="32"/>
          <w:szCs w:val="32"/>
        </w:rPr>
        <w:t>四、财政拨款收入支出决算总表</w:t>
      </w:r>
      <w:bookmarkEnd w:id="90"/>
    </w:p>
    <w:p>
      <w:pPr>
        <w:pStyle w:val="24"/>
        <w:tabs>
          <w:tab w:val="right" w:leader="dot" w:pos="8296"/>
        </w:tabs>
        <w:adjustRightInd w:val="0"/>
        <w:snapToGrid w:val="0"/>
        <w:spacing w:line="576" w:lineRule="exact"/>
        <w:jc w:val="left"/>
        <w:rPr>
          <w:rFonts w:eastAsia="仿宋_GB2312"/>
          <w:sz w:val="32"/>
          <w:szCs w:val="32"/>
        </w:rPr>
      </w:pPr>
      <w:bookmarkStart w:id="91" w:name="_Toc15396623"/>
      <w:r>
        <w:rPr>
          <w:rFonts w:eastAsia="仿宋_GB2312"/>
          <w:sz w:val="32"/>
          <w:szCs w:val="32"/>
        </w:rPr>
        <w:t>五、财政拨款支出决算明细表</w:t>
      </w:r>
      <w:bookmarkStart w:id="92" w:name="_Toc15396624"/>
      <w:bookmarkEnd w:id="91"/>
    </w:p>
    <w:p>
      <w:pPr>
        <w:pStyle w:val="24"/>
        <w:tabs>
          <w:tab w:val="right" w:leader="dot" w:pos="8296"/>
        </w:tabs>
        <w:adjustRightInd w:val="0"/>
        <w:snapToGrid w:val="0"/>
        <w:spacing w:line="576" w:lineRule="exact"/>
        <w:jc w:val="left"/>
        <w:rPr>
          <w:rFonts w:eastAsia="仿宋_GB2312"/>
          <w:sz w:val="32"/>
          <w:szCs w:val="32"/>
        </w:rPr>
      </w:pPr>
      <w:r>
        <w:rPr>
          <w:rFonts w:eastAsia="仿宋_GB2312"/>
          <w:sz w:val="32"/>
          <w:szCs w:val="32"/>
        </w:rPr>
        <w:t>六、一般公共预算财政拨款支出决算表</w:t>
      </w:r>
      <w:bookmarkEnd w:id="92"/>
    </w:p>
    <w:p>
      <w:pPr>
        <w:pStyle w:val="24"/>
        <w:tabs>
          <w:tab w:val="right" w:leader="dot" w:pos="8296"/>
        </w:tabs>
        <w:adjustRightInd w:val="0"/>
        <w:snapToGrid w:val="0"/>
        <w:spacing w:line="576" w:lineRule="exact"/>
        <w:jc w:val="left"/>
        <w:rPr>
          <w:rFonts w:eastAsia="仿宋_GB2312"/>
          <w:sz w:val="32"/>
          <w:szCs w:val="32"/>
        </w:rPr>
      </w:pPr>
      <w:bookmarkStart w:id="93" w:name="_Toc15396625"/>
      <w:r>
        <w:rPr>
          <w:rFonts w:eastAsia="仿宋_GB2312"/>
          <w:sz w:val="32"/>
          <w:szCs w:val="32"/>
        </w:rPr>
        <w:t>七、一般公共预算财政拨款支出决算明细表</w:t>
      </w:r>
      <w:bookmarkEnd w:id="93"/>
    </w:p>
    <w:p>
      <w:pPr>
        <w:pStyle w:val="24"/>
        <w:tabs>
          <w:tab w:val="right" w:leader="dot" w:pos="8296"/>
        </w:tabs>
        <w:adjustRightInd w:val="0"/>
        <w:snapToGrid w:val="0"/>
        <w:spacing w:line="576" w:lineRule="exact"/>
        <w:jc w:val="left"/>
        <w:rPr>
          <w:rFonts w:eastAsia="仿宋_GB2312"/>
          <w:sz w:val="32"/>
          <w:szCs w:val="32"/>
        </w:rPr>
      </w:pPr>
      <w:bookmarkStart w:id="94" w:name="_Toc15396626"/>
      <w:r>
        <w:rPr>
          <w:rFonts w:eastAsia="仿宋_GB2312"/>
          <w:sz w:val="32"/>
          <w:szCs w:val="32"/>
        </w:rPr>
        <w:t>八、一般公共预算财政拨款基本支出决算表</w:t>
      </w:r>
      <w:bookmarkEnd w:id="94"/>
    </w:p>
    <w:p>
      <w:pPr>
        <w:pStyle w:val="24"/>
        <w:tabs>
          <w:tab w:val="right" w:leader="dot" w:pos="8296"/>
        </w:tabs>
        <w:adjustRightInd w:val="0"/>
        <w:snapToGrid w:val="0"/>
        <w:spacing w:line="576" w:lineRule="exact"/>
        <w:jc w:val="left"/>
        <w:rPr>
          <w:rFonts w:eastAsia="仿宋_GB2312"/>
          <w:sz w:val="32"/>
          <w:szCs w:val="32"/>
        </w:rPr>
      </w:pPr>
      <w:bookmarkStart w:id="95" w:name="_Toc15396627"/>
      <w:r>
        <w:rPr>
          <w:rFonts w:eastAsia="仿宋_GB2312"/>
          <w:sz w:val="32"/>
          <w:szCs w:val="32"/>
        </w:rPr>
        <w:t>九、一般公共预算财政拨款项目支出决算表</w:t>
      </w:r>
      <w:bookmarkEnd w:id="95"/>
    </w:p>
    <w:p>
      <w:pPr>
        <w:pStyle w:val="24"/>
        <w:tabs>
          <w:tab w:val="right" w:leader="dot" w:pos="8296"/>
        </w:tabs>
        <w:adjustRightInd w:val="0"/>
        <w:snapToGrid w:val="0"/>
        <w:spacing w:line="576" w:lineRule="exact"/>
        <w:jc w:val="left"/>
        <w:rPr>
          <w:rFonts w:eastAsia="仿宋_GB2312"/>
          <w:sz w:val="32"/>
          <w:szCs w:val="32"/>
        </w:rPr>
      </w:pPr>
      <w:bookmarkStart w:id="96" w:name="_Toc15396628"/>
      <w:r>
        <w:rPr>
          <w:rFonts w:eastAsia="仿宋_GB2312"/>
          <w:sz w:val="32"/>
          <w:szCs w:val="32"/>
        </w:rPr>
        <w:t>十、</w:t>
      </w:r>
      <w:bookmarkEnd w:id="96"/>
      <w:r>
        <w:rPr>
          <w:rFonts w:eastAsia="仿宋_GB2312"/>
          <w:sz w:val="32"/>
          <w:szCs w:val="32"/>
        </w:rPr>
        <w:t>政府性基金预算财政拨款收入支出决算表</w:t>
      </w:r>
    </w:p>
    <w:p>
      <w:pPr>
        <w:pStyle w:val="24"/>
        <w:tabs>
          <w:tab w:val="right" w:leader="dot" w:pos="8296"/>
        </w:tabs>
        <w:adjustRightInd w:val="0"/>
        <w:snapToGrid w:val="0"/>
        <w:spacing w:line="576" w:lineRule="exact"/>
        <w:jc w:val="left"/>
        <w:rPr>
          <w:rFonts w:eastAsia="仿宋_GB2312"/>
          <w:sz w:val="32"/>
          <w:szCs w:val="32"/>
        </w:rPr>
      </w:pPr>
      <w:bookmarkStart w:id="97" w:name="_Toc15396629"/>
      <w:r>
        <w:rPr>
          <w:rFonts w:eastAsia="仿宋_GB2312"/>
          <w:sz w:val="32"/>
          <w:szCs w:val="32"/>
        </w:rPr>
        <w:t>十一、</w:t>
      </w:r>
      <w:bookmarkEnd w:id="97"/>
      <w:r>
        <w:rPr>
          <w:rFonts w:eastAsia="仿宋_GB2312"/>
          <w:sz w:val="32"/>
          <w:szCs w:val="32"/>
        </w:rPr>
        <w:t>国有资本经营预算财政拨款收入支出决算表</w:t>
      </w:r>
    </w:p>
    <w:p>
      <w:pPr>
        <w:pStyle w:val="24"/>
        <w:tabs>
          <w:tab w:val="right" w:leader="dot" w:pos="8296"/>
        </w:tabs>
        <w:adjustRightInd w:val="0"/>
        <w:snapToGrid w:val="0"/>
        <w:spacing w:line="576" w:lineRule="exact"/>
        <w:jc w:val="left"/>
        <w:rPr>
          <w:rFonts w:eastAsia="仿宋_GB2312"/>
          <w:sz w:val="32"/>
          <w:szCs w:val="32"/>
        </w:rPr>
      </w:pPr>
      <w:bookmarkStart w:id="98" w:name="_Toc15396630"/>
      <w:r>
        <w:rPr>
          <w:rFonts w:eastAsia="仿宋_GB2312"/>
          <w:sz w:val="32"/>
          <w:szCs w:val="32"/>
        </w:rPr>
        <w:t>十二、</w:t>
      </w:r>
      <w:bookmarkEnd w:id="98"/>
      <w:r>
        <w:rPr>
          <w:rFonts w:eastAsia="仿宋_GB2312"/>
          <w:sz w:val="32"/>
          <w:szCs w:val="32"/>
        </w:rPr>
        <w:t>国有资本经营预算财政拨款支出决算表</w:t>
      </w:r>
    </w:p>
    <w:p>
      <w:pPr>
        <w:pStyle w:val="24"/>
        <w:tabs>
          <w:tab w:val="right" w:leader="dot" w:pos="8296"/>
        </w:tabs>
        <w:adjustRightInd w:val="0"/>
        <w:snapToGrid w:val="0"/>
        <w:spacing w:line="576" w:lineRule="exact"/>
        <w:jc w:val="left"/>
        <w:rPr>
          <w:rFonts w:eastAsia="仿宋_GB2312"/>
          <w:sz w:val="32"/>
          <w:szCs w:val="32"/>
        </w:rPr>
      </w:pPr>
      <w:bookmarkStart w:id="99" w:name="_Toc15396631"/>
      <w:r>
        <w:rPr>
          <w:rFonts w:eastAsia="仿宋_GB2312"/>
          <w:sz w:val="32"/>
          <w:szCs w:val="32"/>
        </w:rPr>
        <w:t>十三、</w:t>
      </w:r>
      <w:bookmarkEnd w:id="99"/>
      <w:r>
        <w:rPr>
          <w:rFonts w:eastAsia="仿宋_GB2312"/>
          <w:sz w:val="32"/>
          <w:szCs w:val="32"/>
        </w:rPr>
        <w:t>财政拨款“三公”经费支出决算表</w:t>
      </w:r>
    </w:p>
    <w:p/>
    <w:sectPr>
      <w:footerReference w:type="default" r:id="rId4"/>
      <w:footerReference w:type="first" r:id="rId5"/>
      <w:pgSz w:w="11906" w:h="16838"/>
      <w:pgMar w:top="1440" w:right="1800" w:bottom="1440" w:left="1800"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楷体_GB2312">
    <w:altName w:val="微软雅黑"/>
    <w:panose1 w:val="00000000000000000000"/>
    <w:charset w:val="86"/>
    <w:family w:val="auto"/>
    <w:pitch w:val="variable"/>
    <w:sig w:usb0="00000001" w:usb1="080E0000" w:usb2="00000000" w:usb3="00000000" w:csb0="00040000" w:csb1="00000000"/>
  </w:font>
  <w:font w:name="方正仿宋_GBK">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altName w:val="DejaVu Sans"/>
    <w:panose1 w:val="02040503050406030204"/>
    <w:charset w:val="00"/>
    <w:family w:val="roman"/>
    <w:pitch w:val="variable"/>
    <w:sig w:usb0="E00006FF" w:usb1="420024FF" w:usb2="02000000" w:usb3="00000000" w:csb0="0000019F"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swiss"/>
    <w:pitch w:val="variable"/>
    <w:sig w:usb0="E0002EFF" w:usb1="C000785B" w:usb2="00000009" w:usb3="00000000" w:csb0="000001FF" w:csb1="00000000"/>
  </w:font>
  <w:font w:name="??">
    <w:altName w:val="DejaVu Sans"/>
    <w:panose1 w:val="00000000000000000000"/>
    <w:charset w:val="00"/>
    <w:family w:val="roman"/>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character" w:styleId="25">
    <w:name w:val="Strong"/>
    <w:basedOn w:val="0"/>
    <w:rPr>
      <w:b/>
    </w:rPr>
  </w:style>
  <w:style w:type="character" w:styleId="26">
    <w:name w:val="Hyperlink"/>
    <w:basedOn w:val="10"/>
    <w:rPr>
      <w:color w:val="0000FF"/>
      <w:u w:val="single"/>
    </w:rPr>
  </w:style>
  <w:style w:type="paragraph" w:customStyle="1" w:styleId="27">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character" w:customStyle="1" w:styleId="28">
    <w:name w:val="Header Char"/>
    <w:basedOn w:val="10"/>
    <w:rPr>
      <w:rFonts w:ascii="Times New Roman" w:hAnsi="Times New Roman"/>
      <w:sz w:val="18"/>
      <w:szCs w:val="18"/>
    </w:rPr>
  </w:style>
  <w:style w:type="character" w:customStyle="1" w:styleId="29">
    <w:name w:val="Footer Char"/>
    <w:basedOn w:val="10"/>
    <w:rPr>
      <w:rFonts w:ascii="Times New Roman" w:hAnsi="Times New Roman"/>
      <w:sz w:val="18"/>
      <w:szCs w:val="18"/>
    </w:rPr>
  </w:style>
  <w:style w:type="character" w:customStyle="1" w:styleId="30">
    <w:name w:val="Body Text Char"/>
    <w:basedOn w:val="10"/>
    <w:rPr>
      <w:rFonts w:ascii="Times New Roman" w:hAnsi="Times New Roman"/>
      <w:szCs w:val="24"/>
    </w:rPr>
  </w:style>
  <w:style w:type="paragraph" w:customStyle="1" w:styleId="31">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customStyle="1" w:styleId="34">
    <w:name w:val="TOC 标题2"/>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customStyle="1" w:styleId="35">
    <w:name w:val="四号正文"/>
    <w:basedOn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 Id="rId11" Type="http://schemas.openxmlformats.org/officeDocument/2006/relationships/chart" Target="charts/chart6.xml"/><Relationship Id="rId12" Type="http://schemas.openxmlformats.org/officeDocument/2006/relationships/chart" Target="charts/chart7.xml"/><Relationship Id="rId13" Type="http://schemas.openxmlformats.org/officeDocument/2006/relationships/styles" Target="styl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'工作表465537'!$A$2</c:f>
              <c:strCache>
                <c:ptCount val="1"/>
                <c:pt idx="0">
                  <c:v>2024年</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'工作表465537'!$B$2:$C$2</c:f>
              <c:numCache>
                <c:formatCode>General</c:formatCode>
                <c:ptCount val="2"/>
                <c:pt idx="0">
                  <c:v>3451.66</c:v>
                </c:pt>
                <c:pt idx="1">
                  <c:v>3451.66</c:v>
                </c:pt>
              </c:numCache>
            </c:numRef>
          </c:val>
        </c:ser>
        <c:ser>
          <c:idx val="1"/>
          <c:order val="1"/>
          <c:tx>
            <c:strRef>
              <c:f>'工作表465537'!$A$3</c:f>
              <c:strCache>
                <c:ptCount val="1"/>
                <c:pt idx="0">
                  <c:v>2023年</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'工作表465537'!$B$3:$C$3</c:f>
              <c:numCache>
                <c:formatCode>General</c:formatCode>
                <c:ptCount val="2"/>
                <c:pt idx="0">
                  <c:v>3210.03</c:v>
                </c:pt>
                <c:pt idx="1">
                  <c:v>3210.03</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2024年度收入</a:t>
            </a:r>
          </a:p>
        </c:rich>
      </c:tx>
      <c:layout/>
      <c:overlay val="0"/>
      <c:spPr>
        <a:ln>
          <a:noFill/>
        </a:ln>
      </c:spPr>
    </c:title>
    <c:autoTitleDeleted val="1"/>
    <c:plotArea>
      <c:layout/>
      <c:pieChart>
        <c:varyColors val="1"/>
        <c:ser>
          <c:idx val="0"/>
          <c:order val="0"/>
          <c:tx>
            <c:strRef>
              <c:f>'工作表465538'!$A$2</c:f>
              <c:strCache>
                <c:ptCount val="1"/>
                <c:pt idx="0">
                  <c:v>2024年度收入</c:v>
                </c:pt>
              </c:strCache>
            </c:strRef>
          </c:tx>
          <c:spPr>
            <a:solidFill>
              <a:srgbClr val="4F81BD"/>
            </a:solidFill>
            <a:ln>
              <a:noFill/>
            </a:ln>
          </c:spPr>
          <c:dPt>
            <c:idx val="0"/>
            <c:bubble3D val="0"/>
            <c:spPr>
              <a:solidFill>
                <a:srgbClr val="5B9BD5"/>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0"/>
            <c:showCatName val="0"/>
            <c:showSerName val="0"/>
            <c:showPercent val="0"/>
            <c:showBubbleSize val="0"/>
            <c:showLeaderLines val="1"/>
          </c:dLbls>
          <c:cat>
            <c:strRef>
              <c:f>'工作表465538'!$B$1</c:f>
              <c:strCache>
                <c:ptCount val="1"/>
                <c:pt idx="0">
                  <c:v>一般公共预算财政拨款收入</c:v>
                </c:pt>
              </c:strCache>
            </c:strRef>
          </c:cat>
          <c:val>
            <c:numRef>
              <c:f>工作表465538!$B$2</c:f>
              <c:numCache>
                <c:formatCode>General</c:formatCode>
                <c:ptCount val="1"/>
                <c:pt idx="0">
                  <c:v>3451.66</c:v>
                </c:pt>
              </c:numCache>
            </c:numRef>
          </c:val>
        </c:ser>
        <c:ser>
          <c:idx val="1"/>
          <c:order val="1"/>
          <c:tx>
            <c:v>系列2</c:v>
          </c:tx>
          <c:spPr>
            <a:solidFill>
              <a:srgbClr val="C0504D"/>
            </a:solidFill>
            <a:ln>
              <a:noFill/>
            </a:ln>
          </c:spPr>
          <c:dLbls>
            <c:showLegendKey val="0"/>
            <c:showVal val="0"/>
            <c:showCatName val="0"/>
            <c:showSerName val="0"/>
            <c:showPercent val="0"/>
            <c:showBubbleSize val="0"/>
            <c:showLeaderLines val="1"/>
          </c:dLbls>
          <c:cat>
            <c:strRef>
              <c:f>'工作表465538'!$B$1</c:f>
              <c:strCache>
                <c:ptCount val="1"/>
                <c:pt idx="0">
                  <c:v>一般公共预算财政拨款收入</c:v>
                </c:pt>
              </c:strCache>
            </c:strRef>
          </c:cat>
          <c:val>
            <c:numRef>
              <c:f/>
            </c:numRef>
          </c:val>
        </c:ser>
        <c:ser>
          <c:idx val="2"/>
          <c:order val="2"/>
          <c:tx>
            <c:v>系列3</c:v>
          </c:tx>
          <c:spPr>
            <a:solidFill>
              <a:srgbClr val="9BBB59"/>
            </a:solidFill>
            <a:ln>
              <a:noFill/>
            </a:ln>
          </c:spPr>
          <c:dLbls>
            <c:showLegendKey val="0"/>
            <c:showVal val="0"/>
            <c:showCatName val="0"/>
            <c:showSerName val="0"/>
            <c:showPercent val="0"/>
            <c:showBubbleSize val="0"/>
            <c:showLeaderLines val="1"/>
          </c:dLbls>
          <c:cat>
            <c:strRef>
              <c:f>'工作表465538'!$B$1</c:f>
              <c:strCache>
                <c:ptCount val="1"/>
                <c:pt idx="0">
                  <c:v>一般公共预算财政拨款收入</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2024年度支出</a:t>
            </a:r>
          </a:p>
        </c:rich>
      </c:tx>
      <c:layout/>
      <c:overlay val="0"/>
      <c:spPr>
        <a:ln>
          <a:noFill/>
        </a:ln>
      </c:spPr>
    </c:title>
    <c:autoTitleDeleted val="1"/>
    <c:plotArea>
      <c:layout/>
      <c:pieChart>
        <c:varyColors val="1"/>
        <c:ser>
          <c:idx val="0"/>
          <c:order val="0"/>
          <c:tx>
            <c:strRef>
              <c:f>'工作表465539'!$A$2</c:f>
              <c:strCache>
                <c:ptCount val="1"/>
                <c:pt idx="0">
                  <c:v>2024年度支出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'工作表465539'!$B$2:$C$2</c:f>
              <c:numCache>
                <c:formatCode>General</c:formatCode>
                <c:ptCount val="2"/>
                <c:pt idx="0">
                  <c:v>3352.04</c:v>
                </c:pt>
                <c:pt idx="1">
                  <c:v>99.62</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'工作表465540'!$A$2</c:f>
              <c:strCache>
                <c:ptCount val="1"/>
                <c:pt idx="0">
                  <c:v>2024年财政拨款</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收入</c:v>
                </c:pt>
                <c:pt idx="1">
                  <c:v>支出</c:v>
                </c:pt>
              </c:strCache>
            </c:strRef>
          </c:cat>
          <c:val>
            <c:numRef>
              <c:f>'工作表465540'!$B$2:$C$2</c:f>
              <c:numCache>
                <c:formatCode>General</c:formatCode>
                <c:ptCount val="2"/>
                <c:pt idx="0">
                  <c:v>3451.66</c:v>
                </c:pt>
                <c:pt idx="1">
                  <c:v>3451.66</c:v>
                </c:pt>
              </c:numCache>
            </c:numRef>
          </c:val>
        </c:ser>
        <c:ser>
          <c:idx val="1"/>
          <c:order val="1"/>
          <c:tx>
            <c:strRef>
              <c:f>'工作表465540'!$A$3</c:f>
              <c:strCache>
                <c:ptCount val="1"/>
                <c:pt idx="0">
                  <c:v>2023年财政拨款</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收入</c:v>
                </c:pt>
                <c:pt idx="1">
                  <c:v>支出</c:v>
                </c:pt>
              </c:strCache>
            </c:strRef>
          </c:cat>
          <c:val>
            <c:numRef>
              <c:f>'工作表465540'!$B$3:$C$3</c:f>
              <c:numCache>
                <c:formatCode>General</c:formatCode>
                <c:ptCount val="2"/>
                <c:pt idx="0">
                  <c:v>3210.03</c:v>
                </c:pt>
                <c:pt idx="1">
                  <c:v>3210.03</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收入</c:v>
                </c:pt>
                <c:pt idx="1">
                  <c:v>支出</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'工作表465541'!$A$2</c:f>
              <c:strCache>
                <c:ptCount val="1"/>
                <c:pt idx="0">
                  <c:v>2024年一般公共预算财政拨款</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收入</c:v>
                </c:pt>
                <c:pt idx="1">
                  <c:v>支出</c:v>
                </c:pt>
              </c:strCache>
            </c:strRef>
          </c:cat>
          <c:val>
            <c:numRef>
              <c:f>'工作表465541'!$B$2:$C$2</c:f>
              <c:numCache>
                <c:formatCode>General</c:formatCode>
                <c:ptCount val="2"/>
                <c:pt idx="0">
                  <c:v>3451.66</c:v>
                </c:pt>
                <c:pt idx="1">
                  <c:v>3451.66</c:v>
                </c:pt>
              </c:numCache>
            </c:numRef>
          </c:val>
        </c:ser>
        <c:ser>
          <c:idx val="1"/>
          <c:order val="1"/>
          <c:tx>
            <c:strRef>
              <c:f>'工作表465541'!$A$3</c:f>
              <c:strCache>
                <c:ptCount val="1"/>
                <c:pt idx="0">
                  <c:v>2023年一般公共预算财政拨款</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收入</c:v>
                </c:pt>
                <c:pt idx="1">
                  <c:v>支出</c:v>
                </c:pt>
              </c:strCache>
            </c:strRef>
          </c:cat>
          <c:val>
            <c:numRef>
              <c:f>'工作表465541'!$B$3:$C$3</c:f>
              <c:numCache>
                <c:formatCode>General</c:formatCode>
                <c:ptCount val="2"/>
                <c:pt idx="0">
                  <c:v>3210.03</c:v>
                </c:pt>
                <c:pt idx="1">
                  <c:v>3210.03</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收入</c:v>
                </c:pt>
                <c:pt idx="1">
                  <c:v>支出</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2024年度一般公共预算财政拨款支出</a:t>
            </a:r>
          </a:p>
        </c:rich>
      </c:tx>
      <c:layout/>
      <c:overlay val="0"/>
      <c:spPr>
        <a:ln>
          <a:noFill/>
        </a:ln>
      </c:spPr>
    </c:title>
    <c:autoTitleDeleted val="1"/>
    <c:plotArea>
      <c:layout/>
      <c:barChart>
        <c:barDir val="col"/>
        <c:grouping val="clustered"/>
        <c:varyColors val="0"/>
        <c:ser>
          <c:idx val="0"/>
          <c:order val="0"/>
          <c:tx>
            <c:strRef>
              <c:f>'工作表465542'!$A$2</c:f>
              <c:strCache>
                <c:ptCount val="1"/>
                <c:pt idx="0">
                  <c:v>2024年度一般公共预算财政拨款支出</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'工作表465542'!$B$1:$G$1</c:f>
              <c:strCache>
                <c:ptCount val="6"/>
                <c:pt idx="0">
                  <c:v>一般公共服务支出</c:v>
                </c:pt>
                <c:pt idx="1">
                  <c:v>教育支出</c:v>
                </c:pt>
                <c:pt idx="2">
                  <c:v>文化旅游体育与传媒支出</c:v>
                </c:pt>
                <c:pt idx="3">
                  <c:v>社会保障和就业支出</c:v>
                </c:pt>
                <c:pt idx="4">
                  <c:v>卫生健康支出</c:v>
                </c:pt>
                <c:pt idx="5">
                  <c:v>住房保障支出</c:v>
                </c:pt>
              </c:strCache>
            </c:strRef>
          </c:cat>
          <c:val>
            <c:numRef>
              <c:f>'工作表465542'!$B$2:$G$2</c:f>
              <c:numCache>
                <c:formatCode>General</c:formatCode>
                <c:ptCount val="6"/>
                <c:pt idx="0">
                  <c:v>2880.76</c:v>
                </c:pt>
                <c:pt idx="1">
                  <c:v>1.18</c:v>
                </c:pt>
                <c:pt idx="2">
                  <c:v>0.5</c:v>
                </c:pt>
                <c:pt idx="3">
                  <c:v>291.07</c:v>
                </c:pt>
                <c:pt idx="4">
                  <c:v>118.61</c:v>
                </c:pt>
                <c:pt idx="5">
                  <c:v>159.54</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2024年度“三公”经费财政拨款支出</a:t>
            </a:r>
          </a:p>
        </c:rich>
      </c:tx>
      <c:layout/>
      <c:overlay val="0"/>
      <c:spPr>
        <a:ln>
          <a:noFill/>
        </a:ln>
      </c:spPr>
    </c:title>
    <c:autoTitleDeleted val="1"/>
    <c:plotArea>
      <c:layout/>
      <c:pieChart>
        <c:varyColors val="1"/>
        <c:ser>
          <c:idx val="0"/>
          <c:order val="0"/>
          <c:tx>
            <c:strRef>
              <c:f>'工作表465543'!$A$2</c:f>
              <c:strCache>
                <c:ptCount val="1"/>
                <c:pt idx="0">
                  <c:v>2024年度“三公”经费财政拨款支出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Ref>
              <c:f>'工作表465543'!$B$1:$D$1</c:f>
              <c:strCache>
                <c:ptCount val="3"/>
                <c:pt idx="0">
                  <c:v>公务用车购置及运行维护费支出</c:v>
                </c:pt>
                <c:pt idx="1">
                  <c:v>公务接待费支出</c:v>
                </c:pt>
                <c:pt idx="2">
                  <c:v>因公出国（境）费支出</c:v>
                </c:pt>
              </c:strCache>
            </c:strRef>
          </c:cat>
          <c:val>
            <c:numRef>
              <c:f>'工作表465543'!$B$2:$D$2</c:f>
              <c:numCache>
                <c:formatCode>General</c:formatCode>
                <c:ptCount val="3"/>
                <c:pt idx="0">
                  <c:v>370.89</c:v>
                </c:pt>
                <c:pt idx="1">
                  <c:v>0.6</c:v>
                </c:pt>
                <c:pt idx="2">
                  <c:v>0.0</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'工作表465543'!$B$1:$D$1</c:f>
              <c:strCache>
                <c:ptCount val="3"/>
                <c:pt idx="0">
                  <c:v>公务用车购置及运行维护费支出</c:v>
                </c:pt>
                <c:pt idx="1">
                  <c:v>公务接待费支出</c:v>
                </c:pt>
                <c:pt idx="2">
                  <c:v>因公出国（境）费支出</c:v>
                </c:pt>
              </c:strCache>
            </c:strRef>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'工作表465543'!$B$1:$D$1</c:f>
              <c:strCache>
                <c:ptCount val="3"/>
                <c:pt idx="0">
                  <c:v>公务用车购置及运行维护费支出</c:v>
                </c:pt>
                <c:pt idx="1">
                  <c:v>公务接待费支出</c:v>
                </c:pt>
                <c:pt idx="2">
                  <c:v>因公出国（境）费支出</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10416</TotalTime>
  <Application>Yozo_Office27021597764231179</Application>
  <Pages>23</Pages>
  <Words>8454</Words>
  <Characters>9355</Characters>
  <Lines>453</Lines>
  <Paragraphs>186</Paragraphs>
  <CharactersWithSpaces>9482</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35</cp:revision>
  <cp:lastPrinted>2025-08-06T17:34:00Z</cp:lastPrinted>
  <dcterms:created xsi:type="dcterms:W3CDTF">2020-08-09T09:49:00Z</dcterms:created>
  <dcterms:modified xsi:type="dcterms:W3CDTF">2025-09-19T07:38:59Z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eyJoZGlkIjoiNzcxZDY4MmI1OTBjMjE1Nzk5NThjZGNlYmQwYzNkMjQifQ==</vt:lpwstr>
  </property>
</Properties>
</file>