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settings.xml" ContentType="application/vnd.openxmlformats-officedocument.wordprocessingml.setting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rPr>
          <w:rFonts w:ascii="Times New Roman" w:eastAsia="方正小标宋简体" w:hAnsi="Times New Roman"/>
          <w:color w:val="auto"/>
          <w:kern w:val="2"/>
          <w:sz w:val="72"/>
          <w:szCs w:val="72"/>
          <w:lang w:val="en-US" w:eastAsia="zh-CN" w:bidi="ar-SA"/>
          <w:highlight w:val="auto"/>
        </w:rPr>
      </w:pPr>
      <w:bookmarkStart w:id="0" w:name="_Toc15377193"/>
      <w:bookmarkStart w:id="1" w:name="_Toc15396475"/>
      <w:bookmarkStart w:id="2" w:name="_Toc15377425"/>
      <w:bookmarkStart w:id="3" w:name="_Toc15378441"/>
      <w:bookmarkStart w:id="4" w:name="_Toc15396597"/>
      <w:bookmarkStart w:id="5" w:name="_Toc15306267"/>
    </w:p>
    <w:p>
      <w:pPr>
        <w:pStyle w:val="18"/>
        <w:rPr>
          <w:rFonts w:ascii="Times New Roman" w:eastAsia="方正小标宋简体" w:hAnsi="Times New Roman"/>
          <w:color w:val="auto"/>
          <w:kern w:val="2"/>
          <w:sz w:val="72"/>
          <w:szCs w:val="72"/>
          <w:lang w:val="en-US" w:eastAsia="zh-CN" w:bidi="ar-SA"/>
          <w:highlight w:val="auto"/>
        </w:rPr>
      </w:pPr>
    </w:p>
    <w:p>
      <w:pPr>
        <w:pStyle w:val="18"/>
        <w:rPr>
          <w:rFonts w:ascii="Times New Roman" w:eastAsia="方正小标宋简体" w:hAnsi="Times New Roman"/>
          <w:color w:val="auto"/>
          <w:kern w:val="2"/>
          <w:sz w:val="72"/>
          <w:szCs w:val="72"/>
          <w:lang w:val="en-US" w:eastAsia="zh-CN" w:bidi="ar-SA"/>
          <w:highlight w:val="auto"/>
        </w:rPr>
      </w:pPr>
    </w:p>
    <w:p>
      <w:pPr>
        <w:pStyle w:val="18"/>
        <w:jc w:val="center"/>
        <w:rPr>
          <w:rFonts w:ascii="Times New Roman" w:eastAsia="方正小标宋简体" w:hAnsi="Times New Roman"/>
          <w:color w:val="auto"/>
          <w:kern w:val="2"/>
          <w:sz w:val="44"/>
          <w:szCs w:val="44"/>
          <w:lang w:val="en-US" w:eastAsia="zh-CN" w:bidi="ar-SA"/>
          <w:highlight w:val="auto"/>
        </w:rPr>
      </w:pPr>
      <w:r>
        <w:rPr>
          <w:rFonts w:ascii="Times New Roman" w:eastAsia="方正小标宋简体" w:hAnsi="Times New Roman"/>
          <w:color w:val="auto"/>
          <w:kern w:val="2"/>
          <w:sz w:val="44"/>
          <w:szCs w:val="44"/>
          <w:lang w:val="en-US" w:eastAsia="zh-CN" w:bidi="ar-SA"/>
          <w:highlight w:val="auto"/>
        </w:rPr>
        <w:t>2024年度州专用通信中心决算</w:t>
      </w:r>
    </w:p>
    <w:p>
      <w:pPr>
        <w:pStyle w:val="18"/>
        <w:jc w:val="center"/>
        <w:rPr>
          <w:rFonts w:ascii="Times New Roman" w:eastAsia="方正小标宋简体" w:hAnsi="Times New Roman"/>
          <w:color w:val="auto"/>
          <w:kern w:val="2"/>
          <w:sz w:val="44"/>
          <w:szCs w:val="44"/>
          <w:lang w:val="en-US" w:eastAsia="zh-CN" w:bidi="ar-SA"/>
          <w:highlight w:val="auto"/>
        </w:rPr>
      </w:pPr>
      <w:r>
        <w:rPr>
          <w:rFonts w:ascii="Times New Roman" w:eastAsia="方正小标宋简体" w:hAnsi="Times New Roman"/>
          <w:color w:val="auto"/>
          <w:kern w:val="2"/>
          <w:sz w:val="44"/>
          <w:szCs w:val="44"/>
          <w:lang w:val="en-US" w:eastAsia="zh-CN" w:bidi="ar-SA"/>
          <w:highlight w:val="auto"/>
        </w:rPr>
        <w:t>公开说明</w:t>
      </w:r>
      <w:bookmarkStart w:id="6" w:name="_GoBack"/>
      <w:bookmarkEnd w:id="6"/>
    </w:p>
    <w:p>
      <w:pPr>
        <w:widowControl/>
        <w:jc w:val="center"/>
        <w:rPr>
          <w:rFonts w:eastAsia="黑体"/>
          <w:color w:val="auto"/>
          <w:sz w:val="48"/>
          <w:szCs w:val="48"/>
          <w:highlight w:val="auto"/>
        </w:rPr>
      </w:pPr>
      <w:bookmarkEnd w:id="0"/>
      <w:bookmarkEnd w:id="1"/>
      <w:bookmarkEnd w:id="2"/>
      <w:bookmarkEnd w:id="3"/>
      <w:bookmarkEnd w:id="4"/>
      <w:bookmarkEnd w:id="5"/>
      <w:r>
        <w:rPr>
          <w:rFonts w:eastAsia="方正小标宋简体"/>
          <w:color w:val="auto"/>
          <w:sz w:val="36"/>
          <w:szCs w:val="36"/>
          <w:highlight w:val="auto"/>
        </w:rPr>
        <w:br w:type="page"/>
      </w:r>
      <w:r>
        <w:rPr>
          <w:rFonts w:eastAsia="黑体"/>
          <w:color w:val="auto"/>
          <w:sz w:val="48"/>
          <w:szCs w:val="48"/>
          <w:highlight w:val="auto"/>
        </w:rPr>
        <w:t>目录</w:t>
      </w:r>
    </w:p>
    <w:p>
      <w:pPr>
        <w:widowControl/>
        <w:jc w:val="center"/>
        <w:rPr>
          <w:rFonts w:eastAsia="黑体"/>
          <w:color w:val="auto"/>
          <w:sz w:val="28"/>
          <w:szCs w:val="28"/>
          <w:highlight w:val="auto"/>
        </w:rPr>
      </w:pPr>
    </w:p>
    <w:p>
      <w:pPr>
        <w:pStyle w:val="23"/>
        <w:tabs>
          <w:tab w:val="right" w:leader="dot" w:pos="8296"/>
        </w:tabs>
        <w:spacing w:line="300" w:lineRule="exact"/>
        <w:rPr>
          <w:rFonts w:ascii="Times New Roman" w:eastAsia="仿宋_GB2312" w:hAnsi="Times New Roman"/>
          <w:color w:val="auto"/>
          <w:sz w:val="32"/>
          <w:szCs w:val="32"/>
          <w:highlight w:val="auto"/>
        </w:rPr>
      </w:pPr>
      <w:r>
        <w:rPr>
          <w:rFonts w:ascii="Times New Roman" w:eastAsia="仿宋_GB2312" w:hAnsi="Times New Roman"/>
          <w:color w:val="auto"/>
          <w:sz w:val="32"/>
          <w:szCs w:val="32"/>
          <w:highlight w:val="auto"/>
        </w:rPr>
        <w:t>公开时间：20</w:t>
      </w:r>
      <w:r>
        <w:rPr>
          <w:rFonts w:ascii="Times New Roman" w:eastAsia="仿宋_GB2312" w:hAnsi="Times New Roman"/>
          <w:color w:val="auto"/>
          <w:sz w:val="32"/>
          <w:szCs w:val="32"/>
          <w:lang w:val="en-US" w:eastAsia="zh-CN"/>
          <w:highlight w:val="auto"/>
        </w:rPr>
        <w:t>24</w:t>
      </w:r>
      <w:r>
        <w:rPr>
          <w:rFonts w:ascii="Times New Roman" w:eastAsia="仿宋_GB2312" w:hAnsi="Times New Roman"/>
          <w:color w:val="auto"/>
          <w:sz w:val="32"/>
          <w:szCs w:val="32"/>
          <w:highlight w:val="auto"/>
        </w:rPr>
        <w:t>年</w:t>
      </w:r>
      <w:r>
        <w:rPr>
          <w:rFonts w:ascii="Times New Roman" w:eastAsia="仿宋_GB2312" w:hAnsi="Times New Roman"/>
          <w:color w:val="auto"/>
          <w:sz w:val="32"/>
          <w:szCs w:val="32"/>
          <w:lang w:val="en-US" w:eastAsia="zh-CN"/>
          <w:highlight w:val="auto"/>
        </w:rPr>
        <w:t xml:space="preserve"> 9 </w:t>
      </w:r>
      <w:r>
        <w:rPr>
          <w:rFonts w:ascii="Times New Roman" w:eastAsia="仿宋_GB2312" w:hAnsi="Times New Roman"/>
          <w:color w:val="auto"/>
          <w:sz w:val="32"/>
          <w:szCs w:val="32"/>
          <w:highlight w:val="auto"/>
        </w:rPr>
        <w:t>月</w:t>
      </w:r>
      <w:r>
        <w:rPr>
          <w:rFonts w:ascii="Times New Roman" w:eastAsia="仿宋_GB2312" w:hAnsi="Times New Roman"/>
          <w:color w:val="auto"/>
          <w:sz w:val="32"/>
          <w:szCs w:val="32"/>
          <w:lang w:val="en-US" w:eastAsia="zh-CN"/>
          <w:highlight w:val="auto"/>
        </w:rPr>
        <w:t xml:space="preserve"> 18 </w:t>
      </w:r>
      <w:r>
        <w:rPr>
          <w:rFonts w:ascii="Times New Roman" w:eastAsia="仿宋_GB2312" w:hAnsi="Times New Roman"/>
          <w:color w:val="auto"/>
          <w:sz w:val="32"/>
          <w:szCs w:val="32"/>
          <w:highlight w:val="auto"/>
        </w:rPr>
        <w:t>日</w:t>
      </w:r>
    </w:p>
    <w:p>
      <w:pPr>
        <w:pStyle w:val="23"/>
        <w:tabs>
          <w:tab w:val="right" w:leader="dot" w:pos="8296"/>
          <w:tab w:val="right" w:leader="dot" w:pos="8306"/>
        </w:tabs>
        <w:spacing w:line="300" w:lineRule="exact"/>
      </w:pPr>
      <w:bookmarkStart w:id="7" w:name="_Toc15377196"/>
      <w:bookmarkStart w:id="8" w:name="_Toc15396599"/>
      <w:r>
        <w:rPr>
          <w:rFonts w:eastAsia="方正小标宋简体"/>
          <w:b w:val="0"/>
          <w:color w:val="auto"/>
          <w:highlight w:val="auto"/>
        </w:rPr>
        <w:fldChar w:fldCharType="begin"/>
      </w:r>
      <w:r>
        <w:rPr>
          <w:rFonts w:eastAsia="方正小标宋简体"/>
          <w:b w:val="0"/>
          <w:color w:val="auto"/>
          <w:highlight w:val="auto"/>
        </w:rPr>
        <w:instrText xml:space="preserve"> TOC \o "1-3" \h \u </w:instrText>
      </w:r>
      <w:r>
        <w:rPr>
          <w:rFonts w:eastAsia="方正小标宋简体"/>
          <w:b w:val="0"/>
          <w:color w:val="auto"/>
          <w:highlight w:val="auto"/>
        </w:rPr>
        <w:fldChar w:fldCharType="separate"/>
      </w:r>
      <w:r>
        <w:fldChar w:fldCharType="begin"/>
      </w:r>
      <w:r>
        <w:instrText>Hyperlink \l "_Toc23102382"</w:instrText>
      </w:r>
      <w:r>
        <w:fldChar w:fldCharType="separate"/>
      </w:r>
      <w:r>
        <w:rPr>
          <w:rFonts w:eastAsia="方正小标宋简体"/>
          <w:highlight w:val="auto"/>
        </w:rPr>
        <w:t>第一部分</w:t>
      </w:r>
      <w:r>
        <w:rPr>
          <w:rFonts w:eastAsia="方正小标宋简体"/>
          <w:lang w:val="en-US" w:eastAsia="zh-CN"/>
          <w:highlight w:val="auto"/>
        </w:rPr>
        <w:t xml:space="preserve"> </w:t>
      </w:r>
      <w:r>
        <w:rPr>
          <w:rFonts w:eastAsia="方正小标宋简体"/>
          <w:highlight w:val="auto"/>
        </w:rPr>
        <w:t xml:space="preserve"> </w:t>
      </w:r>
      <w:r>
        <w:rPr>
          <w:rFonts w:ascii="Times New Roman" w:eastAsia="方正小标宋简体" w:cs="Times New Roman" w:hAnsi="Times New Roman"/>
          <w:bCs w:val="0"/>
          <w:kern w:val="44"/>
          <w:szCs w:val="44"/>
          <w:lang w:val="en-US" w:eastAsia="zh-CN" w:bidi="ar-SA"/>
        </w:rPr>
        <w:t>部门概况</w:t>
      </w:r>
      <w:r>
        <w:tab/>
      </w:r>
      <w:r>
        <w:fldChar w:fldCharType="begin"/>
      </w:r>
      <w:r>
        <w:instrText>PageRef _Toc23102382 \h</w:instrText>
      </w:r>
      <w:r>
        <w:fldChar w:fldCharType="separate"/>
      </w:r>
      <w:r>
        <w:t>- 4 -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"_Toc23102383"</w:instrText>
      </w:r>
      <w:r>
        <w:fldChar w:fldCharType="separate"/>
      </w:r>
      <w:r>
        <w:rPr>
          <w:rFonts w:ascii="Times New Roman" w:eastAsia="黑体" w:hAnsi="Times New Roman" w:hint="eastAsia"/>
          <w:u w:color="auto"/>
          <w:shd w:val="clear" w:color="auto" w:fill="auto"/>
          <w:lang w:eastAsia="zh-CN"/>
          <w:highlight w:val="auto"/>
        </w:rPr>
        <w:t>一、</w:t>
      </w:r>
      <w:r>
        <w:rPr>
          <w:rFonts w:ascii="Times New Roman" w:eastAsia="黑体" w:hAnsi="Times New Roman"/>
          <w:lang w:eastAsia="zh-CN"/>
          <w:highlight w:val="auto"/>
        </w:rPr>
        <w:t>部门职责</w:t>
      </w:r>
      <w:r>
        <w:tab/>
      </w:r>
      <w:r>
        <w:fldChar w:fldCharType="begin"/>
      </w:r>
      <w:r>
        <w:instrText>PageRef _Toc23102383 \h</w:instrText>
      </w:r>
      <w:r>
        <w:fldChar w:fldCharType="separate"/>
      </w:r>
      <w:r>
        <w:t>- 4 -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"_Toc23102385"</w:instrText>
      </w:r>
      <w:r>
        <w:fldChar w:fldCharType="separate"/>
      </w:r>
      <w:r>
        <w:rPr>
          <w:rFonts w:ascii="Times New Roman" w:eastAsia="黑体" w:hAnsi="Times New Roman"/>
          <w:highlight w:val="auto"/>
        </w:rPr>
        <w:t>二、机</w:t>
      </w:r>
      <w:r>
        <w:rPr>
          <w:rFonts w:ascii="Times New Roman" w:eastAsia="黑体" w:cs="Times New Roman" w:hAnsi="Times New Roman"/>
          <w:bCs w:val="0"/>
          <w:kern w:val="2"/>
          <w:szCs w:val="32"/>
          <w:lang w:val="en-US" w:eastAsia="zh-CN" w:bidi="ar-SA"/>
        </w:rPr>
        <w:t>构设置</w:t>
      </w:r>
      <w:r>
        <w:tab/>
      </w:r>
      <w:r>
        <w:fldChar w:fldCharType="begin"/>
      </w:r>
      <w:r>
        <w:instrText>PageRef _Toc23102385 \h</w:instrText>
      </w:r>
      <w:r>
        <w:fldChar w:fldCharType="separate"/>
      </w:r>
      <w:r>
        <w:t>- 4 -</w:t>
      </w:r>
      <w:r>
        <w:fldChar w:fldCharType="end"/>
      </w:r>
      <w:r>
        <w:fldChar w:fldCharType="end"/>
      </w:r>
    </w:p>
    <w:p>
      <w:pPr>
        <w:pStyle w:val="23"/>
        <w:tabs>
          <w:tab w:val="right" w:leader="dot" w:pos="8296"/>
          <w:tab w:val="right" w:leader="dot" w:pos="8306"/>
        </w:tabs>
        <w:spacing w:line="300" w:lineRule="exact"/>
      </w:pPr>
      <w:r>
        <w:fldChar w:fldCharType="begin"/>
      </w:r>
      <w:r>
        <w:instrText>Hyperlink \l "_Toc23102387"</w:instrText>
      </w:r>
      <w:r>
        <w:fldChar w:fldCharType="separate"/>
      </w:r>
      <w:r>
        <w:rPr>
          <w:rFonts w:eastAsia="方正小标宋简体"/>
          <w:highlight w:val="auto"/>
        </w:rPr>
        <w:t>第二部分</w:t>
      </w:r>
      <w:r>
        <w:rPr>
          <w:rFonts w:eastAsia="方正小标宋简体"/>
          <w:lang w:val="en-US" w:eastAsia="zh-CN"/>
          <w:highlight w:val="auto"/>
        </w:rPr>
        <w:t xml:space="preserve"> </w:t>
      </w:r>
      <w:r>
        <w:rPr>
          <w:rFonts w:eastAsia="方正小标宋简体"/>
          <w:highlight w:val="auto"/>
        </w:rPr>
        <w:t xml:space="preserve"> </w:t>
      </w:r>
      <w:r>
        <w:rPr>
          <w:rFonts w:eastAsia="方正小标宋简体"/>
          <w:lang w:val="en-US" w:eastAsia="zh-CN"/>
          <w:highlight w:val="auto"/>
        </w:rPr>
        <w:t>2024年度</w:t>
      </w:r>
      <w:r>
        <w:rPr>
          <w:rFonts w:eastAsia="方正小标宋简体"/>
          <w:highlight w:val="auto"/>
        </w:rPr>
        <w:t>部门决算情况说明</w:t>
      </w:r>
      <w:r>
        <w:tab/>
      </w:r>
      <w:r>
        <w:fldChar w:fldCharType="begin"/>
      </w:r>
      <w:r>
        <w:instrText>PageRef _Toc23102387 \h</w:instrText>
      </w:r>
      <w:r>
        <w:fldChar w:fldCharType="separate"/>
      </w:r>
      <w:r>
        <w:t>- 5 -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"_Toc23102388"</w:instrText>
      </w:r>
      <w:r>
        <w:fldChar w:fldCharType="separate"/>
      </w:r>
      <w:r>
        <w:rPr>
          <w:rFonts w:eastAsia="黑体"/>
          <w:szCs w:val="32"/>
          <w:lang w:eastAsia="zh-CN"/>
          <w:highlight w:val="auto"/>
        </w:rPr>
        <w:t>一、</w:t>
      </w:r>
      <w:r>
        <w:rPr>
          <w:rFonts w:eastAsia="黑体"/>
          <w:szCs w:val="32"/>
          <w:highlight w:val="auto"/>
        </w:rPr>
        <w:t>收</w:t>
      </w:r>
      <w:r>
        <w:rPr>
          <w:rFonts w:ascii="Times New Roman" w:eastAsia="黑体" w:cs="Times New Roman" w:hAnsi="Times New Roman"/>
          <w:bCs/>
          <w:kern w:val="2"/>
          <w:szCs w:val="32"/>
          <w:lang w:val="en-US" w:eastAsia="zh-CN" w:bidi="ar-SA"/>
        </w:rPr>
        <w:t>入支出决算总体情况说明</w:t>
      </w:r>
      <w:r>
        <w:tab/>
      </w:r>
      <w:r>
        <w:fldChar w:fldCharType="begin"/>
      </w:r>
      <w:r>
        <w:instrText>PageRef _Toc23102388 \h</w:instrText>
      </w:r>
      <w:r>
        <w:fldChar w:fldCharType="separate"/>
      </w:r>
      <w:r>
        <w:t>- 5 -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"_Toc23102390"</w:instrText>
      </w:r>
      <w:r>
        <w:fldChar w:fldCharType="separate"/>
      </w:r>
      <w:r>
        <w:rPr>
          <w:rFonts w:eastAsia="黑体"/>
          <w:szCs w:val="32"/>
          <w:lang w:eastAsia="zh-CN"/>
          <w:highlight w:val="auto"/>
        </w:rPr>
        <w:t>二、收入决算情况说明</w:t>
      </w:r>
      <w:r>
        <w:tab/>
      </w:r>
      <w:r>
        <w:fldChar w:fldCharType="begin"/>
      </w:r>
      <w:r>
        <w:instrText>PageRef _Toc23102390 \h</w:instrText>
      </w:r>
      <w:r>
        <w:fldChar w:fldCharType="separate"/>
      </w:r>
      <w:r>
        <w:t>- 5 -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"_Toc23102392"</w:instrText>
      </w:r>
      <w:r>
        <w:fldChar w:fldCharType="separate"/>
      </w:r>
      <w:r>
        <w:rPr>
          <w:rFonts w:eastAsia="黑体"/>
          <w:szCs w:val="32"/>
          <w:lang w:eastAsia="zh-CN"/>
          <w:highlight w:val="auto"/>
        </w:rPr>
        <w:t>三、</w:t>
      </w:r>
      <w:r>
        <w:rPr>
          <w:rFonts w:eastAsia="黑体"/>
          <w:szCs w:val="32"/>
          <w:highlight w:val="auto"/>
        </w:rPr>
        <w:t>支</w:t>
      </w:r>
      <w:r>
        <w:rPr>
          <w:rFonts w:ascii="Times New Roman" w:eastAsia="黑体" w:cs="Times New Roman" w:hAnsi="Times New Roman"/>
          <w:bCs/>
          <w:kern w:val="2"/>
          <w:szCs w:val="32"/>
          <w:lang w:val="en-US" w:eastAsia="zh-CN" w:bidi="ar-SA"/>
        </w:rPr>
        <w:t>出决算情况说明</w:t>
      </w:r>
      <w:r>
        <w:tab/>
      </w:r>
      <w:r>
        <w:fldChar w:fldCharType="begin"/>
      </w:r>
      <w:r>
        <w:instrText>PageRef _Toc23102392 \h</w:instrText>
      </w:r>
      <w:r>
        <w:fldChar w:fldCharType="separate"/>
      </w:r>
      <w:r>
        <w:t>- 5 -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"_Toc23102394"</w:instrText>
      </w:r>
      <w:r>
        <w:fldChar w:fldCharType="separate"/>
      </w:r>
      <w:r>
        <w:rPr>
          <w:rFonts w:eastAsia="黑体"/>
          <w:szCs w:val="32"/>
          <w:highlight w:val="auto"/>
        </w:rPr>
        <w:t>四、财</w:t>
      </w:r>
      <w:r>
        <w:rPr>
          <w:rFonts w:ascii="Times New Roman" w:eastAsia="黑体" w:cs="Times New Roman" w:hAnsi="Times New Roman"/>
          <w:bCs/>
          <w:kern w:val="2"/>
          <w:szCs w:val="32"/>
          <w:lang w:val="en-US" w:eastAsia="zh-CN" w:bidi="ar-SA"/>
        </w:rPr>
        <w:t>政拨款收入支出决算总体情况说明</w:t>
      </w:r>
      <w:r>
        <w:tab/>
      </w:r>
      <w:r>
        <w:fldChar w:fldCharType="begin"/>
      </w:r>
      <w:r>
        <w:instrText>PageRef _Toc23102394 \h</w:instrText>
      </w:r>
      <w:r>
        <w:fldChar w:fldCharType="separate"/>
      </w:r>
      <w:r>
        <w:t>- 6 -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"_Toc23102395"</w:instrText>
      </w:r>
      <w:r>
        <w:fldChar w:fldCharType="separate"/>
      </w:r>
      <w:r>
        <w:rPr>
          <w:rFonts w:eastAsia="黑体"/>
          <w:szCs w:val="32"/>
          <w:highlight w:val="auto"/>
        </w:rPr>
        <w:t>五、一</w:t>
      </w:r>
      <w:r>
        <w:rPr>
          <w:rFonts w:ascii="Times New Roman" w:eastAsia="黑体" w:cs="Times New Roman" w:hAnsi="Times New Roman"/>
          <w:bCs/>
          <w:kern w:val="2"/>
          <w:szCs w:val="32"/>
          <w:lang w:val="en-US" w:eastAsia="zh-CN" w:bidi="ar-SA"/>
        </w:rPr>
        <w:t>般公共预算财政拨款支出决算情况说明</w:t>
      </w:r>
      <w:r>
        <w:tab/>
      </w:r>
      <w:r>
        <w:fldChar w:fldCharType="begin"/>
      </w:r>
      <w:r>
        <w:instrText>PageRef _Toc23102395 \h</w:instrText>
      </w:r>
      <w:r>
        <w:fldChar w:fldCharType="separate"/>
      </w:r>
      <w:r>
        <w:t>- 6 -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"_Toc23102396"</w:instrText>
      </w:r>
      <w:r>
        <w:fldChar w:fldCharType="separate"/>
      </w:r>
      <w:r>
        <w:rPr>
          <w:rFonts w:eastAsia="楷体_GB2312"/>
          <w:szCs w:val="32"/>
          <w:highlight w:val="auto"/>
        </w:rPr>
        <w:t>（一）一般公共预算财政拨款支出决算总体情况</w:t>
      </w:r>
      <w:r>
        <w:tab/>
      </w:r>
      <w:r>
        <w:fldChar w:fldCharType="begin"/>
      </w:r>
      <w:r>
        <w:instrText>PageRef _Toc23102396 \h</w:instrText>
      </w:r>
      <w:r>
        <w:fldChar w:fldCharType="separate"/>
      </w:r>
      <w:r>
        <w:t>- 6 -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"_Toc23102397"</w:instrText>
      </w:r>
      <w:r>
        <w:fldChar w:fldCharType="separate"/>
      </w:r>
      <w:r>
        <w:rPr>
          <w:rFonts w:eastAsia="楷体_GB2312"/>
          <w:szCs w:val="32"/>
          <w:highlight w:val="auto"/>
        </w:rPr>
        <w:t>（二）一般公共预算财政拨款支出决算结构情况</w:t>
      </w:r>
      <w:r>
        <w:tab/>
      </w:r>
      <w:r>
        <w:fldChar w:fldCharType="begin"/>
      </w:r>
      <w:r>
        <w:instrText>PageRef _Toc23102397 \h</w:instrText>
      </w:r>
      <w:r>
        <w:fldChar w:fldCharType="separate"/>
      </w:r>
      <w:r>
        <w:t>- 7 -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"_Toc23102398"</w:instrText>
      </w:r>
      <w:r>
        <w:fldChar w:fldCharType="separate"/>
      </w:r>
      <w:r>
        <w:rPr>
          <w:rFonts w:eastAsia="楷体_GB2312"/>
          <w:szCs w:val="32"/>
          <w:highlight w:val="auto"/>
        </w:rPr>
        <w:t>（三）一般公共预算财政拨款支出决算具体情况</w:t>
      </w:r>
      <w:r>
        <w:tab/>
      </w:r>
      <w:r>
        <w:fldChar w:fldCharType="begin"/>
      </w:r>
      <w:r>
        <w:instrText>PageRef _Toc23102398 \h</w:instrText>
      </w:r>
      <w:r>
        <w:fldChar w:fldCharType="separate"/>
      </w:r>
      <w:r>
        <w:t>- 7 -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"_Toc23102399"</w:instrText>
      </w:r>
      <w:r>
        <w:fldChar w:fldCharType="separate"/>
      </w:r>
      <w:r>
        <w:rPr>
          <w:rFonts w:eastAsia="黑体"/>
          <w:szCs w:val="32"/>
          <w:highlight w:val="auto"/>
        </w:rPr>
        <w:t>六、一</w:t>
      </w:r>
      <w:r>
        <w:rPr>
          <w:rFonts w:ascii="Times New Roman" w:eastAsia="黑体" w:cs="Times New Roman" w:hAnsi="Times New Roman"/>
          <w:bCs/>
          <w:kern w:val="2"/>
          <w:szCs w:val="32"/>
          <w:lang w:val="en-US" w:eastAsia="zh-CN" w:bidi="ar-SA"/>
        </w:rPr>
        <w:t>般公共预算财政拨款基本支出决算情况说明</w:t>
      </w:r>
      <w:r>
        <w:tab/>
      </w:r>
      <w:r>
        <w:fldChar w:fldCharType="begin"/>
      </w:r>
      <w:r>
        <w:instrText>PageRef _Toc23102399 \h</w:instrText>
      </w:r>
      <w:r>
        <w:fldChar w:fldCharType="separate"/>
      </w:r>
      <w:r>
        <w:t>- 8 -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"_Toc23102400"</w:instrText>
      </w:r>
      <w:r>
        <w:fldChar w:fldCharType="separate"/>
      </w:r>
      <w:r>
        <w:rPr>
          <w:rFonts w:eastAsia="黑体"/>
          <w:szCs w:val="32"/>
          <w:highlight w:val="auto"/>
        </w:rPr>
        <w:t>七、</w:t>
      </w:r>
      <w:r>
        <w:rPr>
          <w:rFonts w:ascii="Times New Roman" w:eastAsia="黑体" w:cs="Times New Roman" w:hAnsi="Times New Roman"/>
          <w:bCs/>
          <w:kern w:val="2"/>
          <w:szCs w:val="32"/>
          <w:lang w:val="en-US" w:eastAsia="zh-CN" w:bidi="ar-SA"/>
        </w:rPr>
        <w:t>财政拨款“三公”经费支出决算情况说明</w:t>
      </w:r>
      <w:r>
        <w:tab/>
      </w:r>
      <w:r>
        <w:fldChar w:fldCharType="begin"/>
      </w:r>
      <w:r>
        <w:instrText>PageRef _Toc23102400 \h</w:instrText>
      </w:r>
      <w:r>
        <w:fldChar w:fldCharType="separate"/>
      </w:r>
      <w:r>
        <w:t>- 9 -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"_Toc23102401"</w:instrText>
      </w:r>
      <w:r>
        <w:fldChar w:fldCharType="separate"/>
      </w:r>
      <w:r>
        <w:rPr>
          <w:rFonts w:eastAsia="楷体_GB2312"/>
          <w:szCs w:val="32"/>
          <w:highlight w:val="auto"/>
        </w:rPr>
        <w:t>（一）“三公”经费财政拨款支出决算总体情况说明</w:t>
      </w:r>
      <w:r>
        <w:tab/>
      </w:r>
      <w:r>
        <w:fldChar w:fldCharType="begin"/>
      </w:r>
      <w:r>
        <w:instrText>PageRef _Toc23102401 \h</w:instrText>
      </w:r>
      <w:r>
        <w:fldChar w:fldCharType="separate"/>
      </w:r>
      <w:r>
        <w:t>- 9 -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"_Toc23102402"</w:instrText>
      </w:r>
      <w:r>
        <w:fldChar w:fldCharType="separate"/>
      </w:r>
      <w:r>
        <w:rPr>
          <w:rFonts w:eastAsia="楷体_GB2312"/>
          <w:szCs w:val="32"/>
          <w:highlight w:val="auto"/>
        </w:rPr>
        <w:t>（二）“三公”经费财政拨款支出决算具体情况说明</w:t>
      </w:r>
      <w:r>
        <w:tab/>
      </w:r>
      <w:r>
        <w:fldChar w:fldCharType="begin"/>
      </w:r>
      <w:r>
        <w:instrText>PageRef _Toc23102402 \h</w:instrText>
      </w:r>
      <w:r>
        <w:fldChar w:fldCharType="separate"/>
      </w:r>
      <w:r>
        <w:t>- 9 -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"_Toc23102403"</w:instrText>
      </w:r>
      <w:r>
        <w:fldChar w:fldCharType="separate"/>
      </w:r>
      <w:r>
        <w:rPr>
          <w:rFonts w:eastAsia="黑体"/>
          <w:szCs w:val="32"/>
          <w:highlight w:val="auto"/>
        </w:rPr>
        <w:t>八、</w:t>
      </w:r>
      <w:r>
        <w:rPr>
          <w:rFonts w:ascii="Times New Roman" w:eastAsia="黑体" w:cs="Times New Roman" w:hAnsi="Times New Roman"/>
          <w:bCs/>
          <w:kern w:val="2"/>
          <w:szCs w:val="32"/>
          <w:lang w:val="en-US" w:eastAsia="zh-CN" w:bidi="ar-SA"/>
        </w:rPr>
        <w:t>政府性基金预算支出决算情况说明</w:t>
      </w:r>
      <w:r>
        <w:tab/>
      </w:r>
      <w:r>
        <w:fldChar w:fldCharType="begin"/>
      </w:r>
      <w:r>
        <w:instrText>PageRef _Toc23102403 \h</w:instrText>
      </w:r>
      <w:r>
        <w:fldChar w:fldCharType="separate"/>
      </w:r>
      <w:r>
        <w:t>- 10 -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"_Toc23102404"</w:instrText>
      </w:r>
      <w:r>
        <w:fldChar w:fldCharType="separate"/>
      </w:r>
      <w:r>
        <w:rPr>
          <w:rFonts w:ascii="Times New Roman" w:eastAsia="黑体" w:cs="Times New Roman" w:hAnsi="Times New Roman"/>
          <w:bCs/>
          <w:kern w:val="2"/>
          <w:szCs w:val="32"/>
          <w:lang w:val="en-US" w:eastAsia="zh-CN" w:bidi="ar-SA"/>
        </w:rPr>
        <w:t>九、国有资本经营预算支出决算情况说明</w:t>
      </w:r>
      <w:r>
        <w:tab/>
      </w:r>
      <w:r>
        <w:fldChar w:fldCharType="begin"/>
      </w:r>
      <w:r>
        <w:instrText>PageRef _Toc23102404 \h</w:instrText>
      </w:r>
      <w:r>
        <w:fldChar w:fldCharType="separate"/>
      </w:r>
      <w:r>
        <w:t>- 10 -</w:t>
      </w:r>
      <w:r>
        <w:fldChar w:fldCharType="end"/>
      </w:r>
      <w:r>
        <w:fldChar w:fldCharType="end"/>
      </w:r>
    </w:p>
    <w:p>
      <w:pPr>
        <w:pStyle w:val="24"/>
        <w:tabs>
          <w:tab w:val="right" w:leader="dot" w:pos="8296"/>
          <w:tab w:val="right" w:leader="dot" w:pos="8306"/>
        </w:tabs>
        <w:spacing w:line="300" w:lineRule="exact"/>
      </w:pPr>
      <w:r>
        <w:fldChar w:fldCharType="begin"/>
      </w:r>
      <w:r>
        <w:instrText>Hyperlink \l "_Toc23102405"</w:instrText>
      </w:r>
      <w:r>
        <w:fldChar w:fldCharType="separate"/>
      </w:r>
      <w:r>
        <w:rPr>
          <w:rFonts w:ascii="Times New Roman" w:eastAsia="黑体" w:cs="Times New Roman" w:hAnsi="Times New Roman"/>
          <w:bCs/>
          <w:kern w:val="2"/>
          <w:szCs w:val="32"/>
          <w:lang w:val="en-US" w:eastAsia="zh-CN" w:bidi="ar-SA"/>
        </w:rPr>
        <w:t>十、其他重要事项的情况说明</w:t>
      </w:r>
      <w:r>
        <w:tab/>
      </w:r>
      <w:r>
        <w:fldChar w:fldCharType="begin"/>
      </w:r>
      <w:r>
        <w:instrText>PageRef _Toc23102405 \h</w:instrText>
      </w:r>
      <w:r>
        <w:fldChar w:fldCharType="separate"/>
      </w:r>
      <w:r>
        <w:t>- 10 -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"_Toc23102406"</w:instrText>
      </w:r>
      <w:r>
        <w:fldChar w:fldCharType="separate"/>
      </w:r>
      <w:r>
        <w:rPr>
          <w:rFonts w:eastAsia="楷体_GB2312"/>
          <w:szCs w:val="32"/>
          <w:highlight w:val="auto"/>
        </w:rPr>
        <w:t>（一）机关运行经费支出情况</w:t>
      </w:r>
      <w:r>
        <w:tab/>
      </w:r>
      <w:r>
        <w:fldChar w:fldCharType="begin"/>
      </w:r>
      <w:r>
        <w:instrText>PageRef _Toc23102406 \h</w:instrText>
      </w:r>
      <w:r>
        <w:fldChar w:fldCharType="separate"/>
      </w:r>
      <w:r>
        <w:t>- 10 -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"_Toc23102407"</w:instrText>
      </w:r>
      <w:r>
        <w:fldChar w:fldCharType="separate"/>
      </w:r>
      <w:r>
        <w:rPr>
          <w:rFonts w:eastAsia="楷体_GB2312"/>
          <w:szCs w:val="32"/>
          <w:highlight w:val="auto"/>
        </w:rPr>
        <w:t>（二）政府采购支出情况</w:t>
      </w:r>
      <w:r>
        <w:tab/>
      </w:r>
      <w:r>
        <w:fldChar w:fldCharType="begin"/>
      </w:r>
      <w:r>
        <w:instrText>PageRef _Toc23102407 \h</w:instrText>
      </w:r>
      <w:r>
        <w:fldChar w:fldCharType="separate"/>
      </w:r>
      <w:r>
        <w:t>- 10 -</w:t>
      </w:r>
      <w:r>
        <w:fldChar w:fldCharType="end"/>
      </w:r>
      <w:r>
        <w:fldChar w:fldCharType="end"/>
      </w:r>
    </w:p>
    <w:p>
      <w:pPr>
        <w:pStyle w:val="19"/>
        <w:tabs>
          <w:tab w:val="right" w:leader="dot" w:pos="8296"/>
          <w:tab w:val="right" w:leader="dot" w:pos="8306"/>
        </w:tabs>
        <w:spacing w:line="300" w:lineRule="exact"/>
      </w:pPr>
      <w:r>
        <w:fldChar w:fldCharType="begin"/>
      </w:r>
      <w:r>
        <w:instrText>Hyperlink \l "_Toc23102408"</w:instrText>
      </w:r>
      <w:r>
        <w:fldChar w:fldCharType="separate"/>
      </w:r>
      <w:r>
        <w:rPr>
          <w:rFonts w:eastAsia="楷体_GB2312"/>
          <w:szCs w:val="32"/>
          <w:highlight w:val="auto"/>
        </w:rPr>
        <w:t>（三）国有资产占有使用情况</w:t>
      </w:r>
      <w:r>
        <w:tab/>
      </w:r>
      <w:r>
        <w:fldChar w:fldCharType="begin"/>
      </w:r>
      <w:r>
        <w:instrText>PageRef _Toc23102408 \h</w:instrText>
      </w:r>
      <w:r>
        <w:fldChar w:fldCharType="separate"/>
      </w:r>
      <w:r>
        <w:t>- 10 -</w:t>
      </w:r>
      <w:r>
        <w:fldChar w:fldCharType="end"/>
      </w:r>
      <w:r>
        <w:fldChar w:fldCharType="end"/>
      </w:r>
    </w:p>
    <w:p>
      <w:pPr>
        <w:pStyle w:val="23"/>
        <w:tabs>
          <w:tab w:val="right" w:leader="dot" w:pos="8296"/>
          <w:tab w:val="right" w:leader="dot" w:pos="8306"/>
        </w:tabs>
        <w:spacing w:line="300" w:lineRule="exact"/>
        <w:jc w:val="center"/>
      </w:pPr>
      <w:r>
        <w:fldChar w:fldCharType="begin"/>
      </w:r>
      <w:r>
        <w:instrText>Hyperlink \l "_Toc23102412"</w:instrText>
      </w:r>
      <w:r>
        <w:fldChar w:fldCharType="separate"/>
      </w:r>
      <w:r>
        <w:fldChar w:fldCharType="end"/>
      </w:r>
      <w:r>
        <w:rPr>
          <w:rFonts w:eastAsia="方正小标宋简体"/>
          <w:b w:val="0"/>
          <w:color w:val="auto"/>
          <w:highlight w:val="auto"/>
        </w:rPr>
        <w:fldChar w:fldCharType="end"/>
      </w:r>
      <w:r>
        <w:rPr>
          <w:rFonts w:eastAsia="黑体" w:hint="eastAsia"/>
          <w:szCs w:val="44"/>
        </w:rPr>
        <w:fldChar w:fldCharType="begin"/>
      </w:r>
      <w:r>
        <w:instrText>HYPERLINK  \l "_Toc23788768"</w:instrText>
      </w:r>
      <w:r>
        <w:rPr>
          <w:rFonts w:eastAsia="黑体" w:hint="eastAsia"/>
          <w:szCs w:val="44"/>
        </w:rPr>
        <w:fldChar w:fldCharType="separate"/>
      </w:r>
      <w:r>
        <w:rPr>
          <w:rFonts w:eastAsia="黑体" w:hint="eastAsia"/>
          <w:szCs w:val="44"/>
        </w:rPr>
        <w:t>第三部分  名词解释</w:t>
      </w:r>
      <w:r>
        <w:tab/>
      </w:r>
      <w:r>
        <w:fldChar w:fldCharType="begin"/>
      </w:r>
      <w:r>
        <w:instrText>PageRef _Toc23788768 \h</w:instrText>
      </w:r>
      <w:r>
        <w:fldChar w:fldCharType="separate"/>
      </w:r>
      <w:r>
        <w:t>- 12 -</w:t>
      </w:r>
      <w:r>
        <w:fldChar w:fldCharType="end"/>
      </w:r>
      <w:r>
        <w:rPr>
          <w:rFonts w:eastAsia="黑体" w:hint="eastAsia"/>
          <w:szCs w:val="44"/>
        </w:rPr>
        <w:fldChar w:fldCharType="end"/>
      </w:r>
    </w:p>
    <w:p>
      <w:pPr>
        <w:pStyle w:val="23"/>
        <w:tabs>
          <w:tab w:val="right" w:leader="dot" w:pos="8296"/>
        </w:tabs>
        <w:adjustRightInd w:val="0"/>
        <w:snapToGrid w:val="0"/>
        <w:spacing w:before="0" w:line="300" w:lineRule="exact"/>
        <w:jc w:val="left"/>
        <w:rPr>
          <w:rFonts w:ascii="Times New Roman" w:eastAsia="黑体" w:cs="黑体" w:hAnsi="Times New Roman"/>
          <w:sz w:val="32"/>
          <w:szCs w:val="32"/>
        </w:rPr>
      </w:pPr>
      <w:r>
        <w:rPr>
          <w:rFonts w:ascii="Times New Roman" w:eastAsia="黑体" w:cs="黑体" w:hAnsi="Times New Roman" w:hint="eastAsia"/>
          <w:sz w:val="32"/>
          <w:szCs w:val="32"/>
        </w:rPr>
        <w:t xml:space="preserve">第四部分 </w:t>
      </w:r>
      <w:r>
        <w:rPr>
          <w:rFonts w:ascii="Times New Roman" w:eastAsia="黑体" w:cs="黑体" w:hAnsi="Times New Roman"/>
          <w:sz w:val="32"/>
          <w:szCs w:val="32"/>
        </w:rPr>
        <w:t>附件</w:t>
      </w:r>
      <w:r>
        <w:fldChar w:fldCharType="begin"/>
      </w:r>
      <w:r>
        <w:instrText>HYPERLINK  \l "_Toc23788746"</w:instrText>
      </w:r>
      <w:r>
        <w:fldChar w:fldCharType="separate"/>
      </w:r>
      <w:r>
        <w:tab/>
      </w:r>
      <w:r>
        <w:fldChar w:fldCharType="begin"/>
      </w:r>
      <w:r>
        <w:instrText>PageRef _Toc23788746 \h</w:instrText>
      </w:r>
      <w:r>
        <w:fldChar w:fldCharType="separate"/>
      </w:r>
      <w:r>
        <w:t>- 14 -</w:t>
      </w:r>
      <w:r>
        <w:fldChar w:fldCharType="end"/>
      </w:r>
      <w:r>
        <w:fldChar w:fldCharType="end"/>
      </w:r>
    </w:p>
    <w:p>
      <w:pPr>
        <w:pStyle w:val="23"/>
        <w:tabs>
          <w:tab w:val="right" w:leader="dot" w:pos="8296"/>
        </w:tabs>
        <w:adjustRightInd w:val="0"/>
        <w:snapToGrid w:val="0"/>
        <w:spacing w:before="0" w:line="300" w:lineRule="exact"/>
        <w:jc w:val="left"/>
        <w:rPr>
          <w:rFonts w:ascii="Times New Roman" w:eastAsia="黑体" w:cs="黑体" w:hAnsi="Times New Roman"/>
          <w:sz w:val="32"/>
          <w:szCs w:val="32"/>
        </w:rPr>
      </w:pPr>
      <w:r>
        <w:rPr>
          <w:rFonts w:ascii="Times New Roman" w:eastAsia="黑体" w:cs="黑体" w:hAnsi="Times New Roman" w:hint="eastAsia"/>
          <w:sz w:val="32"/>
          <w:szCs w:val="32"/>
        </w:rPr>
        <w:t>第五部分 附表</w:t>
      </w:r>
      <w:r>
        <w:fldChar w:fldCharType="begin"/>
      </w:r>
      <w:r>
        <w:instrText>HYPERLINK  \l "_Toc23788746"</w:instrText>
      </w:r>
      <w:r>
        <w:fldChar w:fldCharType="separate"/>
      </w:r>
      <w:r>
        <w:tab/>
      </w:r>
      <w:r>
        <w:fldChar w:fldCharType="begin"/>
      </w:r>
      <w:r>
        <w:instrText>PageRef _Toc23788746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一、收入支出决算总表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二、收入决算表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三、支出决算表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四、财政拨款收入支出决算总表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五、财政拨款支出决算明细表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hint="eastAsia"/>
          <w:bCs/>
          <w:szCs w:val="32"/>
        </w:rPr>
      </w:pPr>
      <w:r>
        <w:rPr>
          <w:rFonts w:eastAsia="黑体" w:hint="eastAsia"/>
          <w:bCs/>
          <w:szCs w:val="32"/>
        </w:rPr>
        <w:t>六、一般公共预算财政拨款支出决算表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七、一般公共预算财政拨款支出决算明细表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八、一般公共预算财政拨款基本支出决算明细表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九、一般公共预算财政拨款项目支出决算表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十、政府性基金预算财政拨款收入支出决算表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24"/>
        <w:tabs>
          <w:tab w:val="right" w:leader="dot" w:pos="8296"/>
          <w:tab w:val="right" w:leader="dot" w:pos="8306"/>
        </w:tabs>
        <w:spacing w:line="300" w:lineRule="exact"/>
        <w:rPr>
          <w:rFonts w:eastAsia="黑体" w:cs="仿宋_GB2312" w:hint="eastAsia"/>
          <w:bCs/>
          <w:szCs w:val="32"/>
        </w:rPr>
      </w:pPr>
      <w:r>
        <w:rPr>
          <w:rFonts w:eastAsia="黑体" w:cs="仿宋_GB2312" w:hint="eastAsia"/>
          <w:bCs/>
          <w:szCs w:val="32"/>
        </w:rPr>
        <w:t>十一、国有资本经营预算财政拨款收入支出决算表</w:t>
      </w:r>
      <w:r>
        <w:fldChar w:fldCharType="begin"/>
      </w:r>
      <w:r>
        <w:instrText>HYPERLINK  \l "_Toc23788749"</w:instrText>
      </w:r>
      <w:r>
        <w:fldChar w:fldCharType="separate"/>
      </w:r>
      <w:r>
        <w:tab/>
      </w:r>
      <w:r>
        <w:fldChar w:fldCharType="begin"/>
      </w:r>
      <w:r>
        <w:instrText>PageRef _Toc23788749 \h</w:instrText>
      </w:r>
      <w:r>
        <w:fldChar w:fldCharType="separate"/>
      </w:r>
      <w:r>
        <w:t>- 19 -</w:t>
      </w:r>
      <w:r>
        <w:fldChar w:fldCharType="end"/>
      </w:r>
      <w:r>
        <w:fldChar w:fldCharType="end"/>
      </w:r>
    </w:p>
    <w:p>
      <w:pPr>
        <w:pStyle w:val="19"/>
        <w:tabs>
          <w:tab w:val="right" w:leader="dot" w:pos="8296"/>
          <w:tab w:val="right" w:leader="dot" w:pos="8306"/>
        </w:tabs>
        <w:spacing w:line="300" w:lineRule="exact"/>
        <w:ind w:leftChars="0" w:left="-16" w:firstLine="436"/>
      </w:pPr>
      <w:r>
        <w:rPr>
          <w:rFonts w:eastAsia="黑体" w:cs="仿宋_GB2312" w:hint="eastAsia"/>
          <w:bCs/>
          <w:szCs w:val="32"/>
        </w:rPr>
        <w:t>十二、国有资本经营预算财政拨款支出决算表</w:t>
      </w:r>
      <w:r>
        <w:fldChar w:fldCharType="begin"/>
      </w:r>
      <w:r>
        <w:instrText>HYPERLINK  \l "_Toc23788749"</w:instrText>
      </w:r>
      <w:r>
        <w:fldChar w:fldCharType="separate"/>
      </w:r>
      <w:r>
        <w:tab/>
      </w:r>
      <w:r>
        <w:fldChar w:fldCharType="begin"/>
      </w:r>
      <w:r>
        <w:instrText>PageRef _Toc23788749 \h</w:instrText>
      </w:r>
      <w:r>
        <w:fldChar w:fldCharType="separate"/>
      </w:r>
      <w:r>
        <w:t>- 19-</w:t>
      </w:r>
      <w:r>
        <w:fldChar w:fldCharType="end"/>
      </w:r>
      <w:r>
        <w:fldChar w:fldCharType="end"/>
      </w:r>
    </w:p>
    <w:p>
      <w:pPr>
        <w:rPr>
          <w:rFonts w:eastAsia="方正小标宋简体"/>
          <w:b w:val="0"/>
          <w:color w:val="auto"/>
          <w:highlight w:val="auto"/>
        </w:rPr>
      </w:pPr>
      <w:bookmarkStart w:id="9" w:name="_Toc23102360"/>
      <w:bookmarkStart w:id="10" w:name="_Toc23102382"/>
      <w:r>
        <w:rPr>
          <w:rFonts w:eastAsia="方正小标宋简体"/>
          <w:b w:val="0"/>
          <w:color w:val="auto"/>
          <w:highlight w:val="auto"/>
        </w:rPr>
        <w:br w:type="page"/>
      </w:r>
    </w:p>
    <w:p>
      <w:pPr>
        <w:pStyle w:val="1"/>
        <w:spacing w:line="576" w:lineRule="exact"/>
        <w:jc w:val="center"/>
        <w:rPr>
          <w:rStyle w:val="1Char"/>
          <w:rFonts w:eastAsia="方正小标宋简体"/>
          <w:b/>
          <w:bCs w:val="0"/>
          <w:color w:val="auto"/>
          <w:highlight w:val="auto"/>
        </w:rPr>
      </w:pPr>
      <w:r>
        <w:rPr>
          <w:rFonts w:eastAsia="方正小标宋简体"/>
          <w:b w:val="0"/>
          <w:color w:val="auto"/>
          <w:highlight w:val="auto"/>
        </w:rPr>
        <w:t>第一部分</w:t>
      </w:r>
      <w:r>
        <w:rPr>
          <w:rFonts w:eastAsia="方正小标宋简体"/>
          <w:b w:val="0"/>
          <w:color w:val="auto"/>
          <w:lang w:val="en-US" w:eastAsia="zh-CN"/>
          <w:highlight w:val="auto"/>
        </w:rPr>
        <w:t xml:space="preserve"> </w:t>
      </w:r>
      <w:r>
        <w:rPr>
          <w:rFonts w:eastAsia="方正小标宋简体"/>
          <w:b w:val="0"/>
          <w:color w:val="auto"/>
          <w:highlight w:val="auto"/>
        </w:rPr>
        <w:t xml:space="preserve"> </w:t>
      </w:r>
      <w:r>
        <w:rPr>
          <w:rStyle w:val="1Char"/>
          <w:rFonts w:eastAsia="方正小标宋简体"/>
          <w:b w:val="0"/>
          <w:bCs w:val="0"/>
          <w:color w:val="auto"/>
          <w:highlight w:val="auto"/>
        </w:rPr>
        <w:t>部门概况</w:t>
      </w:r>
      <w:bookmarkEnd w:id="7"/>
      <w:bookmarkEnd w:id="8"/>
      <w:bookmarkEnd w:id="9"/>
      <w:bookmarkEnd w:id="10"/>
    </w:p>
    <w:p>
      <w:pPr>
        <w:widowControl/>
        <w:spacing w:line="576" w:lineRule="exact"/>
        <w:jc w:val="left"/>
        <w:rPr>
          <w:rFonts w:eastAsia="黑体"/>
          <w:color w:val="auto"/>
          <w:sz w:val="32"/>
          <w:szCs w:val="32"/>
          <w:highlight w:val="auto"/>
        </w:rPr>
      </w:pPr>
    </w:p>
    <w:p>
      <w:pPr>
        <w:pStyle w:val="2"/>
        <w:numPr>
          <w:ilvl w:val="0"/>
          <w:numId w:val="1"/>
        </w:numPr>
        <w:spacing w:line="576" w:lineRule="exact"/>
        <w:rPr>
          <w:rFonts w:ascii="Times New Roman" w:eastAsia="黑体" w:hAnsi="Times New Roman"/>
          <w:b w:val="0"/>
          <w:color w:val="auto"/>
          <w:lang w:eastAsia="zh-CN"/>
          <w:highlight w:val="auto"/>
        </w:rPr>
      </w:pPr>
      <w:bookmarkStart w:id="11" w:name="_Toc15377197"/>
      <w:bookmarkStart w:id="12" w:name="_Toc15396600"/>
      <w:bookmarkStart w:id="13" w:name="_Toc23102361"/>
      <w:bookmarkStart w:id="14" w:name="_Toc23102383"/>
      <w:bookmarkEnd w:id="11"/>
      <w:bookmarkEnd w:id="12"/>
      <w:r>
        <w:rPr>
          <w:rFonts w:ascii="Times New Roman" w:eastAsia="黑体" w:hAnsi="Times New Roman"/>
          <w:b w:val="0"/>
          <w:color w:val="auto"/>
          <w:lang w:eastAsia="zh-CN"/>
          <w:highlight w:val="auto"/>
        </w:rPr>
        <w:t>部门职责</w:t>
      </w:r>
      <w:bookmarkEnd w:id="13"/>
      <w:bookmarkEnd w:id="14"/>
    </w:p>
    <w:p>
      <w:pPr>
        <w:pStyle w:val="32"/>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Style w:val="0"/>
          <w:rFonts w:eastAsia="仿宋_GB2312"/>
          <w:bCs/>
          <w:sz w:val="32"/>
          <w:szCs w:val="32"/>
        </w:rPr>
      </w:pPr>
      <w:bookmarkStart w:id="15" w:name="_Toc23102362"/>
      <w:bookmarkStart w:id="16" w:name="_Toc23102384"/>
      <w:r>
        <w:rPr>
          <w:rStyle w:val="0"/>
          <w:rFonts w:eastAsia="仿宋_GB2312"/>
          <w:bCs/>
          <w:sz w:val="32"/>
          <w:szCs w:val="32"/>
        </w:rPr>
        <w:t>内容涉密，不作表述。</w:t>
      </w:r>
      <w:bookmarkEnd w:id="15"/>
      <w:bookmarkEnd w:id="16"/>
    </w:p>
    <w:p>
      <w:pPr>
        <w:pStyle w:val="2"/>
        <w:spacing w:line="576" w:lineRule="exact"/>
        <w:rPr>
          <w:rStyle w:val="2Char"/>
          <w:rFonts w:ascii="Times New Roman" w:hAnsi="Times New Roman"/>
          <w:b w:val="0"/>
          <w:bCs w:val="0"/>
          <w:color w:val="auto"/>
          <w:highlight w:val="auto"/>
        </w:rPr>
      </w:pPr>
      <w:bookmarkStart w:id="17" w:name="_Toc15396601"/>
      <w:bookmarkStart w:id="18" w:name="_Toc15377200"/>
      <w:bookmarkStart w:id="19" w:name="_Toc23102363"/>
      <w:bookmarkStart w:id="20" w:name="_Toc23102385"/>
      <w:r>
        <w:rPr>
          <w:rFonts w:ascii="Times New Roman" w:eastAsia="黑体" w:hAnsi="Times New Roman"/>
          <w:b w:val="0"/>
          <w:color w:val="auto"/>
          <w:highlight w:val="auto"/>
        </w:rPr>
        <w:t>二、机</w:t>
      </w:r>
      <w:r>
        <w:rPr>
          <w:rStyle w:val="2Char"/>
          <w:rFonts w:ascii="Times New Roman" w:eastAsia="黑体" w:hAnsi="Times New Roman"/>
          <w:b w:val="0"/>
          <w:bCs w:val="0"/>
          <w:color w:val="auto"/>
          <w:highlight w:val="auto"/>
        </w:rPr>
        <w:t>构设置</w:t>
      </w:r>
      <w:bookmarkEnd w:id="17"/>
      <w:bookmarkEnd w:id="18"/>
      <w:bookmarkEnd w:id="19"/>
      <w:bookmarkEnd w:id="20"/>
    </w:p>
    <w:p>
      <w:pPr>
        <w:pStyle w:val="32"/>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Style w:val="0"/>
          <w:rFonts w:eastAsia="仿宋_GB2312"/>
          <w:bCs/>
          <w:sz w:val="32"/>
          <w:szCs w:val="32"/>
          <w:highlight w:val="auto"/>
        </w:rPr>
      </w:pPr>
      <w:bookmarkStart w:id="21" w:name="_Toc15378448"/>
      <w:bookmarkStart w:id="22" w:name="_Toc15377201"/>
      <w:bookmarkStart w:id="23" w:name="_Toc15306275"/>
      <w:bookmarkStart w:id="24" w:name="_Toc15377432"/>
      <w:bookmarkStart w:id="25" w:name="_Toc31994324"/>
      <w:bookmarkStart w:id="26" w:name="_Toc23102364"/>
      <w:bookmarkStart w:id="27" w:name="_Toc23102386"/>
      <w:r>
        <w:rPr>
          <w:rStyle w:val="0"/>
          <w:rFonts w:eastAsia="仿宋_GB2312"/>
          <w:bCs/>
          <w:sz w:val="32"/>
          <w:szCs w:val="32"/>
        </w:rPr>
        <w:t>内容涉密，不作表述。</w:t>
      </w:r>
      <w:bookmarkEnd w:id="21"/>
      <w:bookmarkEnd w:id="22"/>
      <w:bookmarkEnd w:id="23"/>
      <w:bookmarkEnd w:id="24"/>
      <w:bookmarkEnd w:id="25"/>
      <w:r>
        <w:rPr>
          <w:rStyle w:val="0"/>
          <w:rFonts w:eastAsia="仿宋_GB2312"/>
          <w:bCs/>
          <w:sz w:val="32"/>
          <w:szCs w:val="32"/>
        </w:rPr>
        <w:t>项目支出涉密，不作表述。</w:t>
      </w:r>
      <w:bookmarkEnd w:id="26"/>
      <w:bookmarkEnd w:id="27"/>
    </w:p>
    <w:p>
      <w:pPr>
        <w:widowControl/>
        <w:spacing w:line="576" w:lineRule="exact"/>
        <w:jc w:val="left"/>
        <w:rPr>
          <w:rFonts w:eastAsia="仿宋"/>
          <w:color w:val="auto"/>
          <w:kern w:val="0"/>
          <w:sz w:val="32"/>
          <w:szCs w:val="32"/>
          <w:highlight w:val="auto"/>
        </w:rPr>
      </w:pPr>
      <w:r>
        <w:rPr>
          <w:rFonts w:eastAsia="仿宋"/>
          <w:color w:val="auto"/>
          <w:sz w:val="32"/>
          <w:szCs w:val="32"/>
          <w:highlight w:val="auto"/>
        </w:rPr>
        <w:br w:type="page"/>
      </w:r>
    </w:p>
    <w:p>
      <w:pPr>
        <w:pStyle w:val="1"/>
        <w:spacing w:line="576" w:lineRule="exact"/>
        <w:jc w:val="center"/>
        <w:rPr>
          <w:rFonts w:eastAsia="方正小标宋简体"/>
          <w:b w:val="0"/>
          <w:color w:val="auto"/>
          <w:highlight w:val="auto"/>
        </w:rPr>
      </w:pPr>
      <w:bookmarkStart w:id="28" w:name="_Toc15377204"/>
      <w:bookmarkStart w:id="29" w:name="_Toc15396602"/>
      <w:bookmarkStart w:id="30" w:name="_Toc23102365"/>
      <w:bookmarkStart w:id="31" w:name="_Toc23102387"/>
      <w:r>
        <w:rPr>
          <w:rFonts w:eastAsia="方正小标宋简体"/>
          <w:b w:val="0"/>
          <w:color w:val="auto"/>
          <w:highlight w:val="auto"/>
        </w:rPr>
        <w:t>第二部分</w:t>
      </w:r>
      <w:r>
        <w:rPr>
          <w:rFonts w:eastAsia="方正小标宋简体"/>
          <w:b w:val="0"/>
          <w:color w:val="auto"/>
          <w:lang w:val="en-US" w:eastAsia="zh-CN"/>
          <w:highlight w:val="auto"/>
        </w:rPr>
        <w:t xml:space="preserve"> </w:t>
      </w:r>
      <w:r>
        <w:rPr>
          <w:rFonts w:eastAsia="方正小标宋简体"/>
          <w:b w:val="0"/>
          <w:color w:val="auto"/>
          <w:highlight w:val="auto"/>
        </w:rPr>
        <w:t xml:space="preserve"> </w:t>
      </w:r>
      <w:r>
        <w:rPr>
          <w:rFonts w:eastAsia="方正小标宋简体"/>
          <w:b w:val="0"/>
          <w:color w:val="auto"/>
          <w:lang w:val="en-US" w:eastAsia="zh-CN"/>
          <w:highlight w:val="auto"/>
        </w:rPr>
        <w:t>2024年度</w:t>
      </w:r>
      <w:r>
        <w:rPr>
          <w:rFonts w:eastAsia="方正小标宋简体"/>
          <w:b w:val="0"/>
          <w:color w:val="auto"/>
          <w:highlight w:val="auto"/>
        </w:rPr>
        <w:t>部门决算情况说明</w:t>
      </w:r>
      <w:bookmarkEnd w:id="28"/>
      <w:bookmarkEnd w:id="29"/>
      <w:bookmarkEnd w:id="30"/>
      <w:bookmarkEnd w:id="31"/>
    </w:p>
    <w:p>
      <w:pPr>
        <w:spacing w:line="576" w:lineRule="exact"/>
        <w:rPr>
          <w:color w:val="auto"/>
          <w:highlight w:val="auto"/>
        </w:rPr>
      </w:pPr>
    </w:p>
    <w:p>
      <w:pPr>
        <w:pStyle w:val="32"/>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outlineLvl w:val="1"/>
        <w:rPr>
          <w:rStyle w:val="2Char"/>
          <w:rFonts w:ascii="Times New Roman" w:eastAsia="黑体" w:hAnsi="Times New Roman"/>
          <w:b w:val="0"/>
          <w:color w:val="auto"/>
          <w:highlight w:val="auto"/>
        </w:rPr>
      </w:pPr>
      <w:bookmarkStart w:id="32" w:name="_Toc15377205"/>
      <w:bookmarkStart w:id="33" w:name="_Toc15396603"/>
      <w:bookmarkStart w:id="34" w:name="_Toc23102366"/>
      <w:bookmarkStart w:id="35" w:name="_Toc23102388"/>
      <w:r>
        <w:rPr>
          <w:rFonts w:eastAsia="黑体"/>
          <w:color w:val="auto"/>
          <w:sz w:val="32"/>
          <w:szCs w:val="32"/>
          <w:lang w:eastAsia="zh-CN"/>
          <w:highlight w:val="auto"/>
        </w:rPr>
        <w:t>一、</w:t>
      </w:r>
      <w:r>
        <w:rPr>
          <w:rFonts w:eastAsia="黑体"/>
          <w:color w:val="auto"/>
          <w:sz w:val="32"/>
          <w:szCs w:val="32"/>
          <w:highlight w:val="auto"/>
        </w:rPr>
        <w:t>收</w:t>
      </w:r>
      <w:r>
        <w:rPr>
          <w:rStyle w:val="2Char"/>
          <w:rFonts w:ascii="Times New Roman" w:eastAsia="黑体" w:hAnsi="Times New Roman"/>
          <w:b w:val="0"/>
          <w:color w:val="auto"/>
          <w:highlight w:val="auto"/>
        </w:rPr>
        <w:t>入支出决算总体情况说明</w:t>
      </w:r>
      <w:bookmarkEnd w:id="32"/>
      <w:bookmarkEnd w:id="33"/>
      <w:bookmarkEnd w:id="34"/>
      <w:bookmarkEnd w:id="35"/>
    </w:p>
    <w:p>
      <w:pPr>
        <w:pStyle w:val="32"/>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outlineLvl w:val="1"/>
        <w:rPr>
          <w:rFonts w:eastAsia="仿宋_GB2312"/>
          <w:color w:val="auto"/>
          <w:sz w:val="32"/>
          <w:szCs w:val="32"/>
          <w:lang w:eastAsia="zh-CN"/>
          <w:highlight w:val="auto"/>
        </w:rPr>
      </w:pPr>
      <w:bookmarkStart w:id="36" w:name="_Toc31994327"/>
      <w:bookmarkStart w:id="37" w:name="_Toc23102367"/>
      <w:bookmarkStart w:id="38" w:name="_Toc23102389"/>
      <w:r>
        <w:rPr>
          <w:rFonts w:eastAsia="仿宋_GB2312"/>
          <w:color w:val="auto"/>
          <w:sz w:val="32"/>
          <w:szCs w:val="32"/>
          <w:lang w:eastAsia="zh-CN"/>
          <w:highlight w:val="auto"/>
        </w:rPr>
        <w:t>2024年度收入</w:t>
      </w:r>
      <w:r>
        <w:rPr>
          <w:rFonts w:eastAsia="仿宋_GB2312"/>
          <w:color w:val="auto"/>
          <w:sz w:val="32"/>
          <w:szCs w:val="32"/>
          <w:highlight w:val="auto"/>
        </w:rPr>
        <w:t>、</w:t>
      </w:r>
      <w:r>
        <w:rPr>
          <w:rFonts w:eastAsia="仿宋_GB2312"/>
          <w:color w:val="auto"/>
          <w:sz w:val="32"/>
          <w:szCs w:val="32"/>
          <w:lang w:eastAsia="zh-CN"/>
          <w:highlight w:val="auto"/>
        </w:rPr>
        <w:t>支出</w:t>
      </w:r>
      <w:r>
        <w:rPr>
          <w:rFonts w:eastAsia="仿宋_GB2312"/>
          <w:color w:val="auto"/>
          <w:sz w:val="32"/>
          <w:szCs w:val="32"/>
          <w:highlight w:val="auto"/>
        </w:rPr>
        <w:t>总计</w:t>
      </w:r>
      <w:r>
        <w:rPr>
          <w:rFonts w:eastAsia="仿宋_GB2312"/>
          <w:color w:val="auto"/>
          <w:sz w:val="32"/>
          <w:szCs w:val="32"/>
          <w:lang w:eastAsia="zh-CN"/>
          <w:highlight w:val="auto"/>
        </w:rPr>
        <w:t>均为</w:t>
      </w:r>
      <w:r>
        <w:rPr>
          <w:rFonts w:eastAsia="仿宋_GB2312"/>
          <w:sz w:val="32"/>
          <w:szCs w:val="32"/>
        </w:rPr>
        <w:t>279.2</w:t>
      </w:r>
      <w:r>
        <w:rPr>
          <w:rFonts w:eastAsia="仿宋_GB2312"/>
          <w:color w:val="auto"/>
          <w:sz w:val="32"/>
          <w:szCs w:val="32"/>
          <w:highlight w:val="auto"/>
        </w:rPr>
        <w:t>万元。与</w:t>
      </w:r>
      <w:r>
        <w:rPr>
          <w:rFonts w:eastAsia="仿宋_GB2312"/>
          <w:color w:val="auto"/>
          <w:sz w:val="32"/>
          <w:szCs w:val="32"/>
          <w:lang w:eastAsia="zh-CN"/>
          <w:highlight w:val="auto"/>
        </w:rPr>
        <w:t>202</w:t>
      </w:r>
      <w:r>
        <w:rPr>
          <w:rFonts w:eastAsia="仿宋_GB2312"/>
          <w:color w:val="auto"/>
          <w:sz w:val="32"/>
          <w:szCs w:val="32"/>
          <w:lang w:val="en-US" w:eastAsia="zh-CN"/>
          <w:highlight w:val="auto"/>
        </w:rPr>
        <w:t>3</w:t>
      </w:r>
      <w:r>
        <w:rPr>
          <w:rFonts w:eastAsia="仿宋_GB2312"/>
          <w:color w:val="auto"/>
          <w:sz w:val="32"/>
          <w:szCs w:val="32"/>
          <w:highlight w:val="auto"/>
        </w:rPr>
        <w:t>年</w:t>
      </w:r>
      <w:r>
        <w:rPr>
          <w:rFonts w:eastAsia="仿宋_GB2312"/>
          <w:color w:val="auto"/>
          <w:sz w:val="32"/>
          <w:szCs w:val="32"/>
          <w:lang w:eastAsia="zh-CN"/>
          <w:highlight w:val="auto"/>
        </w:rPr>
        <w:t>度</w:t>
      </w:r>
      <w:r>
        <w:rPr>
          <w:rFonts w:eastAsia="仿宋_GB2312"/>
          <w:color w:val="auto"/>
          <w:sz w:val="32"/>
          <w:szCs w:val="32"/>
          <w:highlight w:val="auto"/>
        </w:rPr>
        <w:t>相比，</w:t>
      </w:r>
      <w:r>
        <w:rPr>
          <w:rFonts w:eastAsia="仿宋_GB2312"/>
          <w:color w:val="auto"/>
          <w:sz w:val="32"/>
          <w:szCs w:val="32"/>
          <w:lang w:eastAsia="zh-CN"/>
          <w:highlight w:val="auto"/>
        </w:rPr>
        <w:t>收入</w:t>
      </w:r>
      <w:r>
        <w:rPr>
          <w:rFonts w:eastAsia="仿宋_GB2312"/>
          <w:color w:val="auto"/>
          <w:sz w:val="32"/>
          <w:szCs w:val="32"/>
          <w:highlight w:val="auto"/>
        </w:rPr>
        <w:t>、</w:t>
      </w:r>
      <w:r>
        <w:rPr>
          <w:rFonts w:eastAsia="仿宋_GB2312"/>
          <w:color w:val="auto"/>
          <w:sz w:val="32"/>
          <w:szCs w:val="32"/>
          <w:lang w:eastAsia="zh-CN"/>
          <w:highlight w:val="auto"/>
        </w:rPr>
        <w:t>支出</w:t>
      </w:r>
      <w:r>
        <w:rPr>
          <w:rFonts w:eastAsia="仿宋_GB2312"/>
          <w:color w:val="auto"/>
          <w:sz w:val="32"/>
          <w:szCs w:val="32"/>
          <w:highlight w:val="auto"/>
        </w:rPr>
        <w:t>总计各增加19.89万元，增长7.67%。主要变动原因是2024年度人员增加及职务职级变动。</w:t>
      </w:r>
      <w:bookmarkEnd w:id="36"/>
      <w:bookmarkEnd w:id="37"/>
      <w:bookmarkEnd w:id="38"/>
    </w:p>
    <w:p>
      <w:pPr>
        <w:keepNext w:val="0"/>
        <w:keepLines w:val="0"/>
        <w:pageBreakBefore w:val="0"/>
        <w:widowControl w:val="0"/>
        <w:kinsoku/>
        <w:wordWrap/>
        <w:overflowPunct/>
        <w:topLinePunct w:val="0"/>
        <w:autoSpaceDE/>
        <w:autoSpaceDN/>
        <w:adjustRightInd/>
        <w:snapToGrid/>
        <w:spacing w:line="576" w:lineRule="exact"/>
        <w:ind w:firstLineChars="200" w:firstLine="420"/>
        <w:jc w:val="center"/>
      </w:pPr>
      <w:r>
        <w:drawing>
          <wp:anchor distT="0" distB="0" distL="85723" distR="85723" simplePos="0" relativeHeight="18" behindDoc="0" locked="0" layoutInCell="1" hidden="0" allowOverlap="1">
            <wp:simplePos x="0" y="0"/>
            <wp:positionH relativeFrom="column">
              <wp:posOffset>536916</wp:posOffset>
            </wp:positionH>
            <wp:positionV relativeFrom="paragraph">
              <wp:posOffset>80008</wp:posOffset>
            </wp:positionV>
            <wp:extent cx="4124261" cy="1809721"/>
            <wp:effectExtent l="0" t="0" r="0" b="0"/>
            <wp:wrapNone/>
            <wp:docPr id="1" name="对象"/>
            <wp:cNvGraphicFramePr>
              <a:graphicFrameLocks noChangeAspect="1"/>
            </wp:cNvGraphicFramePr>
            <a:graphic>
              <a:graphicData uri="http://schemas.openxmlformats.org/drawingml/2006/chart">
                <c:chart xmlns:c="http://schemas.openxmlformats.org/drawingml/2006/chart" r:id="rId3"/>
              </a:graphicData>
            </a:graphic>
          </wp:anchor>
        </w:drawing>
      </w: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jc w:val="center"/>
        <w:textAlignment w:val="auto"/>
        <w:rPr>
          <w:rFonts w:eastAsia="仿宋_GB2312"/>
          <w:color w:val="auto"/>
          <w:sz w:val="32"/>
          <w:szCs w:val="32"/>
          <w:highlight w:val="auto"/>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jc w:val="center"/>
        <w:textAlignment w:val="auto"/>
        <w:rPr>
          <w:rFonts w:eastAsia="仿宋_GB2312"/>
          <w:color w:val="auto"/>
          <w:sz w:val="32"/>
          <w:szCs w:val="32"/>
          <w:highlight w:val="auto"/>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jc w:val="center"/>
        <w:textAlignment w:val="auto"/>
        <w:rPr>
          <w:rFonts w:eastAsia="仿宋_GB2312"/>
          <w:color w:val="auto"/>
          <w:sz w:val="32"/>
          <w:szCs w:val="32"/>
          <w:highlight w:val="auto"/>
        </w:rPr>
      </w:pPr>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jc w:val="center"/>
        <w:textAlignment w:val="auto"/>
        <w:rPr>
          <w:rFonts w:eastAsia="仿宋_GB2312"/>
          <w:color w:val="auto"/>
          <w:sz w:val="32"/>
          <w:szCs w:val="32"/>
          <w:highlight w:val="auto"/>
        </w:rPr>
      </w:pPr>
    </w:p>
    <w:p>
      <w:pPr>
        <w:keepNext w:val="0"/>
        <w:keepLines w:val="0"/>
        <w:pageBreakBefore w:val="0"/>
        <w:widowControl w:val="0"/>
        <w:kinsoku/>
        <w:wordWrap/>
        <w:overflowPunct/>
        <w:topLinePunct w:val="0"/>
        <w:autoSpaceDE/>
        <w:autoSpaceDN/>
        <w:adjustRightInd/>
        <w:snapToGrid/>
        <w:spacing w:line="576" w:lineRule="exact"/>
        <w:ind w:firstLineChars="200" w:firstLine="640"/>
        <w:jc w:val="center"/>
        <w:rPr>
          <w:rFonts w:eastAsia="仿宋_GB2312"/>
          <w:color w:val="auto"/>
          <w:sz w:val="32"/>
          <w:szCs w:val="32"/>
          <w:highlight w:val="auto"/>
        </w:rPr>
      </w:pPr>
      <w:r>
        <w:rPr>
          <w:rFonts w:eastAsia="仿宋_GB2312"/>
          <w:color w:val="auto"/>
          <w:sz w:val="32"/>
          <w:szCs w:val="32"/>
          <w:highlight w:val="auto"/>
        </w:rPr>
        <w:t>（图1：</w:t>
      </w:r>
      <w:r>
        <w:rPr>
          <w:rFonts w:eastAsia="仿宋_GB2312"/>
          <w:color w:val="auto"/>
          <w:sz w:val="32"/>
          <w:szCs w:val="32"/>
          <w:lang w:eastAsia="zh-CN"/>
          <w:highlight w:val="auto"/>
        </w:rPr>
        <w:t>收入</w:t>
      </w:r>
      <w:r>
        <w:rPr>
          <w:rFonts w:eastAsia="仿宋_GB2312"/>
          <w:color w:val="auto"/>
          <w:sz w:val="32"/>
          <w:szCs w:val="32"/>
          <w:highlight w:val="auto"/>
        </w:rPr>
        <w:t>、</w:t>
      </w:r>
      <w:r>
        <w:rPr>
          <w:rFonts w:eastAsia="仿宋_GB2312"/>
          <w:color w:val="auto"/>
          <w:sz w:val="32"/>
          <w:szCs w:val="32"/>
          <w:lang w:eastAsia="zh-CN"/>
          <w:highlight w:val="auto"/>
        </w:rPr>
        <w:t>支出</w:t>
      </w:r>
      <w:r>
        <w:rPr>
          <w:rFonts w:eastAsia="仿宋_GB2312"/>
          <w:color w:val="auto"/>
          <w:sz w:val="32"/>
          <w:szCs w:val="32"/>
          <w:highlight w:val="auto"/>
        </w:rPr>
        <w:t>决算总计变动情况图）</w:t>
      </w:r>
    </w:p>
    <w:p>
      <w:pPr>
        <w:pStyle w:val="32"/>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outlineLvl w:val="1"/>
        <w:rPr>
          <w:rFonts w:eastAsia="黑体"/>
          <w:color w:val="auto"/>
          <w:sz w:val="32"/>
          <w:szCs w:val="32"/>
          <w:lang w:eastAsia="zh-CN"/>
          <w:highlight w:val="auto"/>
        </w:rPr>
      </w:pPr>
      <w:bookmarkStart w:id="39" w:name="_Toc15377206"/>
      <w:bookmarkStart w:id="40" w:name="_Toc15396604"/>
      <w:bookmarkStart w:id="41" w:name="_Toc23102368"/>
      <w:bookmarkStart w:id="42" w:name="_Toc23102390"/>
      <w:r>
        <w:rPr>
          <w:rFonts w:eastAsia="黑体"/>
          <w:color w:val="auto"/>
          <w:sz w:val="32"/>
          <w:szCs w:val="32"/>
          <w:lang w:eastAsia="zh-CN"/>
          <w:highlight w:val="auto"/>
        </w:rPr>
        <w:t>二、收入决算情况说明</w:t>
      </w:r>
      <w:bookmarkEnd w:id="39"/>
      <w:bookmarkEnd w:id="40"/>
      <w:bookmarkEnd w:id="41"/>
      <w:bookmarkEnd w:id="42"/>
    </w:p>
    <w:p>
      <w:pPr>
        <w:pStyle w:val="32"/>
        <w:keepNext w:val="0"/>
        <w:keepLines w:val="0"/>
        <w:pageBreakBefore w:val="0"/>
        <w:widowControl w:val="0"/>
        <w:kinsoku/>
        <w:wordWrap/>
        <w:overflowPunct/>
        <w:topLinePunct w:val="0"/>
        <w:autoSpaceDE/>
        <w:autoSpaceDN/>
        <w:bidi w:val="0"/>
        <w:adjustRightInd/>
        <w:snapToGrid/>
        <w:spacing w:line="576" w:lineRule="exact"/>
        <w:ind w:left="0" w:firstLineChars="200" w:firstLine="640"/>
        <w:jc w:val="left"/>
        <w:textAlignment w:val="auto"/>
        <w:outlineLvl w:val="1"/>
        <w:rPr>
          <w:rFonts w:eastAsia="仿宋_GB2312"/>
          <w:color w:val="auto"/>
          <w:sz w:val="32"/>
          <w:szCs w:val="32"/>
          <w:lang w:eastAsia="zh-CN"/>
          <w:highlight w:val="auto"/>
        </w:rPr>
      </w:pPr>
      <w:bookmarkStart w:id="43" w:name="_Toc31994329"/>
      <w:bookmarkStart w:id="44" w:name="_Toc23102369"/>
      <w:bookmarkStart w:id="45" w:name="_Toc23102391"/>
      <w:r>
        <w:rPr>
          <w:rFonts w:eastAsia="仿宋_GB2312"/>
          <w:color w:val="auto"/>
          <w:sz w:val="32"/>
          <w:szCs w:val="32"/>
          <w:lang w:eastAsia="zh-CN"/>
          <w:highlight w:val="auto"/>
        </w:rPr>
        <w:t>2024年度本年收入合计</w:t>
      </w:r>
      <w:r>
        <w:rPr>
          <w:rFonts w:eastAsia="仿宋_GB2312"/>
          <w:sz w:val="32"/>
          <w:szCs w:val="32"/>
        </w:rPr>
        <w:t>279.2万元，其中：一般公共预算财政拨款收入279.2</w:t>
      </w:r>
      <w:r>
        <w:rPr>
          <w:rFonts w:eastAsia="仿宋_GB2312"/>
          <w:color w:val="auto"/>
          <w:sz w:val="32"/>
          <w:szCs w:val="32"/>
          <w:lang w:eastAsia="zh-CN"/>
          <w:highlight w:val="auto"/>
        </w:rPr>
        <w:t>万元，占</w:t>
      </w:r>
      <w:r>
        <w:rPr>
          <w:rFonts w:eastAsia="仿宋_GB2312"/>
          <w:sz w:val="32"/>
          <w:szCs w:val="32"/>
        </w:rPr>
        <w:t>100</w:t>
      </w:r>
      <w:r>
        <w:rPr>
          <w:rFonts w:eastAsia="仿宋_GB2312"/>
          <w:color w:val="auto"/>
          <w:sz w:val="32"/>
          <w:szCs w:val="32"/>
          <w:lang w:eastAsia="zh-CN"/>
          <w:highlight w:val="auto"/>
        </w:rPr>
        <w:t>%。</w:t>
      </w:r>
      <w:bookmarkEnd w:id="43"/>
      <w:bookmarkEnd w:id="44"/>
      <w:bookmarkEnd w:id="45"/>
    </w:p>
    <w:p>
      <w:pPr>
        <w:pStyle w:val="32"/>
        <w:keepNext w:val="0"/>
        <w:keepLines w:val="0"/>
        <w:pageBreakBefore w:val="0"/>
        <w:widowControl w:val="0"/>
        <w:kinsoku/>
        <w:wordWrap/>
        <w:overflowPunct/>
        <w:topLinePunct w:val="0"/>
        <w:autoSpaceDE/>
        <w:autoSpaceDN/>
        <w:adjustRightInd/>
        <w:snapToGrid/>
        <w:spacing w:line="576" w:lineRule="exact"/>
        <w:ind w:firstLineChars="200" w:firstLine="420"/>
        <w:jc w:val="center"/>
        <w:outlineLvl w:val="1"/>
      </w:pPr>
      <w:r>
        <w:drawing>
          <wp:anchor distT="0" distB="0" distL="85723" distR="85723" simplePos="0" relativeHeight="20" behindDoc="0" locked="0" layoutInCell="1" hidden="0" allowOverlap="1">
            <wp:simplePos x="0" y="0"/>
            <wp:positionH relativeFrom="column">
              <wp:posOffset>689313</wp:posOffset>
            </wp:positionH>
            <wp:positionV relativeFrom="paragraph">
              <wp:posOffset>22859</wp:posOffset>
            </wp:positionV>
            <wp:extent cx="4124261" cy="1809722"/>
            <wp:effectExtent l="0" t="0" r="0" b="0"/>
            <wp:wrapNone/>
            <wp:docPr id="2" name="对象"/>
            <wp:cNvGraphicFramePr>
              <a:graphicFrameLocks noChangeAspect="1"/>
            </wp:cNvGraphicFramePr>
            <a:graphic>
              <a:graphicData uri="http://schemas.openxmlformats.org/drawingml/2006/chart">
                <c:chart xmlns:c="http://schemas.openxmlformats.org/drawingml/2006/chart" r:id="rId4"/>
              </a:graphicData>
            </a:graphic>
          </wp:anchor>
        </w:drawing>
      </w: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r>
        <w:rPr>
          <w:rFonts w:eastAsia="仿宋_GB2312"/>
          <w:color w:val="auto"/>
          <w:sz w:val="32"/>
          <w:szCs w:val="32"/>
          <w:lang w:eastAsia="zh-CN"/>
          <w:highlight w:val="auto"/>
        </w:rPr>
        <w:t>（图2：收入决算结构图）</w:t>
      </w:r>
    </w:p>
    <w:p>
      <w:pPr>
        <w:pStyle w:val="32"/>
        <w:keepNext w:val="0"/>
        <w:keepLines w:val="0"/>
        <w:pageBreakBefore w:val="0"/>
        <w:widowControl w:val="0"/>
        <w:kinsoku/>
        <w:wordWrap/>
        <w:overflowPunct/>
        <w:topLinePunct w:val="0"/>
        <w:autoSpaceDE/>
        <w:autoSpaceDN/>
        <w:bidi w:val="0"/>
        <w:adjustRightInd/>
        <w:snapToGrid/>
        <w:spacing w:line="576" w:lineRule="exact"/>
        <w:ind w:left="0" w:firstLineChars="200" w:firstLine="640"/>
        <w:textAlignment w:val="auto"/>
        <w:outlineLvl w:val="1"/>
        <w:rPr>
          <w:rStyle w:val="2Char"/>
          <w:rFonts w:ascii="Times New Roman" w:eastAsia="黑体" w:hAnsi="Times New Roman"/>
          <w:b w:val="0"/>
          <w:color w:val="auto"/>
          <w:highlight w:val="auto"/>
        </w:rPr>
      </w:pPr>
      <w:bookmarkStart w:id="46" w:name="_Toc15377207"/>
      <w:bookmarkStart w:id="47" w:name="_Toc15396605"/>
      <w:bookmarkStart w:id="48" w:name="_Toc23102370"/>
      <w:bookmarkStart w:id="49" w:name="_Toc23102392"/>
      <w:r>
        <w:rPr>
          <w:rFonts w:eastAsia="黑体"/>
          <w:color w:val="auto"/>
          <w:sz w:val="32"/>
          <w:szCs w:val="32"/>
          <w:lang w:eastAsia="zh-CN"/>
          <w:highlight w:val="auto"/>
        </w:rPr>
        <w:t>三、</w:t>
      </w:r>
      <w:r>
        <w:rPr>
          <w:rFonts w:eastAsia="黑体"/>
          <w:color w:val="auto"/>
          <w:sz w:val="32"/>
          <w:szCs w:val="32"/>
          <w:highlight w:val="auto"/>
        </w:rPr>
        <w:t>支</w:t>
      </w:r>
      <w:r>
        <w:rPr>
          <w:rStyle w:val="2Char"/>
          <w:rFonts w:ascii="Times New Roman" w:eastAsia="黑体" w:hAnsi="Times New Roman"/>
          <w:b w:val="0"/>
          <w:color w:val="auto"/>
          <w:highlight w:val="auto"/>
        </w:rPr>
        <w:t>出决算情况说明</w:t>
      </w:r>
      <w:bookmarkEnd w:id="46"/>
      <w:bookmarkEnd w:id="47"/>
      <w:bookmarkEnd w:id="48"/>
      <w:bookmarkEnd w:id="49"/>
    </w:p>
    <w:p>
      <w:pPr>
        <w:pStyle w:val="32"/>
        <w:keepNext w:val="0"/>
        <w:keepLines w:val="0"/>
        <w:pageBreakBefore w:val="0"/>
        <w:widowControl w:val="0"/>
        <w:kinsoku/>
        <w:wordWrap/>
        <w:overflowPunct/>
        <w:topLinePunct w:val="0"/>
        <w:autoSpaceDE/>
        <w:autoSpaceDN/>
        <w:bidi w:val="0"/>
        <w:adjustRightInd/>
        <w:snapToGrid/>
        <w:spacing w:line="576" w:lineRule="exact"/>
        <w:ind w:left="0" w:firstLineChars="200" w:firstLine="640"/>
        <w:jc w:val="left"/>
        <w:textAlignment w:val="auto"/>
        <w:outlineLvl w:val="1"/>
        <w:rPr>
          <w:rFonts w:eastAsia="仿宋_GB2312"/>
          <w:color w:val="auto"/>
          <w:sz w:val="32"/>
          <w:szCs w:val="32"/>
          <w:lang w:eastAsia="zh-CN"/>
          <w:highlight w:val="auto"/>
        </w:rPr>
      </w:pPr>
      <w:bookmarkStart w:id="50" w:name="_Toc31994331"/>
      <w:bookmarkStart w:id="51" w:name="_Toc23102371"/>
      <w:bookmarkStart w:id="52" w:name="_Toc23102393"/>
      <w:r>
        <w:rPr>
          <w:rFonts w:eastAsia="仿宋_GB2312"/>
          <w:color w:val="auto"/>
          <w:sz w:val="32"/>
          <w:szCs w:val="32"/>
          <w:lang w:eastAsia="zh-CN"/>
          <w:highlight w:val="auto"/>
        </w:rPr>
        <w:t>2024年度本年支出合计</w:t>
      </w:r>
      <w:r>
        <w:rPr>
          <w:rFonts w:eastAsia="仿宋_GB2312"/>
          <w:sz w:val="32"/>
          <w:szCs w:val="32"/>
        </w:rPr>
        <w:t>279.2</w:t>
      </w:r>
      <w:r>
        <w:rPr>
          <w:rFonts w:eastAsia="仿宋_GB2312"/>
          <w:color w:val="auto"/>
          <w:sz w:val="32"/>
          <w:szCs w:val="32"/>
          <w:lang w:eastAsia="zh-CN"/>
          <w:highlight w:val="auto"/>
        </w:rPr>
        <w:t>万元，其中：基本支出</w:t>
      </w:r>
      <w:r>
        <w:rPr>
          <w:rFonts w:eastAsia="仿宋_GB2312"/>
          <w:sz w:val="32"/>
          <w:szCs w:val="32"/>
        </w:rPr>
        <w:t>279.2</w:t>
      </w:r>
      <w:r>
        <w:rPr>
          <w:rFonts w:eastAsia="仿宋_GB2312"/>
          <w:color w:val="auto"/>
          <w:sz w:val="32"/>
          <w:szCs w:val="32"/>
          <w:lang w:eastAsia="zh-CN"/>
          <w:highlight w:val="auto"/>
        </w:rPr>
        <w:t>万元，占</w:t>
      </w:r>
      <w:r>
        <w:rPr>
          <w:rFonts w:eastAsia="仿宋_GB2312"/>
          <w:sz w:val="32"/>
          <w:szCs w:val="32"/>
        </w:rPr>
        <w:t>100</w:t>
      </w:r>
      <w:r>
        <w:rPr>
          <w:rFonts w:eastAsia="仿宋_GB2312"/>
          <w:color w:val="auto"/>
          <w:sz w:val="32"/>
          <w:szCs w:val="32"/>
          <w:lang w:eastAsia="zh-CN"/>
          <w:highlight w:val="auto"/>
        </w:rPr>
        <w:t>%</w:t>
      </w:r>
      <w:bookmarkEnd w:id="50"/>
      <w:bookmarkEnd w:id="51"/>
      <w:bookmarkEnd w:id="52"/>
    </w:p>
    <w:p>
      <w:pPr>
        <w:pStyle w:val="32"/>
        <w:keepNext w:val="0"/>
        <w:keepLines w:val="0"/>
        <w:pageBreakBefore w:val="0"/>
        <w:widowControl w:val="0"/>
        <w:kinsoku/>
        <w:wordWrap/>
        <w:overflowPunct/>
        <w:topLinePunct w:val="0"/>
        <w:autoSpaceDE/>
        <w:autoSpaceDN/>
        <w:adjustRightInd/>
        <w:snapToGrid/>
        <w:spacing w:line="576" w:lineRule="exact"/>
        <w:ind w:firstLineChars="200" w:firstLine="420"/>
        <w:jc w:val="center"/>
        <w:outlineLvl w:val="1"/>
      </w:pPr>
      <w:r>
        <w:drawing>
          <wp:anchor distT="0" distB="0" distL="85723" distR="85723" simplePos="0" relativeHeight="22" behindDoc="0" locked="0" layoutInCell="1" hidden="0" allowOverlap="1">
            <wp:simplePos x="0" y="0"/>
            <wp:positionH relativeFrom="column">
              <wp:posOffset>708363</wp:posOffset>
            </wp:positionH>
            <wp:positionV relativeFrom="paragraph">
              <wp:posOffset>89533</wp:posOffset>
            </wp:positionV>
            <wp:extent cx="4114736" cy="1809722"/>
            <wp:effectExtent l="0" t="0" r="0" b="0"/>
            <wp:wrapNone/>
            <wp:docPr id="3" name="对象"/>
            <wp:cNvGraphicFramePr>
              <a:graphicFrameLocks noChangeAspect="1"/>
            </wp:cNvGraphicFramePr>
            <a:graphic>
              <a:graphicData uri="http://schemas.openxmlformats.org/drawingml/2006/chart">
                <c:chart xmlns:c="http://schemas.openxmlformats.org/drawingml/2006/chart" r:id="rId5"/>
              </a:graphicData>
            </a:graphic>
          </wp:anchor>
        </w:drawing>
      </w: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p>
    <w:p>
      <w:pPr>
        <w:spacing w:line="576" w:lineRule="exact"/>
        <w:ind w:firstLineChars="250" w:firstLine="800"/>
        <w:jc w:val="center"/>
        <w:rPr>
          <w:rFonts w:eastAsia="仿宋_GB2312"/>
          <w:color w:val="auto"/>
          <w:sz w:val="32"/>
          <w:szCs w:val="32"/>
          <w:lang w:eastAsia="zh-CN"/>
          <w:highlight w:val="auto"/>
        </w:rPr>
      </w:pPr>
      <w:r>
        <w:rPr>
          <w:rFonts w:eastAsia="仿宋_GB2312"/>
          <w:color w:val="auto"/>
          <w:sz w:val="32"/>
          <w:szCs w:val="32"/>
          <w:lang w:eastAsia="zh-CN"/>
          <w:highlight w:val="auto"/>
        </w:rPr>
        <w:t>（图3：支出决算结构图）</w:t>
      </w:r>
    </w:p>
    <w:p>
      <w:pPr>
        <w:spacing w:line="576" w:lineRule="exact"/>
        <w:ind w:firstLineChars="200" w:firstLine="640"/>
        <w:outlineLvl w:val="1"/>
        <w:rPr>
          <w:rStyle w:val="2Char"/>
          <w:rFonts w:ascii="Times New Roman" w:eastAsia="黑体" w:hAnsi="Times New Roman"/>
          <w:b w:val="0"/>
          <w:color w:val="auto"/>
          <w:highlight w:val="auto"/>
        </w:rPr>
      </w:pPr>
      <w:bookmarkStart w:id="53" w:name="_Toc15377208"/>
      <w:bookmarkStart w:id="54" w:name="_Toc15396606"/>
      <w:bookmarkStart w:id="55" w:name="_Toc23102372"/>
      <w:bookmarkStart w:id="56" w:name="_Toc23102394"/>
      <w:r>
        <w:rPr>
          <w:rFonts w:eastAsia="黑体"/>
          <w:color w:val="auto"/>
          <w:sz w:val="32"/>
          <w:szCs w:val="32"/>
          <w:highlight w:val="auto"/>
        </w:rPr>
        <w:t>四、财</w:t>
      </w:r>
      <w:r>
        <w:rPr>
          <w:rStyle w:val="2Char"/>
          <w:rFonts w:ascii="Times New Roman" w:eastAsia="黑体" w:hAnsi="Times New Roman"/>
          <w:b w:val="0"/>
          <w:color w:val="auto"/>
          <w:highlight w:val="auto"/>
        </w:rPr>
        <w:t>政拨款收入支出决算总体情况说明</w:t>
      </w:r>
      <w:bookmarkEnd w:id="53"/>
      <w:bookmarkEnd w:id="54"/>
      <w:bookmarkEnd w:id="55"/>
      <w:bookmarkEnd w:id="56"/>
    </w:p>
    <w:p>
      <w:pPr>
        <w:spacing w:line="576" w:lineRule="exact"/>
        <w:ind w:firstLine="640"/>
        <w:rPr>
          <w:rFonts w:eastAsia="仿宋_GB2312"/>
          <w:color w:val="auto"/>
          <w:sz w:val="32"/>
          <w:szCs w:val="32"/>
          <w:highlight w:val="auto"/>
        </w:rPr>
      </w:pPr>
      <w:r>
        <w:drawing>
          <wp:anchor distT="0" distB="0" distL="85723" distR="85723" simplePos="0" relativeHeight="24" behindDoc="0" locked="0" layoutInCell="1" hidden="0" allowOverlap="1">
            <wp:simplePos x="0" y="0"/>
            <wp:positionH relativeFrom="column">
              <wp:posOffset>827424</wp:posOffset>
            </wp:positionH>
            <wp:positionV relativeFrom="paragraph">
              <wp:posOffset>1457302</wp:posOffset>
            </wp:positionV>
            <wp:extent cx="4114736" cy="1885919"/>
            <wp:effectExtent l="0" t="0" r="0" b="0"/>
            <wp:wrapNone/>
            <wp:docPr id="4" name="对象"/>
            <wp:cNvGraphicFramePr>
              <a:graphicFrameLocks noChangeAspect="1"/>
            </wp:cNvGraphicFramePr>
            <a:graphic>
              <a:graphicData uri="http://schemas.openxmlformats.org/drawingml/2006/chart">
                <c:chart xmlns:c="http://schemas.openxmlformats.org/drawingml/2006/chart" r:id="rId6"/>
              </a:graphicData>
            </a:graphic>
          </wp:anchor>
        </w:drawing>
      </w:r>
      <w:r>
        <w:rPr>
          <w:rFonts w:eastAsia="仿宋_GB2312"/>
          <w:color w:val="auto"/>
          <w:kern w:val="2"/>
          <w:sz w:val="32"/>
          <w:szCs w:val="32"/>
          <w:lang w:val="en-US" w:eastAsia="zh-CN" w:bidi="ar-SA"/>
          <w:highlight w:val="auto"/>
        </w:rPr>
        <w:t>2024年度财政拨款收入、支出总计均为</w:t>
      </w:r>
      <w:r>
        <w:rPr>
          <w:rFonts w:eastAsia="仿宋_GB2312"/>
          <w:sz w:val="32"/>
          <w:szCs w:val="32"/>
        </w:rPr>
        <w:t>279.2</w:t>
      </w:r>
      <w:r>
        <w:rPr>
          <w:rFonts w:eastAsia="仿宋_GB2312"/>
          <w:color w:val="auto"/>
          <w:kern w:val="2"/>
          <w:sz w:val="32"/>
          <w:szCs w:val="32"/>
          <w:lang w:val="en-US" w:eastAsia="zh-CN" w:bidi="ar-SA"/>
          <w:highlight w:val="auto"/>
        </w:rPr>
        <w:t>万元。与2023年度相比，财政拨款收入总计、支出总计各增加19.89万元，</w:t>
      </w:r>
      <w:r>
        <w:rPr>
          <w:rFonts w:eastAsia="仿宋_GB2312"/>
          <w:color w:val="auto"/>
          <w:sz w:val="32"/>
          <w:szCs w:val="32"/>
          <w:highlight w:val="auto"/>
        </w:rPr>
        <w:t>增长7.67%。主要变动原因是2024年度人员增加及职务职级变动。</w:t>
      </w:r>
    </w:p>
    <w:p>
      <w:pPr>
        <w:keepNext w:val="0"/>
        <w:keepLines w:val="0"/>
        <w:pageBreakBefore w:val="0"/>
        <w:widowControl w:val="0"/>
        <w:kinsoku/>
        <w:wordWrap/>
        <w:overflowPunct/>
        <w:topLinePunct w:val="0"/>
        <w:autoSpaceDE/>
        <w:autoSpaceDN/>
        <w:adjustRightInd/>
        <w:snapToGrid/>
        <w:spacing w:line="576" w:lineRule="exact"/>
        <w:ind w:firstLineChars="200" w:firstLine="420"/>
        <w:jc w:val="center"/>
      </w:pPr>
    </w:p>
    <w:p>
      <w:pPr>
        <w:spacing w:line="576" w:lineRule="exact"/>
        <w:ind w:firstLineChars="200" w:firstLine="640"/>
        <w:jc w:val="center"/>
        <w:rPr>
          <w:rFonts w:eastAsia="仿宋_GB2312"/>
          <w:color w:val="auto"/>
          <w:kern w:val="2"/>
          <w:sz w:val="32"/>
          <w:szCs w:val="32"/>
          <w:lang w:val="en-US" w:eastAsia="zh-CN" w:bidi="ar-SA"/>
          <w:highlight w:val="auto"/>
        </w:rPr>
      </w:pPr>
    </w:p>
    <w:p>
      <w:pPr>
        <w:spacing w:line="576" w:lineRule="exact"/>
        <w:ind w:firstLineChars="200" w:firstLine="640"/>
        <w:jc w:val="center"/>
        <w:rPr>
          <w:rFonts w:eastAsia="仿宋_GB2312"/>
          <w:color w:val="auto"/>
          <w:kern w:val="2"/>
          <w:sz w:val="32"/>
          <w:szCs w:val="32"/>
          <w:lang w:val="en-US" w:eastAsia="zh-CN" w:bidi="ar-SA"/>
          <w:highlight w:val="auto"/>
        </w:rPr>
      </w:pPr>
    </w:p>
    <w:p>
      <w:pPr>
        <w:spacing w:line="576" w:lineRule="exact"/>
        <w:ind w:firstLineChars="200" w:firstLine="640"/>
        <w:jc w:val="center"/>
        <w:rPr>
          <w:rFonts w:eastAsia="仿宋_GB2312"/>
          <w:color w:val="auto"/>
          <w:kern w:val="2"/>
          <w:sz w:val="32"/>
          <w:szCs w:val="32"/>
          <w:lang w:val="en-US" w:eastAsia="zh-CN" w:bidi="ar-SA"/>
          <w:highlight w:val="auto"/>
        </w:rPr>
      </w:pPr>
    </w:p>
    <w:p>
      <w:pPr>
        <w:spacing w:line="576" w:lineRule="exact"/>
        <w:ind w:firstLineChars="200" w:firstLine="640"/>
        <w:jc w:val="center"/>
        <w:rPr>
          <w:rFonts w:eastAsia="仿宋_GB2312"/>
          <w:color w:val="auto"/>
          <w:kern w:val="2"/>
          <w:sz w:val="32"/>
          <w:szCs w:val="32"/>
          <w:lang w:val="en-US" w:eastAsia="zh-CN" w:bidi="ar-SA"/>
          <w:highlight w:val="auto"/>
        </w:rPr>
      </w:pPr>
    </w:p>
    <w:p>
      <w:pPr>
        <w:spacing w:line="576" w:lineRule="exact"/>
        <w:ind w:firstLineChars="200" w:firstLine="640"/>
        <w:jc w:val="center"/>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（图4：财政拨款收、支决算总计变动情况）</w:t>
      </w:r>
    </w:p>
    <w:p>
      <w:pPr>
        <w:spacing w:line="576" w:lineRule="exact"/>
        <w:ind w:firstLineChars="200" w:firstLine="640"/>
        <w:outlineLvl w:val="1"/>
        <w:rPr>
          <w:rStyle w:val="2Char"/>
          <w:rFonts w:ascii="Times New Roman" w:eastAsia="黑体" w:hAnsi="Times New Roman"/>
          <w:b w:val="0"/>
          <w:color w:val="auto"/>
          <w:highlight w:val="auto"/>
        </w:rPr>
      </w:pPr>
      <w:bookmarkStart w:id="57" w:name="_Toc15377209"/>
      <w:bookmarkStart w:id="58" w:name="_Toc15396607"/>
      <w:bookmarkStart w:id="59" w:name="_Toc23102373"/>
      <w:bookmarkStart w:id="60" w:name="_Toc23102395"/>
      <w:r>
        <w:rPr>
          <w:rFonts w:eastAsia="黑体"/>
          <w:color w:val="auto"/>
          <w:sz w:val="32"/>
          <w:szCs w:val="32"/>
          <w:highlight w:val="auto"/>
        </w:rPr>
        <w:t>五、</w:t>
      </w:r>
      <w:r>
        <w:rPr>
          <w:rFonts w:eastAsia="黑体"/>
          <w:b/>
          <w:color w:val="auto"/>
          <w:sz w:val="32"/>
          <w:szCs w:val="32"/>
          <w:highlight w:val="auto"/>
        </w:rPr>
        <w:t>一</w:t>
      </w:r>
      <w:r>
        <w:rPr>
          <w:rStyle w:val="2Char"/>
          <w:rFonts w:ascii="Times New Roman" w:eastAsia="黑体" w:hAnsi="Times New Roman"/>
          <w:b w:val="0"/>
          <w:color w:val="auto"/>
          <w:highlight w:val="auto"/>
        </w:rPr>
        <w:t>般公共预算财政拨款支出决算情况说明</w:t>
      </w:r>
      <w:bookmarkEnd w:id="57"/>
      <w:bookmarkEnd w:id="58"/>
      <w:bookmarkEnd w:id="59"/>
      <w:bookmarkEnd w:id="60"/>
    </w:p>
    <w:p>
      <w:pPr>
        <w:spacing w:line="576" w:lineRule="exact"/>
        <w:ind w:firstLineChars="200" w:firstLine="640"/>
        <w:outlineLvl w:val="2"/>
        <w:rPr>
          <w:rFonts w:eastAsia="楷体_GB2312"/>
          <w:b/>
          <w:color w:val="auto"/>
          <w:sz w:val="32"/>
          <w:szCs w:val="32"/>
          <w:highlight w:val="auto"/>
        </w:rPr>
      </w:pPr>
      <w:bookmarkStart w:id="61" w:name="_Toc15377210"/>
      <w:bookmarkStart w:id="62" w:name="_Toc23102396"/>
      <w:r>
        <w:rPr>
          <w:rFonts w:eastAsia="楷体_GB2312"/>
          <w:b/>
          <w:color w:val="auto"/>
          <w:sz w:val="32"/>
          <w:szCs w:val="32"/>
          <w:highlight w:val="auto"/>
        </w:rPr>
        <w:t>（一）一般公共预算财政拨款支出决算总体情况</w:t>
      </w:r>
      <w:bookmarkEnd w:id="61"/>
      <w:bookmarkEnd w:id="62"/>
    </w:p>
    <w:p>
      <w:pPr>
        <w:spacing w:line="576" w:lineRule="exact"/>
        <w:ind w:firstLine="640"/>
        <w:rPr>
          <w:rFonts w:eastAsia="仿宋_GB2312"/>
          <w:color w:val="auto"/>
          <w:sz w:val="32"/>
          <w:szCs w:val="32"/>
          <w:highlight w:val="auto"/>
        </w:rPr>
      </w:pPr>
      <w:r>
        <w:rPr>
          <w:rFonts w:eastAsia="仿宋_GB2312"/>
          <w:color w:val="auto"/>
          <w:kern w:val="2"/>
          <w:sz w:val="32"/>
          <w:szCs w:val="32"/>
          <w:lang w:val="en-US" w:eastAsia="zh-CN" w:bidi="ar-SA"/>
          <w:highlight w:val="auto"/>
        </w:rPr>
        <w:t>2024年度一般公共预算财政拨款支出</w:t>
      </w:r>
      <w:r>
        <w:rPr>
          <w:rFonts w:eastAsia="仿宋_GB2312"/>
          <w:sz w:val="32"/>
          <w:szCs w:val="32"/>
        </w:rPr>
        <w:t>279.2</w:t>
      </w:r>
      <w:r>
        <w:rPr>
          <w:rFonts w:eastAsia="仿宋_GB2312"/>
          <w:color w:val="auto"/>
          <w:kern w:val="2"/>
          <w:sz w:val="32"/>
          <w:szCs w:val="32"/>
          <w:lang w:val="en-US" w:eastAsia="zh-CN" w:bidi="ar-SA"/>
          <w:highlight w:val="auto"/>
        </w:rPr>
        <w:t>万元，占本年支出合计的</w:t>
      </w:r>
      <w:r>
        <w:rPr>
          <w:rFonts w:eastAsia="仿宋_GB2312"/>
          <w:sz w:val="32"/>
          <w:szCs w:val="32"/>
        </w:rPr>
        <w:t>100</w:t>
      </w:r>
      <w:r>
        <w:rPr>
          <w:rFonts w:eastAsia="仿宋_GB2312"/>
          <w:color w:val="auto"/>
          <w:kern w:val="2"/>
          <w:sz w:val="32"/>
          <w:szCs w:val="32"/>
          <w:lang w:val="en-US" w:eastAsia="zh-CN" w:bidi="ar-SA"/>
          <w:highlight w:val="auto"/>
        </w:rPr>
        <w:t>%。与2023年度相比，一般公共预算财政拨款支出增加19.89万元，</w:t>
      </w:r>
      <w:r>
        <w:rPr>
          <w:rFonts w:eastAsia="仿宋_GB2312"/>
          <w:color w:val="auto"/>
          <w:sz w:val="32"/>
          <w:szCs w:val="32"/>
          <w:highlight w:val="auto"/>
        </w:rPr>
        <w:t>增长7.67%。主要变动原因是2024年度人员增加及职务职级变动。</w:t>
      </w:r>
    </w:p>
    <w:p>
      <w:pPr>
        <w:keepNext w:val="0"/>
        <w:keepLines w:val="0"/>
        <w:pageBreakBefore w:val="0"/>
        <w:widowControl w:val="0"/>
        <w:kinsoku/>
        <w:wordWrap/>
        <w:overflowPunct/>
        <w:topLinePunct w:val="0"/>
        <w:autoSpaceDE/>
        <w:autoSpaceDN/>
        <w:adjustRightInd/>
        <w:snapToGrid/>
        <w:spacing w:line="576" w:lineRule="exact"/>
        <w:ind w:firstLineChars="200" w:firstLine="420"/>
        <w:jc w:val="center"/>
      </w:pPr>
      <w:r>
        <w:drawing>
          <wp:anchor distT="0" distB="0" distL="85723" distR="85723" simplePos="0" relativeHeight="26" behindDoc="0" locked="0" layoutInCell="1" hidden="0" allowOverlap="1">
            <wp:simplePos x="0" y="0"/>
            <wp:positionH relativeFrom="column">
              <wp:posOffset>632164</wp:posOffset>
            </wp:positionH>
            <wp:positionV relativeFrom="paragraph">
              <wp:posOffset>156207</wp:posOffset>
            </wp:positionV>
            <wp:extent cx="4105211" cy="1962117"/>
            <wp:effectExtent l="0" t="0" r="0" b="0"/>
            <wp:wrapNone/>
            <wp:docPr id="5" name="对象"/>
            <wp:cNvGraphicFramePr>
              <a:graphicFrameLocks noChangeAspect="1"/>
            </wp:cNvGraphicFramePr>
            <a:graphic>
              <a:graphicData uri="http://schemas.openxmlformats.org/drawingml/2006/chart">
                <c:chart xmlns:c="http://schemas.openxmlformats.org/drawingml/2006/chart" r:id="rId7"/>
              </a:graphicData>
            </a:graphic>
          </wp:anchor>
        </w:drawing>
      </w: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（图5：一般公共预算财政拨款支出决算变动情况）</w:t>
      </w:r>
    </w:p>
    <w:p>
      <w:pPr>
        <w:spacing w:line="576" w:lineRule="exact"/>
        <w:ind w:firstLineChars="200" w:firstLine="640"/>
        <w:outlineLvl w:val="2"/>
        <w:rPr>
          <w:rFonts w:eastAsia="楷体_GB2312"/>
          <w:b/>
          <w:color w:val="auto"/>
          <w:sz w:val="32"/>
          <w:szCs w:val="32"/>
          <w:highlight w:val="auto"/>
        </w:rPr>
      </w:pPr>
      <w:bookmarkStart w:id="63" w:name="_Toc15377211"/>
      <w:bookmarkStart w:id="64" w:name="_Toc23102397"/>
      <w:r>
        <w:rPr>
          <w:rFonts w:eastAsia="楷体_GB2312"/>
          <w:b/>
          <w:color w:val="auto"/>
          <w:sz w:val="32"/>
          <w:szCs w:val="32"/>
          <w:highlight w:val="auto"/>
        </w:rPr>
        <w:t>（二）一般公共预算财政拨款支出决算结构情况</w:t>
      </w:r>
      <w:bookmarkEnd w:id="63"/>
      <w:bookmarkEnd w:id="64"/>
    </w:p>
    <w:p>
      <w:pPr>
        <w:spacing w:line="576" w:lineRule="exact"/>
        <w:ind w:firstLine="640"/>
        <w:rPr>
          <w:rFonts w:eastAsia="仿宋_GB2312"/>
          <w:b/>
          <w:bCs/>
          <w:color w:val="auto"/>
          <w:kern w:val="2"/>
          <w:sz w:val="32"/>
          <w:szCs w:val="32"/>
          <w:lang w:val="en-US" w:eastAsia="zh-CN" w:bidi="ar-SA"/>
          <w:highlight w:val="auto"/>
        </w:rPr>
      </w:pPr>
      <w:r>
        <w:rPr>
          <w:rFonts w:eastAsia="仿宋_GB2312"/>
          <w:color w:val="auto"/>
          <w:kern w:val="2"/>
          <w:sz w:val="32"/>
          <w:szCs w:val="32"/>
          <w:lang w:val="en-US" w:eastAsia="zh-CN" w:bidi="ar-SA"/>
          <w:highlight w:val="auto"/>
        </w:rPr>
        <w:t>2024年度一般公共预算财政拨款支出</w:t>
      </w:r>
      <w:r>
        <w:rPr>
          <w:rFonts w:eastAsia="仿宋_GB2312"/>
          <w:sz w:val="32"/>
          <w:szCs w:val="32"/>
        </w:rPr>
        <w:t>279.2</w:t>
      </w:r>
      <w:r>
        <w:rPr>
          <w:rFonts w:eastAsia="仿宋_GB2312"/>
          <w:color w:val="auto"/>
          <w:kern w:val="2"/>
          <w:sz w:val="32"/>
          <w:szCs w:val="32"/>
          <w:lang w:val="en-US" w:eastAsia="zh-CN" w:bidi="ar-SA"/>
          <w:highlight w:val="auto"/>
        </w:rPr>
        <w:t>万元，主要用于以下方面：一般公共服务支出208.34万元，占74.62%；社会保障和就业支出36.07万元，占12.91%；卫生健康支出14.71万元，占5.27%；住房保障支出20.09万元，占7.2%。</w:t>
      </w:r>
    </w:p>
    <w:p>
      <w:pPr>
        <w:spacing w:line="576" w:lineRule="exact"/>
        <w:ind w:firstLine="640"/>
      </w:pPr>
      <w:r>
        <w:drawing>
          <wp:anchor distT="0" distB="0" distL="85723" distR="85723" simplePos="0" relativeHeight="28" behindDoc="0" locked="0" layoutInCell="1" hidden="0" allowOverlap="1">
            <wp:simplePos x="0" y="0"/>
            <wp:positionH relativeFrom="column">
              <wp:posOffset>482528</wp:posOffset>
            </wp:positionH>
            <wp:positionV relativeFrom="paragraph">
              <wp:posOffset>70484</wp:posOffset>
            </wp:positionV>
            <wp:extent cx="4124261" cy="1809722"/>
            <wp:effectExtent l="0" t="0" r="0" b="0"/>
            <wp:wrapNone/>
            <wp:docPr id="6" name="对象"/>
            <wp:cNvGraphicFramePr>
              <a:graphicFrameLocks noChangeAspect="1"/>
            </wp:cNvGraphicFramePr>
            <a:graphic>
              <a:graphicData uri="http://schemas.openxmlformats.org/drawingml/2006/chart">
                <c:chart xmlns:c="http://schemas.openxmlformats.org/drawingml/2006/chart" r:id="rId8"/>
              </a:graphicData>
            </a:graphic>
          </wp:anchor>
        </w:drawing>
      </w: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（图6：一般公共预算财政拨款支出决算结构）</w:t>
      </w:r>
    </w:p>
    <w:p>
      <w:pPr>
        <w:spacing w:line="576" w:lineRule="exact"/>
        <w:ind w:firstLineChars="200" w:firstLine="640"/>
        <w:outlineLvl w:val="2"/>
        <w:rPr>
          <w:rFonts w:eastAsia="楷体_GB2312"/>
          <w:b/>
          <w:color w:val="auto"/>
          <w:sz w:val="32"/>
          <w:szCs w:val="32"/>
          <w:highlight w:val="auto"/>
        </w:rPr>
      </w:pPr>
      <w:bookmarkStart w:id="65" w:name="_Toc15377212"/>
      <w:bookmarkStart w:id="66" w:name="_Toc23102398"/>
      <w:r>
        <w:rPr>
          <w:rFonts w:eastAsia="楷体_GB2312"/>
          <w:b/>
          <w:color w:val="auto"/>
          <w:sz w:val="32"/>
          <w:szCs w:val="32"/>
          <w:highlight w:val="auto"/>
        </w:rPr>
        <w:t>（三）一般公共预算财政拨款支出决算具体情况</w:t>
      </w:r>
      <w:bookmarkEnd w:id="65"/>
      <w:bookmarkEnd w:id="66"/>
    </w:p>
    <w:p>
      <w:pPr>
        <w:spacing w:line="576" w:lineRule="exact"/>
        <w:ind w:firstLine="640"/>
        <w:rPr>
          <w:rFonts w:eastAsia="仿宋_GB2312"/>
          <w:color w:val="auto"/>
          <w:kern w:val="2"/>
          <w:sz w:val="32"/>
          <w:szCs w:val="32"/>
          <w:lang w:val="en-US" w:eastAsia="zh-CN" w:bidi="ar-SA"/>
          <w:highlight w:val="auto"/>
        </w:rPr>
      </w:pPr>
      <w:bookmarkStart w:id="67" w:name="_Toc15377444"/>
      <w:bookmarkStart w:id="68" w:name="_Toc15378460"/>
      <w:bookmarkStart w:id="69" w:name="_Toc15377213"/>
      <w:r>
        <w:rPr>
          <w:rFonts w:eastAsia="仿宋_GB2312"/>
          <w:color w:val="auto"/>
          <w:kern w:val="2"/>
          <w:sz w:val="32"/>
          <w:szCs w:val="32"/>
          <w:lang w:val="en-US" w:eastAsia="zh-CN" w:bidi="ar-SA"/>
          <w:highlight w:val="auto"/>
        </w:rPr>
        <w:t>2024年度一般公共预算财政拨款支出决算数为</w:t>
      </w:r>
      <w:r>
        <w:rPr>
          <w:rFonts w:eastAsia="仿宋_GB2312"/>
          <w:sz w:val="32"/>
          <w:szCs w:val="32"/>
        </w:rPr>
        <w:t>279.2</w:t>
      </w:r>
      <w:r>
        <w:rPr>
          <w:rFonts w:eastAsia="仿宋_GB2312"/>
          <w:color w:val="auto"/>
          <w:kern w:val="2"/>
          <w:sz w:val="32"/>
          <w:szCs w:val="32"/>
          <w:lang w:val="en-US" w:eastAsia="zh-CN" w:bidi="ar-SA"/>
          <w:highlight w:val="auto"/>
        </w:rPr>
        <w:t>，完成预算100%。其中：</w:t>
      </w:r>
      <w:bookmarkEnd w:id="67"/>
      <w:bookmarkEnd w:id="68"/>
      <w:bookmarkEnd w:id="69"/>
    </w:p>
    <w:p>
      <w:pPr>
        <w:spacing w:line="576" w:lineRule="exact"/>
        <w:ind w:firstLine="640"/>
        <w:rPr>
          <w:rFonts w:eastAsia="仿宋_GB2312"/>
          <w:color w:val="auto"/>
          <w:kern w:val="2"/>
          <w:sz w:val="32"/>
          <w:szCs w:val="32"/>
          <w:lang w:val="en-US" w:eastAsia="zh-CN" w:bidi="ar-SA"/>
          <w:highlight w:val="auto"/>
        </w:rPr>
      </w:pPr>
      <w:r>
        <w:rPr>
          <w:rFonts w:eastAsia="仿宋_GB2312"/>
          <w:b/>
          <w:bCs/>
          <w:color w:val="auto"/>
          <w:kern w:val="2"/>
          <w:sz w:val="32"/>
          <w:szCs w:val="32"/>
          <w:lang w:val="en-US" w:eastAsia="zh-CN" w:bidi="ar-SA"/>
          <w:highlight w:val="auto"/>
        </w:rPr>
        <w:t>1.一般公共服务（201）</w:t>
      </w:r>
      <w:r>
        <w:rPr>
          <w:rFonts w:eastAsia="仿宋_GB2312"/>
          <w:b/>
          <w:bCs/>
          <w:color w:val="auto"/>
          <w:kern w:val="2"/>
          <w:sz w:val="32"/>
          <w:szCs w:val="32"/>
          <w:lang w:val="en-US" w:eastAsia="zh-CN" w:bidi="ar-SA"/>
        </w:rPr>
        <w:t>党委办公厅（室）及相关机构事务</w:t>
      </w:r>
      <w:r>
        <w:rPr>
          <w:rFonts w:eastAsia="仿宋_GB2312"/>
          <w:b/>
          <w:bCs/>
          <w:color w:val="auto"/>
          <w:kern w:val="2"/>
          <w:sz w:val="32"/>
          <w:szCs w:val="32"/>
          <w:lang w:val="en-US" w:eastAsia="zh-CN" w:bidi="ar-SA"/>
          <w:highlight w:val="auto"/>
        </w:rPr>
        <w:t>（31）</w:t>
      </w:r>
      <w:r>
        <w:rPr>
          <w:rFonts w:eastAsia="仿宋_GB2312"/>
          <w:b/>
          <w:bCs/>
          <w:color w:val="auto"/>
          <w:kern w:val="2"/>
          <w:sz w:val="32"/>
          <w:szCs w:val="32"/>
          <w:lang w:val="en-US" w:eastAsia="zh-CN" w:bidi="ar-SA"/>
        </w:rPr>
        <w:t>事业运行</w:t>
      </w:r>
      <w:r>
        <w:rPr>
          <w:rFonts w:eastAsia="仿宋_GB2312"/>
          <w:b/>
          <w:bCs/>
          <w:color w:val="auto"/>
          <w:kern w:val="2"/>
          <w:sz w:val="32"/>
          <w:szCs w:val="32"/>
          <w:lang w:val="en-US" w:eastAsia="zh-CN" w:bidi="ar-SA"/>
          <w:highlight w:val="auto"/>
        </w:rPr>
        <w:t>（50）：</w:t>
      </w:r>
      <w:r>
        <w:rPr>
          <w:rFonts w:eastAsia="仿宋_GB2312"/>
          <w:color w:val="auto"/>
          <w:kern w:val="2"/>
          <w:sz w:val="32"/>
          <w:szCs w:val="32"/>
          <w:lang w:val="en-US" w:eastAsia="zh-CN" w:bidi="ar-SA"/>
          <w:highlight w:val="auto"/>
        </w:rPr>
        <w:t>支出决算为208.34万元，完成预算100%，决算数等于预算数。</w:t>
      </w:r>
    </w:p>
    <w:p>
      <w:pPr>
        <w:spacing w:line="576" w:lineRule="exact"/>
        <w:ind w:firstLine="640"/>
        <w:rPr>
          <w:rFonts w:eastAsia="仿宋_GB2312"/>
          <w:color w:val="auto"/>
          <w:kern w:val="2"/>
          <w:sz w:val="32"/>
          <w:szCs w:val="32"/>
          <w:lang w:val="en-US" w:eastAsia="zh-CN" w:bidi="ar-SA"/>
          <w:highlight w:val="auto"/>
        </w:rPr>
      </w:pPr>
      <w:r>
        <w:rPr>
          <w:rFonts w:eastAsia="仿宋_GB2312"/>
          <w:b/>
          <w:bCs/>
          <w:color w:val="auto"/>
          <w:kern w:val="2"/>
          <w:sz w:val="32"/>
          <w:szCs w:val="32"/>
          <w:lang w:val="en-US" w:eastAsia="zh-CN" w:bidi="ar-SA"/>
          <w:highlight w:val="auto"/>
        </w:rPr>
        <w:t>2.社会保障和就业（208）</w:t>
      </w:r>
      <w:r>
        <w:rPr>
          <w:rFonts w:eastAsia="仿宋_GB2312"/>
          <w:b/>
          <w:bCs/>
          <w:color w:val="auto"/>
          <w:kern w:val="2"/>
          <w:sz w:val="32"/>
          <w:szCs w:val="32"/>
          <w:lang w:val="en-US" w:eastAsia="zh-CN" w:bidi="ar-SA"/>
        </w:rPr>
        <w:t>行政事业单位养老支出</w:t>
      </w:r>
      <w:r>
        <w:rPr>
          <w:rFonts w:eastAsia="仿宋_GB2312"/>
          <w:b/>
          <w:bCs/>
          <w:color w:val="auto"/>
          <w:kern w:val="2"/>
          <w:sz w:val="32"/>
          <w:szCs w:val="32"/>
          <w:lang w:val="en-US" w:eastAsia="zh-CN" w:bidi="ar-SA"/>
          <w:highlight w:val="auto"/>
        </w:rPr>
        <w:t>（05）</w:t>
      </w:r>
      <w:r>
        <w:rPr>
          <w:rFonts w:eastAsia="仿宋_GB2312"/>
          <w:b/>
          <w:bCs/>
          <w:color w:val="auto"/>
          <w:kern w:val="2"/>
          <w:sz w:val="32"/>
          <w:szCs w:val="32"/>
          <w:lang w:val="en-US" w:eastAsia="zh-CN" w:bidi="ar-SA"/>
        </w:rPr>
        <w:t>机关事业单位基本养老保险缴费支出</w:t>
      </w:r>
      <w:r>
        <w:rPr>
          <w:rFonts w:eastAsia="仿宋_GB2312"/>
          <w:b/>
          <w:bCs/>
          <w:color w:val="auto"/>
          <w:kern w:val="2"/>
          <w:sz w:val="32"/>
          <w:szCs w:val="32"/>
          <w:lang w:val="en-US" w:eastAsia="zh-CN" w:bidi="ar-SA"/>
          <w:highlight w:val="auto"/>
        </w:rPr>
        <w:t>（05）：</w:t>
      </w:r>
      <w:r>
        <w:rPr>
          <w:rFonts w:eastAsia="仿宋_GB2312"/>
          <w:color w:val="auto"/>
          <w:kern w:val="2"/>
          <w:sz w:val="32"/>
          <w:szCs w:val="32"/>
          <w:lang w:val="en-US" w:eastAsia="zh-CN" w:bidi="ar-SA"/>
          <w:highlight w:val="auto"/>
        </w:rPr>
        <w:t>支出决算为24.11万元，完成预算100%，决算数等于预算数。</w:t>
      </w:r>
    </w:p>
    <w:p>
      <w:pPr>
        <w:spacing w:line="576" w:lineRule="exact"/>
        <w:ind w:firstLine="640"/>
        <w:rPr>
          <w:rFonts w:eastAsia="仿宋_GB2312"/>
          <w:sz w:val="32"/>
          <w:szCs w:val="32"/>
        </w:rPr>
      </w:pPr>
      <w:r>
        <w:rPr>
          <w:rFonts w:eastAsia="仿宋_GB2312"/>
          <w:b/>
          <w:bCs/>
          <w:color w:val="auto"/>
          <w:kern w:val="2"/>
          <w:sz w:val="32"/>
          <w:szCs w:val="32"/>
          <w:lang w:val="en-US" w:eastAsia="zh-CN" w:bidi="ar-SA"/>
          <w:highlight w:val="auto"/>
        </w:rPr>
        <w:t>3.社会保障和就业（208）</w:t>
      </w:r>
      <w:r>
        <w:rPr>
          <w:rFonts w:eastAsia="仿宋_GB2312"/>
          <w:b/>
          <w:bCs/>
          <w:color w:val="auto"/>
          <w:kern w:val="2"/>
          <w:sz w:val="32"/>
          <w:szCs w:val="32"/>
          <w:lang w:val="en-US" w:eastAsia="zh-CN" w:bidi="ar-SA"/>
        </w:rPr>
        <w:t>行政事业单位养老支出</w:t>
      </w:r>
      <w:r>
        <w:rPr>
          <w:rFonts w:eastAsia="仿宋_GB2312"/>
          <w:b/>
          <w:bCs/>
          <w:color w:val="auto"/>
          <w:kern w:val="2"/>
          <w:sz w:val="32"/>
          <w:szCs w:val="32"/>
          <w:lang w:val="en-US" w:eastAsia="zh-CN" w:bidi="ar-SA"/>
          <w:highlight w:val="auto"/>
        </w:rPr>
        <w:t>（05）</w:t>
      </w:r>
      <w:r>
        <w:rPr>
          <w:rFonts w:eastAsia="仿宋_GB2312"/>
          <w:b/>
          <w:bCs/>
          <w:color w:val="auto"/>
          <w:kern w:val="2"/>
          <w:sz w:val="32"/>
          <w:szCs w:val="32"/>
          <w:lang w:val="en-US" w:eastAsia="zh-CN" w:bidi="ar-SA"/>
        </w:rPr>
        <w:t>机关事业单位职业年金缴费支出</w:t>
      </w:r>
      <w:r>
        <w:rPr>
          <w:rFonts w:eastAsia="仿宋_GB2312"/>
          <w:b/>
          <w:bCs/>
          <w:color w:val="auto"/>
          <w:kern w:val="2"/>
          <w:sz w:val="32"/>
          <w:szCs w:val="32"/>
          <w:lang w:val="en-US" w:eastAsia="zh-CN" w:bidi="ar-SA"/>
          <w:highlight w:val="auto"/>
        </w:rPr>
        <w:t>（06）：</w:t>
      </w:r>
      <w:r>
        <w:rPr>
          <w:rFonts w:eastAsia="仿宋_GB2312"/>
          <w:color w:val="auto"/>
          <w:kern w:val="2"/>
          <w:sz w:val="32"/>
          <w:szCs w:val="32"/>
          <w:lang w:val="en-US" w:eastAsia="zh-CN" w:bidi="ar-SA"/>
          <w:highlight w:val="auto"/>
        </w:rPr>
        <w:t>支出决算为11.96万元，完成预算100%，决算数等于预算数。</w:t>
      </w:r>
    </w:p>
    <w:p>
      <w:pPr>
        <w:spacing w:line="576" w:lineRule="exact"/>
        <w:ind w:firstLine="640"/>
        <w:rPr>
          <w:rFonts w:eastAsia="仿宋_GB2312"/>
          <w:color w:val="auto"/>
          <w:kern w:val="2"/>
          <w:sz w:val="32"/>
          <w:szCs w:val="32"/>
          <w:lang w:val="en-US" w:eastAsia="zh-CN" w:bidi="ar-SA"/>
          <w:highlight w:val="auto"/>
        </w:rPr>
      </w:pPr>
      <w:r>
        <w:rPr>
          <w:rFonts w:eastAsia="仿宋_GB2312"/>
          <w:b/>
          <w:bCs/>
          <w:color w:val="auto"/>
          <w:kern w:val="2"/>
          <w:sz w:val="32"/>
          <w:szCs w:val="32"/>
          <w:lang w:val="en-US" w:eastAsia="zh-CN" w:bidi="ar-SA"/>
          <w:highlight w:val="auto"/>
        </w:rPr>
        <w:t>4.卫生健康（210）</w:t>
      </w:r>
      <w:r>
        <w:rPr>
          <w:rFonts w:eastAsia="仿宋_GB2312"/>
          <w:b/>
          <w:bCs/>
          <w:color w:val="auto"/>
          <w:kern w:val="2"/>
          <w:sz w:val="32"/>
          <w:szCs w:val="32"/>
          <w:lang w:val="en-US" w:eastAsia="zh-CN" w:bidi="ar-SA"/>
        </w:rPr>
        <w:t>行政事业单位医疗</w:t>
      </w:r>
      <w:r>
        <w:rPr>
          <w:rFonts w:eastAsia="仿宋_GB2312"/>
          <w:b/>
          <w:bCs/>
          <w:color w:val="auto"/>
          <w:kern w:val="2"/>
          <w:sz w:val="32"/>
          <w:szCs w:val="32"/>
          <w:lang w:val="en-US" w:eastAsia="zh-CN" w:bidi="ar-SA"/>
          <w:highlight w:val="auto"/>
        </w:rPr>
        <w:t>（11）</w:t>
      </w:r>
      <w:r>
        <w:rPr>
          <w:rFonts w:eastAsia="仿宋_GB2312"/>
          <w:b/>
          <w:bCs/>
          <w:color w:val="auto"/>
          <w:kern w:val="2"/>
          <w:sz w:val="32"/>
          <w:szCs w:val="32"/>
          <w:lang w:val="en-US" w:eastAsia="zh-CN" w:bidi="ar-SA"/>
        </w:rPr>
        <w:t>事业单位医疗</w:t>
      </w:r>
      <w:r>
        <w:rPr>
          <w:rFonts w:eastAsia="仿宋_GB2312"/>
          <w:b/>
          <w:bCs/>
          <w:color w:val="auto"/>
          <w:kern w:val="2"/>
          <w:sz w:val="32"/>
          <w:szCs w:val="32"/>
          <w:lang w:val="en-US" w:eastAsia="zh-CN" w:bidi="ar-SA"/>
          <w:highlight w:val="auto"/>
        </w:rPr>
        <w:t>（02）：</w:t>
      </w:r>
      <w:r>
        <w:rPr>
          <w:rFonts w:eastAsia="仿宋_GB2312"/>
          <w:color w:val="auto"/>
          <w:kern w:val="2"/>
          <w:sz w:val="32"/>
          <w:szCs w:val="32"/>
          <w:lang w:val="en-US" w:eastAsia="zh-CN" w:bidi="ar-SA"/>
          <w:highlight w:val="auto"/>
        </w:rPr>
        <w:t>支出决算为12.03万元，完成预算100%，决算数等于预算数。</w:t>
      </w:r>
    </w:p>
    <w:p>
      <w:pPr>
        <w:spacing w:line="576" w:lineRule="exact"/>
        <w:ind w:firstLine="640"/>
        <w:rPr>
          <w:rFonts w:eastAsia="仿宋_GB2312"/>
          <w:color w:val="auto"/>
          <w:kern w:val="2"/>
          <w:sz w:val="32"/>
          <w:szCs w:val="32"/>
          <w:lang w:val="en-US" w:eastAsia="zh-CN" w:bidi="ar-SA"/>
          <w:highlight w:val="auto"/>
        </w:rPr>
      </w:pPr>
      <w:r>
        <w:rPr>
          <w:rFonts w:eastAsia="仿宋_GB2312"/>
          <w:b/>
          <w:bCs/>
          <w:sz w:val="32"/>
          <w:szCs w:val="32"/>
          <w:highlight w:val="auto"/>
        </w:rPr>
        <w:t>5.</w:t>
      </w:r>
      <w:r>
        <w:rPr>
          <w:rFonts w:eastAsia="仿宋_GB2312"/>
          <w:b/>
          <w:bCs/>
          <w:color w:val="auto"/>
          <w:kern w:val="2"/>
          <w:sz w:val="32"/>
          <w:szCs w:val="32"/>
          <w:lang w:val="en-US" w:eastAsia="zh-CN" w:bidi="ar-SA"/>
          <w:highlight w:val="auto"/>
        </w:rPr>
        <w:t>卫生健康（210）</w:t>
      </w:r>
      <w:r>
        <w:rPr>
          <w:rFonts w:eastAsia="仿宋_GB2312"/>
          <w:b/>
          <w:bCs/>
          <w:color w:val="auto"/>
          <w:kern w:val="2"/>
          <w:sz w:val="32"/>
          <w:szCs w:val="32"/>
          <w:lang w:val="en-US" w:eastAsia="zh-CN" w:bidi="ar-SA"/>
        </w:rPr>
        <w:t>行政事业单位医疗</w:t>
      </w:r>
      <w:r>
        <w:rPr>
          <w:rFonts w:eastAsia="仿宋_GB2312"/>
          <w:b/>
          <w:bCs/>
          <w:color w:val="auto"/>
          <w:kern w:val="2"/>
          <w:sz w:val="32"/>
          <w:szCs w:val="32"/>
          <w:lang w:val="en-US" w:eastAsia="zh-CN" w:bidi="ar-SA"/>
          <w:highlight w:val="auto"/>
        </w:rPr>
        <w:t>（11）</w:t>
      </w:r>
      <w:r>
        <w:rPr>
          <w:rFonts w:eastAsia="仿宋_GB2312"/>
          <w:b/>
          <w:bCs/>
          <w:color w:val="auto"/>
          <w:kern w:val="2"/>
          <w:sz w:val="32"/>
          <w:szCs w:val="32"/>
          <w:lang w:val="en-US" w:eastAsia="zh-CN" w:bidi="ar-SA"/>
        </w:rPr>
        <w:t>其他行政事业单位医疗支出</w:t>
      </w:r>
      <w:r>
        <w:rPr>
          <w:rFonts w:eastAsia="仿宋_GB2312"/>
          <w:b/>
          <w:bCs/>
          <w:color w:val="auto"/>
          <w:kern w:val="2"/>
          <w:sz w:val="32"/>
          <w:szCs w:val="32"/>
          <w:lang w:val="en-US" w:eastAsia="zh-CN" w:bidi="ar-SA"/>
          <w:highlight w:val="auto"/>
        </w:rPr>
        <w:t>（99）：</w:t>
      </w:r>
      <w:r>
        <w:rPr>
          <w:rFonts w:eastAsia="仿宋_GB2312"/>
          <w:color w:val="auto"/>
          <w:kern w:val="2"/>
          <w:sz w:val="32"/>
          <w:szCs w:val="32"/>
          <w:lang w:val="en-US" w:eastAsia="zh-CN" w:bidi="ar-SA"/>
          <w:highlight w:val="auto"/>
        </w:rPr>
        <w:t>支出决算为2.67万元，完成预算100%，决算数等于预算数。</w:t>
      </w:r>
    </w:p>
    <w:p>
      <w:pPr>
        <w:spacing w:line="576" w:lineRule="exact"/>
        <w:ind w:firstLine="640"/>
        <w:rPr>
          <w:rFonts w:eastAsia="仿宋_GB2312"/>
          <w:sz w:val="32"/>
          <w:szCs w:val="32"/>
        </w:rPr>
      </w:pPr>
      <w:r>
        <w:rPr>
          <w:rFonts w:eastAsia="仿宋_GB2312"/>
          <w:b/>
          <w:bCs/>
          <w:color w:val="auto"/>
          <w:kern w:val="2"/>
          <w:sz w:val="32"/>
          <w:szCs w:val="32"/>
          <w:lang w:val="en-US" w:eastAsia="zh-CN" w:bidi="ar-SA"/>
          <w:highlight w:val="auto"/>
        </w:rPr>
        <w:t>6.</w:t>
      </w:r>
      <w:r>
        <w:rPr>
          <w:rFonts w:eastAsia="仿宋_GB2312"/>
          <w:b/>
          <w:bCs/>
          <w:color w:val="auto"/>
          <w:kern w:val="2"/>
          <w:sz w:val="32"/>
          <w:szCs w:val="32"/>
          <w:lang w:val="en-US" w:eastAsia="zh-CN" w:bidi="ar-SA"/>
        </w:rPr>
        <w:t>住房保障支出</w:t>
      </w:r>
      <w:r>
        <w:rPr>
          <w:rFonts w:eastAsia="仿宋_GB2312"/>
          <w:b/>
          <w:bCs/>
          <w:color w:val="auto"/>
          <w:kern w:val="2"/>
          <w:sz w:val="32"/>
          <w:szCs w:val="32"/>
          <w:lang w:val="en-US" w:eastAsia="zh-CN" w:bidi="ar-SA"/>
          <w:highlight w:val="auto"/>
        </w:rPr>
        <w:t>（221）</w:t>
      </w:r>
      <w:r>
        <w:rPr>
          <w:rFonts w:eastAsia="仿宋_GB2312"/>
          <w:b/>
          <w:bCs/>
          <w:color w:val="auto"/>
          <w:kern w:val="2"/>
          <w:sz w:val="32"/>
          <w:szCs w:val="32"/>
          <w:lang w:val="en-US" w:eastAsia="zh-CN" w:bidi="ar-SA"/>
        </w:rPr>
        <w:t>住房改革支出</w:t>
      </w:r>
      <w:r>
        <w:rPr>
          <w:rFonts w:eastAsia="仿宋_GB2312"/>
          <w:b/>
          <w:bCs/>
          <w:color w:val="auto"/>
          <w:kern w:val="2"/>
          <w:sz w:val="32"/>
          <w:szCs w:val="32"/>
          <w:lang w:val="en-US" w:eastAsia="zh-CN" w:bidi="ar-SA"/>
          <w:highlight w:val="auto"/>
        </w:rPr>
        <w:t>（02）</w:t>
      </w:r>
      <w:r>
        <w:rPr>
          <w:rFonts w:eastAsia="仿宋_GB2312"/>
          <w:b/>
          <w:bCs/>
          <w:color w:val="auto"/>
          <w:kern w:val="2"/>
          <w:sz w:val="32"/>
          <w:szCs w:val="32"/>
          <w:lang w:val="en-US" w:eastAsia="zh-CN" w:bidi="ar-SA"/>
        </w:rPr>
        <w:t>住房公积金</w:t>
      </w:r>
      <w:r>
        <w:rPr>
          <w:rFonts w:eastAsia="仿宋_GB2312"/>
          <w:b/>
          <w:bCs/>
          <w:color w:val="auto"/>
          <w:kern w:val="2"/>
          <w:sz w:val="32"/>
          <w:szCs w:val="32"/>
          <w:lang w:val="en-US" w:eastAsia="zh-CN" w:bidi="ar-SA"/>
          <w:highlight w:val="auto"/>
        </w:rPr>
        <w:t>（01）：</w:t>
      </w:r>
      <w:r>
        <w:rPr>
          <w:rFonts w:eastAsia="仿宋_GB2312"/>
          <w:color w:val="auto"/>
          <w:kern w:val="2"/>
          <w:sz w:val="32"/>
          <w:szCs w:val="32"/>
          <w:lang w:val="en-US" w:eastAsia="zh-CN" w:bidi="ar-SA"/>
          <w:highlight w:val="auto"/>
        </w:rPr>
        <w:t>支出决算为20.09万元，完成预算100%，决算数等于预算数。</w:t>
      </w:r>
    </w:p>
    <w:p>
      <w:pPr>
        <w:tabs>
          <w:tab w:val="right" w:pos="8306"/>
        </w:tabs>
        <w:spacing w:line="576" w:lineRule="exact"/>
        <w:ind w:firstLine="640"/>
        <w:outlineLvl w:val="1"/>
        <w:rPr>
          <w:rStyle w:val="2Char"/>
          <w:rFonts w:ascii="Times New Roman" w:hAnsi="Times New Roman"/>
          <w:color w:val="auto"/>
          <w:highlight w:val="auto"/>
        </w:rPr>
      </w:pPr>
      <w:bookmarkStart w:id="70" w:name="_Toc15396608"/>
      <w:bookmarkStart w:id="71" w:name="_Toc15377214"/>
      <w:bookmarkStart w:id="72" w:name="_Toc23102374"/>
      <w:bookmarkStart w:id="73" w:name="_Toc23102399"/>
      <w:r>
        <w:rPr>
          <w:rFonts w:eastAsia="黑体"/>
          <w:color w:val="auto"/>
          <w:sz w:val="32"/>
          <w:szCs w:val="32"/>
          <w:highlight w:val="auto"/>
        </w:rPr>
        <w:t>六</w:t>
      </w:r>
      <w:r>
        <w:rPr>
          <w:rFonts w:eastAsia="黑体"/>
          <w:b/>
          <w:color w:val="auto"/>
          <w:sz w:val="32"/>
          <w:szCs w:val="32"/>
          <w:highlight w:val="auto"/>
        </w:rPr>
        <w:t>、一</w:t>
      </w:r>
      <w:r>
        <w:rPr>
          <w:rStyle w:val="2Char"/>
          <w:rFonts w:ascii="Times New Roman" w:eastAsia="黑体" w:hAnsi="Times New Roman"/>
          <w:b w:val="0"/>
          <w:color w:val="auto"/>
          <w:highlight w:val="auto"/>
        </w:rPr>
        <w:t>般公共预算财政拨款基本支出决算情况说明</w:t>
      </w:r>
      <w:bookmarkEnd w:id="70"/>
      <w:bookmarkEnd w:id="71"/>
      <w:bookmarkEnd w:id="72"/>
      <w:bookmarkEnd w:id="73"/>
    </w:p>
    <w:p>
      <w:pPr>
        <w:spacing w:line="576" w:lineRule="exact"/>
        <w:ind w:firstLine="640"/>
        <w:rPr>
          <w:rFonts w:eastAsia="仿宋_GB2312"/>
          <w:sz w:val="32"/>
          <w:szCs w:val="32"/>
          <w:highlight w:val="auto"/>
        </w:rPr>
      </w:pPr>
      <w:r>
        <w:rPr>
          <w:rFonts w:eastAsia="仿宋_GB2312"/>
          <w:sz w:val="32"/>
          <w:szCs w:val="32"/>
          <w:highlight w:val="auto"/>
        </w:rPr>
        <w:t>2024年度一般公共预算财政拨款基本支出</w:t>
      </w:r>
      <w:r>
        <w:rPr>
          <w:rFonts w:eastAsia="仿宋_GB2312"/>
          <w:sz w:val="32"/>
          <w:szCs w:val="32"/>
        </w:rPr>
        <w:t>279.2</w:t>
      </w:r>
      <w:r>
        <w:rPr>
          <w:rFonts w:eastAsia="仿宋_GB2312"/>
          <w:sz w:val="32"/>
          <w:szCs w:val="32"/>
          <w:highlight w:val="auto"/>
        </w:rPr>
        <w:t>万元，其中：</w:t>
      </w:r>
    </w:p>
    <w:p>
      <w:pPr>
        <w:spacing w:line="576" w:lineRule="exact"/>
        <w:ind w:firstLine="640"/>
        <w:rPr>
          <w:rFonts w:eastAsia="仿宋_GB2312"/>
          <w:sz w:val="32"/>
          <w:szCs w:val="32"/>
          <w:lang w:val="en-US" w:eastAsia="zh-CN" w:bidi="ar-SA"/>
          <w:highlight w:val="auto"/>
        </w:rPr>
      </w:pPr>
      <w:r>
        <w:rPr>
          <w:rFonts w:eastAsia="仿宋_GB2312"/>
          <w:sz w:val="32"/>
          <w:szCs w:val="32"/>
          <w:highlight w:val="auto"/>
        </w:rPr>
        <w:t>人员经费</w:t>
      </w:r>
      <w:r>
        <w:rPr>
          <w:rFonts w:eastAsia="仿宋_GB2312"/>
          <w:sz w:val="32"/>
          <w:szCs w:val="32"/>
        </w:rPr>
        <w:t>259.43</w:t>
      </w:r>
      <w:r>
        <w:rPr>
          <w:rFonts w:eastAsia="仿宋_GB2312"/>
          <w:sz w:val="32"/>
          <w:szCs w:val="32"/>
          <w:highlight w:val="auto"/>
        </w:rPr>
        <w:t>万元，主要包括：基本工资54.63万元、津贴补贴24.21万元、奖金55.96万元、伙食补助费8.56万元、绩效工资43.78万元、</w:t>
      </w:r>
      <w:r>
        <w:rPr>
          <w:rFonts w:eastAsia="仿宋_GB2312"/>
          <w:sz w:val="32"/>
          <w:szCs w:val="32"/>
          <w:lang w:val="en-US" w:eastAsia="zh-CN" w:bidi="ar-SA"/>
          <w:highlight w:val="auto"/>
        </w:rPr>
        <w:t>机关事业单位基本养老保险缴费24.11万元、职业年金缴费11.96万元、</w:t>
      </w:r>
      <w:r>
        <w:rPr>
          <w:rFonts w:eastAsia="仿宋_GB2312"/>
          <w:sz w:val="32"/>
          <w:szCs w:val="32"/>
          <w:lang w:val="en-US" w:eastAsia="zh-CN" w:bidi="ar-SA"/>
        </w:rPr>
        <w:t>职工基本医疗保险缴费12.03万元，</w:t>
      </w:r>
      <w:r>
        <w:rPr>
          <w:rFonts w:eastAsia="仿宋_GB2312"/>
          <w:sz w:val="32"/>
          <w:szCs w:val="32"/>
          <w:lang w:val="en-US" w:eastAsia="zh-CN" w:bidi="ar-SA"/>
          <w:highlight w:val="auto"/>
        </w:rPr>
        <w:t>其他社会保障缴费3.91万元、住房公积金20.09万元，生活补助0.2万元。</w:t>
        <w:br/>
        <w:t>　　公用经费</w:t>
      </w:r>
      <w:r>
        <w:rPr>
          <w:rFonts w:eastAsia="仿宋_GB2312"/>
          <w:sz w:val="32"/>
          <w:szCs w:val="32"/>
        </w:rPr>
        <w:t>19.77</w:t>
      </w:r>
      <w:r>
        <w:rPr>
          <w:rFonts w:eastAsia="仿宋_GB2312"/>
          <w:sz w:val="32"/>
          <w:szCs w:val="32"/>
          <w:lang w:val="en-US" w:eastAsia="zh-CN" w:bidi="ar-SA"/>
          <w:highlight w:val="auto"/>
        </w:rPr>
        <w:t>万元，主要包括：办公费0.77万元、水费0.25万元、电费1.73万元、邮电费3.84万元、差旅费9.11万元、培训费2.23万元、福利费1.85万元。</w:t>
      </w:r>
    </w:p>
    <w:p>
      <w:pPr>
        <w:spacing w:line="576" w:lineRule="exact"/>
        <w:ind w:firstLine="640"/>
        <w:outlineLvl w:val="1"/>
        <w:rPr>
          <w:rStyle w:val="2Char"/>
          <w:rFonts w:ascii="Times New Roman" w:eastAsia="黑体" w:hAnsi="Times New Roman"/>
          <w:b w:val="0"/>
          <w:color w:val="auto"/>
          <w:highlight w:val="auto"/>
        </w:rPr>
      </w:pPr>
      <w:bookmarkStart w:id="74" w:name="_Toc15396609"/>
      <w:bookmarkStart w:id="75" w:name="_Toc15377215"/>
      <w:bookmarkStart w:id="76" w:name="_Toc23102375"/>
      <w:bookmarkStart w:id="77" w:name="_Toc23102400"/>
      <w:r>
        <w:rPr>
          <w:rFonts w:eastAsia="黑体"/>
          <w:color w:val="auto"/>
          <w:sz w:val="32"/>
          <w:szCs w:val="32"/>
          <w:highlight w:val="auto"/>
        </w:rPr>
        <w:t>七、</w:t>
      </w:r>
      <w:r>
        <w:rPr>
          <w:rStyle w:val="2Char"/>
          <w:rFonts w:ascii="Times New Roman" w:eastAsia="黑体" w:hAnsi="Times New Roman"/>
          <w:b w:val="0"/>
          <w:color w:val="auto"/>
          <w:highlight w:val="auto"/>
        </w:rPr>
        <w:t>财政拨款</w:t>
      </w:r>
      <w:r>
        <w:rPr>
          <w:rStyle w:val="2Char"/>
          <w:rFonts w:ascii="Times New Roman" w:eastAsia="黑体" w:hAnsi="Times New Roman"/>
          <w:color w:val="auto"/>
          <w:highlight w:val="auto"/>
        </w:rPr>
        <w:t>“</w:t>
      </w:r>
      <w:r>
        <w:rPr>
          <w:rStyle w:val="2Char"/>
          <w:rFonts w:ascii="Times New Roman" w:eastAsia="黑体" w:hAnsi="Times New Roman"/>
          <w:b w:val="0"/>
          <w:color w:val="auto"/>
          <w:highlight w:val="auto"/>
        </w:rPr>
        <w:t>三公”经费支出决算情况说明</w:t>
      </w:r>
      <w:bookmarkEnd w:id="74"/>
      <w:bookmarkEnd w:id="75"/>
      <w:bookmarkEnd w:id="76"/>
      <w:bookmarkEnd w:id="77"/>
    </w:p>
    <w:p>
      <w:pPr>
        <w:spacing w:line="576" w:lineRule="exact"/>
        <w:ind w:firstLineChars="200" w:firstLine="640"/>
        <w:outlineLvl w:val="2"/>
        <w:rPr>
          <w:rFonts w:eastAsia="楷体_GB2312"/>
          <w:b/>
          <w:color w:val="auto"/>
          <w:sz w:val="32"/>
          <w:szCs w:val="32"/>
          <w:highlight w:val="auto"/>
        </w:rPr>
      </w:pPr>
      <w:bookmarkStart w:id="78" w:name="_Toc15377216"/>
      <w:bookmarkStart w:id="79" w:name="_Toc23102401"/>
      <w:r>
        <w:rPr>
          <w:rFonts w:eastAsia="楷体_GB2312"/>
          <w:b/>
          <w:color w:val="auto"/>
          <w:sz w:val="32"/>
          <w:szCs w:val="32"/>
          <w:highlight w:val="auto"/>
        </w:rPr>
        <w:t>（一）“三公”经费财政拨款支出决算总体情况说明</w:t>
      </w:r>
      <w:bookmarkEnd w:id="78"/>
      <w:bookmarkEnd w:id="79"/>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2024</w:t>
      </w:r>
      <w:r>
        <w:rPr>
          <w:rFonts w:eastAsia="仿宋_GB2312"/>
          <w:sz w:val="32"/>
          <w:szCs w:val="32"/>
          <w:highlight w:val="auto"/>
        </w:rPr>
        <w:t>年度“三公”经费财政拨款支出决算为</w:t>
      </w:r>
      <w:r>
        <w:rPr>
          <w:rFonts w:eastAsia="仿宋_GB2312"/>
          <w:sz w:val="32"/>
          <w:szCs w:val="32"/>
        </w:rPr>
        <w:t>0</w:t>
      </w:r>
      <w:r>
        <w:rPr>
          <w:rFonts w:eastAsia="仿宋_GB2312"/>
          <w:sz w:val="32"/>
          <w:szCs w:val="32"/>
          <w:highlight w:val="auto"/>
        </w:rPr>
        <w:t>万元，</w:t>
      </w:r>
      <w:r>
        <w:rPr>
          <w:rFonts w:eastAsia="仿宋_GB2312"/>
          <w:sz w:val="32"/>
          <w:szCs w:val="32"/>
        </w:rPr>
        <w:t>主要原因是2024年度无三公经费支出。</w:t>
      </w:r>
    </w:p>
    <w:p>
      <w:pPr>
        <w:spacing w:line="576" w:lineRule="exact"/>
        <w:ind w:firstLineChars="200" w:firstLine="640"/>
        <w:outlineLvl w:val="2"/>
        <w:rPr>
          <w:rFonts w:eastAsia="楷体_GB2312"/>
          <w:b/>
          <w:color w:val="auto"/>
          <w:sz w:val="32"/>
          <w:szCs w:val="32"/>
          <w:highlight w:val="auto"/>
        </w:rPr>
      </w:pPr>
      <w:bookmarkStart w:id="80" w:name="_Toc15377217"/>
      <w:bookmarkStart w:id="81" w:name="_Toc23102402"/>
      <w:r>
        <w:rPr>
          <w:rFonts w:eastAsia="楷体_GB2312"/>
          <w:b/>
          <w:color w:val="auto"/>
          <w:sz w:val="32"/>
          <w:szCs w:val="32"/>
          <w:highlight w:val="auto"/>
        </w:rPr>
        <w:t>（二）“三公”经费财政拨款支出决算具体情况说明</w:t>
      </w:r>
      <w:bookmarkEnd w:id="80"/>
      <w:bookmarkEnd w:id="81"/>
    </w:p>
    <w:p>
      <w:pPr>
        <w:spacing w:line="576" w:lineRule="exact"/>
        <w:ind w:firstLine="640"/>
        <w:rPr>
          <w:rFonts w:eastAsia="仿宋_GB2312"/>
          <w:sz w:val="32"/>
          <w:szCs w:val="32"/>
          <w:lang w:val="en-US" w:eastAsia="zh-CN" w:bidi="ar-SA"/>
          <w:highlight w:val="auto"/>
        </w:rPr>
      </w:pPr>
      <w:r>
        <w:rPr>
          <w:rFonts w:eastAsia="仿宋_GB2312"/>
          <w:sz w:val="32"/>
          <w:szCs w:val="32"/>
          <w:lang w:val="en-US" w:eastAsia="zh-CN" w:bidi="ar-SA"/>
          <w:highlight w:val="auto"/>
        </w:rPr>
        <w:t>2024年度</w:t>
      </w:r>
      <w:r>
        <w:rPr>
          <w:rFonts w:eastAsia="仿宋_GB2312"/>
          <w:sz w:val="32"/>
          <w:szCs w:val="32"/>
        </w:rPr>
        <w:t>“三公”经费财政拨款支出决算中，因公出国（境）费支出决算0万元；公务用车购置及运行维护费支出决算0万元；公务接待费支出决算0万元。具体情况如下：</w:t>
      </w:r>
    </w:p>
    <w:p>
      <w:pPr>
        <w:spacing w:line="576" w:lineRule="exact"/>
        <w:ind w:firstLine="640"/>
        <w:jc w:val="center"/>
      </w:pPr>
      <w:r>
        <w:drawing>
          <wp:anchor distT="0" distB="0" distL="85723" distR="85723" simplePos="0" relativeHeight="30" behindDoc="0" locked="0" layoutInCell="1" hidden="0" allowOverlap="1">
            <wp:simplePos x="0" y="0"/>
            <wp:positionH relativeFrom="column">
              <wp:posOffset>797230</wp:posOffset>
            </wp:positionH>
            <wp:positionV relativeFrom="paragraph">
              <wp:posOffset>60957</wp:posOffset>
            </wp:positionV>
            <wp:extent cx="4124261" cy="1809722"/>
            <wp:effectExtent l="0" t="0" r="0" b="0"/>
            <wp:wrapNone/>
            <wp:docPr id="7" name="对象"/>
            <wp:cNvGraphicFramePr>
              <a:graphicFrameLocks noChangeAspect="1"/>
            </wp:cNvGraphicFramePr>
            <a:graphic>
              <a:graphicData uri="http://schemas.openxmlformats.org/drawingml/2006/chart">
                <c:chart xmlns:c="http://schemas.openxmlformats.org/drawingml/2006/chart" r:id="rId9"/>
              </a:graphicData>
            </a:graphic>
          </wp:anchor>
        </w:drawing>
      </w:r>
    </w:p>
    <w:p>
      <w:pPr>
        <w:spacing w:line="576" w:lineRule="exact"/>
        <w:ind w:firstLine="640"/>
        <w:jc w:val="center"/>
        <w:rPr>
          <w:rFonts w:eastAsia="仿宋_GB2312"/>
          <w:sz w:val="32"/>
          <w:szCs w:val="32"/>
          <w:lang w:val="en-US" w:eastAsia="zh-CN" w:bidi="ar-SA"/>
          <w:highlight w:val="auto"/>
        </w:rPr>
      </w:pPr>
    </w:p>
    <w:p>
      <w:pPr>
        <w:spacing w:line="576" w:lineRule="exact"/>
        <w:ind w:firstLine="640"/>
        <w:jc w:val="center"/>
        <w:rPr>
          <w:rFonts w:eastAsia="仿宋_GB2312"/>
          <w:sz w:val="32"/>
          <w:szCs w:val="32"/>
          <w:lang w:val="en-US" w:eastAsia="zh-CN" w:bidi="ar-SA"/>
          <w:highlight w:val="auto"/>
        </w:rPr>
      </w:pPr>
    </w:p>
    <w:p>
      <w:pPr>
        <w:spacing w:line="576" w:lineRule="exact"/>
        <w:ind w:firstLine="640"/>
        <w:jc w:val="center"/>
        <w:rPr>
          <w:rFonts w:eastAsia="仿宋_GB2312"/>
          <w:sz w:val="32"/>
          <w:szCs w:val="32"/>
          <w:lang w:val="en-US" w:eastAsia="zh-CN" w:bidi="ar-SA"/>
          <w:highlight w:val="auto"/>
        </w:rPr>
      </w:pPr>
    </w:p>
    <w:p>
      <w:pPr>
        <w:spacing w:line="576" w:lineRule="exact"/>
        <w:ind w:firstLine="640"/>
        <w:jc w:val="center"/>
        <w:rPr>
          <w:rFonts w:eastAsia="仿宋_GB2312"/>
          <w:sz w:val="32"/>
          <w:szCs w:val="32"/>
          <w:lang w:val="en-US" w:eastAsia="zh-CN" w:bidi="ar-SA"/>
          <w:highlight w:val="auto"/>
        </w:rPr>
      </w:pPr>
    </w:p>
    <w:p>
      <w:pPr>
        <w:spacing w:line="576" w:lineRule="exact"/>
        <w:ind w:firstLine="640"/>
        <w:jc w:val="center"/>
        <w:rPr>
          <w:rFonts w:eastAsia="仿宋_GB2312"/>
          <w:sz w:val="32"/>
          <w:szCs w:val="32"/>
          <w:lang w:val="en-US" w:eastAsia="zh-CN" w:bidi="ar-SA"/>
          <w:highlight w:val="auto"/>
        </w:rPr>
      </w:pPr>
      <w:r>
        <w:rPr>
          <w:rFonts w:eastAsia="仿宋_GB2312"/>
          <w:sz w:val="32"/>
          <w:szCs w:val="32"/>
          <w:lang w:val="en-US" w:eastAsia="zh-CN" w:bidi="ar-SA"/>
          <w:highlight w:val="auto"/>
        </w:rPr>
        <w:t>（图7：“三公”经费财政拨款支出结构）</w:t>
      </w:r>
    </w:p>
    <w:p>
      <w:pPr>
        <w:spacing w:line="560" w:lineRule="exact"/>
        <w:ind w:firstLine="640"/>
        <w:rPr>
          <w:rFonts w:ascii="仿宋_GB2312" w:eastAsia="仿宋_GB2312" w:hint="eastAsia"/>
          <w:b/>
          <w:sz w:val="32"/>
          <w:szCs w:val="32"/>
        </w:rPr>
      </w:pPr>
      <w:bookmarkStart w:id="82" w:name="_Toc15377218"/>
      <w:bookmarkStart w:id="83" w:name="_Toc15396610"/>
      <w:r>
        <w:rPr>
          <w:rFonts w:ascii="仿宋_GB2312" w:eastAsia="仿宋_GB2312" w:hint="eastAsia"/>
          <w:b/>
          <w:sz w:val="32"/>
          <w:szCs w:val="32"/>
        </w:rPr>
        <w:t>1.因公出国（境）经费支出</w:t>
      </w:r>
      <w:r>
        <w:rPr>
          <w:rFonts w:eastAsia="仿宋_GB2312"/>
          <w:sz w:val="32"/>
          <w:szCs w:val="32"/>
        </w:rPr>
        <w:t>0万元，主要原因是2024年度无因公出国（境）活动。</w:t>
      </w:r>
    </w:p>
    <w:p>
      <w:pPr>
        <w:spacing w:line="560" w:lineRule="exact"/>
        <w:ind w:firstLine="640"/>
        <w:rPr>
          <w:rFonts w:ascii="仿宋_GB2312" w:eastAsia="仿宋_GB2312" w:hint="eastAsia"/>
          <w:sz w:val="32"/>
          <w:szCs w:val="32"/>
        </w:rPr>
      </w:pPr>
      <w:r>
        <w:rPr>
          <w:rFonts w:ascii="仿宋_GB2312" w:eastAsia="仿宋_GB2312" w:hint="eastAsia"/>
          <w:sz w:val="32"/>
          <w:szCs w:val="32"/>
        </w:rPr>
        <w:t>开支内容包括：无。</w:t>
      </w:r>
    </w:p>
    <w:p>
      <w:pPr>
        <w:spacing w:line="560" w:lineRule="exact"/>
        <w:ind w:firstLine="640"/>
        <w:rPr>
          <w:rFonts w:ascii="仿宋_GB2312" w:eastAsia="仿宋_GB2312" w:hint="eastAsia"/>
          <w:b/>
          <w:sz w:val="32"/>
          <w:szCs w:val="32"/>
        </w:rPr>
      </w:pPr>
      <w:r>
        <w:rPr>
          <w:rFonts w:ascii="仿宋_GB2312" w:eastAsia="仿宋_GB2312" w:hint="eastAsia"/>
          <w:b/>
          <w:sz w:val="32"/>
          <w:szCs w:val="32"/>
        </w:rPr>
        <w:t>2.公务用车购置及运行维护费支出</w:t>
      </w:r>
      <w:r>
        <w:rPr>
          <w:rFonts w:ascii="仿宋_GB2312" w:eastAsia="仿宋_GB2312" w:hint="eastAsia"/>
          <w:sz w:val="32"/>
          <w:szCs w:val="32"/>
        </w:rPr>
        <w:t>0万元</w:t>
      </w:r>
      <w:r>
        <w:rPr>
          <w:rStyle w:val="25"/>
          <w:rFonts w:ascii="仿宋" w:eastAsia="仿宋" w:hint="eastAsia"/>
          <w:b w:val="0"/>
          <w:bCs/>
          <w:sz w:val="32"/>
          <w:szCs w:val="32"/>
        </w:rPr>
        <w:t>。</w:t>
      </w:r>
      <w:r>
        <w:rPr>
          <w:rFonts w:ascii="仿宋_GB2312" w:eastAsia="仿宋_GB2312" w:hint="eastAsia"/>
          <w:sz w:val="32"/>
          <w:szCs w:val="32"/>
        </w:rPr>
        <w:t>主要原因是州专用通信中心无车辆编制。</w:t>
      </w:r>
    </w:p>
    <w:p>
      <w:pPr>
        <w:spacing w:line="560" w:lineRule="exact"/>
        <w:ind w:firstLineChars="200" w:firstLine="640"/>
        <w:rPr>
          <w:rFonts w:ascii="仿宋_GB2312" w:eastAsia="仿宋_GB2312" w:hint="eastAsia"/>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hint="eastAsia"/>
          <w:sz w:val="32"/>
          <w:szCs w:val="32"/>
        </w:rPr>
        <w:t>0万元。截至202</w:t>
      </w:r>
      <w:r>
        <w:rPr>
          <w:rFonts w:ascii="仿宋_GB2312" w:eastAsia="仿宋_GB2312"/>
          <w:sz w:val="32"/>
          <w:szCs w:val="32"/>
        </w:rPr>
        <w:t>4</w:t>
      </w:r>
      <w:r>
        <w:rPr>
          <w:rFonts w:ascii="仿宋_GB2312" w:eastAsia="仿宋_GB2312" w:hint="eastAsia"/>
          <w:sz w:val="32"/>
          <w:szCs w:val="32"/>
        </w:rPr>
        <w:t>年12月31日，单位无公务用车。</w:t>
      </w:r>
    </w:p>
    <w:p>
      <w:pPr>
        <w:spacing w:line="560" w:lineRule="exact"/>
        <w:ind w:firstLine="640"/>
        <w:rPr>
          <w:rFonts w:ascii="仿宋_GB2312" w:eastAsia="仿宋_GB2312" w:hint="eastAsia"/>
          <w:sz w:val="32"/>
          <w:szCs w:val="32"/>
        </w:rPr>
      </w:pPr>
      <w:r>
        <w:rPr>
          <w:rFonts w:ascii="仿宋_GB2312" w:eastAsia="仿宋_GB2312" w:hint="eastAsia"/>
          <w:b/>
          <w:sz w:val="32"/>
          <w:szCs w:val="32"/>
        </w:rPr>
        <w:t>公务用车运行维护费支出</w:t>
      </w:r>
      <w:r>
        <w:rPr>
          <w:rFonts w:ascii="仿宋_GB2312" w:eastAsia="仿宋_GB2312" w:hint="eastAsia"/>
          <w:sz w:val="32"/>
          <w:szCs w:val="32"/>
        </w:rPr>
        <w:t>0万元。主要原因是单位无公务用车。</w:t>
      </w:r>
    </w:p>
    <w:p>
      <w:pPr>
        <w:spacing w:line="560" w:lineRule="exact"/>
        <w:ind w:firstLine="640"/>
        <w:rPr>
          <w:rFonts w:ascii="仿宋_GB2312" w:eastAsia="仿宋_GB2312" w:hint="eastAsia"/>
          <w:sz w:val="32"/>
          <w:szCs w:val="32"/>
        </w:rPr>
      </w:pPr>
      <w:r>
        <w:rPr>
          <w:rFonts w:ascii="仿宋_GB2312" w:eastAsia="仿宋_GB2312" w:hint="eastAsia"/>
          <w:b/>
          <w:sz w:val="32"/>
          <w:szCs w:val="32"/>
        </w:rPr>
        <w:t>3.公务接待费支出</w:t>
      </w:r>
      <w:r>
        <w:rPr>
          <w:rFonts w:ascii="仿宋_GB2312" w:eastAsia="仿宋_GB2312" w:hint="eastAsia"/>
          <w:sz w:val="32"/>
          <w:szCs w:val="32"/>
        </w:rPr>
        <w:t>0万元</w:t>
      </w:r>
      <w:r>
        <w:rPr>
          <w:rStyle w:val="25"/>
          <w:rFonts w:ascii="仿宋" w:eastAsia="仿宋" w:hint="eastAsia"/>
          <w:b w:val="0"/>
          <w:bCs/>
          <w:sz w:val="32"/>
          <w:szCs w:val="32"/>
        </w:rPr>
        <w:t>。</w:t>
      </w:r>
      <w:r>
        <w:rPr>
          <w:rFonts w:ascii="仿宋_GB2312" w:eastAsia="仿宋_GB2312" w:hint="eastAsia"/>
          <w:sz w:val="32"/>
          <w:szCs w:val="32"/>
        </w:rPr>
        <w:t>公务接待费支出决算比202</w:t>
      </w:r>
      <w:r>
        <w:rPr>
          <w:rFonts w:ascii="仿宋_GB2312" w:eastAsia="仿宋_GB2312"/>
          <w:sz w:val="32"/>
          <w:szCs w:val="32"/>
        </w:rPr>
        <w:t>3</w:t>
      </w:r>
      <w:r>
        <w:rPr>
          <w:rFonts w:ascii="仿宋_GB2312" w:eastAsia="仿宋_GB2312" w:hint="eastAsia"/>
          <w:sz w:val="32"/>
          <w:szCs w:val="32"/>
        </w:rPr>
        <w:t>年度持平。主要原因是无公务接待支出。其中：</w:t>
      </w:r>
    </w:p>
    <w:p>
      <w:pPr>
        <w:spacing w:line="560" w:lineRule="exact"/>
        <w:ind w:firstLine="640"/>
        <w:rPr>
          <w:rFonts w:ascii="仿宋_GB2312" w:eastAsia="仿宋_GB2312" w:hint="eastAsia"/>
          <w:sz w:val="32"/>
          <w:szCs w:val="32"/>
        </w:rPr>
      </w:pPr>
      <w:r>
        <w:rPr>
          <w:rFonts w:ascii="仿宋" w:eastAsia="仿宋" w:hint="eastAsia"/>
          <w:b/>
          <w:sz w:val="32"/>
          <w:szCs w:val="32"/>
        </w:rPr>
        <w:t>国内公务接待支出</w:t>
      </w:r>
      <w:r>
        <w:rPr>
          <w:rFonts w:ascii="仿宋" w:eastAsia="仿宋" w:hint="eastAsia"/>
          <w:sz w:val="32"/>
          <w:szCs w:val="32"/>
        </w:rPr>
        <w:t>0</w:t>
      </w:r>
      <w:r>
        <w:rPr>
          <w:rFonts w:ascii="仿宋_GB2312" w:eastAsia="仿宋_GB2312" w:hint="eastAsia"/>
          <w:sz w:val="32"/>
          <w:szCs w:val="32"/>
        </w:rPr>
        <w:t>万元，主要原因是无公务接待支出。</w:t>
      </w:r>
    </w:p>
    <w:p>
      <w:pPr>
        <w:spacing w:line="576" w:lineRule="exact"/>
        <w:ind w:firstLine="640"/>
        <w:rPr>
          <w:rFonts w:eastAsia="仿宋_GB2312"/>
          <w:color w:val="auto"/>
          <w:kern w:val="2"/>
          <w:sz w:val="32"/>
          <w:szCs w:val="32"/>
          <w:lang w:val="en-US" w:eastAsia="zh-CN" w:bidi="ar-SA"/>
          <w:highlight w:val="auto"/>
        </w:rPr>
      </w:pPr>
      <w:r>
        <w:rPr>
          <w:rFonts w:ascii="仿宋" w:eastAsia="仿宋" w:hint="eastAsia"/>
          <w:b/>
          <w:sz w:val="32"/>
          <w:szCs w:val="32"/>
        </w:rPr>
        <w:t>外事接待支出</w:t>
      </w:r>
      <w:r>
        <w:rPr>
          <w:rFonts w:ascii="仿宋" w:eastAsia="仿宋" w:hint="eastAsia"/>
          <w:sz w:val="32"/>
          <w:szCs w:val="32"/>
        </w:rPr>
        <w:t>0</w:t>
      </w:r>
      <w:r>
        <w:rPr>
          <w:rFonts w:ascii="仿宋_GB2312" w:eastAsia="仿宋_GB2312" w:hint="eastAsia"/>
          <w:sz w:val="32"/>
          <w:szCs w:val="32"/>
        </w:rPr>
        <w:t>万元，主要原因是无公务接待支出。</w:t>
      </w:r>
    </w:p>
    <w:p>
      <w:pPr>
        <w:spacing w:line="576" w:lineRule="exact"/>
        <w:ind w:firstLine="640"/>
        <w:outlineLvl w:val="1"/>
        <w:rPr>
          <w:rStyle w:val="2Char"/>
          <w:rFonts w:ascii="Times New Roman" w:eastAsia="黑体" w:hAnsi="Times New Roman"/>
          <w:color w:val="auto"/>
          <w:highlight w:val="auto"/>
        </w:rPr>
      </w:pPr>
      <w:bookmarkStart w:id="84" w:name="_Toc23102376"/>
      <w:bookmarkStart w:id="85" w:name="_Toc23102403"/>
      <w:r>
        <w:rPr>
          <w:rFonts w:eastAsia="黑体"/>
          <w:color w:val="auto"/>
          <w:sz w:val="32"/>
          <w:szCs w:val="32"/>
          <w:highlight w:val="auto"/>
        </w:rPr>
        <w:t>八、</w:t>
      </w:r>
      <w:r>
        <w:rPr>
          <w:rStyle w:val="2Char"/>
          <w:rFonts w:ascii="Times New Roman" w:eastAsia="黑体" w:hAnsi="Times New Roman"/>
          <w:b w:val="0"/>
          <w:color w:val="auto"/>
          <w:highlight w:val="auto"/>
        </w:rPr>
        <w:t>政府性基金预算支出决算情况说明</w:t>
      </w:r>
      <w:bookmarkEnd w:id="82"/>
      <w:bookmarkEnd w:id="83"/>
      <w:bookmarkEnd w:id="84"/>
      <w:bookmarkEnd w:id="85"/>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2024年度政府性基金预算财政拨款支出</w:t>
      </w:r>
      <w:r>
        <w:rPr>
          <w:rFonts w:eastAsia="仿宋_GB2312"/>
          <w:sz w:val="32"/>
          <w:szCs w:val="32"/>
        </w:rPr>
        <w:t>0</w:t>
      </w:r>
      <w:r>
        <w:rPr>
          <w:rFonts w:eastAsia="仿宋_GB2312"/>
          <w:color w:val="auto"/>
          <w:kern w:val="2"/>
          <w:sz w:val="32"/>
          <w:szCs w:val="32"/>
          <w:lang w:val="en-US" w:eastAsia="zh-CN" w:bidi="ar-SA"/>
          <w:highlight w:val="auto"/>
        </w:rPr>
        <w:t>万元。</w:t>
      </w:r>
    </w:p>
    <w:p>
      <w:pPr>
        <w:spacing w:line="576" w:lineRule="exact"/>
        <w:ind w:left="630"/>
        <w:outlineLvl w:val="1"/>
        <w:rPr>
          <w:rStyle w:val="2Char"/>
          <w:rFonts w:ascii="Times New Roman" w:eastAsia="黑体" w:hAnsi="Times New Roman"/>
          <w:b w:val="0"/>
          <w:color w:val="auto"/>
          <w:highlight w:val="auto"/>
        </w:rPr>
      </w:pPr>
      <w:bookmarkStart w:id="86" w:name="_Toc15396611"/>
      <w:bookmarkStart w:id="87" w:name="_Toc15377219"/>
      <w:bookmarkStart w:id="88" w:name="_Toc23102377"/>
      <w:bookmarkStart w:id="89" w:name="_Toc23102404"/>
      <w:r>
        <w:rPr>
          <w:rStyle w:val="2Char"/>
          <w:rFonts w:ascii="Times New Roman" w:eastAsia="黑体" w:hAnsi="Times New Roman"/>
          <w:b w:val="0"/>
          <w:color w:val="auto"/>
          <w:lang w:eastAsia="zh-CN"/>
          <w:highlight w:val="auto"/>
        </w:rPr>
        <w:t>九、</w:t>
      </w:r>
      <w:r>
        <w:rPr>
          <w:rStyle w:val="2Char"/>
          <w:rFonts w:ascii="Times New Roman" w:eastAsia="黑体" w:hAnsi="Times New Roman"/>
          <w:b w:val="0"/>
          <w:color w:val="auto"/>
          <w:highlight w:val="auto"/>
        </w:rPr>
        <w:t>国有资本经营预算支出决算情况说明</w:t>
      </w:r>
      <w:bookmarkEnd w:id="86"/>
      <w:bookmarkEnd w:id="87"/>
      <w:bookmarkEnd w:id="88"/>
      <w:bookmarkEnd w:id="89"/>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2024年度国有资本经营预算财政拨款支出</w:t>
      </w:r>
      <w:r>
        <w:rPr>
          <w:rFonts w:eastAsia="仿宋_GB2312"/>
          <w:sz w:val="32"/>
          <w:szCs w:val="32"/>
        </w:rPr>
        <w:t>0</w:t>
      </w:r>
      <w:r>
        <w:rPr>
          <w:rFonts w:eastAsia="仿宋_GB2312"/>
          <w:color w:val="auto"/>
          <w:kern w:val="2"/>
          <w:sz w:val="32"/>
          <w:szCs w:val="32"/>
          <w:lang w:val="en-US" w:eastAsia="zh-CN" w:bidi="ar-SA"/>
          <w:highlight w:val="auto"/>
        </w:rPr>
        <w:t>万元。</w:t>
      </w:r>
    </w:p>
    <w:p>
      <w:pPr>
        <w:spacing w:line="576" w:lineRule="exact"/>
        <w:ind w:left="630"/>
        <w:outlineLvl w:val="1"/>
        <w:rPr>
          <w:rStyle w:val="2Char"/>
          <w:rFonts w:ascii="Times New Roman" w:eastAsia="黑体" w:hAnsi="Times New Roman"/>
          <w:b w:val="0"/>
          <w:color w:val="auto"/>
          <w:highlight w:val="auto"/>
        </w:rPr>
      </w:pPr>
      <w:bookmarkStart w:id="90" w:name="_Toc15396612"/>
      <w:bookmarkStart w:id="91" w:name="_Toc15377221"/>
      <w:bookmarkStart w:id="92" w:name="_Toc23102378"/>
      <w:bookmarkStart w:id="93" w:name="_Toc23102405"/>
      <w:r>
        <w:rPr>
          <w:rStyle w:val="2Char"/>
          <w:rFonts w:ascii="Times New Roman" w:eastAsia="黑体" w:hAnsi="Times New Roman"/>
          <w:b w:val="0"/>
          <w:color w:val="auto"/>
          <w:lang w:eastAsia="zh-CN"/>
          <w:highlight w:val="auto"/>
        </w:rPr>
        <w:t>十、</w:t>
      </w:r>
      <w:r>
        <w:rPr>
          <w:rStyle w:val="2Char"/>
          <w:rFonts w:ascii="Times New Roman" w:eastAsia="黑体" w:hAnsi="Times New Roman"/>
          <w:b w:val="0"/>
          <w:color w:val="auto"/>
          <w:highlight w:val="auto"/>
        </w:rPr>
        <w:t>其他重要事项的情况说明</w:t>
      </w:r>
      <w:bookmarkEnd w:id="90"/>
      <w:bookmarkEnd w:id="91"/>
      <w:bookmarkEnd w:id="92"/>
      <w:bookmarkEnd w:id="93"/>
    </w:p>
    <w:p>
      <w:pPr>
        <w:spacing w:line="576" w:lineRule="exact"/>
        <w:ind w:firstLineChars="200" w:firstLine="640"/>
        <w:outlineLvl w:val="2"/>
        <w:rPr>
          <w:rFonts w:eastAsia="楷体_GB2312"/>
          <w:b/>
          <w:color w:val="auto"/>
          <w:sz w:val="32"/>
          <w:szCs w:val="32"/>
          <w:highlight w:val="auto"/>
        </w:rPr>
      </w:pPr>
      <w:bookmarkStart w:id="94" w:name="_Toc15377222"/>
      <w:bookmarkStart w:id="95" w:name="_Toc23102406"/>
      <w:r>
        <w:rPr>
          <w:rFonts w:eastAsia="楷体_GB2312"/>
          <w:b/>
          <w:color w:val="auto"/>
          <w:sz w:val="32"/>
          <w:szCs w:val="32"/>
          <w:highlight w:val="auto"/>
        </w:rPr>
        <w:t>（一）机关运行经费支出情况</w:t>
      </w:r>
      <w:bookmarkEnd w:id="94"/>
      <w:bookmarkEnd w:id="95"/>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2024年度，</w:t>
      </w:r>
      <w:r>
        <w:rPr>
          <w:rFonts w:eastAsia="仿宋_GB2312"/>
          <w:sz w:val="32"/>
          <w:szCs w:val="32"/>
        </w:rPr>
        <w:t>中共四川省阿坝州专用通信中心</w:t>
      </w:r>
      <w:r>
        <w:rPr>
          <w:rFonts w:eastAsia="仿宋_GB2312"/>
          <w:color w:val="auto"/>
          <w:kern w:val="2"/>
          <w:sz w:val="32"/>
          <w:szCs w:val="32"/>
          <w:lang w:val="en-US" w:eastAsia="zh-CN" w:bidi="ar-SA"/>
          <w:highlight w:val="auto"/>
        </w:rPr>
        <w:t>运行经费支出</w:t>
      </w:r>
      <w:r>
        <w:rPr>
          <w:rFonts w:eastAsia="仿宋_GB2312"/>
          <w:sz w:val="32"/>
          <w:szCs w:val="32"/>
        </w:rPr>
        <w:t>19.77</w:t>
      </w:r>
      <w:r>
        <w:rPr>
          <w:rFonts w:eastAsia="仿宋_GB2312"/>
          <w:color w:val="auto"/>
          <w:kern w:val="2"/>
          <w:sz w:val="32"/>
          <w:szCs w:val="32"/>
          <w:lang w:val="en-US" w:eastAsia="zh-CN" w:bidi="ar-SA"/>
          <w:highlight w:val="auto"/>
        </w:rPr>
        <w:t>万元，比2023年度增加4.34万元，增长28.12%。主要原因是2024年异地保障任务增加。</w:t>
      </w:r>
    </w:p>
    <w:p>
      <w:pPr>
        <w:spacing w:line="576" w:lineRule="exact"/>
        <w:ind w:firstLineChars="200" w:firstLine="640"/>
        <w:outlineLvl w:val="2"/>
        <w:rPr>
          <w:rFonts w:eastAsia="楷体_GB2312"/>
          <w:b/>
          <w:color w:val="auto"/>
          <w:sz w:val="32"/>
          <w:szCs w:val="32"/>
          <w:highlight w:val="auto"/>
        </w:rPr>
      </w:pPr>
      <w:bookmarkStart w:id="96" w:name="_Toc15377223"/>
      <w:bookmarkStart w:id="97" w:name="_Toc23102407"/>
      <w:r>
        <w:rPr>
          <w:rFonts w:eastAsia="楷体_GB2312"/>
          <w:b/>
          <w:color w:val="auto"/>
          <w:sz w:val="32"/>
          <w:szCs w:val="32"/>
          <w:highlight w:val="auto"/>
        </w:rPr>
        <w:t>（二）政府采购支出情况</w:t>
      </w:r>
      <w:bookmarkEnd w:id="96"/>
      <w:bookmarkEnd w:id="97"/>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2024年度，</w:t>
      </w:r>
      <w:r>
        <w:rPr>
          <w:rFonts w:eastAsia="仿宋_GB2312"/>
          <w:sz w:val="32"/>
          <w:szCs w:val="32"/>
        </w:rPr>
        <w:t>中共四川省阿坝州专用通信中心</w:t>
      </w:r>
      <w:r>
        <w:rPr>
          <w:rFonts w:eastAsia="仿宋_GB2312"/>
          <w:color w:val="auto"/>
          <w:kern w:val="2"/>
          <w:sz w:val="32"/>
          <w:szCs w:val="32"/>
          <w:lang w:val="en-US" w:eastAsia="zh-CN" w:bidi="ar-SA"/>
          <w:highlight w:val="auto"/>
        </w:rPr>
        <w:t>政府采购支出总额</w:t>
      </w:r>
      <w:r>
        <w:rPr>
          <w:rFonts w:eastAsia="仿宋_GB2312"/>
          <w:sz w:val="32"/>
          <w:szCs w:val="32"/>
        </w:rPr>
        <w:t>0</w:t>
      </w:r>
      <w:r>
        <w:rPr>
          <w:rFonts w:eastAsia="仿宋_GB2312"/>
          <w:color w:val="auto"/>
          <w:kern w:val="2"/>
          <w:sz w:val="32"/>
          <w:szCs w:val="32"/>
          <w:lang w:val="en-US" w:eastAsia="zh-CN" w:bidi="ar-SA"/>
          <w:highlight w:val="auto"/>
        </w:rPr>
        <w:t>万元。</w:t>
      </w:r>
    </w:p>
    <w:p>
      <w:pPr>
        <w:spacing w:line="576" w:lineRule="exact"/>
        <w:ind w:firstLineChars="200" w:firstLine="640"/>
        <w:outlineLvl w:val="2"/>
        <w:rPr>
          <w:rFonts w:eastAsia="楷体_GB2312"/>
          <w:b/>
          <w:color w:val="auto"/>
          <w:sz w:val="32"/>
          <w:szCs w:val="32"/>
          <w:highlight w:val="auto"/>
        </w:rPr>
      </w:pPr>
      <w:bookmarkStart w:id="98" w:name="_Toc15377224"/>
      <w:bookmarkStart w:id="99" w:name="_Toc23102408"/>
      <w:r>
        <w:rPr>
          <w:rFonts w:eastAsia="楷体_GB2312"/>
          <w:b/>
          <w:color w:val="auto"/>
          <w:sz w:val="32"/>
          <w:szCs w:val="32"/>
          <w:highlight w:val="auto"/>
        </w:rPr>
        <w:t>（三）国有资产占有使用情况</w:t>
      </w:r>
      <w:bookmarkEnd w:id="98"/>
      <w:bookmarkEnd w:id="99"/>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截至2024年12月31日，</w:t>
      </w:r>
      <w:r>
        <w:rPr>
          <w:rFonts w:eastAsia="仿宋_GB2312"/>
          <w:sz w:val="32"/>
          <w:szCs w:val="32"/>
        </w:rPr>
        <w:t>中共四川省阿坝州专用通信中心</w:t>
      </w:r>
      <w:r>
        <w:rPr>
          <w:rFonts w:eastAsia="仿宋_GB2312"/>
          <w:color w:val="auto"/>
          <w:kern w:val="2"/>
          <w:sz w:val="32"/>
          <w:szCs w:val="32"/>
          <w:lang w:val="en-US" w:eastAsia="zh-CN" w:bidi="ar-SA"/>
          <w:highlight w:val="auto"/>
        </w:rPr>
        <w:t>共有车辆</w:t>
      </w:r>
      <w:r>
        <w:rPr>
          <w:rFonts w:eastAsia="仿宋_GB2312"/>
          <w:sz w:val="32"/>
          <w:szCs w:val="32"/>
        </w:rPr>
        <w:t>0</w:t>
      </w:r>
      <w:r>
        <w:rPr>
          <w:rFonts w:eastAsia="仿宋_GB2312"/>
          <w:color w:val="auto"/>
          <w:kern w:val="2"/>
          <w:sz w:val="32"/>
          <w:szCs w:val="32"/>
          <w:lang w:val="en-US" w:eastAsia="zh-CN" w:bidi="ar-SA"/>
          <w:highlight w:val="auto"/>
        </w:rPr>
        <w:t>辆。</w:t>
      </w:r>
    </w:p>
    <w:p>
      <w:pPr>
        <w:spacing w:line="576" w:lineRule="exact"/>
        <w:ind w:firstLineChars="200" w:firstLine="640"/>
        <w:outlineLvl w:val="2"/>
        <w:rPr>
          <w:rFonts w:eastAsia="楷体_GB2312"/>
          <w:b/>
          <w:color w:val="auto"/>
          <w:sz w:val="32"/>
          <w:szCs w:val="32"/>
          <w:highlight w:val="auto"/>
        </w:rPr>
      </w:pPr>
      <w:bookmarkStart w:id="100" w:name="_Toc23102409"/>
      <w:r>
        <w:rPr>
          <w:rFonts w:eastAsia="楷体_GB2312"/>
          <w:b/>
          <w:color w:val="auto"/>
          <w:sz w:val="32"/>
          <w:szCs w:val="32"/>
          <w:highlight w:val="auto"/>
        </w:rPr>
        <w:t>（四）预算绩效管理情况</w:t>
      </w:r>
      <w:bookmarkEnd w:id="100"/>
    </w:p>
    <w:p>
      <w:pPr>
        <w:spacing w:line="576" w:lineRule="exact"/>
        <w:ind w:firstLine="640"/>
        <w:rPr>
          <w:rFonts w:eastAsia="仿宋_GB2312"/>
          <w:color w:val="auto"/>
          <w:kern w:val="2"/>
          <w:sz w:val="32"/>
          <w:szCs w:val="32"/>
          <w:lang w:val="en-US" w:eastAsia="zh-CN" w:bidi="ar-SA"/>
          <w:highlight w:val="auto"/>
        </w:rPr>
      </w:pPr>
      <w:r>
        <w:rPr>
          <w:rFonts w:eastAsia="仿宋_GB2312"/>
          <w:color w:val="auto"/>
          <w:kern w:val="2"/>
          <w:sz w:val="32"/>
          <w:szCs w:val="32"/>
          <w:lang w:val="en-US" w:eastAsia="zh-CN" w:bidi="ar-SA"/>
          <w:highlight w:val="auto"/>
        </w:rPr>
        <w:t>根据预算绩效管理要求，</w:t>
      </w:r>
      <w:r>
        <w:rPr>
          <w:rFonts w:eastAsia="仿宋_GB2312"/>
          <w:sz w:val="32"/>
          <w:szCs w:val="32"/>
        </w:rPr>
        <w:t>州专用通信中心</w:t>
      </w:r>
      <w:r>
        <w:rPr>
          <w:rFonts w:eastAsia="仿宋_GB2312"/>
          <w:color w:val="auto"/>
          <w:kern w:val="2"/>
          <w:sz w:val="32"/>
          <w:szCs w:val="32"/>
          <w:lang w:val="en-US" w:eastAsia="zh-CN" w:bidi="ar-SA"/>
          <w:highlight w:val="auto"/>
        </w:rPr>
        <w:t>在2024年度预算编制阶段，组织对2个项目开展了预算事前绩效评估，对2个项目编制了绩效目标，预算执行过程中，选取2个项目开展绩效监控。</w:t>
      </w:r>
      <w:bookmarkStart w:id="101" w:name="_Toc15377225"/>
      <w:bookmarkStart w:id="102" w:name="_Toc15396613"/>
    </w:p>
    <w:p>
      <w:pPr>
        <w:rPr>
          <w:rFonts w:eastAsia="黑体"/>
          <w:color w:val="auto"/>
          <w:sz w:val="44"/>
          <w:szCs w:val="44"/>
          <w:highlight w:val="auto"/>
        </w:rPr>
      </w:pPr>
      <w:r>
        <w:rPr>
          <w:rFonts w:eastAsia="黑体"/>
          <w:color w:val="auto"/>
          <w:sz w:val="44"/>
          <w:szCs w:val="44"/>
          <w:highlight w:val="auto"/>
        </w:rPr>
        <w:br w:type="page"/>
      </w:r>
    </w:p>
    <w:p>
      <w:pPr>
        <w:spacing w:line="576" w:lineRule="exact"/>
        <w:ind w:firstLine="640"/>
        <w:jc w:val="center"/>
        <w:rPr>
          <w:rFonts w:eastAsia="仿宋_GB2312"/>
          <w:sz w:val="32"/>
          <w:szCs w:val="32"/>
        </w:rPr>
      </w:pPr>
      <w:r>
        <w:rPr>
          <w:rFonts w:eastAsia="黑体"/>
          <w:color w:val="auto"/>
          <w:sz w:val="44"/>
          <w:szCs w:val="44"/>
          <w:highlight w:val="auto"/>
        </w:rPr>
        <w:t>第</w:t>
      </w:r>
      <w:r>
        <w:rPr>
          <w:rFonts w:eastAsia="黑体"/>
          <w:color w:val="auto"/>
          <w:sz w:val="44"/>
          <w:szCs w:val="44"/>
          <w:lang w:eastAsia="zh-CN"/>
          <w:highlight w:val="auto"/>
        </w:rPr>
        <w:t>三</w:t>
      </w:r>
      <w:r>
        <w:rPr>
          <w:rFonts w:eastAsia="黑体"/>
          <w:color w:val="auto"/>
          <w:sz w:val="44"/>
          <w:szCs w:val="44"/>
          <w:highlight w:val="auto"/>
        </w:rPr>
        <w:t>部分</w:t>
      </w:r>
      <w:r>
        <w:rPr>
          <w:rFonts w:eastAsia="黑体"/>
          <w:color w:val="auto"/>
          <w:sz w:val="44"/>
          <w:szCs w:val="44"/>
          <w:lang w:val="en-US" w:eastAsia="zh-CN"/>
          <w:highlight w:val="auto"/>
        </w:rPr>
        <w:t xml:space="preserve">  </w:t>
      </w:r>
      <w:r>
        <w:rPr>
          <w:rFonts w:eastAsia="黑体"/>
          <w:color w:val="auto"/>
          <w:sz w:val="44"/>
          <w:szCs w:val="44"/>
          <w:highlight w:val="auto"/>
        </w:rPr>
        <w:t>名词解释</w:t>
      </w:r>
      <w:bookmarkEnd w:id="101"/>
      <w:bookmarkEnd w:id="102"/>
    </w:p>
    <w:p>
      <w:pPr>
        <w:spacing w:line="576" w:lineRule="exact"/>
        <w:jc w:val="left"/>
        <w:rPr>
          <w:b/>
          <w:color w:val="auto"/>
          <w:sz w:val="44"/>
          <w:szCs w:val="44"/>
          <w:highlight w:val="auto"/>
        </w:rPr>
      </w:pPr>
    </w:p>
    <w:p>
      <w:pPr>
        <w:pStyle w:val="31"/>
        <w:spacing w:line="560" w:lineRule="exact"/>
        <w:ind w:firstLineChars="200" w:firstLine="640"/>
        <w:rPr>
          <w:rFonts w:ascii="Times New Roman" w:eastAsia="方正仿宋_GBK" w:cs="Times New Roman" w:hAnsi="Times New Roman"/>
          <w:sz w:val="32"/>
          <w:szCs w:val="32"/>
          <w:lang w:bidi="ar-SA"/>
        </w:rPr>
      </w:pPr>
      <w:bookmarkStart w:id="103" w:name="_Toc15377226"/>
      <w:r>
        <w:rPr>
          <w:rFonts w:ascii="Times New Roman" w:eastAsia="方正仿宋_GBK" w:cs="Times New Roman" w:hAnsi="Times New Roman"/>
          <w:sz w:val="32"/>
          <w:szCs w:val="32"/>
          <w:lang w:bidi="ar-SA"/>
        </w:rPr>
        <w:t>1.财政拨款收入：指单位从同级财政部门取得的财政预算资金。</w:t>
      </w:r>
    </w:p>
    <w:p>
      <w:pPr>
        <w:pStyle w:val="31"/>
        <w:spacing w:line="560"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 xml:space="preserve">2.其他收入：指单位取得的除上述收入以外的各项收入。主要是利息收入。  </w:t>
      </w:r>
    </w:p>
    <w:p>
      <w:pPr>
        <w:pStyle w:val="31"/>
        <w:spacing w:line="560"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 xml:space="preserve">3.年初结转和结余：指以前年度尚未完成、结转到本年按有关规定继续使用的资金。 </w:t>
      </w:r>
    </w:p>
    <w:p>
      <w:pPr>
        <w:pStyle w:val="31"/>
        <w:spacing w:line="560"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4.年末结转和结余：指单位按有关规定结转到下年或以后年度继续使用的资金。</w:t>
      </w:r>
    </w:p>
    <w:p>
      <w:pPr>
        <w:spacing w:line="600" w:lineRule="exact"/>
        <w:ind w:firstLine="645"/>
        <w:rPr>
          <w:rFonts w:ascii="Times New Roman" w:eastAsia="方正仿宋_GBK" w:hAnsi="Times New Roman"/>
          <w:bCs/>
          <w:kern w:val="0"/>
          <w:sz w:val="32"/>
          <w:szCs w:val="32"/>
        </w:rPr>
      </w:pPr>
      <w:r>
        <w:rPr>
          <w:rFonts w:ascii="Times New Roman" w:eastAsia="方正仿宋_GBK" w:hAnsi="Times New Roman"/>
          <w:bCs/>
          <w:kern w:val="0"/>
          <w:sz w:val="32"/>
          <w:szCs w:val="32"/>
        </w:rPr>
        <w:t>5.一般公共服务：行政运行</w:t>
      </w:r>
      <w:r>
        <w:rPr>
          <w:rFonts w:eastAsia="方正仿宋_GBK" w:hint="eastAsia"/>
          <w:bCs/>
          <w:kern w:val="0"/>
          <w:sz w:val="32"/>
          <w:szCs w:val="32"/>
        </w:rPr>
        <w:t>，</w:t>
      </w:r>
      <w:r>
        <w:rPr>
          <w:rFonts w:ascii="Times New Roman" w:eastAsia="方正仿宋_GBK" w:hAnsi="Times New Roman"/>
          <w:bCs/>
          <w:kern w:val="0"/>
          <w:sz w:val="32"/>
          <w:szCs w:val="32"/>
        </w:rPr>
        <w:t>反映党委办公厅（室）及相关机构的支出；一般行政管理事务</w:t>
      </w:r>
      <w:r>
        <w:rPr>
          <w:rFonts w:eastAsia="方正仿宋_GBK" w:hint="eastAsia"/>
          <w:bCs/>
          <w:kern w:val="0"/>
          <w:sz w:val="32"/>
          <w:szCs w:val="32"/>
        </w:rPr>
        <w:t>，</w:t>
      </w:r>
      <w:r>
        <w:rPr>
          <w:rFonts w:ascii="Times New Roman" w:eastAsia="方正仿宋_GBK" w:hAnsi="Times New Roman"/>
          <w:bCs/>
          <w:kern w:val="0"/>
          <w:sz w:val="32"/>
          <w:szCs w:val="32"/>
        </w:rPr>
        <w:t>反映行政单位（包括实行公务员管理的事业单位）未单独设置项级科目的其他项目支出。</w:t>
      </w:r>
    </w:p>
    <w:p>
      <w:pPr>
        <w:spacing w:line="600" w:lineRule="exact"/>
        <w:ind w:firstLine="645"/>
        <w:rPr>
          <w:rFonts w:ascii="Times New Roman" w:eastAsia="方正仿宋_GBK" w:hAnsi="Times New Roman"/>
          <w:bCs/>
          <w:kern w:val="0"/>
          <w:sz w:val="32"/>
          <w:szCs w:val="32"/>
        </w:rPr>
      </w:pPr>
      <w:r>
        <w:rPr>
          <w:rFonts w:ascii="Times New Roman" w:eastAsia="方正仿宋_GBK" w:hAnsi="Times New Roman"/>
          <w:bCs/>
          <w:kern w:val="0"/>
          <w:sz w:val="32"/>
          <w:szCs w:val="32"/>
        </w:rPr>
        <w:t>6.社会保障和就业：反映政府在社会保障与就业方面的支出。</w:t>
      </w:r>
    </w:p>
    <w:p>
      <w:pPr>
        <w:spacing w:line="600" w:lineRule="exact"/>
        <w:ind w:firstLine="645"/>
        <w:rPr>
          <w:rFonts w:ascii="Times New Roman" w:eastAsia="方正仿宋_GBK" w:hAnsi="Times New Roman"/>
          <w:bCs/>
          <w:kern w:val="0"/>
          <w:sz w:val="32"/>
          <w:szCs w:val="32"/>
        </w:rPr>
      </w:pPr>
      <w:r>
        <w:rPr>
          <w:rFonts w:ascii="Times New Roman" w:eastAsia="方正仿宋_GBK" w:hAnsi="Times New Roman"/>
          <w:bCs/>
          <w:kern w:val="0"/>
          <w:sz w:val="32"/>
          <w:szCs w:val="32"/>
        </w:rPr>
        <w:t>7.医疗卫生与计划生育：反映政府医疗卫生计划生育管理方面的支出。</w:t>
      </w:r>
    </w:p>
    <w:p>
      <w:pPr>
        <w:spacing w:line="600" w:lineRule="exact"/>
        <w:ind w:firstLine="645"/>
        <w:rPr>
          <w:rFonts w:ascii="Times New Roman" w:eastAsia="方正仿宋_GBK" w:hAnsi="Times New Roman"/>
          <w:bCs/>
          <w:kern w:val="0"/>
          <w:sz w:val="32"/>
          <w:szCs w:val="32"/>
        </w:rPr>
      </w:pPr>
      <w:r>
        <w:rPr>
          <w:rFonts w:ascii="Times New Roman" w:eastAsia="方正仿宋_GBK" w:hAnsi="Times New Roman"/>
          <w:bCs/>
          <w:kern w:val="0"/>
          <w:sz w:val="32"/>
          <w:szCs w:val="32"/>
        </w:rPr>
        <w:t>8.住房保障：集中反映政府用于住房方面的支出。</w:t>
      </w:r>
    </w:p>
    <w:p>
      <w:pPr>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9.基本支出：指为保障机构正常运转、完成日常工作任务而发生的人员支出和公用支出。</w:t>
      </w:r>
    </w:p>
    <w:p>
      <w:pPr>
        <w:rPr>
          <w:rFonts w:ascii="Times New Roman" w:eastAsia="方正仿宋_GBK" w:hAnsi="Times New Roman"/>
          <w:color w:val="000000"/>
          <w:sz w:val="32"/>
          <w:szCs w:val="32"/>
        </w:rPr>
      </w:pPr>
      <w:r>
        <w:rPr>
          <w:rFonts w:ascii="Times New Roman" w:eastAsia="方正仿宋_GBK" w:hAnsi="Times New Roman"/>
          <w:color w:val="000000"/>
          <w:sz w:val="32"/>
          <w:szCs w:val="32"/>
        </w:rPr>
        <w:t xml:space="preserve">    10.项目支出：指在基本支出之外为完成特定行政任务和事业发展目标所发生的支出。 </w:t>
      </w:r>
    </w:p>
    <w:p>
      <w:pPr>
        <w:pStyle w:val="31"/>
        <w:spacing w:line="560" w:lineRule="exact"/>
        <w:ind w:firstLineChars="200" w:firstLine="640"/>
        <w:rPr>
          <w:rFonts w:ascii="Times New Roman" w:eastAsia="方正仿宋_GBK" w:cs="Times New Roman" w:hAnsi="Times New Roman"/>
          <w:sz w:val="32"/>
          <w:szCs w:val="32"/>
          <w:lang w:bidi="ar-SA"/>
        </w:rPr>
      </w:pPr>
      <w:r>
        <w:rPr>
          <w:rFonts w:ascii="Times New Roman" w:eastAsia="方正仿宋_GBK" w:cs="Times New Roman" w:hAnsi="Times New Roman"/>
          <w:sz w:val="32"/>
          <w:szCs w:val="32"/>
          <w:lang w:bidi="ar-SA"/>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Chars="200" w:firstLine="640"/>
        <w:rPr>
          <w:rFonts w:ascii="仿宋_GB2312" w:eastAsia="仿宋_GB2312" w:hint="eastAsia"/>
          <w:color w:val="auto"/>
          <w:sz w:val="32"/>
          <w:szCs w:val="32"/>
        </w:rPr>
      </w:pPr>
      <w:r>
        <w:rPr>
          <w:rFonts w:ascii="Times New Roman" w:eastAsia="方正仿宋_GBK" w:cs="Times New Roman" w:hAnsi="Times New Roman"/>
          <w:sz w:val="32"/>
          <w:szCs w:val="32"/>
          <w:lang w:bidi="ar-SA"/>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rFonts w:eastAsia="黑体"/>
          <w:color w:val="auto"/>
          <w:sz w:val="44"/>
          <w:szCs w:val="44"/>
          <w:highlight w:val="auto"/>
        </w:rPr>
      </w:pPr>
      <w:bookmarkStart w:id="104" w:name="_Toc15396614"/>
      <w:r>
        <w:rPr>
          <w:rFonts w:eastAsia="黑体"/>
          <w:color w:val="auto"/>
          <w:sz w:val="44"/>
          <w:szCs w:val="44"/>
          <w:highlight w:val="auto"/>
        </w:rPr>
        <w:br w:type="page"/>
      </w:r>
    </w:p>
    <w:p>
      <w:pPr>
        <w:spacing w:line="576" w:lineRule="exact"/>
        <w:jc w:val="center"/>
        <w:rPr>
          <w:rStyle w:val="1Char"/>
          <w:rFonts w:eastAsia="黑体"/>
          <w:b w:val="0"/>
          <w:color w:val="auto"/>
          <w:lang w:eastAsia="zh-CN"/>
          <w:highlight w:val="auto"/>
        </w:rPr>
      </w:pPr>
      <w:r>
        <w:rPr>
          <w:rFonts w:eastAsia="黑体"/>
          <w:color w:val="auto"/>
          <w:sz w:val="44"/>
          <w:szCs w:val="44"/>
          <w:highlight w:val="auto"/>
        </w:rPr>
        <w:t xml:space="preserve">       第四部分</w:t>
      </w:r>
      <w:r>
        <w:rPr>
          <w:rFonts w:eastAsia="黑体"/>
          <w:color w:val="auto"/>
          <w:sz w:val="44"/>
          <w:szCs w:val="44"/>
          <w:lang w:val="en-US" w:eastAsia="zh-CN"/>
          <w:highlight w:val="auto"/>
        </w:rPr>
        <w:t xml:space="preserve"> </w:t>
      </w:r>
      <w:r>
        <w:rPr>
          <w:rFonts w:eastAsia="黑体"/>
          <w:color w:val="auto"/>
          <w:sz w:val="44"/>
          <w:szCs w:val="44"/>
          <w:highlight w:val="auto"/>
        </w:rPr>
        <w:t xml:space="preserve"> 附件</w:t>
      </w:r>
      <w:bookmarkEnd w:id="104"/>
    </w:p>
    <w:p>
      <w:pPr>
        <w:keepNext w:val="0"/>
        <w:keepLines w:val="0"/>
        <w:pageBreakBefore w:val="0"/>
        <w:widowControl w:val="0"/>
        <w:kinsoku/>
        <w:wordWrap/>
        <w:overflowPunct/>
        <w:topLinePunct w:val="0"/>
        <w:autoSpaceDE/>
        <w:autoSpaceDN/>
        <w:bidi w:val="0"/>
        <w:spacing w:line="576" w:lineRule="exact"/>
        <w:jc w:val="left"/>
        <w:textAlignment w:val="auto"/>
        <w:outlineLvl w:val="0"/>
        <w:rPr>
          <w:rFonts w:eastAsia="黑体"/>
          <w:color w:val="FF0000"/>
          <w:sz w:val="32"/>
          <w:szCs w:val="32"/>
          <w:highlight w:val="auto"/>
        </w:rPr>
      </w:pPr>
    </w:p>
    <w:p>
      <w:pPr>
        <w:keepNext w:val="0"/>
        <w:keepLines w:val="0"/>
        <w:pageBreakBefore w:val="0"/>
        <w:widowControl w:val="0"/>
        <w:kinsoku/>
        <w:wordWrap/>
        <w:overflowPunct/>
        <w:topLinePunct w:val="0"/>
        <w:autoSpaceDE/>
        <w:autoSpaceDN/>
        <w:bidi w:val="0"/>
        <w:spacing w:line="576" w:lineRule="exact"/>
        <w:jc w:val="left"/>
        <w:textAlignment w:val="auto"/>
        <w:outlineLvl w:val="0"/>
        <w:rPr>
          <w:rFonts w:eastAsia="黑体"/>
          <w:color w:val="auto"/>
          <w:sz w:val="44"/>
          <w:szCs w:val="44"/>
          <w:lang w:val="en-US" w:eastAsia="zh-CN"/>
          <w:highlight w:val="auto"/>
        </w:rPr>
      </w:pPr>
      <w:bookmarkStart w:id="105" w:name="_Toc23102379"/>
      <w:bookmarkStart w:id="106" w:name="_Toc23102410"/>
      <w:r>
        <w:rPr>
          <w:rFonts w:eastAsia="黑体"/>
          <w:color w:val="auto"/>
          <w:sz w:val="32"/>
          <w:szCs w:val="32"/>
          <w:highlight w:val="auto"/>
        </w:rPr>
        <w:t>附件</w:t>
      </w:r>
      <w:r>
        <w:rPr>
          <w:rFonts w:eastAsia="黑体"/>
          <w:color w:val="auto"/>
          <w:sz w:val="32"/>
          <w:szCs w:val="32"/>
          <w:lang w:val="en-US" w:eastAsia="zh-CN"/>
          <w:highlight w:val="auto"/>
        </w:rPr>
        <w:t>1</w:t>
      </w:r>
      <w:bookmarkEnd w:id="105"/>
      <w:bookmarkEnd w:id="106"/>
    </w:p>
    <w:p>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eastAsia="方正小标宋简体"/>
          <w:b w:val="0"/>
          <w:bCs/>
          <w:sz w:val="44"/>
          <w:szCs w:val="44"/>
          <w:shd w:val="clear" w:color="auto" w:fill="FFFFFF"/>
          <w:highlight w:val="auto"/>
        </w:rPr>
      </w:pPr>
    </w:p>
    <w:p>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eastAsia="方正小标宋简体"/>
          <w:b w:val="0"/>
          <w:bCs/>
          <w:sz w:val="44"/>
          <w:szCs w:val="44"/>
          <w:shd w:val="clear" w:color="auto" w:fill="FFFFFF"/>
          <w:highlight w:val="auto"/>
        </w:rPr>
      </w:pPr>
      <w:r>
        <w:rPr>
          <w:rFonts w:eastAsia="方正小标宋简体"/>
          <w:b w:val="0"/>
          <w:bCs/>
          <w:sz w:val="44"/>
          <w:szCs w:val="44"/>
          <w:shd w:val="clear" w:color="auto" w:fill="FFFFFF"/>
          <w:highlight w:val="auto"/>
        </w:rPr>
        <w:t>部门</w:t>
      </w:r>
      <w:r>
        <w:rPr>
          <w:rFonts w:eastAsia="方正小标宋简体"/>
          <w:b w:val="0"/>
          <w:bCs/>
          <w:sz w:val="44"/>
          <w:szCs w:val="44"/>
          <w:shd w:val="clear" w:color="auto" w:fill="FFFFFF"/>
          <w:lang w:eastAsia="zh-CN"/>
          <w:highlight w:val="auto"/>
        </w:rPr>
        <w:t>预算</w:t>
      </w:r>
      <w:r>
        <w:rPr>
          <w:rFonts w:eastAsia="方正小标宋简体"/>
          <w:b w:val="0"/>
          <w:bCs/>
          <w:sz w:val="44"/>
          <w:szCs w:val="44"/>
          <w:shd w:val="clear" w:color="auto" w:fill="FFFFFF"/>
          <w:highlight w:val="auto"/>
        </w:rPr>
        <w:t>绩效</w:t>
      </w:r>
      <w:r>
        <w:rPr>
          <w:rFonts w:eastAsia="方正小标宋简体"/>
          <w:b w:val="0"/>
          <w:bCs/>
          <w:sz w:val="44"/>
          <w:szCs w:val="44"/>
          <w:shd w:val="clear" w:color="auto" w:fill="FFFFFF"/>
          <w:lang w:eastAsia="zh-CN"/>
          <w:highlight w:val="auto"/>
        </w:rPr>
        <w:t>评价</w:t>
      </w:r>
      <w:r>
        <w:rPr>
          <w:rFonts w:eastAsia="方正小标宋简体"/>
          <w:b w:val="0"/>
          <w:bCs/>
          <w:sz w:val="44"/>
          <w:szCs w:val="44"/>
          <w:shd w:val="clear" w:color="auto" w:fill="FFFFFF"/>
          <w:highlight w:val="auto"/>
        </w:rPr>
        <w:t>报告</w:t>
      </w:r>
    </w:p>
    <w:p>
      <w:pPr>
        <w:keepNext w:val="0"/>
        <w:keepLines w:val="0"/>
        <w:pageBreakBefore w:val="0"/>
        <w:widowControl/>
        <w:kinsoku/>
        <w:wordWrap/>
        <w:overflowPunct/>
        <w:topLinePunct w:val="0"/>
        <w:autoSpaceDE/>
        <w:autoSpaceDN/>
        <w:bidi w:val="0"/>
        <w:spacing w:line="576" w:lineRule="exact"/>
        <w:contextualSpacing/>
        <w:jc w:val="center"/>
        <w:textAlignment w:val="auto"/>
        <w:outlineLvl w:val="9"/>
        <w:rPr>
          <w:rFonts w:eastAsia="仿宋_GB2312"/>
          <w:sz w:val="32"/>
          <w:szCs w:val="32"/>
          <w:shd w:val="clear" w:color="auto" w:fill="FFFFFF"/>
          <w:highlight w:val="auto"/>
        </w:rPr>
      </w:pPr>
      <w:r>
        <w:rPr>
          <w:rFonts w:eastAsia="仿宋_GB2312"/>
          <w:sz w:val="32"/>
          <w:szCs w:val="32"/>
          <w:shd w:val="clear" w:color="auto" w:fill="FFFFFF"/>
          <w:highlight w:val="auto"/>
        </w:rPr>
        <w:t>（州专用通信中心）</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480"/>
        <w:contextualSpacing/>
        <w:jc w:val="left"/>
        <w:textAlignment w:val="auto"/>
        <w:outlineLvl w:val="9"/>
        <w:rPr>
          <w:rFonts w:eastAsia="黑体"/>
          <w:color w:val="000000"/>
          <w:kern w:val="0"/>
          <w:sz w:val="24"/>
          <w:szCs w:val="32"/>
          <w:shd w:val="clear" w:color="auto" w:fill="FFFFFF"/>
          <w:highlight w:val="auto"/>
        </w:rPr>
      </w:pPr>
    </w:p>
    <w:p>
      <w:pPr>
        <w:keepNext w:val="0"/>
        <w:keepLines w:val="0"/>
        <w:pageBreakBefore w:val="0"/>
        <w:widowControl/>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黑体"/>
          <w:color w:val="000000"/>
          <w:kern w:val="0"/>
          <w:sz w:val="32"/>
          <w:szCs w:val="32"/>
          <w:shd w:val="clear" w:color="auto" w:fill="FFFFFF"/>
          <w:lang w:val="zh-CN"/>
          <w:highlight w:val="auto"/>
        </w:rPr>
      </w:pPr>
      <w:r>
        <w:rPr>
          <w:rFonts w:eastAsia="黑体"/>
          <w:color w:val="000000"/>
          <w:kern w:val="0"/>
          <w:sz w:val="32"/>
          <w:szCs w:val="32"/>
          <w:shd w:val="clear" w:color="auto" w:fill="FFFFFF"/>
          <w:lang w:val="zh-CN"/>
          <w:highlight w:val="auto"/>
        </w:rPr>
        <w:t>一、部门（单位）基本情况</w:t>
      </w:r>
    </w:p>
    <w:p>
      <w:pPr>
        <w:pStyle w:val="32"/>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eastAsia="仿宋_GB2312"/>
          <w:bCs/>
          <w:sz w:val="32"/>
          <w:szCs w:val="32"/>
        </w:rPr>
      </w:pPr>
      <w:bookmarkStart w:id="107" w:name="_Toc23102380"/>
      <w:bookmarkStart w:id="108" w:name="_Toc23102411"/>
      <w:r>
        <w:rPr>
          <w:rFonts w:eastAsia="楷体_GB2312"/>
          <w:b/>
          <w:color w:val="auto"/>
          <w:sz w:val="32"/>
          <w:szCs w:val="32"/>
          <w:lang w:val="zh-CN"/>
          <w:highlight w:val="auto"/>
        </w:rPr>
        <w:t>（一）机构组成。</w:t>
      </w:r>
      <w:r>
        <w:rPr>
          <w:rStyle w:val="0"/>
          <w:rFonts w:eastAsia="仿宋_GB2312"/>
          <w:bCs/>
          <w:sz w:val="32"/>
          <w:szCs w:val="32"/>
        </w:rPr>
        <w:t>内容涉密，不作表述。</w:t>
      </w:r>
      <w:bookmarkEnd w:id="107"/>
      <w:bookmarkEnd w:id="108"/>
    </w:p>
    <w:p>
      <w:pPr>
        <w:pStyle w:val="32"/>
        <w:keepNext w:val="0"/>
        <w:keepLines w:val="0"/>
        <w:pageBreakBefore w:val="0"/>
        <w:widowControl w:val="0"/>
        <w:kinsoku/>
        <w:wordWrap/>
        <w:overflowPunct/>
        <w:topLinePunct w:val="0"/>
        <w:autoSpaceDE/>
        <w:autoSpaceDN/>
        <w:adjustRightInd/>
        <w:snapToGrid/>
        <w:spacing w:line="576" w:lineRule="exact"/>
        <w:ind w:left="0" w:firstLineChars="200" w:firstLine="640"/>
        <w:outlineLvl w:val="1"/>
        <w:rPr>
          <w:rFonts w:eastAsia="仿宋_GB2312"/>
          <w:bCs/>
          <w:sz w:val="32"/>
          <w:szCs w:val="32"/>
        </w:rPr>
      </w:pPr>
      <w:bookmarkStart w:id="109" w:name="_Toc23102381"/>
      <w:bookmarkStart w:id="110" w:name="_Toc23102412"/>
      <w:r>
        <w:rPr>
          <w:rFonts w:eastAsia="楷体_GB2312"/>
          <w:b/>
          <w:color w:val="auto"/>
          <w:sz w:val="32"/>
          <w:szCs w:val="32"/>
          <w:lang w:val="zh-CN"/>
          <w:highlight w:val="auto"/>
        </w:rPr>
        <w:t>（二）机构职能。</w:t>
      </w:r>
      <w:r>
        <w:rPr>
          <w:rStyle w:val="0"/>
          <w:rFonts w:eastAsia="仿宋_GB2312"/>
          <w:bCs/>
          <w:sz w:val="32"/>
          <w:szCs w:val="32"/>
        </w:rPr>
        <w:t>内容涉密，不作表述。</w:t>
      </w:r>
      <w:bookmarkEnd w:id="109"/>
      <w:bookmarkEnd w:id="110"/>
    </w:p>
    <w:p>
      <w:pPr>
        <w:keepNext w:val="0"/>
        <w:keepLines w:val="0"/>
        <w:pageBreakBefore w:val="0"/>
        <w:widowControl w:val="0"/>
        <w:kinsoku/>
        <w:wordWrap/>
        <w:overflowPunct/>
        <w:topLinePunct w:val="0"/>
        <w:autoSpaceDE/>
        <w:autoSpaceDN/>
        <w:bidi w:val="0"/>
        <w:adjustRightInd/>
        <w:snapToGrid/>
        <w:spacing w:line="576" w:lineRule="exact"/>
        <w:ind w:firstLineChars="200" w:firstLine="640"/>
        <w:textAlignment w:val="auto"/>
        <w:rPr>
          <w:szCs w:val="32"/>
        </w:rPr>
      </w:pPr>
      <w:r>
        <w:rPr>
          <w:rFonts w:eastAsia="楷体_GB2312"/>
          <w:b/>
          <w:bCs/>
          <w:color w:val="000000"/>
          <w:kern w:val="0"/>
          <w:sz w:val="32"/>
          <w:szCs w:val="32"/>
          <w:shd w:val="clear" w:color="auto" w:fill="FFFFFF"/>
          <w:lang w:val="zh-CN"/>
          <w:highlight w:val="auto"/>
        </w:rPr>
        <w:t>（三）人员概况。</w:t>
      </w:r>
      <w:r>
        <w:rPr>
          <w:rFonts w:eastAsia="仿宋_GB2312"/>
          <w:sz w:val="32"/>
          <w:szCs w:val="32"/>
          <w:lang w:val="en-US" w:eastAsia="zh-CN"/>
        </w:rPr>
        <w:t>截至2024年末，</w:t>
      </w:r>
      <w:r>
        <w:rPr>
          <w:rFonts w:eastAsia="仿宋_GB2312"/>
          <w:color w:val="auto"/>
          <w:kern w:val="2"/>
          <w:sz w:val="32"/>
          <w:szCs w:val="32"/>
          <w:lang w:val="en-US" w:eastAsia="zh-CN" w:bidi="ar-SA"/>
          <w:highlight w:val="auto"/>
        </w:rPr>
        <w:t>州专用通信中心（含州涉密文档专管中心）</w:t>
      </w:r>
      <w:r>
        <w:rPr>
          <w:rFonts w:eastAsia="仿宋_GB2312"/>
          <w:sz w:val="32"/>
          <w:szCs w:val="32"/>
          <w:lang w:val="en-US" w:eastAsia="zh-CN"/>
        </w:rPr>
        <w:t>年末实有人数12人。</w:t>
      </w:r>
    </w:p>
    <w:p>
      <w:pPr>
        <w:keepNext w:val="0"/>
        <w:keepLines w:val="0"/>
        <w:pageBreakBefore w:val="0"/>
        <w:widowControl/>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黑体"/>
          <w:color w:val="000000"/>
          <w:kern w:val="0"/>
          <w:sz w:val="32"/>
          <w:szCs w:val="32"/>
          <w:shd w:val="clear" w:color="auto" w:fill="FFFFFF"/>
          <w:lang w:val="zh-CN" w:eastAsia="zh-CN"/>
          <w:highlight w:val="auto"/>
        </w:rPr>
      </w:pPr>
      <w:r>
        <w:rPr>
          <w:rFonts w:eastAsia="黑体"/>
          <w:color w:val="000000"/>
          <w:kern w:val="0"/>
          <w:sz w:val="32"/>
          <w:szCs w:val="32"/>
          <w:shd w:val="clear" w:color="auto" w:fill="FFFFFF"/>
          <w:lang w:val="zh-CN" w:eastAsia="zh-CN"/>
          <w:highlight w:val="auto"/>
        </w:rPr>
        <w:t>二、部门资金收支情况</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outlineLvl w:val="9"/>
        <w:rPr>
          <w:rFonts w:eastAsia="楷体_GB2312"/>
          <w:b/>
          <w:bCs/>
          <w:color w:val="000000"/>
          <w:kern w:val="0"/>
          <w:szCs w:val="32"/>
          <w:shd w:val="clear" w:color="auto" w:fill="FFFFFF"/>
          <w:lang w:val="en-US"/>
          <w:highlight w:val="auto"/>
        </w:rPr>
      </w:pPr>
      <w:r>
        <w:rPr>
          <w:rFonts w:eastAsia="楷体_GB2312"/>
          <w:b/>
          <w:bCs/>
          <w:color w:val="000000"/>
          <w:kern w:val="0"/>
          <w:sz w:val="32"/>
          <w:szCs w:val="32"/>
          <w:shd w:val="clear" w:color="auto" w:fill="FFFFFF"/>
          <w:lang w:val="zh-CN"/>
          <w:highlight w:val="auto"/>
        </w:rPr>
        <w:t>（一）收入情况。</w:t>
      </w:r>
      <w:r>
        <w:rPr>
          <w:rFonts w:eastAsia="仿宋_GB2312"/>
          <w:sz w:val="32"/>
          <w:szCs w:val="32"/>
          <w:shd w:val="clear" w:color="auto" w:fill="FFFFFF"/>
          <w:highlight w:val="auto"/>
        </w:rPr>
        <w:t>州专用通信中心</w:t>
      </w:r>
      <w:r>
        <w:rPr>
          <w:rFonts w:eastAsia="仿宋_GB2312"/>
          <w:sz w:val="32"/>
          <w:szCs w:val="32"/>
          <w:lang w:val="en-US" w:eastAsia="zh-CN"/>
        </w:rPr>
        <w:t>2024年年初预算收入279.2万元，决算报表收入279.2万元。</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outlineLvl w:val="9"/>
        <w:rPr>
          <w:szCs w:val="32"/>
          <w:lang w:val="zh-CN" w:eastAsia="zh-CN"/>
        </w:rPr>
      </w:pPr>
      <w:r>
        <w:rPr>
          <w:rFonts w:eastAsia="楷体_GB2312"/>
          <w:b/>
          <w:bCs/>
          <w:color w:val="000000"/>
          <w:kern w:val="0"/>
          <w:sz w:val="32"/>
          <w:szCs w:val="32"/>
          <w:shd w:val="clear" w:color="auto" w:fill="FFFFFF"/>
          <w:lang w:val="zh-CN"/>
          <w:highlight w:val="auto"/>
        </w:rPr>
        <w:t>（二）支出情况。</w:t>
      </w:r>
      <w:r>
        <w:rPr>
          <w:rFonts w:eastAsia="仿宋_GB2312"/>
          <w:sz w:val="32"/>
          <w:szCs w:val="32"/>
          <w:shd w:val="clear" w:color="auto" w:fill="FFFFFF"/>
          <w:highlight w:val="auto"/>
        </w:rPr>
        <w:t>州专用通信中心</w:t>
      </w:r>
      <w:r>
        <w:rPr>
          <w:rFonts w:eastAsia="仿宋_GB2312"/>
          <w:sz w:val="32"/>
          <w:szCs w:val="32"/>
          <w:lang w:val="en-US" w:eastAsia="zh-CN"/>
        </w:rPr>
        <w:t>2024年年初预算支出279.2万元、决算报表支出279.2万元。</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outlineLvl w:val="9"/>
        <w:rPr>
          <w:rFonts w:eastAsia="仿宋_GB2312"/>
          <w:b w:val="0"/>
          <w:bCs w:val="0"/>
          <w:color w:val="000000"/>
          <w:kern w:val="0"/>
          <w:szCs w:val="32"/>
          <w:shd w:val="clear" w:color="auto" w:fill="FFFFFF"/>
          <w:lang w:val="zh-CN" w:eastAsia="zh-CN"/>
          <w:highlight w:val="auto"/>
        </w:rPr>
      </w:pPr>
      <w:r>
        <w:rPr>
          <w:rFonts w:eastAsia="楷体_GB2312"/>
          <w:b/>
          <w:bCs/>
          <w:color w:val="000000"/>
          <w:kern w:val="0"/>
          <w:sz w:val="32"/>
          <w:szCs w:val="32"/>
          <w:shd w:val="clear" w:color="auto" w:fill="FFFFFF"/>
          <w:lang w:val="zh-CN"/>
          <w:highlight w:val="auto"/>
        </w:rPr>
        <w:t>（三）结余分配和结转结余情况</w:t>
      </w:r>
      <w:r>
        <w:rPr>
          <w:rFonts w:eastAsia="楷体_GB2312"/>
          <w:b/>
          <w:bCs/>
          <w:color w:val="000000"/>
          <w:kern w:val="0"/>
          <w:sz w:val="32"/>
          <w:szCs w:val="32"/>
          <w:shd w:val="clear" w:color="auto" w:fill="FFFFFF"/>
          <w:lang w:val="zh-CN" w:eastAsia="zh-CN"/>
          <w:highlight w:val="auto"/>
        </w:rPr>
        <w:t>。</w:t>
      </w:r>
      <w:r>
        <w:rPr>
          <w:rFonts w:eastAsia="仿宋_GB2312"/>
          <w:sz w:val="32"/>
          <w:szCs w:val="32"/>
          <w:shd w:val="clear" w:color="auto" w:fill="FFFFFF"/>
          <w:highlight w:val="auto"/>
        </w:rPr>
        <w:t>州专用通信中心</w:t>
      </w:r>
      <w:r>
        <w:rPr>
          <w:rFonts w:eastAsia="仿宋_GB2312"/>
          <w:sz w:val="32"/>
          <w:szCs w:val="32"/>
          <w:lang w:val="en-US" w:eastAsia="zh-CN"/>
        </w:rPr>
        <w:t>2024年决算报表无结转结余。</w:t>
      </w:r>
    </w:p>
    <w:p>
      <w:pPr>
        <w:keepNext w:val="0"/>
        <w:keepLines w:val="0"/>
        <w:pageBreakBefore w:val="0"/>
        <w:widowControl/>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黑体"/>
          <w:color w:val="000000"/>
          <w:kern w:val="0"/>
          <w:sz w:val="32"/>
          <w:szCs w:val="32"/>
          <w:shd w:val="clear" w:color="auto" w:fill="FFFFFF"/>
          <w:lang w:val="zh-CN" w:eastAsia="zh-CN"/>
          <w:highlight w:val="auto"/>
        </w:rPr>
      </w:pPr>
      <w:r>
        <w:rPr>
          <w:rFonts w:eastAsia="黑体"/>
          <w:color w:val="000000"/>
          <w:kern w:val="0"/>
          <w:sz w:val="32"/>
          <w:szCs w:val="32"/>
          <w:shd w:val="clear" w:color="auto" w:fill="FFFFFF"/>
          <w:lang w:val="zh-CN" w:eastAsia="zh-CN"/>
          <w:highlight w:val="auto"/>
        </w:rPr>
        <w:t>三、部门预算绩效分析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仿宋_GB2312"/>
          <w:color w:val="auto"/>
          <w:kern w:val="2"/>
          <w:sz w:val="32"/>
          <w:szCs w:val="32"/>
          <w:lang w:val="zh-CN" w:eastAsia="zh-CN" w:bidi="ar-SA"/>
          <w:highlight w:val="auto"/>
        </w:rPr>
      </w:pPr>
      <w:r>
        <w:rPr>
          <w:rFonts w:eastAsia="楷体_GB2312"/>
          <w:b/>
          <w:bCs/>
          <w:color w:val="000000"/>
          <w:kern w:val="0"/>
          <w:sz w:val="32"/>
          <w:szCs w:val="32"/>
          <w:shd w:val="clear" w:color="auto" w:fill="FFFFFF"/>
          <w:lang w:val="zh-CN"/>
          <w:highlight w:val="auto"/>
        </w:rPr>
        <w:t>（一）部门预算总体绩效分析。</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仿宋_GB2312"/>
          <w:color w:val="auto"/>
          <w:kern w:val="2"/>
          <w:sz w:val="32"/>
          <w:szCs w:val="32"/>
          <w:lang w:val="zh-CN" w:eastAsia="zh-CN" w:bidi="ar-SA"/>
          <w:highlight w:val="auto"/>
        </w:rPr>
      </w:pPr>
      <w:r>
        <w:rPr>
          <w:rFonts w:eastAsia="仿宋_GB2312"/>
          <w:b/>
          <w:bCs/>
          <w:color w:val="auto"/>
          <w:kern w:val="2"/>
          <w:sz w:val="32"/>
          <w:szCs w:val="32"/>
          <w:lang w:val="en-US" w:eastAsia="zh-CN" w:bidi="ar-SA"/>
          <w:highlight w:val="auto"/>
        </w:rPr>
        <w:t>1.</w:t>
      </w:r>
      <w:r>
        <w:rPr>
          <w:rFonts w:eastAsia="仿宋_GB2312"/>
          <w:b/>
          <w:bCs/>
          <w:color w:val="auto"/>
          <w:kern w:val="2"/>
          <w:sz w:val="32"/>
          <w:szCs w:val="32"/>
          <w:lang w:val="zh-CN" w:eastAsia="zh-CN" w:bidi="ar-SA"/>
          <w:highlight w:val="auto"/>
        </w:rPr>
        <w:t>履职效能。</w:t>
      </w:r>
      <w:r>
        <w:rPr>
          <w:rStyle w:val="0"/>
          <w:rFonts w:eastAsia="仿宋_GB2312"/>
          <w:bCs/>
          <w:sz w:val="32"/>
          <w:szCs w:val="32"/>
        </w:rPr>
        <w:t>内容涉密，不作表述。</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仿宋_GB2312"/>
          <w:color w:val="auto"/>
          <w:kern w:val="2"/>
          <w:sz w:val="32"/>
          <w:szCs w:val="32"/>
          <w:lang w:val="zh-CN" w:eastAsia="zh-CN" w:bidi="ar-SA"/>
          <w:highlight w:val="auto"/>
        </w:rPr>
      </w:pPr>
      <w:r>
        <w:rPr>
          <w:rFonts w:eastAsia="仿宋_GB2312"/>
          <w:b/>
          <w:bCs/>
          <w:color w:val="auto"/>
          <w:kern w:val="2"/>
          <w:sz w:val="32"/>
          <w:szCs w:val="32"/>
          <w:lang w:val="en-US" w:eastAsia="zh-CN" w:bidi="ar-SA"/>
          <w:highlight w:val="auto"/>
        </w:rPr>
        <w:t>2.</w:t>
      </w:r>
      <w:r>
        <w:rPr>
          <w:rFonts w:eastAsia="仿宋_GB2312"/>
          <w:b/>
          <w:bCs/>
          <w:color w:val="auto"/>
          <w:kern w:val="2"/>
          <w:sz w:val="32"/>
          <w:szCs w:val="32"/>
          <w:lang w:val="zh-CN" w:eastAsia="zh-CN" w:bidi="ar-SA"/>
          <w:highlight w:val="auto"/>
        </w:rPr>
        <w:t>预算管理。</w:t>
      </w:r>
      <w:r>
        <w:rPr>
          <w:rFonts w:ascii="Times New Roman" w:eastAsia="仿宋_GB2312" w:hAnsi="Times New Roman" w:hint="eastAsia"/>
          <w:sz w:val="32"/>
          <w:szCs w:val="32"/>
          <w:lang w:val="zh-CN" w:eastAsia="zh-CN"/>
        </w:rPr>
        <w:t>根据年度经济社会发展目标、国家宏观调控总体要求和跨年度预算平衡的需要，参考上一年预算执行情况、有关支出绩效评价结果和本年度收支预测，按照规定程序征求各方面意见后，进行编制。应当按照</w:t>
      </w:r>
      <w:r>
        <w:rPr>
          <w:rFonts w:ascii="Times New Roman" w:eastAsia="仿宋_GB2312" w:hAnsi="Times New Roman"/>
          <w:sz w:val="32"/>
          <w:szCs w:val="32"/>
          <w:lang w:val="zh-CN" w:eastAsia="zh-CN"/>
        </w:rPr>
        <w:t>指定</w:t>
      </w:r>
      <w:r>
        <w:rPr>
          <w:rFonts w:ascii="Times New Roman" w:eastAsia="仿宋_GB2312" w:hAnsi="Times New Roman" w:hint="eastAsia"/>
          <w:sz w:val="32"/>
          <w:szCs w:val="32"/>
          <w:lang w:val="zh-CN" w:eastAsia="zh-CN"/>
        </w:rPr>
        <w:t>的政府收支分类科目、预算支出标准和要求，以及绩效目标管理等预算编制规定，根据其依法履行职能和事业发展的需要以及存量资产情况，编制本科室（中心）、本单位预算草案。政府收支分类科目，收入分为类、款、项、目；支出按其功能分类分为类、款、项，按其经济性质分类分为类、款</w:t>
      </w:r>
      <w:r>
        <w:rPr>
          <w:rFonts w:ascii="Times New Roman" w:eastAsia="仿宋_GB2312" w:hAnsi="Times New Roman"/>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仿宋_GB2312"/>
          <w:color w:val="auto"/>
          <w:kern w:val="2"/>
          <w:sz w:val="32"/>
          <w:szCs w:val="32"/>
          <w:lang w:val="zh-CN" w:eastAsia="zh-CN" w:bidi="ar-SA"/>
          <w:highlight w:val="auto"/>
        </w:rPr>
      </w:pPr>
      <w:r>
        <w:rPr>
          <w:rFonts w:eastAsia="仿宋_GB2312"/>
          <w:b/>
          <w:bCs/>
          <w:color w:val="auto"/>
          <w:kern w:val="2"/>
          <w:sz w:val="32"/>
          <w:szCs w:val="32"/>
          <w:lang w:val="en-US" w:eastAsia="zh-CN" w:bidi="ar-SA"/>
          <w:highlight w:val="auto"/>
        </w:rPr>
        <w:t>3.</w:t>
      </w:r>
      <w:r>
        <w:rPr>
          <w:rFonts w:eastAsia="仿宋_GB2312"/>
          <w:b/>
          <w:bCs/>
          <w:color w:val="auto"/>
          <w:kern w:val="2"/>
          <w:sz w:val="32"/>
          <w:szCs w:val="32"/>
          <w:lang w:val="zh-CN" w:eastAsia="zh-CN" w:bidi="ar-SA"/>
          <w:highlight w:val="auto"/>
        </w:rPr>
        <w:t>财务管理。</w:t>
      </w:r>
      <w:r>
        <w:rPr>
          <w:rFonts w:ascii="Times New Roman" w:eastAsia="仿宋_GB2312" w:hAnsi="Times New Roman"/>
          <w:sz w:val="32"/>
          <w:szCs w:val="32"/>
          <w:lang w:val="zh-CN" w:eastAsia="zh-CN"/>
        </w:rPr>
        <w:t>建立健全内控制度。《会计法》第二十七条规定“国家机关、社会团体和企事业单位必须建立健全内部控制制度，以确保会计信息的真实可靠，国家财产安全稳定”。对于预算管理、资金拨付和费用支出管理、报销审批程序以及对错误核算和错误支出的纠正等经济活动，确定单位内控的重点和目标，设立合理的组织结构，确认相关的管理职能和关系，划分责任权限，因事设人，视能授权，责任到位，权责对等，以增加组织的控制意识。</w:t>
      </w:r>
    </w:p>
    <w:p>
      <w:pPr>
        <w:keepNext w:val="0"/>
        <w:keepLines w:val="0"/>
        <w:pageBreakBefore w:val="0"/>
        <w:widowControl w:val="0"/>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仿宋_GB2312"/>
          <w:color w:val="auto"/>
          <w:kern w:val="2"/>
          <w:sz w:val="32"/>
          <w:szCs w:val="32"/>
          <w:lang w:val="zh-CN" w:eastAsia="zh-CN" w:bidi="ar-SA"/>
          <w:highlight w:val="auto"/>
        </w:rPr>
      </w:pPr>
      <w:r>
        <w:rPr>
          <w:rFonts w:eastAsia="仿宋_GB2312"/>
          <w:b/>
          <w:bCs/>
          <w:color w:val="auto"/>
          <w:kern w:val="2"/>
          <w:sz w:val="32"/>
          <w:szCs w:val="32"/>
          <w:lang w:val="en-US" w:eastAsia="zh-CN" w:bidi="ar-SA"/>
          <w:highlight w:val="auto"/>
        </w:rPr>
        <w:t>4.</w:t>
      </w:r>
      <w:r>
        <w:rPr>
          <w:rFonts w:eastAsia="仿宋_GB2312"/>
          <w:b/>
          <w:bCs/>
          <w:color w:val="auto"/>
          <w:kern w:val="2"/>
          <w:sz w:val="32"/>
          <w:szCs w:val="32"/>
          <w:lang w:val="zh-CN" w:eastAsia="zh-CN" w:bidi="ar-SA"/>
          <w:highlight w:val="auto"/>
        </w:rPr>
        <w:t>资产管理。</w:t>
      </w:r>
      <w:r>
        <w:rPr>
          <w:rFonts w:eastAsia="仿宋_GB2312"/>
          <w:color w:val="auto"/>
          <w:kern w:val="2"/>
          <w:sz w:val="32"/>
          <w:szCs w:val="32"/>
          <w:lang w:val="zh-CN" w:eastAsia="zh-CN" w:bidi="ar-SA"/>
          <w:highlight w:val="auto"/>
        </w:rPr>
        <w:t>州专用通信中心资产统一在州委办核算。</w:t>
      </w:r>
    </w:p>
    <w:p>
      <w:pPr>
        <w:snapToGrid w:val="0"/>
        <w:spacing w:line="360" w:lineRule="auto"/>
        <w:ind w:firstLineChars="200" w:firstLine="640"/>
        <w:contextualSpacing/>
        <w:rPr>
          <w:rFonts w:eastAsia="仿宋_GB2312" w:hint="eastAsia"/>
          <w:sz w:val="32"/>
          <w:szCs w:val="32"/>
          <w:lang w:val="zh-CN"/>
        </w:rPr>
      </w:pPr>
      <w:r>
        <w:rPr>
          <w:rFonts w:eastAsia="仿宋_GB2312"/>
          <w:b/>
          <w:bCs/>
          <w:color w:val="auto"/>
          <w:kern w:val="2"/>
          <w:sz w:val="32"/>
          <w:szCs w:val="32"/>
          <w:lang w:val="en-US" w:eastAsia="zh-CN" w:bidi="ar-SA"/>
          <w:highlight w:val="auto"/>
        </w:rPr>
        <w:t>5.</w:t>
      </w:r>
      <w:r>
        <w:rPr>
          <w:rFonts w:eastAsia="仿宋_GB2312"/>
          <w:b/>
          <w:bCs/>
          <w:color w:val="auto"/>
          <w:kern w:val="2"/>
          <w:sz w:val="32"/>
          <w:szCs w:val="32"/>
          <w:lang w:val="zh-CN" w:eastAsia="zh-CN" w:bidi="ar-SA"/>
          <w:highlight w:val="auto"/>
        </w:rPr>
        <w:t>采购管理。</w:t>
      </w:r>
      <w:r>
        <w:rPr>
          <w:rFonts w:ascii="Times New Roman" w:eastAsia="仿宋_GB2312" w:hAnsi="Times New Roman" w:hint="eastAsia"/>
          <w:sz w:val="32"/>
          <w:szCs w:val="32"/>
          <w:lang w:val="zh-CN" w:eastAsia="zh-CN"/>
        </w:rPr>
        <w:t>购管理应当遵循公开、公平、公正和诚实信用的原则，对采购过程中的分工与授权、预算与计划、采购与验收等方面加强控制；对采购预算编制、采购组织形式及采购方式、采购执行、验收、备案、监督检查等环节的全面管控。建立健全采购预算与计划管理机制，确保采购业务纳入预算管理，按照计划办理采购业务；规范招投标行为，确保招投标公开、公平、公正，确保采购结果符合预期目标，程序合规合法；加强对采购项目验收的管理，确保采购工作达到预期目标，保证中共阿坝州委办公室业务的正常开展；严格采购信息管理，防止机密信息泄露。</w:t>
      </w:r>
    </w:p>
    <w:p>
      <w:pPr>
        <w:keepNext w:val="0"/>
        <w:keepLines w:val="0"/>
        <w:pageBreakBefore w:val="0"/>
        <w:widowControl w:val="0"/>
        <w:kinsoku/>
        <w:wordWrap/>
        <w:overflowPunct/>
        <w:topLinePunct w:val="0"/>
        <w:autoSpaceDE/>
        <w:autoSpaceDN/>
        <w:adjustRightInd w:val="0"/>
        <w:snapToGrid w:val="0"/>
        <w:spacing w:line="576" w:lineRule="exact"/>
        <w:ind w:left="0" w:firstLineChars="200" w:firstLine="640"/>
        <w:contextualSpacing/>
        <w:rPr>
          <w:rFonts w:eastAsia="仿宋_GB2312"/>
          <w:sz w:val="32"/>
          <w:szCs w:val="32"/>
        </w:rPr>
      </w:pPr>
      <w:r>
        <w:rPr>
          <w:rFonts w:eastAsia="楷体_GB2312"/>
          <w:b/>
          <w:bCs/>
          <w:color w:val="000000"/>
          <w:kern w:val="0"/>
          <w:sz w:val="32"/>
          <w:szCs w:val="32"/>
          <w:shd w:val="clear" w:color="auto" w:fill="FFFFFF"/>
          <w:lang w:val="zh-CN"/>
          <w:highlight w:val="auto"/>
        </w:rPr>
        <w:t>（二）部门预算项目绩效分析。</w:t>
      </w:r>
      <w:r>
        <w:rPr>
          <w:rFonts w:eastAsia="仿宋_GB2312"/>
          <w:color w:val="auto"/>
          <w:kern w:val="2"/>
          <w:sz w:val="32"/>
          <w:szCs w:val="32"/>
          <w:lang w:val="en-US" w:eastAsia="zh-CN" w:bidi="ar-SA"/>
          <w:highlight w:val="auto"/>
        </w:rPr>
        <w:t>项目支出涉密，不作分析。</w:t>
      </w:r>
    </w:p>
    <w:p>
      <w:pPr>
        <w:snapToGrid w:val="0"/>
        <w:spacing w:line="600" w:lineRule="exact"/>
        <w:ind w:firstLineChars="200" w:firstLine="640"/>
        <w:rPr>
          <w:rFonts w:ascii="Times New Roman" w:eastAsia="仿宋_GB2312" w:hAnsi="Times New Roman" w:hint="eastAsia"/>
          <w:sz w:val="32"/>
          <w:szCs w:val="32"/>
          <w:lang w:val="zh-CN" w:eastAsia="zh-CN" w:bidi="ar-SA"/>
        </w:rPr>
      </w:pPr>
      <w:r>
        <w:rPr>
          <w:rFonts w:eastAsia="楷体_GB2312"/>
          <w:b/>
          <w:bCs/>
          <w:color w:val="000000"/>
          <w:kern w:val="0"/>
          <w:sz w:val="32"/>
          <w:szCs w:val="32"/>
          <w:shd w:val="clear" w:color="auto" w:fill="FFFFFF"/>
          <w:lang w:val="zh-CN" w:eastAsia="zh-CN"/>
          <w:highlight w:val="auto"/>
        </w:rPr>
        <w:t>（</w:t>
      </w:r>
      <w:r>
        <w:rPr>
          <w:rFonts w:eastAsia="楷体_GB2312"/>
          <w:b/>
          <w:bCs/>
          <w:color w:val="000000"/>
          <w:kern w:val="0"/>
          <w:sz w:val="32"/>
          <w:szCs w:val="32"/>
          <w:shd w:val="clear" w:color="auto" w:fill="FFFFFF"/>
          <w:lang w:val="en-US" w:eastAsia="zh-CN"/>
          <w:highlight w:val="auto"/>
        </w:rPr>
        <w:t>三</w:t>
      </w:r>
      <w:r>
        <w:rPr>
          <w:rFonts w:eastAsia="楷体_GB2312"/>
          <w:b/>
          <w:bCs/>
          <w:color w:val="000000"/>
          <w:kern w:val="0"/>
          <w:sz w:val="32"/>
          <w:szCs w:val="32"/>
          <w:shd w:val="clear" w:color="auto" w:fill="FFFFFF"/>
          <w:lang w:val="zh-CN" w:eastAsia="zh-CN"/>
          <w:highlight w:val="auto"/>
        </w:rPr>
        <w:t>）绩效结果应用情况。</w:t>
      </w:r>
      <w:r>
        <w:rPr>
          <w:rFonts w:ascii="Times New Roman" w:eastAsia="仿宋_GB2312" w:hAnsi="Times New Roman" w:hint="eastAsia"/>
          <w:sz w:val="32"/>
          <w:szCs w:val="32"/>
          <w:lang w:val="zh-CN" w:eastAsia="zh-CN" w:bidi="ar-SA"/>
        </w:rPr>
        <w:t>单位内部控制评价的主责科室人事行财科应当制订年度和专项内控检查评价工作计划（应至少每年进行一次自我评价，时间应该选择在年末。当单位内外部环境发生重大变化或科室（中心）、单位的职责、流程、关键岗位等发生重大变动时，应就相关控制适当增加自我评价的次数），报经室务会批准。</w:t>
      </w:r>
    </w:p>
    <w:p>
      <w:pPr>
        <w:snapToGrid w:val="0"/>
        <w:spacing w:line="600" w:lineRule="exact"/>
        <w:ind w:firstLineChars="200" w:firstLine="640"/>
        <w:rPr>
          <w:rFonts w:ascii="Times New Roman" w:eastAsia="仿宋_GB2312" w:hAnsi="Times New Roman" w:hint="eastAsia"/>
          <w:sz w:val="32"/>
          <w:szCs w:val="32"/>
          <w:lang w:val="zh-CN" w:eastAsia="zh-CN" w:bidi="ar-SA"/>
        </w:rPr>
      </w:pPr>
      <w:r>
        <w:rPr>
          <w:rFonts w:ascii="Times New Roman" w:eastAsia="仿宋_GB2312" w:hAnsi="Times New Roman" w:hint="eastAsia"/>
          <w:sz w:val="32"/>
          <w:szCs w:val="32"/>
          <w:lang w:val="zh-CN" w:eastAsia="zh-CN" w:bidi="ar-SA"/>
        </w:rPr>
        <w:t>人事行财科按照批准的工作计划，结合单位整体控制目标，制定具体实施方案，经分管领导批准后下发，单位各科室（中心）据此对职责范围内的内部控制情况进行检查评价。实施方案应明确评价目的、范围、标准、方法、进度安排和费用预算等内容，至少应包括：</w:t>
      </w:r>
    </w:p>
    <w:p>
      <w:pPr>
        <w:snapToGrid w:val="0"/>
        <w:spacing w:line="600" w:lineRule="exact"/>
        <w:ind w:firstLineChars="200" w:firstLine="640"/>
        <w:rPr>
          <w:rFonts w:ascii="Times New Roman" w:eastAsia="仿宋_GB2312" w:hAnsi="Times New Roman" w:hint="eastAsia"/>
          <w:sz w:val="32"/>
          <w:szCs w:val="32"/>
          <w:lang w:val="zh-CN" w:eastAsia="zh-CN" w:bidi="ar-SA"/>
        </w:rPr>
      </w:pPr>
      <w:r>
        <w:rPr>
          <w:rFonts w:ascii="Times New Roman" w:eastAsia="仿宋_GB2312" w:hAnsi="Times New Roman" w:hint="eastAsia"/>
          <w:sz w:val="32"/>
          <w:szCs w:val="32"/>
          <w:lang w:val="zh-CN" w:eastAsia="zh-CN" w:bidi="ar-SA"/>
        </w:rPr>
        <w:t>1、评价目的和范围（根据风险导向原则确定重要业务单元、重点业务领域或流程环节）；</w:t>
      </w:r>
    </w:p>
    <w:p>
      <w:pPr>
        <w:snapToGrid w:val="0"/>
        <w:spacing w:line="600" w:lineRule="exact"/>
        <w:ind w:firstLineChars="200" w:firstLine="640"/>
        <w:rPr>
          <w:rFonts w:ascii="Times New Roman" w:eastAsia="仿宋_GB2312" w:hAnsi="Times New Roman" w:hint="eastAsia"/>
          <w:sz w:val="32"/>
          <w:szCs w:val="32"/>
          <w:lang w:val="zh-CN" w:eastAsia="zh-CN" w:bidi="ar-SA"/>
        </w:rPr>
      </w:pPr>
      <w:r>
        <w:rPr>
          <w:rFonts w:ascii="Times New Roman" w:eastAsia="仿宋_GB2312" w:hAnsi="Times New Roman" w:hint="eastAsia"/>
          <w:sz w:val="32"/>
          <w:szCs w:val="32"/>
          <w:lang w:val="zh-CN" w:eastAsia="zh-CN" w:bidi="ar-SA"/>
        </w:rPr>
        <w:t>2、组建跨科室（中心）评价小组，各科室（中心）抽调业务骨干负责本科室（中心）、单位的内部控制自我检查评价工作；</w:t>
      </w:r>
    </w:p>
    <w:p>
      <w:pPr>
        <w:snapToGrid w:val="0"/>
        <w:spacing w:line="600" w:lineRule="exact"/>
        <w:ind w:firstLineChars="200" w:firstLine="640"/>
        <w:rPr>
          <w:rFonts w:ascii="Times New Roman" w:eastAsia="仿宋_GB2312" w:hAnsi="Times New Roman" w:hint="eastAsia"/>
          <w:sz w:val="32"/>
          <w:szCs w:val="32"/>
          <w:lang w:val="zh-CN" w:eastAsia="zh-CN" w:bidi="ar-SA"/>
        </w:rPr>
      </w:pPr>
      <w:r>
        <w:rPr>
          <w:rFonts w:ascii="Times New Roman" w:eastAsia="仿宋_GB2312" w:hAnsi="Times New Roman" w:hint="eastAsia"/>
          <w:sz w:val="32"/>
          <w:szCs w:val="32"/>
          <w:lang w:val="zh-CN" w:eastAsia="zh-CN" w:bidi="ar-SA"/>
        </w:rPr>
        <w:t>3、各科室（中心）、单位自我检查评价的时间安排、标准和工作底稿要求；</w:t>
      </w:r>
    </w:p>
    <w:p>
      <w:pPr>
        <w:keepNext w:val="0"/>
        <w:keepLines w:val="0"/>
        <w:pageBreakBefore w:val="0"/>
        <w:widowControl w:val="0"/>
        <w:kinsoku/>
        <w:wordWrap/>
        <w:overflowPunct/>
        <w:topLinePunct w:val="0"/>
        <w:autoSpaceDE/>
        <w:autoSpaceDN/>
        <w:bidi w:val="0"/>
        <w:snapToGrid w:val="0"/>
        <w:spacing w:line="576" w:lineRule="exact"/>
        <w:ind w:firstLineChars="200" w:firstLine="640"/>
        <w:textAlignment w:val="auto"/>
        <w:rPr>
          <w:rFonts w:eastAsia="仿宋_GB2312"/>
          <w:sz w:val="32"/>
          <w:szCs w:val="32"/>
          <w:u w:val="none"/>
          <w:highlight w:val="auto"/>
        </w:rPr>
      </w:pPr>
      <w:r>
        <w:rPr>
          <w:rFonts w:ascii="Times New Roman" w:eastAsia="仿宋_GB2312" w:hAnsi="Times New Roman" w:hint="eastAsia"/>
          <w:sz w:val="32"/>
          <w:szCs w:val="32"/>
          <w:lang w:val="zh-CN" w:eastAsia="zh-CN" w:bidi="ar-SA"/>
        </w:rPr>
        <w:t>4、人事行财科的抽查、复核和编制报告的安排，必要时聘请业务或管理方面的专家。</w:t>
      </w:r>
    </w:p>
    <w:p>
      <w:pPr>
        <w:keepNext w:val="0"/>
        <w:keepLines w:val="0"/>
        <w:pageBreakBefore w:val="0"/>
        <w:widowControl/>
        <w:kinsoku/>
        <w:wordWrap/>
        <w:overflowPunct/>
        <w:topLinePunct w:val="0"/>
        <w:autoSpaceDE/>
        <w:autoSpaceDN/>
        <w:bidi w:val="0"/>
        <w:adjustRightInd w:val="0"/>
        <w:snapToGrid w:val="0"/>
        <w:spacing w:line="576" w:lineRule="exact"/>
        <w:ind w:left="0" w:firstLineChars="200" w:firstLine="640"/>
        <w:contextualSpacing/>
        <w:jc w:val="left"/>
        <w:textAlignment w:val="auto"/>
        <w:outlineLvl w:val="9"/>
        <w:rPr>
          <w:rFonts w:eastAsia="黑体"/>
          <w:color w:val="000000"/>
          <w:kern w:val="0"/>
          <w:sz w:val="32"/>
          <w:szCs w:val="32"/>
          <w:shd w:val="clear" w:color="auto" w:fill="FFFFFF"/>
          <w:lang w:val="zh-CN"/>
          <w:highlight w:val="auto"/>
        </w:rPr>
      </w:pPr>
      <w:r>
        <w:rPr>
          <w:rFonts w:eastAsia="黑体"/>
          <w:color w:val="000000"/>
          <w:kern w:val="0"/>
          <w:sz w:val="32"/>
          <w:szCs w:val="32"/>
          <w:shd w:val="clear" w:color="auto" w:fill="FFFFFF"/>
          <w:lang w:val="zh-CN" w:eastAsia="zh-CN"/>
          <w:highlight w:val="auto"/>
        </w:rPr>
        <w:t>四、</w:t>
      </w:r>
      <w:r>
        <w:rPr>
          <w:rFonts w:eastAsia="黑体"/>
          <w:color w:val="000000"/>
          <w:kern w:val="0"/>
          <w:sz w:val="32"/>
          <w:szCs w:val="32"/>
          <w:shd w:val="clear" w:color="auto" w:fill="FFFFFF"/>
          <w:lang w:val="zh-CN"/>
          <w:highlight w:val="auto"/>
        </w:rPr>
        <w:t>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outlineLvl w:val="9"/>
        <w:rPr>
          <w:rFonts w:eastAsia="仿宋_GB2312"/>
          <w:sz w:val="32"/>
          <w:szCs w:val="32"/>
          <w:u w:val="none"/>
          <w:lang w:val="en-US" w:eastAsia="zh-CN"/>
        </w:rPr>
      </w:pPr>
      <w:r>
        <w:rPr>
          <w:rFonts w:eastAsia="楷体_GB2312"/>
          <w:b/>
          <w:bCs/>
          <w:color w:val="000000"/>
          <w:kern w:val="0"/>
          <w:sz w:val="32"/>
          <w:szCs w:val="32"/>
          <w:shd w:val="clear" w:color="auto" w:fill="FFFFFF"/>
          <w:lang w:val="zh-CN"/>
          <w:highlight w:val="auto"/>
        </w:rPr>
        <w:t>（一）评价结论。</w:t>
      </w:r>
      <w:r>
        <w:rPr>
          <w:rFonts w:ascii="Times New Roman" w:eastAsia="仿宋_GB2312" w:hAnsi="Times New Roman" w:hint="eastAsia"/>
          <w:sz w:val="32"/>
          <w:szCs w:val="32"/>
          <w:lang w:val="zh-CN" w:eastAsia="zh-CN" w:bidi="ar-SA"/>
        </w:rPr>
        <w:t>建立完善的内部控制监督机制，能够对</w:t>
      </w:r>
      <w:r>
        <w:rPr>
          <w:rFonts w:ascii="Times New Roman" w:eastAsia="仿宋_GB2312" w:hAnsi="Times New Roman"/>
          <w:sz w:val="32"/>
          <w:szCs w:val="32"/>
          <w:lang w:val="zh-CN" w:eastAsia="zh-CN" w:bidi="ar-SA"/>
        </w:rPr>
        <w:t>单位</w:t>
      </w:r>
      <w:r>
        <w:rPr>
          <w:rFonts w:ascii="Times New Roman" w:eastAsia="仿宋_GB2312" w:hAnsi="Times New Roman" w:hint="eastAsia"/>
          <w:sz w:val="32"/>
          <w:szCs w:val="32"/>
          <w:lang w:val="zh-CN" w:eastAsia="zh-CN" w:bidi="ar-SA"/>
        </w:rPr>
        <w:t>的内部监控的健全性、合理性和有效性进行监督检查，形成书面报告并提出有针对性地改进建议，是实施内部控制的重要保证。对内部控制监督检查时，可以采取谈话、现场考察、财务审计、文件审计等形式进行。</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outlineLvl w:val="9"/>
        <w:rPr>
          <w:rFonts w:eastAsia="仿宋_GB2312"/>
          <w:sz w:val="32"/>
          <w:szCs w:val="32"/>
          <w:u w:val="none"/>
          <w:lang w:val="en-US" w:eastAsia="zh-CN"/>
        </w:rPr>
      </w:pPr>
      <w:r>
        <w:rPr>
          <w:rFonts w:eastAsia="楷体_GB2312"/>
          <w:b/>
          <w:bCs/>
          <w:color w:val="000000"/>
          <w:kern w:val="0"/>
          <w:sz w:val="32"/>
          <w:szCs w:val="32"/>
          <w:shd w:val="clear" w:color="auto" w:fill="FFFFFF"/>
          <w:lang w:val="zh-CN"/>
          <w:highlight w:val="auto"/>
        </w:rPr>
        <w:t>（二）存在问题。</w:t>
      </w:r>
      <w:r>
        <w:rPr>
          <w:rFonts w:eastAsia="仿宋_GB2312"/>
          <w:sz w:val="32"/>
          <w:szCs w:val="32"/>
          <w:u w:val="none"/>
          <w:lang w:val="en-US" w:eastAsia="zh-CN"/>
        </w:rPr>
        <w:t>无。</w:t>
      </w:r>
    </w:p>
    <w:p>
      <w:pPr>
        <w:keepNext w:val="0"/>
        <w:keepLines w:val="0"/>
        <w:pageBreakBefore w:val="0"/>
        <w:widowControl/>
        <w:kinsoku/>
        <w:wordWrap/>
        <w:overflowPunct/>
        <w:topLinePunct w:val="0"/>
        <w:autoSpaceDE/>
        <w:autoSpaceDN/>
        <w:bidi w:val="0"/>
        <w:adjustRightInd w:val="0"/>
        <w:snapToGrid w:val="0"/>
        <w:spacing w:line="576" w:lineRule="exact"/>
        <w:ind w:firstLineChars="200" w:firstLine="640"/>
        <w:contextualSpacing/>
        <w:jc w:val="left"/>
        <w:textAlignment w:val="auto"/>
        <w:outlineLvl w:val="9"/>
        <w:rPr>
          <w:rFonts w:eastAsia="仿宋_GB2312"/>
          <w:sz w:val="32"/>
          <w:szCs w:val="32"/>
          <w:u w:val="none"/>
          <w:lang w:eastAsia="zh-CN"/>
        </w:rPr>
      </w:pPr>
      <w:r>
        <w:rPr>
          <w:rFonts w:eastAsia="楷体_GB2312"/>
          <w:b/>
          <w:bCs/>
          <w:color w:val="000000"/>
          <w:kern w:val="0"/>
          <w:sz w:val="32"/>
          <w:szCs w:val="32"/>
          <w:shd w:val="clear" w:color="auto" w:fill="FFFFFF"/>
          <w:lang w:val="zh-CN" w:eastAsia="zh-CN"/>
          <w:highlight w:val="auto"/>
        </w:rPr>
        <w:t>（三）改进建议。</w:t>
      </w:r>
      <w:bookmarkStart w:id="111" w:name="_Hlk110546638"/>
      <w:r>
        <w:rPr>
          <w:rFonts w:eastAsia="仿宋_GB2312"/>
          <w:sz w:val="32"/>
          <w:szCs w:val="32"/>
          <w:u w:val="none"/>
          <w:lang w:val="en-US" w:eastAsia="zh-CN"/>
        </w:rPr>
        <w:t>无。</w:t>
      </w:r>
    </w:p>
    <w:p>
      <w:pPr>
        <w:pStyle w:val="17"/>
        <w:keepNext w:val="0"/>
        <w:keepLines w:val="0"/>
        <w:pageBreakBefore w:val="0"/>
        <w:widowControl w:val="0"/>
        <w:kinsoku/>
        <w:wordWrap/>
        <w:overflowPunct/>
        <w:topLinePunct w:val="0"/>
        <w:autoSpaceDE/>
        <w:autoSpaceDN/>
        <w:bidi w:val="0"/>
        <w:spacing w:line="576" w:lineRule="exact"/>
        <w:ind w:leftChars="0" w:left="0" w:firstLineChars="200" w:firstLine="640"/>
        <w:textAlignment w:val="auto"/>
        <w:rPr>
          <w:rFonts w:ascii="Times New Roman" w:eastAsia="仿宋_GB2312" w:hAnsi="Times New Roman"/>
          <w:kern w:val="2"/>
          <w:sz w:val="32"/>
          <w:szCs w:val="32"/>
          <w:u w:val="none"/>
          <w:lang w:val="zh-CN" w:eastAsia="zh-CN"/>
        </w:rPr>
      </w:pPr>
      <w:bookmarkEnd w:id="111"/>
    </w:p>
    <w:p>
      <w:pPr>
        <w:pStyle w:val="17"/>
        <w:keepNext w:val="0"/>
        <w:keepLines w:val="0"/>
        <w:pageBreakBefore w:val="0"/>
        <w:widowControl w:val="0"/>
        <w:kinsoku/>
        <w:wordWrap/>
        <w:overflowPunct/>
        <w:topLinePunct w:val="0"/>
        <w:autoSpaceDE/>
        <w:autoSpaceDN/>
        <w:bidi w:val="0"/>
        <w:spacing w:line="576" w:lineRule="exact"/>
        <w:ind w:leftChars="0" w:left="0" w:firstLineChars="200" w:firstLine="640"/>
        <w:textAlignment w:val="auto"/>
        <w:rPr>
          <w:rFonts w:ascii="Times New Roman" w:eastAsia="仿宋_GB2312" w:hAnsi="Times New Roman"/>
          <w:kern w:val="2"/>
          <w:sz w:val="32"/>
          <w:szCs w:val="32"/>
          <w:u w:val="none"/>
          <w:lang w:val="zh-CN" w:eastAsia="zh-CN"/>
        </w:rPr>
      </w:pPr>
      <w:r>
        <w:rPr>
          <w:rFonts w:ascii="Times New Roman" w:eastAsia="仿宋_GB2312" w:hAnsi="Times New Roman"/>
          <w:kern w:val="2"/>
          <w:sz w:val="32"/>
          <w:szCs w:val="32"/>
          <w:u w:val="none"/>
          <w:lang w:val="zh-CN" w:eastAsia="zh-CN"/>
        </w:rPr>
        <w:t>附表：</w:t>
      </w:r>
      <w:r>
        <w:rPr>
          <w:rFonts w:ascii="Times New Roman" w:eastAsia="仿宋_GB2312" w:hAnsi="Times New Roman"/>
          <w:kern w:val="2"/>
          <w:sz w:val="32"/>
          <w:szCs w:val="32"/>
          <w:u w:val="none"/>
          <w:lang w:val="en-US" w:eastAsia="zh-CN"/>
        </w:rPr>
        <w:t>部门预算项目支出绩效自评表（2024年度）</w:t>
      </w:r>
    </w:p>
    <w:p>
      <w:pPr>
        <w:pStyle w:val="17"/>
        <w:keepNext w:val="0"/>
        <w:keepLines w:val="0"/>
        <w:pageBreakBefore w:val="0"/>
        <w:widowControl w:val="0"/>
        <w:kinsoku/>
        <w:wordWrap/>
        <w:overflowPunct/>
        <w:topLinePunct w:val="0"/>
        <w:autoSpaceDE/>
        <w:autoSpaceDN/>
        <w:spacing w:line="576" w:lineRule="exact"/>
        <w:ind w:leftChars="0" w:left="0" w:firstLineChars="200" w:firstLine="640"/>
        <w:rPr>
          <w:rFonts w:ascii="Times New Roman" w:eastAsia="仿宋_GB2312" w:hAnsi="Times New Roman"/>
          <w:b w:val="0"/>
          <w:bCs w:val="0"/>
          <w:kern w:val="0"/>
          <w:position w:val="0"/>
          <w:sz w:val="32"/>
          <w:szCs w:val="32"/>
          <w:lang w:val="en-US" w:eastAsia="zh-CN" w:bidi="ar-SA"/>
          <w:highlight w:val="auto"/>
        </w:rPr>
      </w:pPr>
      <w:r>
        <w:rPr>
          <w:rFonts w:ascii="Times New Roman" w:eastAsia="仿宋_GB2312" w:hAnsi="Times New Roman"/>
          <w:b w:val="0"/>
          <w:bCs w:val="0"/>
          <w:kern w:val="0"/>
          <w:position w:val="0"/>
          <w:sz w:val="32"/>
          <w:szCs w:val="32"/>
          <w:lang w:val="en-US" w:eastAsia="zh-CN" w:bidi="ar-SA"/>
          <w:highlight w:val="auto"/>
        </w:rPr>
        <w:t>（注：州专用通信中心项目支出涉密，不作附件）</w:t>
      </w:r>
    </w:p>
    <w:p>
      <w:pPr>
        <w:rPr>
          <w:rFonts w:ascii="Times New Roman" w:eastAsia="黑体" w:hAnsi="Times New Roman"/>
          <w:color w:val="auto"/>
          <w:kern w:val="0"/>
          <w:sz w:val="32"/>
          <w:szCs w:val="32"/>
          <w:shd w:val="clear" w:color="auto" w:fill="FFFFFF"/>
          <w:lang w:val="zh-CN"/>
          <w:highlight w:val="auto"/>
        </w:rPr>
      </w:pPr>
      <w:r>
        <w:rPr>
          <w:rFonts w:ascii="Times New Roman" w:eastAsia="黑体" w:hAnsi="Times New Roman"/>
          <w:color w:val="auto"/>
          <w:kern w:val="0"/>
          <w:sz w:val="32"/>
          <w:szCs w:val="32"/>
          <w:shd w:val="clear" w:color="auto" w:fill="FFFFFF"/>
          <w:lang w:val="zh-CN"/>
          <w:highlight w:val="auto"/>
        </w:rPr>
        <w:br w:type="page"/>
      </w:r>
    </w:p>
    <w:p>
      <w:pPr>
        <w:pStyle w:val="17"/>
        <w:keepNext w:val="0"/>
        <w:keepLines w:val="0"/>
        <w:pageBreakBefore w:val="0"/>
        <w:widowControl w:val="0"/>
        <w:kinsoku/>
        <w:wordWrap/>
        <w:overflowPunct/>
        <w:topLinePunct w:val="0"/>
        <w:autoSpaceDE/>
        <w:autoSpaceDN/>
        <w:spacing w:line="576" w:lineRule="exact"/>
        <w:ind w:leftChars="0" w:left="0" w:firstLineChars="200" w:firstLine="640"/>
        <w:rPr>
          <w:rFonts w:ascii="Times New Roman" w:eastAsia="仿宋_GB2312" w:hAnsi="Times New Roman"/>
          <w:kern w:val="0"/>
          <w:sz w:val="32"/>
          <w:lang w:val="zh-CN"/>
        </w:rPr>
      </w:pPr>
      <w:r>
        <w:rPr>
          <w:rFonts w:ascii="Times New Roman" w:eastAsia="黑体" w:hAnsi="Times New Roman"/>
          <w:color w:val="auto"/>
          <w:kern w:val="0"/>
          <w:sz w:val="32"/>
          <w:szCs w:val="32"/>
          <w:shd w:val="clear" w:color="auto" w:fill="FFFFFF"/>
          <w:lang w:val="zh-CN"/>
          <w:highlight w:val="auto"/>
        </w:rPr>
        <w:t>附件</w:t>
      </w:r>
      <w:r>
        <w:rPr>
          <w:rFonts w:ascii="Times New Roman" w:eastAsia="黑体" w:hAnsi="Times New Roman"/>
          <w:color w:val="auto"/>
          <w:kern w:val="0"/>
          <w:sz w:val="32"/>
          <w:szCs w:val="32"/>
          <w:shd w:val="clear" w:color="auto" w:fill="FFFFFF"/>
          <w:lang w:val="en-US" w:eastAsia="zh-CN"/>
          <w:highlight w:val="auto"/>
        </w:rPr>
        <w:t>2</w:t>
      </w:r>
    </w:p>
    <w:p>
      <w:pPr>
        <w:pStyle w:val="35"/>
        <w:keepNext w:val="0"/>
        <w:keepLines w:val="0"/>
        <w:pageBreakBefore w:val="0"/>
        <w:widowControl w:val="0"/>
        <w:kinsoku/>
        <w:wordWrap/>
        <w:overflowPunct/>
        <w:topLinePunct w:val="0"/>
        <w:autoSpaceDE/>
        <w:autoSpaceDN/>
        <w:bidi w:val="0"/>
        <w:spacing w:line="576" w:lineRule="exact"/>
        <w:ind w:left="0"/>
        <w:jc w:val="center"/>
        <w:textAlignment w:val="auto"/>
        <w:rPr>
          <w:rFonts w:ascii="Times New Roman" w:eastAsia="方正小标宋简体" w:hAnsi="Times New Roman"/>
          <w:color w:val="auto"/>
          <w:kern w:val="2"/>
          <w:sz w:val="44"/>
          <w:szCs w:val="44"/>
          <w:lang w:val="en-US" w:eastAsia="zh-CN"/>
          <w:highlight w:val="auto"/>
        </w:rPr>
      </w:pPr>
    </w:p>
    <w:p>
      <w:pPr>
        <w:pStyle w:val="35"/>
        <w:keepNext w:val="0"/>
        <w:keepLines w:val="0"/>
        <w:pageBreakBefore w:val="0"/>
        <w:widowControl w:val="0"/>
        <w:kinsoku/>
        <w:wordWrap/>
        <w:overflowPunct/>
        <w:topLinePunct w:val="0"/>
        <w:autoSpaceDE/>
        <w:autoSpaceDN/>
        <w:bidi w:val="0"/>
        <w:spacing w:line="576" w:lineRule="exact"/>
        <w:ind w:left="0"/>
        <w:jc w:val="center"/>
        <w:textAlignment w:val="auto"/>
        <w:rPr>
          <w:rFonts w:ascii="Times New Roman" w:eastAsia="方正小标宋简体" w:hAnsi="Times New Roman"/>
          <w:color w:val="auto"/>
          <w:kern w:val="2"/>
          <w:sz w:val="44"/>
          <w:szCs w:val="44"/>
          <w:lang w:val="en-US" w:eastAsia="zh-CN"/>
          <w:highlight w:val="auto"/>
        </w:rPr>
      </w:pPr>
      <w:r>
        <w:rPr>
          <w:rFonts w:ascii="Times New Roman" w:eastAsia="方正小标宋简体" w:hAnsi="Times New Roman"/>
          <w:color w:val="auto"/>
          <w:kern w:val="2"/>
          <w:sz w:val="44"/>
          <w:szCs w:val="44"/>
          <w:lang w:val="en-US" w:eastAsia="zh-CN"/>
          <w:highlight w:val="auto"/>
        </w:rPr>
        <w:t>专项预算项目绩效评价报告范本</w:t>
      </w:r>
    </w:p>
    <w:p>
      <w:pPr>
        <w:pStyle w:val="35"/>
        <w:keepNext w:val="0"/>
        <w:keepLines w:val="0"/>
        <w:pageBreakBefore w:val="0"/>
        <w:widowControl w:val="0"/>
        <w:kinsoku/>
        <w:wordWrap/>
        <w:overflowPunct/>
        <w:topLinePunct w:val="0"/>
        <w:autoSpaceDE/>
        <w:autoSpaceDN/>
        <w:bidi w:val="0"/>
        <w:spacing w:line="576" w:lineRule="exact"/>
        <w:ind w:left="0" w:firstLine="640"/>
        <w:jc w:val="center"/>
        <w:textAlignment w:val="auto"/>
        <w:rPr>
          <w:rFonts w:ascii="Times New Roman" w:hAnsi="Times New Roman"/>
          <w:color w:val="auto"/>
          <w:kern w:val="2"/>
          <w:sz w:val="32"/>
          <w:szCs w:val="32"/>
          <w:highlight w:val="auto"/>
        </w:rPr>
      </w:pPr>
    </w:p>
    <w:p>
      <w:pPr>
        <w:keepNext w:val="0"/>
        <w:keepLines w:val="0"/>
        <w:pageBreakBefore w:val="0"/>
        <w:widowControl/>
        <w:kinsoku/>
        <w:wordWrap/>
        <w:overflowPunct/>
        <w:topLinePunct w:val="0"/>
        <w:autoSpaceDE/>
        <w:autoSpaceDN/>
        <w:adjustRightInd w:val="0"/>
        <w:snapToGrid w:val="0"/>
        <w:spacing w:line="576" w:lineRule="exact"/>
        <w:ind w:left="0" w:firstLineChars="200" w:firstLine="640"/>
        <w:contextualSpacing/>
        <w:jc w:val="left"/>
        <w:rPr>
          <w:rFonts w:ascii="Times New Roman" w:eastAsia="仿宋_GB2312" w:hAnsi="Times New Roman"/>
          <w:b w:val="0"/>
          <w:bCs w:val="0"/>
          <w:kern w:val="0"/>
          <w:position w:val="0"/>
          <w:sz w:val="32"/>
          <w:szCs w:val="32"/>
          <w:lang w:val="en-US" w:eastAsia="zh-CN" w:bidi="ar-SA"/>
          <w:highlight w:val="auto"/>
        </w:rPr>
      </w:pPr>
      <w:r>
        <w:rPr>
          <w:rFonts w:ascii="Times New Roman" w:eastAsia="仿宋_GB2312" w:hAnsi="Times New Roman"/>
          <w:b w:val="0"/>
          <w:bCs w:val="0"/>
          <w:kern w:val="0"/>
          <w:position w:val="0"/>
          <w:sz w:val="32"/>
          <w:szCs w:val="32"/>
          <w:lang w:val="en-US" w:eastAsia="zh-CN" w:bidi="ar-SA"/>
          <w:highlight w:val="auto"/>
        </w:rPr>
        <w:t>州专用通信中心项目支出涉密，不作附件。</w:t>
      </w:r>
      <w:bookmarkStart w:id="112" w:name="_Toc15396618"/>
    </w:p>
    <w:p>
      <w:pPr>
        <w:rPr>
          <w:rFonts w:eastAsia="黑体"/>
          <w:color w:val="auto"/>
          <w:sz w:val="44"/>
          <w:szCs w:val="44"/>
          <w:highlight w:val="auto"/>
        </w:rPr>
      </w:pPr>
      <w:r>
        <w:rPr>
          <w:rFonts w:eastAsia="黑体"/>
          <w:color w:val="auto"/>
          <w:sz w:val="44"/>
          <w:szCs w:val="44"/>
          <w:highlight w:val="auto"/>
        </w:rPr>
        <w:br w:type="page"/>
      </w:r>
    </w:p>
    <w:p>
      <w:pPr>
        <w:keepNext w:val="0"/>
        <w:keepLines w:val="0"/>
        <w:pageBreakBefore w:val="0"/>
        <w:widowControl/>
        <w:kinsoku/>
        <w:wordWrap/>
        <w:overflowPunct/>
        <w:topLinePunct w:val="0"/>
        <w:autoSpaceDE/>
        <w:autoSpaceDN/>
        <w:adjustRightInd w:val="0"/>
        <w:snapToGrid w:val="0"/>
        <w:spacing w:line="576" w:lineRule="exact"/>
        <w:ind w:left="0" w:firstLineChars="200" w:firstLine="880"/>
        <w:contextualSpacing/>
        <w:jc w:val="center"/>
        <w:rPr>
          <w:rFonts w:eastAsia="仿宋_GB2312"/>
          <w:kern w:val="0"/>
          <w:sz w:val="32"/>
          <w:szCs w:val="32"/>
          <w:shd w:val="clear" w:color="auto" w:fill="FFFFFF"/>
          <w:lang w:val="zh-CN"/>
        </w:rPr>
      </w:pPr>
      <w:r>
        <w:rPr>
          <w:rFonts w:eastAsia="黑体"/>
          <w:color w:val="auto"/>
          <w:sz w:val="44"/>
          <w:szCs w:val="44"/>
          <w:highlight w:val="auto"/>
        </w:rPr>
        <w:t>第</w:t>
      </w:r>
      <w:r>
        <w:rPr>
          <w:rStyle w:val="1Char"/>
          <w:rFonts w:eastAsia="黑体"/>
          <w:b w:val="0"/>
          <w:color w:val="auto"/>
          <w:highlight w:val="auto"/>
        </w:rPr>
        <w:t>五部分 附表</w:t>
      </w:r>
      <w:bookmarkStart w:id="113" w:name="_Toc15396619"/>
      <w:bookmarkEnd w:id="103"/>
      <w:bookmarkEnd w:id="112"/>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r>
        <w:rPr>
          <w:rFonts w:eastAsia="仿宋_GB2312"/>
          <w:color w:val="auto"/>
          <w:sz w:val="32"/>
          <w:szCs w:val="32"/>
          <w:highlight w:val="auto"/>
        </w:rPr>
        <w:t>一、收入支出决算总表</w:t>
      </w:r>
      <w:bookmarkEnd w:id="113"/>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14" w:name="_Toc15396620"/>
      <w:r>
        <w:rPr>
          <w:rFonts w:eastAsia="仿宋_GB2312"/>
          <w:color w:val="auto"/>
          <w:sz w:val="32"/>
          <w:szCs w:val="32"/>
          <w:highlight w:val="auto"/>
        </w:rPr>
        <w:t>二、收入决算表</w:t>
      </w:r>
      <w:bookmarkEnd w:id="114"/>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15" w:name="_Toc15396621"/>
      <w:r>
        <w:rPr>
          <w:rFonts w:eastAsia="仿宋_GB2312"/>
          <w:color w:val="auto"/>
          <w:sz w:val="32"/>
          <w:szCs w:val="32"/>
          <w:highlight w:val="auto"/>
        </w:rPr>
        <w:t>三、支出决算表</w:t>
      </w:r>
      <w:bookmarkEnd w:id="115"/>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16" w:name="_Toc15396622"/>
      <w:r>
        <w:rPr>
          <w:rFonts w:eastAsia="仿宋_GB2312"/>
          <w:color w:val="auto"/>
          <w:sz w:val="32"/>
          <w:szCs w:val="32"/>
          <w:highlight w:val="auto"/>
        </w:rPr>
        <w:t>四、财政拨款收入支出决算总表</w:t>
      </w:r>
      <w:bookmarkEnd w:id="116"/>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17" w:name="_Toc15396623"/>
      <w:r>
        <w:rPr>
          <w:rFonts w:eastAsia="仿宋_GB2312"/>
          <w:color w:val="auto"/>
          <w:sz w:val="32"/>
          <w:szCs w:val="32"/>
          <w:highlight w:val="auto"/>
        </w:rPr>
        <w:t>五、财政拨款支出决算明细表</w:t>
      </w:r>
      <w:bookmarkStart w:id="118" w:name="_Toc15396624"/>
      <w:bookmarkEnd w:id="117"/>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r>
        <w:rPr>
          <w:rFonts w:eastAsia="仿宋_GB2312"/>
          <w:color w:val="auto"/>
          <w:sz w:val="32"/>
          <w:szCs w:val="32"/>
          <w:highlight w:val="auto"/>
        </w:rPr>
        <w:t>六、一般公共预算财政拨款支出决算表</w:t>
      </w:r>
      <w:bookmarkEnd w:id="118"/>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19" w:name="_Toc15396625"/>
      <w:r>
        <w:rPr>
          <w:rFonts w:eastAsia="仿宋_GB2312"/>
          <w:color w:val="auto"/>
          <w:sz w:val="32"/>
          <w:szCs w:val="32"/>
          <w:highlight w:val="auto"/>
        </w:rPr>
        <w:t>七、一般公共预算财政拨款支出决算明细表</w:t>
      </w:r>
      <w:bookmarkEnd w:id="119"/>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20" w:name="_Toc15396626"/>
      <w:r>
        <w:rPr>
          <w:rFonts w:eastAsia="仿宋_GB2312"/>
          <w:color w:val="auto"/>
          <w:sz w:val="32"/>
          <w:szCs w:val="32"/>
          <w:highlight w:val="auto"/>
        </w:rPr>
        <w:t>八、一般公共预算财政拨款基本支出决算表</w:t>
      </w:r>
      <w:bookmarkEnd w:id="120"/>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21" w:name="_Toc15396627"/>
      <w:r>
        <w:rPr>
          <w:rFonts w:eastAsia="仿宋_GB2312"/>
          <w:color w:val="auto"/>
          <w:sz w:val="32"/>
          <w:szCs w:val="32"/>
          <w:highlight w:val="auto"/>
        </w:rPr>
        <w:t>九、一般公共预算财政拨款项目支出决算表</w:t>
      </w:r>
      <w:bookmarkEnd w:id="121"/>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22" w:name="_Toc15396628"/>
      <w:r>
        <w:rPr>
          <w:rFonts w:eastAsia="仿宋_GB2312"/>
          <w:color w:val="auto"/>
          <w:sz w:val="32"/>
          <w:szCs w:val="32"/>
          <w:highlight w:val="auto"/>
        </w:rPr>
        <w:t>十、</w:t>
      </w:r>
      <w:bookmarkEnd w:id="122"/>
      <w:r>
        <w:rPr>
          <w:rFonts w:eastAsia="仿宋_GB2312"/>
          <w:color w:val="auto"/>
          <w:sz w:val="32"/>
          <w:szCs w:val="32"/>
          <w:highlight w:val="auto"/>
        </w:rPr>
        <w:t>政府性基金预算财政拨款收入支出决算表</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23" w:name="_Toc15396629"/>
      <w:r>
        <w:rPr>
          <w:rFonts w:eastAsia="仿宋_GB2312"/>
          <w:color w:val="auto"/>
          <w:sz w:val="32"/>
          <w:szCs w:val="32"/>
          <w:highlight w:val="auto"/>
        </w:rPr>
        <w:t>十一、</w:t>
      </w:r>
      <w:bookmarkEnd w:id="123"/>
      <w:r>
        <w:rPr>
          <w:rFonts w:eastAsia="仿宋_GB2312"/>
          <w:color w:val="auto"/>
          <w:sz w:val="32"/>
          <w:szCs w:val="32"/>
          <w:highlight w:val="auto"/>
        </w:rPr>
        <w:t>国有资本经营预算</w:t>
      </w:r>
      <w:r>
        <w:rPr>
          <w:rFonts w:eastAsia="仿宋_GB2312"/>
          <w:color w:val="auto"/>
          <w:sz w:val="32"/>
          <w:szCs w:val="32"/>
          <w:lang w:eastAsia="zh-CN"/>
          <w:highlight w:val="auto"/>
        </w:rPr>
        <w:t>财政拨款收入</w:t>
      </w:r>
      <w:r>
        <w:rPr>
          <w:rFonts w:eastAsia="仿宋_GB2312"/>
          <w:color w:val="auto"/>
          <w:sz w:val="32"/>
          <w:szCs w:val="32"/>
          <w:highlight w:val="auto"/>
        </w:rPr>
        <w:t>支出决算表</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highlight w:val="auto"/>
        </w:rPr>
      </w:pPr>
      <w:bookmarkStart w:id="124" w:name="_Toc15396630"/>
      <w:r>
        <w:rPr>
          <w:rFonts w:eastAsia="仿宋_GB2312"/>
          <w:color w:val="auto"/>
          <w:sz w:val="32"/>
          <w:szCs w:val="32"/>
          <w:highlight w:val="auto"/>
        </w:rPr>
        <w:t>十二、</w:t>
      </w:r>
      <w:bookmarkEnd w:id="124"/>
      <w:r>
        <w:rPr>
          <w:rFonts w:eastAsia="仿宋_GB2312"/>
          <w:color w:val="auto"/>
          <w:sz w:val="32"/>
          <w:szCs w:val="32"/>
          <w:lang w:eastAsia="zh-CN"/>
          <w:highlight w:val="auto"/>
        </w:rPr>
        <w:t>国有资本经营预算财政拨款支出决算表</w:t>
      </w:r>
    </w:p>
    <w:p>
      <w:pPr>
        <w:pStyle w:val="24"/>
        <w:keepNext w:val="0"/>
        <w:keepLines w:val="0"/>
        <w:pageBreakBefore w:val="0"/>
        <w:widowControl w:val="0"/>
        <w:tabs>
          <w:tab w:val="right" w:leader="dot" w:pos="8296"/>
        </w:tabs>
        <w:kinsoku/>
        <w:wordWrap/>
        <w:overflowPunct/>
        <w:topLinePunct w:val="0"/>
        <w:autoSpaceDE/>
        <w:autoSpaceDN/>
        <w:bidi w:val="0"/>
        <w:adjustRightInd w:val="0"/>
        <w:snapToGrid w:val="0"/>
        <w:spacing w:line="576" w:lineRule="exact"/>
        <w:jc w:val="left"/>
        <w:textAlignment w:val="auto"/>
        <w:rPr>
          <w:rFonts w:eastAsia="仿宋_GB2312"/>
          <w:color w:val="auto"/>
          <w:sz w:val="32"/>
          <w:szCs w:val="32"/>
          <w:lang w:eastAsia="zh-CN"/>
          <w:highlight w:val="auto"/>
        </w:rPr>
      </w:pPr>
      <w:bookmarkStart w:id="125" w:name="_Toc15396631"/>
      <w:r>
        <w:rPr>
          <w:rFonts w:eastAsia="仿宋_GB2312"/>
          <w:color w:val="auto"/>
          <w:sz w:val="32"/>
          <w:szCs w:val="32"/>
          <w:highlight w:val="auto"/>
        </w:rPr>
        <w:t>十三、</w:t>
      </w:r>
      <w:bookmarkEnd w:id="125"/>
      <w:r>
        <w:rPr>
          <w:rFonts w:eastAsia="仿宋_GB2312"/>
          <w:color w:val="auto"/>
          <w:sz w:val="32"/>
          <w:szCs w:val="32"/>
          <w:lang w:eastAsia="zh-CN"/>
          <w:highlight w:val="auto"/>
        </w:rPr>
        <w:t>财政拨款“三公”经费支出决算表</w:t>
      </w:r>
    </w:p>
    <w:p>
      <w:pPr>
        <w:spacing w:line="576" w:lineRule="exact"/>
        <w:rPr>
          <w:lang w:eastAsia="zh-CN"/>
        </w:rPr>
      </w:pPr>
    </w:p>
    <w:sectPr>
      <w:footerReference w:type="default" r:id="rId2"/>
      <w:pgSz w:w="11906" w:h="16838"/>
      <w:pgMar w:top="1440" w:right="1800" w:bottom="1440" w:left="1800" w:header="851" w:footer="992" w:gutter="0"/>
      <w:pgNumType w:fmt="numberInDash"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1"/>
    <w:family w:val="auto"/>
    <w:pitch w:val="variable"/>
    <w:sig w:usb0="E0002EFF" w:usb1="C000785B" w:usb2="00000009" w:usb3="00000000" w:csb0="400001FF" w:csb1="FFFF0000"/>
  </w:font>
  <w:font w:name="方正小标宋简体">
    <w:panose1 w:val="03000509000000000000"/>
    <w:charset w:val="86"/>
    <w:family w:val="script"/>
    <w:pitch w:val="variable"/>
    <w:sig w:usb0="00000001" w:usb1="080E0000" w:usb2="00000000" w:usb3="00000000" w:csb0="00040000" w:csb1="00000000"/>
  </w:font>
  <w:font w:name="黑体">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Cambria">
    <w:altName w:val="DejaVu Sans"/>
    <w:panose1 w:val="02040503050406030204"/>
    <w:charset w:val="00"/>
    <w:family w:val="roman"/>
    <w:pitch w:val="variable"/>
    <w:sig w:usb0="E00006FF" w:usb1="420024FF" w:usb2="02000000" w:usb3="00000000" w:csb0="2000019F" w:csb1="00000000"/>
  </w:font>
  <w:font w:name="Calibri">
    <w:altName w:val="Times New Roman"/>
    <w:panose1 w:val="020F0502020204030204"/>
    <w:charset w:val="00"/>
    <w:family w:val="swiss"/>
    <w:pitch w:val="variable"/>
    <w:sig w:usb0="E4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
    <w:altName w:val="DejaVu Sans"/>
    <w:panose1 w:val="00000000000000000000"/>
    <w:charset w:val="00"/>
    <w:family w:val="roman"/>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jc w:val="center"/>
    </w:pPr>
  </w:p>
  <w:p>
    <w:pPr>
      <w:pStyle w:val="21"/>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DFB65AFD"/>
    <w:multiLevelType w:val="hybridMultilevel"/>
    <w:tmpl w:val="00000000"/>
    <w:lvl w:ilvl="0">
      <w:start w:val="1"/>
      <w:numFmt w:val="chineseCountingThousand"/>
      <w:lvlRestart w:val="0"/>
      <w:lvlText w:val="%1、"/>
      <w:lvlJc w:val="left"/>
      <w:pPr>
        <w:ind w:left="640" w:hanging="640"/>
      </w:pPr>
      <w:rPr>
        <w:rFonts w:eastAsia="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eastAsia="宋体" w:cs="Times New Roman"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spacing w:after="120"/>
      <w:ind w:leftChars="200" w:left="200"/>
    </w:pPr>
    <w:rPr>
      <w:rFonts w:ascii="仿宋_GB2312" w:hAnsi="仿宋_GB2312"/>
      <w:szCs w:val="32"/>
    </w:rPr>
  </w:style>
  <w:style w:type="paragraph" w:styleId="17">
    <w:name w:val="Body Text First Indent 2"/>
    <w:basedOn w:val="16"/>
    <w:pPr>
      <w:ind w:firstLineChars="200" w:firstLine="200"/>
    </w:pPr>
  </w:style>
  <w:style w:type="paragraph" w:styleId="18">
    <w:name w:val="Body Text"/>
    <w:basedOn w:val="0"/>
    <w:pPr>
      <w:spacing w:beforeLines="30" w:before="30"/>
    </w:pPr>
    <w:rPr>
      <w:rFonts w:ascii="仿宋_GB2312" w:eastAsia="仿宋_GB2312"/>
      <w:kern w:val="0"/>
      <w:sz w:val="30"/>
    </w:rPr>
  </w:style>
  <w:style w:type="paragraph" w:styleId="19">
    <w:name w:val="toc 3"/>
    <w:basedOn w:val="0"/>
    <w:next w:val="0"/>
    <w:pPr>
      <w:tabs>
        <w:tab w:val="right" w:leader="dot" w:pos="8296"/>
      </w:tabs>
      <w:ind w:leftChars="400" w:left="4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rFonts w:ascii="Calibri" w:hAnsi="Calibri"/>
      <w:kern w:val="0"/>
      <w:sz w:val="18"/>
      <w:szCs w:val="18"/>
    </w:rPr>
  </w:style>
  <w:style w:type="paragraph" w:styleId="22">
    <w:name w:val="header"/>
    <w:basedOn w:val="0"/>
    <w:pPr>
      <w:pBdr>
        <w:bottom w:val="single" w:sz="6" w:space="1" w:color="auto"/>
      </w:pBdr>
      <w:tabs>
        <w:tab w:val="center" w:pos="4153"/>
        <w:tab w:val="right" w:pos="8306"/>
      </w:tabs>
      <w:snapToGrid w:val="0"/>
      <w:jc w:val="center"/>
    </w:pPr>
    <w:rPr>
      <w:rFonts w:ascii="Calibri" w:hAnsi="Calibri"/>
      <w:kern w:val="0"/>
      <w:sz w:val="18"/>
      <w:szCs w:val="18"/>
    </w:rPr>
  </w:style>
  <w:style w:type="paragraph" w:styleId="23">
    <w:name w:val="toc 1"/>
    <w:basedOn w:val="0"/>
    <w:next w:val="0"/>
    <w:pPr>
      <w:tabs>
        <w:tab w:val="right" w:leader="dot" w:pos="8296"/>
      </w:tabs>
      <w:spacing w:before="93"/>
      <w:jc w:val="center"/>
    </w:pPr>
    <w:rPr>
      <w:rFonts w:ascii="仿宋" w:eastAsia="仿宋"/>
      <w:sz w:val="28"/>
      <w:szCs w:val="28"/>
    </w:rPr>
  </w:style>
  <w:style w:type="paragraph" w:styleId="24">
    <w:name w:val="toc 2"/>
    <w:basedOn w:val="0"/>
    <w:next w:val="0"/>
    <w:pPr>
      <w:tabs>
        <w:tab w:val="right" w:leader="dot" w:pos="8296"/>
      </w:tabs>
      <w:ind w:leftChars="200" w:left="200"/>
    </w:pPr>
  </w:style>
  <w:style w:type="character" w:styleId="25">
    <w:name w:val="Strong"/>
    <w:basedOn w:val="0"/>
    <w:rPr>
      <w:b/>
    </w:rPr>
  </w:style>
  <w:style w:type="character" w:styleId="26">
    <w:name w:val="Hyperlink"/>
    <w:basedOn w:val="10"/>
    <w:rPr>
      <w:color w:val="0000FF"/>
      <w:u w:val="single"/>
    </w:rPr>
  </w:style>
  <w:style w:type="paragraph" w:customStyle="1" w:styleId="27">
    <w:name w:val="标题 5（有编号）（绿盟科技）"/>
    <w:next w:val="0"/>
    <w:pPr>
      <w:keepNext/>
      <w:keepLines/>
      <w:widowControl w:val="0"/>
      <w:spacing w:before="280" w:after="156" w:line="377" w:lineRule="auto"/>
      <w:jc w:val="left"/>
      <w:outlineLvl w:val="4"/>
    </w:pPr>
    <w:rPr>
      <w:rFonts w:ascii="Arial" w:eastAsia="黑体" w:cs="Times New Roman" w:hAnsi="Arial"/>
      <w:b/>
      <w:kern w:val="2"/>
      <w:sz w:val="24"/>
      <w:szCs w:val="28"/>
      <w:lang w:val="en-US" w:eastAsia="zh-CN" w:bidi="ar-SA"/>
    </w:rPr>
  </w:style>
  <w:style w:type="character" w:customStyle="1" w:styleId="28">
    <w:name w:val="Header Char"/>
    <w:basedOn w:val="10"/>
    <w:rPr>
      <w:rFonts w:ascii="Times New Roman" w:hAnsi="Times New Roman"/>
      <w:sz w:val="18"/>
      <w:szCs w:val="18"/>
    </w:rPr>
  </w:style>
  <w:style w:type="character" w:customStyle="1" w:styleId="29">
    <w:name w:val="Footer Char"/>
    <w:basedOn w:val="10"/>
    <w:rPr>
      <w:rFonts w:ascii="Times New Roman" w:hAnsi="Times New Roman"/>
      <w:sz w:val="18"/>
      <w:szCs w:val="18"/>
    </w:rPr>
  </w:style>
  <w:style w:type="character" w:customStyle="1" w:styleId="30">
    <w:name w:val="Body Text Char"/>
    <w:basedOn w:val="10"/>
    <w:rPr>
      <w:rFonts w:ascii="Times New Roman" w:hAnsi="Times New Roman"/>
      <w:szCs w:val="24"/>
    </w:rPr>
  </w:style>
  <w:style w:type="paragraph" w:customStyle="1" w:styleId="31">
    <w:name w:val="Default"/>
    <w:next w:val="28"/>
    <w:pPr>
      <w:widowControl w:val="0"/>
      <w:autoSpaceDE w:val="0"/>
      <w:autoSpaceDN w:val="0"/>
      <w:adjustRightInd w:val="0"/>
    </w:pPr>
    <w:rPr>
      <w:rFonts w:ascii="仿宋" w:eastAsia="仿宋" w:cs="仿宋"/>
      <w:color w:val="000000"/>
      <w:sz w:val="24"/>
      <w:szCs w:val="24"/>
      <w:lang w:val="en-US" w:eastAsia="zh-CN" w:bidi="ar-SA"/>
    </w:rPr>
  </w:style>
  <w:style w:type="paragraph" w:styleId="32">
    <w:name w:val="List Paragraph"/>
    <w:basedOn w:val="0"/>
    <w:pPr>
      <w:ind w:firstLineChars="200" w:firstLine="200"/>
    </w:pPr>
  </w:style>
  <w:style w:type="paragraph" w:customStyle="1" w:styleId="33">
    <w:name w:val="TOC 标题1"/>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4">
    <w:name w:val="TOC Heading"/>
    <w:basedOn w:val="1"/>
    <w:next w:val="0"/>
    <w:pPr>
      <w:keepNext/>
      <w:keepLines/>
      <w:widowControl/>
      <w:spacing w:before="480" w:after="0" w:line="276" w:lineRule="auto"/>
      <w:jc w:val="left"/>
      <w:outlineLvl w:val="9"/>
    </w:pPr>
    <w:rPr>
      <w:rFonts w:ascii="Cambria" w:eastAsia="宋体" w:cs="Times New Roman" w:hAnsi="Cambria"/>
      <w:color w:val="376092"/>
      <w:kern w:val="0"/>
      <w:sz w:val="28"/>
      <w:szCs w:val="28"/>
    </w:rPr>
  </w:style>
  <w:style w:type="paragraph" w:customStyle="1" w:styleId="35">
    <w:name w:val="四号正文"/>
    <w:basedOn w:val="0"/>
    <w:pPr>
      <w:spacing w:line="360" w:lineRule="auto"/>
    </w:pPr>
    <w:rPr>
      <w:rFonts w:ascii="??" w:eastAsia="宋体" w:hAnsi="??"/>
      <w:color w:val="000000"/>
      <w:kern w:val="0"/>
      <w:sz w:val="28"/>
      <w:szCs w:val="21"/>
      <w:lang w:val="zh-CN"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chart" Target="charts/chart1.xml"/><Relationship Id="rId4" Type="http://schemas.openxmlformats.org/officeDocument/2006/relationships/chart" Target="charts/chart2.xml"/><Relationship Id="rId5" Type="http://schemas.openxmlformats.org/officeDocument/2006/relationships/chart" Target="charts/chart3.xml"/><Relationship Id="rId6" Type="http://schemas.openxmlformats.org/officeDocument/2006/relationships/chart" Target="charts/chart4.xml"/><Relationship Id="rId7" Type="http://schemas.openxmlformats.org/officeDocument/2006/relationships/chart" Target="charts/chart5.xml"/><Relationship Id="rId8" Type="http://schemas.openxmlformats.org/officeDocument/2006/relationships/chart" Target="charts/chart6.xml"/><Relationship Id="rId9" Type="http://schemas.openxmlformats.org/officeDocument/2006/relationships/chart" Target="charts/chart7.xml"/><Relationship Id="rId10" Type="http://schemas.openxmlformats.org/officeDocument/2006/relationships/styles" Target="styles.xml"/><Relationship Id="rId11" Type="http://schemas.openxmlformats.org/officeDocument/2006/relationships/numbering" Target="numbering.xml"/><Relationship Id="rId1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char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'工作表465538'!$A$2</c:f>
              <c:strCache>
                <c:ptCount val="1"/>
                <c:pt idx="0">
                  <c:v>2024年</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'工作表465538'!$B$1:$C$1</c:f>
              <c:strCache>
                <c:ptCount val="2"/>
                <c:pt idx="0">
                  <c:v>收入</c:v>
                </c:pt>
                <c:pt idx="1">
                  <c:v>支出</c:v>
                </c:pt>
              </c:strCache>
            </c:strRef>
          </c:cat>
          <c:val>
            <c:numRef>
              <c:f>'工作表465538'!$B$2:$C$2</c:f>
              <c:numCache>
                <c:formatCode>General</c:formatCode>
                <c:ptCount val="2"/>
                <c:pt idx="0">
                  <c:v>279.2</c:v>
                </c:pt>
                <c:pt idx="1">
                  <c:v>279.2</c:v>
                </c:pt>
              </c:numCache>
            </c:numRef>
          </c:val>
        </c:ser>
        <c:ser>
          <c:idx val="1"/>
          <c:order val="1"/>
          <c:tx>
            <c:strRef>
              <c:f>'工作表465538'!$A$3</c:f>
              <c:strCache>
                <c:ptCount val="1"/>
                <c:pt idx="0">
                  <c:v>2023年</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'工作表465538'!$B$1:$C$1</c:f>
              <c:strCache>
                <c:ptCount val="2"/>
                <c:pt idx="0">
                  <c:v>收入</c:v>
                </c:pt>
                <c:pt idx="1">
                  <c:v>支出</c:v>
                </c:pt>
              </c:strCache>
            </c:strRef>
          </c:cat>
          <c:val>
            <c:numRef>
              <c:f>'工作表465538'!$B$3:$C$3</c:f>
              <c:numCache>
                <c:formatCode>General</c:formatCode>
                <c:ptCount val="2"/>
                <c:pt idx="0">
                  <c:v>259.31</c:v>
                </c:pt>
                <c:pt idx="1">
                  <c:v>259.31</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'工作表465538'!$B$1:$C$1</c:f>
              <c:strCache>
                <c:ptCount val="2"/>
                <c:pt idx="0">
                  <c:v>收入</c:v>
                </c:pt>
                <c:pt idx="1">
                  <c:v>支出</c:v>
                </c:pt>
              </c:strCache>
            </c:strRef>
          </c:cat>
          <c:val>
            <c:numRef>
              <c:f/>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2024年度收入</a:t>
            </a:r>
          </a:p>
        </c:rich>
      </c:tx>
      <c:layout/>
      <c:overlay val="0"/>
      <c:spPr>
        <a:ln>
          <a:noFill/>
        </a:ln>
      </c:spPr>
    </c:title>
    <c:autoTitleDeleted val="1"/>
    <c:view3D>
      <c:rotX val="30"/>
      <c:hPercent val="100"/>
      <c:rotY val="0"/>
      <c:depthPercent val="100"/>
      <c:rAngAx val="0"/>
      <c:perspective val="0"/>
    </c:view3D>
    <c:floor>
      <c:thickness val="0"/>
      <c:spPr>
        <a:ln>
          <a:noFill/>
        </a:ln>
      </c:spPr>
    </c:floor>
    <c:sideWall>
      <c:thickness val="0"/>
      <c:spPr>
        <a:ln>
          <a:noFill/>
        </a:ln>
      </c:spPr>
    </c:sideWall>
    <c:backWall>
      <c:thickness val="0"/>
      <c:spPr>
        <a:noFill/>
        <a:ln>
          <a:noFill/>
        </a:ln>
      </c:spPr>
    </c:backWall>
    <c:plotArea>
      <c:layout/>
      <c:pie3DChart>
        <c:varyColors val="1"/>
        <c:ser>
          <c:idx val="0"/>
          <c:order val="0"/>
          <c:tx>
            <c:strRef>
              <c:f>'工作表465539'!$A$2</c:f>
              <c:strCache>
                <c:ptCount val="1"/>
                <c:pt idx="0">
                  <c:v>2024年度收入</c:v>
                </c:pt>
              </c:strCache>
            </c:strRef>
          </c:tx>
          <c:spPr>
            <a:solidFill>
              <a:srgbClr val="4F81BD"/>
            </a:solidFill>
            <a:ln>
              <a:noFill/>
            </a:ln>
          </c:spPr>
          <c:dPt>
            <c:idx val="0"/>
            <c:bubble3D val="0"/>
            <c:spPr>
              <a:solidFill>
                <a:srgbClr val="5B9BD5"/>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0"/>
            <c:showCatName val="0"/>
            <c:showSerName val="0"/>
            <c:showPercent val="0"/>
            <c:showBubbleSize val="0"/>
            <c:showLeaderLines val="1"/>
          </c:dLbls>
          <c:cat>
            <c:strRef>
              <c:f>'工作表465539'!$B$1</c:f>
              <c:strCache>
                <c:ptCount val="1"/>
                <c:pt idx="0">
                  <c:v>一般公共预算财政拨款收入</c:v>
                </c:pt>
              </c:strCache>
            </c:strRef>
          </c:cat>
          <c:val>
            <c:numRef>
              <c:f>工作表465539!$B$2</c:f>
              <c:numCache>
                <c:formatCode>General</c:formatCode>
                <c:ptCount val="1"/>
                <c:pt idx="0">
                  <c:v>279.2</c:v>
                </c:pt>
              </c:numCache>
            </c:numRef>
          </c:val>
        </c:ser>
        <c:ser>
          <c:idx val="1"/>
          <c:order val="1"/>
          <c:tx>
            <c:strRef>
              <c:f>'工作表465539'!$C$1</c:f>
              <c:strCache>
                <c:ptCount val="1"/>
                <c:pt idx="0">
                  <c:v>其他</c:v>
                </c:pt>
              </c:strCache>
            </c:strRef>
          </c:tx>
          <c:spPr>
            <a:solidFill>
              <a:srgbClr val="C0504D"/>
            </a:solidFill>
            <a:ln>
              <a:noFill/>
            </a:ln>
          </c:spPr>
          <c:dPt>
            <c:idx val="0"/>
            <c:invertIfNegative val="0"/>
            <c:bubble3D val="0"/>
            <c:spPr>
              <a:ln>
                <a:noFill/>
              </a:ln>
            </c:spPr>
          </c:dPt>
          <c:dLbls>
            <c:showLegendKey val="0"/>
            <c:showVal val="0"/>
            <c:showCatName val="0"/>
            <c:showSerName val="0"/>
            <c:showPercent val="0"/>
            <c:showBubbleSize val="0"/>
            <c:showLeaderLines val="1"/>
          </c:dLbls>
          <c:cat>
            <c:strRef>
              <c:f>'工作表465539'!$B$1</c:f>
              <c:strCache>
                <c:ptCount val="1"/>
                <c:pt idx="0">
                  <c:v>一般公共预算财政拨款收入</c:v>
                </c:pt>
              </c:strCache>
            </c:strRef>
          </c:cat>
          <c:val>
            <c:numRef>
              <c:f>工作表465539!$B$3</c:f>
              <c:numCache>
                <c:formatCode>General</c:formatCode>
                <c:ptCount val="1"/>
              </c:numCache>
            </c:numRef>
          </c:val>
        </c:ser>
        <c:ser>
          <c:idx val="2"/>
          <c:order val="2"/>
          <c:tx>
            <c:v>系列3</c:v>
          </c:tx>
          <c:spPr>
            <a:solidFill>
              <a:srgbClr val="9BBB59"/>
            </a:solidFill>
            <a:ln>
              <a:noFill/>
            </a:ln>
          </c:spPr>
          <c:dLbls>
            <c:showLegendKey val="0"/>
            <c:showVal val="0"/>
            <c:showCatName val="0"/>
            <c:showSerName val="0"/>
            <c:showPercent val="0"/>
            <c:showBubbleSize val="0"/>
            <c:showLeaderLines val="1"/>
          </c:dLbls>
          <c:cat>
            <c:strRef>
              <c:f>'工作表465539'!$B$1</c:f>
              <c:strCache>
                <c:ptCount val="1"/>
                <c:pt idx="0">
                  <c:v>一般公共预算财政拨款收入</c:v>
                </c:pt>
              </c:strCache>
            </c:strRef>
          </c:cat>
          <c:val>
            <c:numRef>
              <c:f/>
            </c:numRef>
          </c:val>
        </c:ser>
        <c:gapDepth val="150"/>
        <c:firstSliceAng val="0"/>
      </c:pie3D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2024年度支出</a:t>
            </a:r>
          </a:p>
        </c:rich>
      </c:tx>
      <c:layout/>
      <c:overlay val="0"/>
      <c:spPr>
        <a:ln>
          <a:noFill/>
        </a:ln>
      </c:spPr>
    </c:title>
    <c:autoTitleDeleted val="1"/>
    <c:view3D>
      <c:rotX val="30"/>
      <c:hPercent val="100"/>
      <c:rotY val="0"/>
      <c:depthPercent val="100"/>
      <c:rAngAx val="0"/>
      <c:perspective val="0"/>
    </c:view3D>
    <c:floor>
      <c:thickness val="0"/>
      <c:spPr>
        <a:ln>
          <a:noFill/>
        </a:ln>
      </c:spPr>
    </c:floor>
    <c:sideWall>
      <c:thickness val="0"/>
      <c:spPr>
        <a:ln>
          <a:noFill/>
        </a:ln>
      </c:spPr>
    </c:sideWall>
    <c:backWall>
      <c:thickness val="0"/>
      <c:spPr>
        <a:noFill/>
        <a:ln>
          <a:noFill/>
        </a:ln>
      </c:spPr>
    </c:backWall>
    <c:plotArea>
      <c:layout/>
      <c:pie3DChart>
        <c:varyColors val="1"/>
        <c:ser>
          <c:idx val="0"/>
          <c:order val="0"/>
          <c:tx>
            <c:strRef>
              <c:f>'工作表465540'!$A$2</c:f>
              <c:strCache>
                <c:ptCount val="1"/>
                <c:pt idx="0">
                  <c:v>2024年度支出</c:v>
                </c:pt>
              </c:strCache>
            </c:strRef>
          </c:tx>
          <c:spPr>
            <a:solidFill>
              <a:srgbClr val="4F81BD"/>
            </a:solidFill>
            <a:ln>
              <a:noFill/>
            </a:ln>
          </c:spPr>
          <c:dPt>
            <c:idx val="0"/>
            <c:bubble3D val="0"/>
            <c:spPr>
              <a:solidFill>
                <a:srgbClr val="5B9BD5"/>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0"/>
            <c:showCatName val="0"/>
            <c:showSerName val="0"/>
            <c:showPercent val="0"/>
            <c:showBubbleSize val="0"/>
            <c:showLeaderLines val="1"/>
          </c:dLbls>
          <c:cat>
            <c:strRef>
              <c:f>'工作表465540'!$B$1</c:f>
              <c:strCache>
                <c:ptCount val="1"/>
                <c:pt idx="0">
                  <c:v>一般公共预算财政拨款支出</c:v>
                </c:pt>
              </c:strCache>
            </c:strRef>
          </c:cat>
          <c:val>
            <c:numRef>
              <c:f>工作表465540!$B$2</c:f>
              <c:numCache>
                <c:formatCode>General</c:formatCode>
                <c:ptCount val="1"/>
                <c:pt idx="0">
                  <c:v>279.2</c:v>
                </c:pt>
              </c:numCache>
            </c:numRef>
          </c:val>
        </c:ser>
        <c:ser>
          <c:idx val="1"/>
          <c:order val="1"/>
          <c:tx>
            <c:strRef>
              <c:f>'工作表465540'!$C$1</c:f>
              <c:strCache>
                <c:ptCount val="1"/>
                <c:pt idx="0">
                  <c:v>其他</c:v>
                </c:pt>
              </c:strCache>
            </c:strRef>
          </c:tx>
          <c:spPr>
            <a:solidFill>
              <a:srgbClr val="C0504D"/>
            </a:solidFill>
            <a:ln>
              <a:noFill/>
            </a:ln>
          </c:spPr>
          <c:dPt>
            <c:idx val="0"/>
            <c:invertIfNegative val="0"/>
            <c:bubble3D val="0"/>
            <c:spPr>
              <a:ln>
                <a:noFill/>
              </a:ln>
            </c:spPr>
          </c:dPt>
          <c:dLbls>
            <c:showLegendKey val="0"/>
            <c:showVal val="0"/>
            <c:showCatName val="0"/>
            <c:showSerName val="0"/>
            <c:showPercent val="0"/>
            <c:showBubbleSize val="0"/>
            <c:showLeaderLines val="1"/>
          </c:dLbls>
          <c:cat>
            <c:strRef>
              <c:f>'工作表465540'!$B$1</c:f>
              <c:strCache>
                <c:ptCount val="1"/>
                <c:pt idx="0">
                  <c:v>一般公共预算财政拨款支出</c:v>
                </c:pt>
              </c:strCache>
            </c:strRef>
          </c:cat>
          <c:val>
            <c:numRef>
              <c:f>工作表465540!$B$3</c:f>
              <c:numCache>
                <c:formatCode>General</c:formatCode>
                <c:ptCount val="1"/>
              </c:numCache>
            </c:numRef>
          </c:val>
        </c:ser>
        <c:ser>
          <c:idx val="2"/>
          <c:order val="2"/>
          <c:tx>
            <c:v>系列3</c:v>
          </c:tx>
          <c:spPr>
            <a:solidFill>
              <a:srgbClr val="9BBB59"/>
            </a:solidFill>
            <a:ln>
              <a:noFill/>
            </a:ln>
          </c:spPr>
          <c:dPt>
            <c:idx val="0"/>
            <c:invertIfNegative val="0"/>
            <c:bubble3D val="0"/>
            <c:spPr>
              <a:ln>
                <a:noFill/>
              </a:ln>
            </c:spPr>
          </c:dPt>
          <c:dLbls>
            <c:showLegendKey val="0"/>
            <c:showVal val="0"/>
            <c:showCatName val="0"/>
            <c:showSerName val="0"/>
            <c:showPercent val="0"/>
            <c:showBubbleSize val="0"/>
            <c:showLeaderLines val="1"/>
          </c:dLbls>
          <c:cat>
            <c:strRef>
              <c:f>'工作表465540'!$B$1</c:f>
              <c:strCache>
                <c:ptCount val="1"/>
                <c:pt idx="0">
                  <c:v>一般公共预算财政拨款支出</c:v>
                </c:pt>
              </c:strCache>
            </c:strRef>
          </c:cat>
          <c:val>
            <c:numRef>
              <c:f/>
              <c:numCache>
                <c:formatCode>General</c:formatCode>
                <c:ptCount val="1"/>
                <c:pt idx="0">
                  <c:v>1.0</c:v>
                </c:pt>
              </c:numCache>
            </c:numRef>
          </c:val>
        </c:ser>
        <c:gapDepth val="150"/>
        <c:firstSliceAng val="0"/>
      </c:pie3D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'工作表465542'!$A$2</c:f>
              <c:strCache>
                <c:ptCount val="1"/>
                <c:pt idx="0">
                  <c:v>2024年</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'工作表465542'!$B$1:$C$1</c:f>
              <c:strCache>
                <c:ptCount val="2"/>
                <c:pt idx="0">
                  <c:v>财政拨款收入</c:v>
                </c:pt>
                <c:pt idx="1">
                  <c:v>财政拨款支出</c:v>
                </c:pt>
              </c:strCache>
            </c:strRef>
          </c:cat>
          <c:val>
            <c:numRef>
              <c:f>'工作表465542'!$B$2:$C$2</c:f>
              <c:numCache>
                <c:formatCode>General</c:formatCode>
                <c:ptCount val="2"/>
                <c:pt idx="0">
                  <c:v>279.2</c:v>
                </c:pt>
                <c:pt idx="1">
                  <c:v>279.2</c:v>
                </c:pt>
              </c:numCache>
            </c:numRef>
          </c:val>
        </c:ser>
        <c:ser>
          <c:idx val="1"/>
          <c:order val="1"/>
          <c:tx>
            <c:strRef>
              <c:f>'工作表465542'!$A$3</c:f>
              <c:strCache>
                <c:ptCount val="1"/>
                <c:pt idx="0">
                  <c:v>2023年</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'工作表465542'!$B$1:$C$1</c:f>
              <c:strCache>
                <c:ptCount val="2"/>
                <c:pt idx="0">
                  <c:v>财政拨款收入</c:v>
                </c:pt>
                <c:pt idx="1">
                  <c:v>财政拨款支出</c:v>
                </c:pt>
              </c:strCache>
            </c:strRef>
          </c:cat>
          <c:val>
            <c:numRef>
              <c:f>'工作表465542'!$B$3:$C$3</c:f>
              <c:numCache>
                <c:formatCode>General</c:formatCode>
                <c:ptCount val="2"/>
                <c:pt idx="0">
                  <c:v>259.31</c:v>
                </c:pt>
                <c:pt idx="1">
                  <c:v>259.31</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'工作表465542'!$B$1:$C$1</c:f>
              <c:strCache>
                <c:ptCount val="2"/>
                <c:pt idx="0">
                  <c:v>财政拨款收入</c:v>
                </c:pt>
                <c:pt idx="1">
                  <c:v>财政拨款支出</c:v>
                </c:pt>
              </c:strCache>
            </c:strRef>
          </c:cat>
          <c:val>
            <c:numRef>
              <c:f/>
              <c:numCache>
                <c:formatCode>General</c:formatCode>
                <c:ptCount val="2"/>
                <c:pt idx="0">
                  <c:v>1.0</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'工作表465543'!$A$2</c:f>
              <c:strCache>
                <c:ptCount val="1"/>
                <c:pt idx="0">
                  <c:v>2024年</c:v>
                </c:pt>
              </c:strCache>
            </c:strRef>
          </c:tx>
          <c:spPr>
            <a:solidFill>
              <a:srgbClr val="5B9BD5"/>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'工作表465543'!$B$1</c:f>
              <c:strCache>
                <c:ptCount val="1"/>
                <c:pt idx="0">
                  <c:v>一般公共预算财政拨款支出</c:v>
                </c:pt>
              </c:strCache>
            </c:strRef>
          </c:cat>
          <c:val>
            <c:numRef>
              <c:f>工作表465543!$B$2</c:f>
              <c:numCache>
                <c:formatCode>General</c:formatCode>
                <c:ptCount val="1"/>
                <c:pt idx="0">
                  <c:v>279.2</c:v>
                </c:pt>
              </c:numCache>
            </c:numRef>
          </c:val>
        </c:ser>
        <c:ser>
          <c:idx val="1"/>
          <c:order val="1"/>
          <c:tx>
            <c:strRef>
              <c:f>'工作表465543'!$A$3</c:f>
              <c:strCache>
                <c:ptCount val="1"/>
                <c:pt idx="0">
                  <c:v>2023年</c:v>
                </c:pt>
              </c:strCache>
            </c:strRef>
          </c:tx>
          <c:spPr>
            <a:solidFill>
              <a:srgbClr val="ED7D31"/>
            </a:solidFill>
            <a:ln>
              <a:noFill/>
            </a:ln>
          </c:spPr>
          <c:invertIfNegative val="0"/>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showLegendKey val="0"/>
            <c:showVal val="1"/>
            <c:showCatName val="0"/>
            <c:showSerName val="0"/>
            <c:showPercent val="0"/>
            <c:showBubbleSize val="0"/>
            <c:showLeaderLines val="1"/>
            <c:extLst>
              <c:ext xmlns:c15="http://schemas.microsoft.com/office/drawing/2012/chart" uri="{CE6537A1-D6FC-4f65-9D91-7224C49458BB}">
                <c15:showLeaderLines val="1"/>
              </c:ext>
            </c:extLst>
          </c:dLbls>
          <c:cat>
            <c:strRef>
              <c:f>'工作表465543'!$B$1</c:f>
              <c:strCache>
                <c:ptCount val="1"/>
                <c:pt idx="0">
                  <c:v>一般公共预算财政拨款支出</c:v>
                </c:pt>
              </c:strCache>
            </c:strRef>
          </c:cat>
          <c:val>
            <c:numRef>
              <c:f>工作表465543!$B$3</c:f>
              <c:numCache>
                <c:formatCode>General</c:formatCode>
                <c:ptCount val="1"/>
                <c:pt idx="0">
                  <c:v>259.31</c:v>
                </c:pt>
              </c:numCache>
            </c:numRef>
          </c:val>
        </c:ser>
        <c:ser>
          <c:idx val="2"/>
          <c:order val="2"/>
          <c:tx>
            <c:v>系列3</c:v>
          </c:tx>
          <c:spPr>
            <a:solidFill>
              <a:srgbClr val="A5A5A5"/>
            </a:solidFill>
            <a:ln>
              <a:noFill/>
            </a:ln>
          </c:spPr>
          <c:invertIfNegative val="0"/>
          <c:dLbls>
            <c:showLegendKey val="0"/>
            <c:showVal val="0"/>
            <c:showCatName val="0"/>
            <c:showSerName val="0"/>
            <c:showPercent val="0"/>
            <c:showBubbleSize val="0"/>
            <c:showLeaderLines val="1"/>
            <c:extLst>
              <c:ext xmlns:c15="http://schemas.microsoft.com/office/drawing/2012/chart" uri="{CE6537A1-D6FC-4f65-9D91-7224C49458BB}">
                <c15:showLeaderLines val="1"/>
              </c:ext>
            </c:extLst>
          </c:dLbls>
          <c:cat>
            <c:strRef>
              <c:f>'工作表465543'!$B$1</c:f>
              <c:strCache>
                <c:ptCount val="1"/>
                <c:pt idx="0">
                  <c:v>一般公共预算财政拨款支出</c:v>
                </c:pt>
              </c:strCache>
            </c:strRef>
          </c:cat>
          <c:val>
            <c:numRef>
              <c:f/>
              <c:numCache>
                <c:formatCode>General</c:formatCode>
                <c:ptCount val="1"/>
                <c:pt idx="0">
                  <c:v>1.0</c:v>
                </c:pt>
              </c:numCache>
            </c:numRef>
          </c:val>
        </c:ser>
        <c:gapWidth val="150"/>
        <c:axId val="0"/>
        <c:axId val="1"/>
      </c:barChart>
      <c:catAx>
        <c:axId val="0"/>
        <c:scaling>
          <c:orientation val="minMax"/>
        </c:scaling>
        <c:delete val="0"/>
        <c:axPos val="b"/>
        <c:numFmt formatCode="General" sourceLinked="1"/>
        <c:majorTickMark val="none"/>
        <c:minorTickMark val="none"/>
        <c:tickLblPos val="nextTo"/>
        <c:spPr>
          <a:ln w="6350">
            <a:solidFill>
              <a:srgbClr val="D8D8D8"/>
            </a:solidFill>
            <a:prstDash val="solid"/>
          </a:ln>
        </c:spPr>
        <c:txPr>
          <a:bodyPr/>
          <a:lstStyle/>
          <a:p>
            <a:pPr>
              <a:defRPr sz="900" b="0" i="0" u="none" strike="noStrike" baseline="0">
                <a:solidFill>
                  <a:srgbClr val="595959"/>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D8D8D8"/>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595959"/>
                </a:solidFill>
                <a:latin typeface="Times New Roman"/>
                <a:ea typeface="宋体"/>
                <a:cs typeface="Lucida Sans"/>
              </a:defRPr>
            </a:pPr>
            <a:endParaRPr lang="zh-CN"/>
          </a:p>
        </c:txPr>
        <c:crossesAt val="1.0"/>
        <c:crossBetween val="between"/>
        <c:crossAx val="0"/>
      </c:valAx>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Entry>
        <c:idx val="2"/>
        <c:delete val="1"/>
      </c:legendEntry>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2024年度一般公共预算财政拨款支出</a:t>
            </a:r>
          </a:p>
        </c:rich>
      </c:tx>
      <c:layout/>
      <c:overlay val="0"/>
      <c:spPr>
        <a:ln>
          <a:noFill/>
        </a:ln>
      </c:spPr>
    </c:title>
    <c:autoTitleDeleted val="1"/>
    <c:plotArea>
      <c:layout/>
      <c:pieChart>
        <c:varyColors val="1"/>
        <c:ser>
          <c:idx val="0"/>
          <c:order val="0"/>
          <c:tx>
            <c:strRef>
              <c:f>'工作表465544'!$A$2</c:f>
              <c:strCache>
                <c:ptCount val="1"/>
                <c:pt idx="0">
                  <c:v>2024年度一般公共预算财政拨款支出</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Pt>
            <c:idx val="3"/>
            <c:bubble3D val="0"/>
            <c:spPr>
              <a:solidFill>
                <a:srgbClr val="FFC000"/>
              </a:solidFill>
              <a:ln>
                <a:noFill/>
              </a:ln>
            </c:spPr>
          </c:dPt>
          <c:dLbls>
            <c:spPr>
              <a:noFill/>
              <a:ln>
                <a:noFill/>
              </a:ln>
            </c:spPr>
            <c:txPr>
              <a:bodyPr/>
              <a:lstStyle/>
              <a:p>
                <a:pPr>
                  <a:defRPr sz="900" b="0" i="0" u="none" strike="noStrike" baseline="0">
                    <a:solidFill>
                      <a:srgbClr val="3F3F3F"/>
                    </a:solidFill>
                    <a:latin typeface="Times New Roman"/>
                    <a:ea typeface="宋体"/>
                    <a:cs typeface="Lucida Sans"/>
                  </a:defRPr>
                </a:pPr>
                <a:endParaRPr lang="zh-CN"/>
              </a:p>
            </c:txPr>
            <c:numFmt formatCode="General" sourceLinked="1"/>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dLbl>
              <c:idx val="3"/>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1"/>
              <c:showCatName val="0"/>
              <c:showSerName val="0"/>
              <c:showPercent val="0"/>
              <c:showBubbleSize val="0"/>
            </c:dLbl>
            <c:showLegendKey val="0"/>
            <c:showVal val="1"/>
            <c:showCatName val="0"/>
            <c:showSerName val="0"/>
            <c:showPercent val="0"/>
            <c:showBubbleSize val="0"/>
            <c:showLeaderLines val="1"/>
          </c:dLbls>
          <c:cat>
            <c:strRef>
              <c:f>'工作表465544'!$B$1:$E$1</c:f>
              <c:strCache>
                <c:ptCount val="4"/>
                <c:pt idx="0">
                  <c:v>一般公共服务支出</c:v>
                </c:pt>
                <c:pt idx="1">
                  <c:v>社会保障盒就业支出</c:v>
                </c:pt>
                <c:pt idx="2">
                  <c:v>卫生健康支出</c:v>
                </c:pt>
                <c:pt idx="3">
                  <c:v>住房保障支出</c:v>
                </c:pt>
              </c:strCache>
            </c:strRef>
          </c:cat>
          <c:val>
            <c:numRef>
              <c:f>'工作表465544'!$B$2:$E$2</c:f>
              <c:numCache>
                <c:formatCode>General</c:formatCode>
                <c:ptCount val="4"/>
                <c:pt idx="0">
                  <c:v>208.34</c:v>
                </c:pt>
                <c:pt idx="1">
                  <c:v>36.07</c:v>
                </c:pt>
                <c:pt idx="2">
                  <c:v>14.71</c:v>
                </c:pt>
                <c:pt idx="3">
                  <c:v>20.09</c:v>
                </c:pt>
              </c:numCache>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595959"/>
                </a:solidFill>
                <a:latin typeface="Times New Roman"/>
                <a:ea typeface="宋体"/>
                <a:cs typeface="Lucida Sans"/>
              </a:defRPr>
            </a:pPr>
            <a:r>
              <a:rPr lang="zh-CN"/>
              <a:t>2024年度“三公”经费</a:t>
            </a:r>
          </a:p>
        </c:rich>
      </c:tx>
      <c:layout/>
      <c:overlay val="0"/>
      <c:spPr>
        <a:ln>
          <a:noFill/>
        </a:ln>
      </c:spPr>
    </c:title>
    <c:autoTitleDeleted val="1"/>
    <c:plotArea>
      <c:layout/>
      <c:pieChart>
        <c:varyColors val="1"/>
        <c:ser>
          <c:idx val="0"/>
          <c:order val="0"/>
          <c:tx>
            <c:strRef>
              <c:f>'工作表465546'!$A$2</c:f>
              <c:strCache>
                <c:ptCount val="1"/>
                <c:pt idx="0">
                  <c:v/>
                </c:pt>
              </c:strCache>
            </c:strRef>
          </c:tx>
          <c:spPr>
            <a:solidFill>
              <a:srgbClr val="4F81BD"/>
            </a:solidFill>
            <a:ln>
              <a:noFill/>
            </a:ln>
          </c:spPr>
          <c:dPt>
            <c:idx val="0"/>
            <c:bubble3D val="0"/>
            <c:spPr>
              <a:solidFill>
                <a:srgbClr val="5B9BD5"/>
              </a:solidFill>
              <a:ln>
                <a:noFill/>
              </a:ln>
            </c:spPr>
          </c:dPt>
          <c:dPt>
            <c:idx val="1"/>
            <c:bubble3D val="0"/>
            <c:spPr>
              <a:solidFill>
                <a:srgbClr val="ED7D31"/>
              </a:solidFill>
              <a:ln>
                <a:noFill/>
              </a:ln>
            </c:spPr>
          </c:dPt>
          <c:dPt>
            <c:idx val="2"/>
            <c:bubble3D val="0"/>
            <c:spPr>
              <a:solidFill>
                <a:srgbClr val="A5A5A5"/>
              </a:solidFill>
              <a:ln>
                <a:noFill/>
              </a:ln>
            </c:spPr>
          </c:dPt>
          <c:dLbls>
            <c:dLbl>
              <c:idx val="0"/>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1"/>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dLbl>
              <c:idx val="2"/>
              <c:spPr>
                <a:noFill/>
                <a:ln>
                  <a:noFill/>
                </a:ln>
              </c:spPr>
              <c:txPr>
                <a:bodyPr vert="horz"/>
                <a:lstStyle/>
                <a:p>
                  <a:pPr>
                    <a:defRPr sz="900" b="0" i="0" u="none" strike="noStrike" baseline="0">
                      <a:solidFill>
                        <a:srgbClr val="3F3F3F"/>
                      </a:solidFill>
                      <a:latin typeface="Times New Roman"/>
                      <a:ea typeface="宋体"/>
                      <a:cs typeface="Lucida Sans"/>
                    </a:defRPr>
                  </a:pPr>
                  <a:endParaRPr lang="zh-CN"/>
                </a:p>
              </c:txPr>
              <c:showLegendKey val="0"/>
              <c:showVal val="0"/>
              <c:showCatName val="0"/>
              <c:showSerName val="0"/>
              <c:showPercent val="0"/>
              <c:showBubbleSize val="0"/>
            </c:dLbl>
            <c:showLegendKey val="0"/>
            <c:showVal val="0"/>
            <c:showCatName val="0"/>
            <c:showSerName val="0"/>
            <c:showPercent val="0"/>
            <c:showBubbleSize val="0"/>
            <c:showLeaderLines val="1"/>
          </c:dLbls>
          <c:cat>
            <c:strRef>
              <c:f>'工作表465546'!$B$1:$D$1</c:f>
              <c:strCache>
                <c:ptCount val="3"/>
                <c:pt idx="0">
                  <c:v>因公出国（境）支出</c:v>
                </c:pt>
                <c:pt idx="1">
                  <c:v>公务用车购置及运行维护支出</c:v>
                </c:pt>
                <c:pt idx="2">
                  <c:v>公务接待支出</c:v>
                </c:pt>
              </c:strCache>
            </c:strRef>
          </c:cat>
          <c:val>
            <c:numRef>
              <c:f>'工作表465546'!$B$2:$D$2</c:f>
              <c:numCache>
                <c:formatCode>General</c:formatCode>
                <c:ptCount val="3"/>
                <c:pt idx="0">
                  <c:v>0.0</c:v>
                </c:pt>
                <c:pt idx="1">
                  <c:v>0.0</c:v>
                </c:pt>
                <c:pt idx="2">
                  <c:v>0.0</c:v>
                </c:pt>
              </c:numCache>
            </c:numRef>
          </c:val>
        </c:ser>
        <c:ser>
          <c:idx val="1"/>
          <c:order val="1"/>
          <c:tx>
            <c:v>系列2</c:v>
          </c:tx>
          <c:spPr>
            <a:solidFill>
              <a:srgbClr val="C0504D"/>
            </a:solidFill>
            <a:ln>
              <a:noFill/>
            </a:ln>
          </c:spPr>
          <c:dLbls>
            <c:showLegendKey val="0"/>
            <c:showVal val="0"/>
            <c:showCatName val="0"/>
            <c:showSerName val="0"/>
            <c:showPercent val="0"/>
            <c:showBubbleSize val="0"/>
            <c:showLeaderLines val="1"/>
          </c:dLbls>
          <c:cat>
            <c:strRef>
              <c:f>'工作表465546'!$B$1:$D$1</c:f>
              <c:strCache>
                <c:ptCount val="3"/>
                <c:pt idx="0">
                  <c:v>因公出国（境）支出</c:v>
                </c:pt>
                <c:pt idx="1">
                  <c:v>公务用车购置及运行维护支出</c:v>
                </c:pt>
                <c:pt idx="2">
                  <c:v>公务接待支出</c:v>
                </c:pt>
              </c:strCache>
            </c:strRef>
          </c:cat>
          <c:val>
            <c:numRef>
              <c:f/>
            </c:numRef>
          </c:val>
        </c:ser>
        <c:ser>
          <c:idx val="2"/>
          <c:order val="2"/>
          <c:tx>
            <c:v>系列3</c:v>
          </c:tx>
          <c:spPr>
            <a:solidFill>
              <a:srgbClr val="9BBB59"/>
            </a:solidFill>
            <a:ln>
              <a:noFill/>
            </a:ln>
          </c:spPr>
          <c:dLbls>
            <c:showLegendKey val="0"/>
            <c:showVal val="0"/>
            <c:showCatName val="0"/>
            <c:showSerName val="0"/>
            <c:showPercent val="0"/>
            <c:showBubbleSize val="0"/>
            <c:showLeaderLines val="1"/>
          </c:dLbls>
          <c:cat>
            <c:strRef>
              <c:f>'工作表465546'!$B$1:$D$1</c:f>
              <c:strCache>
                <c:ptCount val="3"/>
                <c:pt idx="0">
                  <c:v>因公出国（境）支出</c:v>
                </c:pt>
                <c:pt idx="1">
                  <c:v>公务用车购置及运行维护支出</c:v>
                </c:pt>
                <c:pt idx="2">
                  <c:v>公务接待支出</c:v>
                </c:pt>
              </c:strCache>
            </c:strRef>
          </c:cat>
          <c:val>
            <c:numRef>
              <c:f/>
            </c:numRef>
          </c:val>
        </c:ser>
        <c:firstSliceAng val="0"/>
      </c:pieChart>
      <c:spPr>
        <a:noFill/>
        <a:ln>
          <a:noFill/>
        </a:ln>
      </c:spPr>
    </c:plotArea>
    <c:legend>
      <c:legendPos val="r"/>
      <c:layout/>
      <c:overlay val="0"/>
      <c:spPr>
        <a:noFill/>
        <a:ln>
          <a:noFill/>
        </a:ln>
      </c:spPr>
      <c:txPr>
        <a:bodyPr/>
        <a:lstStyle/>
        <a:p>
          <a:pPr>
            <a:defRPr sz="900" b="0" i="0" u="none" strike="noStrike" baseline="0">
              <a:solidFill>
                <a:srgbClr val="595959"/>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D8D8D8"/>
      </a:solidFill>
      <a:prstDash val="solid"/>
    </a:ln>
  </c:spPr>
  <c:txPr>
    <a:bodyPr/>
    <a:lstStyle/>
    <a:p>
      <a:pPr>
        <a:defRPr sz="9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2070</TotalTime>
  <Application>Yozo_Office27021597764231179</Application>
  <Pages>18</Pages>
  <Words>5321</Words>
  <Characters>5764</Characters>
  <Lines>342</Lines>
  <Paragraphs>166</Paragraphs>
  <CharactersWithSpaces>5914</CharactersWithSpaces>
  <Company>四川省财政厅</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曹颖</dc:creator>
  <cp:lastModifiedBy>user</cp:lastModifiedBy>
  <cp:revision>32</cp:revision>
  <cp:lastPrinted>2025-09-16T09:18:15Z</cp:lastPrinted>
  <dcterms:created xsi:type="dcterms:W3CDTF">2020-08-09T09:49:00Z</dcterms:created>
  <dcterms:modified xsi:type="dcterms:W3CDTF">2025-09-16T09:34:57Z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2052-11.8.2.11718</vt:lpwstr>
  </property>
  <property fmtid="{D5CDD505-2E9C-101B-9397-08002B2CF9AE}" pid="3" name="ICV">
    <vt:lpwstr>04787F2533EB45DC91BCDE4AB213247F</vt:lpwstr>
  </property>
</Properties>
</file>