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6304A">
      <w:pPr>
        <w:pStyle w:val="8"/>
        <w:spacing w:before="93" w:beforeLines="0"/>
        <w:rPr>
          <w:rFonts w:ascii="Times New Roman" w:hAnsi="Times New Roman" w:eastAsia="方正小标宋简体"/>
          <w:kern w:val="2"/>
          <w:sz w:val="72"/>
          <w:szCs w:val="72"/>
        </w:rPr>
      </w:pPr>
      <w:bookmarkStart w:id="0" w:name="_Toc15377425"/>
      <w:bookmarkStart w:id="1" w:name="_Toc15396475"/>
      <w:bookmarkStart w:id="2" w:name="_Toc15377193"/>
      <w:bookmarkStart w:id="3" w:name="_Toc15306267"/>
      <w:bookmarkStart w:id="4" w:name="_Toc15396597"/>
      <w:bookmarkStart w:id="5" w:name="_Toc15378441"/>
    </w:p>
    <w:p w14:paraId="35FD7F8B">
      <w:pPr>
        <w:pStyle w:val="8"/>
        <w:spacing w:before="93" w:beforeLines="0"/>
        <w:rPr>
          <w:rFonts w:ascii="Times New Roman" w:hAnsi="Times New Roman" w:eastAsia="方正小标宋简体"/>
          <w:kern w:val="2"/>
          <w:sz w:val="72"/>
          <w:szCs w:val="72"/>
        </w:rPr>
      </w:pPr>
    </w:p>
    <w:p w14:paraId="4901E0B3">
      <w:pPr>
        <w:pStyle w:val="8"/>
        <w:spacing w:before="93" w:beforeLines="0"/>
        <w:rPr>
          <w:rFonts w:ascii="Times New Roman" w:hAnsi="Times New Roman" w:eastAsia="方正小标宋简体"/>
          <w:kern w:val="2"/>
          <w:sz w:val="72"/>
          <w:szCs w:val="72"/>
        </w:rPr>
      </w:pPr>
    </w:p>
    <w:p w14:paraId="77D9B254">
      <w:pPr>
        <w:pStyle w:val="8"/>
        <w:spacing w:before="93" w:beforeLines="0"/>
        <w:jc w:val="center"/>
        <w:rPr>
          <w:rFonts w:ascii="Times New Roman" w:hAnsi="Times New Roman" w:eastAsia="方正小标宋简体"/>
          <w:kern w:val="2"/>
          <w:sz w:val="44"/>
          <w:szCs w:val="44"/>
        </w:rPr>
      </w:pPr>
      <w:r>
        <w:rPr>
          <w:rFonts w:hint="eastAsia" w:ascii="Times New Roman" w:hAnsi="Times New Roman" w:eastAsia="方正小标宋简体"/>
          <w:kern w:val="2"/>
          <w:sz w:val="44"/>
          <w:szCs w:val="44"/>
        </w:rPr>
        <w:t>202</w:t>
      </w:r>
      <w:r>
        <w:rPr>
          <w:rFonts w:ascii="Times New Roman" w:hAnsi="Times New Roman" w:eastAsia="方正小标宋简体"/>
          <w:kern w:val="2"/>
          <w:sz w:val="44"/>
          <w:szCs w:val="44"/>
        </w:rPr>
        <w:t>5</w:t>
      </w:r>
      <w:r>
        <w:rPr>
          <w:rFonts w:hint="eastAsia" w:ascii="Times New Roman" w:hAnsi="Times New Roman" w:eastAsia="方正小标宋简体"/>
          <w:kern w:val="2"/>
          <w:sz w:val="44"/>
          <w:szCs w:val="44"/>
        </w:rPr>
        <w:t>年度</w:t>
      </w:r>
      <w:r>
        <w:rPr>
          <w:rFonts w:ascii="Times New Roman" w:hAnsi="Times New Roman" w:eastAsia="方正小标宋简体"/>
          <w:kern w:val="2"/>
          <w:sz w:val="44"/>
          <w:szCs w:val="44"/>
        </w:rPr>
        <w:t>中共阿坝州委办公室</w:t>
      </w:r>
      <w:r>
        <w:rPr>
          <w:rFonts w:hint="eastAsia" w:ascii="Times New Roman" w:hAnsi="Times New Roman" w:eastAsia="方正小标宋简体"/>
          <w:kern w:val="2"/>
          <w:sz w:val="44"/>
          <w:szCs w:val="44"/>
        </w:rPr>
        <w:t>（</w:t>
      </w:r>
      <w:r>
        <w:rPr>
          <w:rFonts w:ascii="Times New Roman" w:hAnsi="Times New Roman" w:eastAsia="方正小标宋简体"/>
          <w:kern w:val="2"/>
          <w:sz w:val="44"/>
          <w:szCs w:val="44"/>
        </w:rPr>
        <w:t>本级</w:t>
      </w:r>
      <w:r>
        <w:rPr>
          <w:rFonts w:hint="eastAsia" w:ascii="Times New Roman" w:hAnsi="Times New Roman" w:eastAsia="方正小标宋简体"/>
          <w:kern w:val="2"/>
          <w:sz w:val="44"/>
          <w:szCs w:val="44"/>
        </w:rPr>
        <w:t>）决算</w:t>
      </w:r>
    </w:p>
    <w:p w14:paraId="4B04A3D3">
      <w:pPr>
        <w:pStyle w:val="8"/>
        <w:spacing w:before="93" w:beforeLines="0"/>
        <w:jc w:val="center"/>
        <w:rPr>
          <w:rFonts w:ascii="Times New Roman" w:hAnsi="Times New Roman" w:eastAsia="方正小标宋简体"/>
          <w:kern w:val="2"/>
          <w:sz w:val="44"/>
          <w:szCs w:val="44"/>
        </w:rPr>
      </w:pPr>
      <w:r>
        <w:rPr>
          <w:rFonts w:hint="eastAsia" w:ascii="Times New Roman" w:hAnsi="Times New Roman" w:eastAsia="方正小标宋简体"/>
          <w:kern w:val="2"/>
          <w:sz w:val="44"/>
          <w:szCs w:val="44"/>
        </w:rPr>
        <w:t>公开说明</w:t>
      </w:r>
    </w:p>
    <w:p w14:paraId="49E8568F">
      <w:pPr>
        <w:spacing w:line="600" w:lineRule="exact"/>
        <w:jc w:val="center"/>
        <w:outlineLvl w:val="0"/>
        <w:rPr>
          <w:rFonts w:eastAsia="方正小标宋简体"/>
          <w:sz w:val="72"/>
          <w:szCs w:val="72"/>
        </w:rPr>
      </w:pPr>
    </w:p>
    <w:p w14:paraId="58301BCB">
      <w:pPr>
        <w:pStyle w:val="2"/>
        <w:jc w:val="left"/>
      </w:pPr>
    </w:p>
    <w:p w14:paraId="69918C14">
      <w:pPr>
        <w:pStyle w:val="3"/>
        <w:jc w:val="both"/>
      </w:pPr>
    </w:p>
    <w:p w14:paraId="6AEFD275">
      <w:pPr>
        <w:pStyle w:val="3"/>
        <w:jc w:val="both"/>
      </w:pPr>
    </w:p>
    <w:p w14:paraId="7CEE647F">
      <w:pPr>
        <w:pStyle w:val="3"/>
        <w:jc w:val="both"/>
      </w:pPr>
    </w:p>
    <w:p w14:paraId="4266F4E9">
      <w:pPr>
        <w:pStyle w:val="3"/>
        <w:jc w:val="both"/>
      </w:pPr>
    </w:p>
    <w:p w14:paraId="1F830A5F">
      <w:pPr>
        <w:pStyle w:val="3"/>
        <w:jc w:val="both"/>
      </w:pPr>
    </w:p>
    <w:p w14:paraId="6C416AFA">
      <w:pPr>
        <w:pStyle w:val="3"/>
        <w:jc w:val="both"/>
      </w:pPr>
    </w:p>
    <w:p w14:paraId="5FD0231F">
      <w:pPr>
        <w:pStyle w:val="3"/>
        <w:jc w:val="both"/>
      </w:pPr>
    </w:p>
    <w:p w14:paraId="7FDB0B37">
      <w:pPr>
        <w:pStyle w:val="3"/>
        <w:jc w:val="both"/>
      </w:pPr>
    </w:p>
    <w:p w14:paraId="472F14B0">
      <w:pPr>
        <w:pStyle w:val="3"/>
        <w:jc w:val="both"/>
      </w:pPr>
    </w:p>
    <w:p w14:paraId="32F7266F">
      <w:pPr>
        <w:pStyle w:val="3"/>
        <w:jc w:val="both"/>
      </w:pPr>
    </w:p>
    <w:p w14:paraId="15F590C2">
      <w:pPr>
        <w:pStyle w:val="3"/>
        <w:jc w:val="both"/>
      </w:pPr>
    </w:p>
    <w:p w14:paraId="7A97FF77">
      <w:pPr>
        <w:pStyle w:val="3"/>
        <w:jc w:val="both"/>
      </w:pPr>
    </w:p>
    <w:p w14:paraId="378C69DD">
      <w:pPr>
        <w:pStyle w:val="21"/>
        <w:jc w:val="center"/>
        <w:rPr>
          <w:rFonts w:ascii="Times New Roman" w:hAnsi="Times New Roman"/>
          <w:b w:val="0"/>
        </w:rPr>
        <w:sectPr>
          <w:headerReference r:id="rId3" w:type="default"/>
          <w:footerReference r:id="rId4" w:type="default"/>
          <w:pgSz w:w="11906" w:h="16838"/>
          <w:pgMar w:top="1440" w:right="1800" w:bottom="1440" w:left="1800" w:header="851" w:footer="992" w:gutter="0"/>
          <w:pgNumType w:fmt="numberInDash" w:start="1"/>
          <w:cols w:space="720" w:num="1"/>
          <w:titlePg/>
          <w:docGrid w:type="lines" w:linePitch="312" w:charSpace="0"/>
        </w:sectPr>
      </w:pPr>
      <w:r>
        <w:rPr>
          <w:rFonts w:hint="eastAsia" w:eastAsia="仿宋_GB2312"/>
          <w:b w:val="0"/>
          <w:sz w:val="32"/>
        </w:rPr>
        <w:t>已经保密审查、内容审定，同意对外公开。</w:t>
      </w:r>
    </w:p>
    <w:bookmarkEnd w:id="0"/>
    <w:bookmarkEnd w:id="1"/>
    <w:bookmarkEnd w:id="2"/>
    <w:bookmarkEnd w:id="3"/>
    <w:bookmarkEnd w:id="4"/>
    <w:bookmarkEnd w:id="5"/>
    <w:p w14:paraId="66EA1499">
      <w:pPr>
        <w:widowControl/>
        <w:jc w:val="center"/>
        <w:rPr>
          <w:rFonts w:eastAsia="黑体"/>
          <w:sz w:val="48"/>
          <w:szCs w:val="48"/>
        </w:rPr>
      </w:pPr>
      <w:r>
        <w:rPr>
          <w:rFonts w:hint="eastAsia" w:eastAsia="黑体"/>
          <w:sz w:val="48"/>
          <w:szCs w:val="48"/>
        </w:rPr>
        <w:t>目录</w:t>
      </w:r>
    </w:p>
    <w:p w14:paraId="5D44A6B1">
      <w:pPr>
        <w:widowControl/>
        <w:spacing w:line="300" w:lineRule="exact"/>
        <w:jc w:val="center"/>
        <w:rPr>
          <w:rFonts w:eastAsia="黑体" w:cs="Arial"/>
          <w:sz w:val="28"/>
          <w:szCs w:val="28"/>
        </w:rPr>
      </w:pPr>
    </w:p>
    <w:p w14:paraId="4E44AD51">
      <w:pPr>
        <w:pStyle w:val="13"/>
        <w:spacing w:line="300" w:lineRule="exact"/>
        <w:rPr>
          <w:rFonts w:eastAsia="仿宋_GB2312" w:cs="仿宋_GB2312"/>
          <w:bCs/>
          <w:kern w:val="44"/>
          <w:sz w:val="32"/>
          <w:szCs w:val="32"/>
        </w:rPr>
      </w:pPr>
      <w:r>
        <w:rPr>
          <w:rFonts w:hint="eastAsia" w:ascii="Times New Roman" w:hAnsi="Times New Roman" w:eastAsia="仿宋_GB2312" w:cs="仿宋_GB2312"/>
          <w:sz w:val="32"/>
          <w:szCs w:val="32"/>
        </w:rPr>
        <w:t>公开时间：202</w:t>
      </w:r>
      <w:r>
        <w:rPr>
          <w:rFonts w:ascii="Times New Roman" w:hAnsi="Times New Roman" w:eastAsia="仿宋_GB2312" w:cs="仿宋_GB2312"/>
          <w:sz w:val="32"/>
          <w:szCs w:val="32"/>
        </w:rPr>
        <w:t>5</w:t>
      </w:r>
      <w:r>
        <w:rPr>
          <w:rFonts w:hint="eastAsia" w:ascii="Times New Roman" w:hAnsi="Times New Roman" w:eastAsia="仿宋_GB2312" w:cs="仿宋_GB2312"/>
          <w:sz w:val="32"/>
          <w:szCs w:val="32"/>
        </w:rPr>
        <w:t xml:space="preserve">年 </w:t>
      </w:r>
      <w:r>
        <w:rPr>
          <w:rFonts w:ascii="Times New Roman" w:hAnsi="Times New Roman" w:eastAsia="仿宋_GB2312" w:cs="仿宋_GB2312"/>
          <w:sz w:val="32"/>
          <w:szCs w:val="32"/>
        </w:rPr>
        <w:t>9</w:t>
      </w:r>
      <w:r>
        <w:rPr>
          <w:rFonts w:hint="eastAsia" w:ascii="Times New Roman" w:hAnsi="Times New Roman" w:eastAsia="仿宋_GB2312" w:cs="仿宋_GB2312"/>
          <w:sz w:val="32"/>
          <w:szCs w:val="32"/>
        </w:rPr>
        <w:t xml:space="preserve"> 月 </w:t>
      </w:r>
      <w:r>
        <w:rPr>
          <w:rFonts w:ascii="Times New Roman" w:hAnsi="Times New Roman" w:eastAsia="仿宋_GB2312" w:cs="仿宋_GB2312"/>
          <w:sz w:val="32"/>
          <w:szCs w:val="32"/>
        </w:rPr>
        <w:t>18</w:t>
      </w:r>
      <w:r>
        <w:rPr>
          <w:rFonts w:hint="eastAsia" w:ascii="Times New Roman" w:hAnsi="Times New Roman" w:eastAsia="仿宋_GB2312" w:cs="仿宋_GB2312"/>
          <w:sz w:val="32"/>
          <w:szCs w:val="32"/>
        </w:rPr>
        <w:t xml:space="preserve"> 日</w:t>
      </w:r>
      <w:bookmarkStart w:id="6" w:name="_Toc15377196"/>
      <w:bookmarkStart w:id="7" w:name="_Toc15396599"/>
    </w:p>
    <w:p w14:paraId="6C2000A5">
      <w:pPr>
        <w:pStyle w:val="13"/>
        <w:tabs>
          <w:tab w:val="right" w:leader="dot" w:pos="8306"/>
        </w:tabs>
        <w:spacing w:line="300" w:lineRule="exact"/>
        <w:jc w:val="center"/>
      </w:pPr>
      <w:r>
        <w:rPr>
          <w:rFonts w:eastAsia="仿宋_GB2312" w:cs="仿宋_GB2312"/>
          <w:b/>
          <w:sz w:val="32"/>
          <w:szCs w:val="32"/>
        </w:rPr>
        <w:fldChar w:fldCharType="begin"/>
      </w:r>
      <w:r>
        <w:rPr>
          <w:rFonts w:eastAsia="仿宋_GB2312" w:cs="仿宋_GB2312"/>
          <w:b/>
          <w:sz w:val="32"/>
          <w:szCs w:val="32"/>
        </w:rPr>
        <w:instrText xml:space="preserve"> TOC \o "1-3" \h \u </w:instrText>
      </w:r>
      <w:r>
        <w:rPr>
          <w:rFonts w:eastAsia="仿宋_GB2312" w:cs="仿宋_GB2312"/>
          <w:b/>
          <w:sz w:val="32"/>
          <w:szCs w:val="32"/>
        </w:rPr>
        <w:fldChar w:fldCharType="separate"/>
      </w:r>
      <w:r>
        <w:fldChar w:fldCharType="begin"/>
      </w:r>
      <w:r>
        <w:instrText xml:space="preserve">Hyperlink \l "_Toc23788743"</w:instrText>
      </w:r>
      <w:r>
        <w:fldChar w:fldCharType="separate"/>
      </w:r>
      <w:r>
        <w:rPr>
          <w:rFonts w:hint="eastAsia" w:eastAsia="方正小标宋简体" w:cs="方正小标宋简体"/>
        </w:rPr>
        <w:t xml:space="preserve">第一部分  </w:t>
      </w:r>
      <w:r>
        <w:rPr>
          <w:rFonts w:hint="eastAsia" w:ascii="Times New Roman" w:hAnsi="Times New Roman" w:eastAsia="方正小标宋简体" w:cs="方正小标宋简体"/>
          <w:bCs/>
          <w:kern w:val="44"/>
          <w:szCs w:val="44"/>
          <w:lang w:val="en-US" w:eastAsia="zh-CN" w:bidi="ar-SA"/>
        </w:rPr>
        <w:t>部门概况</w:t>
      </w:r>
      <w:r>
        <w:tab/>
      </w:r>
      <w:r>
        <w:fldChar w:fldCharType="begin"/>
      </w:r>
      <w:r>
        <w:instrText xml:space="preserve">PageRef _Toc23788743 \h</w:instrText>
      </w:r>
      <w:r>
        <w:fldChar w:fldCharType="separate"/>
      </w:r>
      <w:r>
        <w:t>- 2 -</w:t>
      </w:r>
      <w:r>
        <w:fldChar w:fldCharType="end"/>
      </w:r>
      <w:r>
        <w:fldChar w:fldCharType="end"/>
      </w:r>
    </w:p>
    <w:p w14:paraId="073886F4">
      <w:pPr>
        <w:pStyle w:val="14"/>
        <w:tabs>
          <w:tab w:val="right" w:leader="dot" w:pos="8306"/>
        </w:tabs>
        <w:spacing w:line="300" w:lineRule="exact"/>
      </w:pPr>
      <w:r>
        <w:fldChar w:fldCharType="begin"/>
      </w:r>
      <w:r>
        <w:instrText xml:space="preserve">Hyperlink \l "_Toc23788744"</w:instrText>
      </w:r>
      <w:r>
        <w:fldChar w:fldCharType="separate"/>
      </w:r>
      <w:r>
        <w:rPr>
          <w:rFonts w:ascii="Times New Roman" w:hAnsi="Times New Roman" w:eastAsia="黑体" w:cs="Times New Roman"/>
          <w:bCs/>
          <w:kern w:val="2"/>
          <w:szCs w:val="32"/>
          <w:lang w:val="en-US" w:eastAsia="zh-CN" w:bidi="ar-SA"/>
        </w:rPr>
        <w:t>一、</w:t>
      </w:r>
      <w:r>
        <w:rPr>
          <w:rFonts w:hint="eastAsia" w:ascii="Times New Roman" w:hAnsi="Times New Roman" w:eastAsia="黑体" w:cs="Times New Roman"/>
          <w:bCs/>
          <w:kern w:val="2"/>
          <w:szCs w:val="32"/>
          <w:lang w:val="en-US" w:eastAsia="zh-CN" w:bidi="ar-SA"/>
        </w:rPr>
        <w:t>部门职责</w:t>
      </w:r>
      <w:r>
        <w:tab/>
      </w:r>
      <w:r>
        <w:fldChar w:fldCharType="begin"/>
      </w:r>
      <w:r>
        <w:instrText xml:space="preserve">PageRef _Toc23788744 \h</w:instrText>
      </w:r>
      <w:r>
        <w:fldChar w:fldCharType="separate"/>
      </w:r>
      <w:r>
        <w:t>- 2 -</w:t>
      </w:r>
      <w:r>
        <w:fldChar w:fldCharType="end"/>
      </w:r>
      <w:r>
        <w:fldChar w:fldCharType="end"/>
      </w:r>
    </w:p>
    <w:p w14:paraId="441CF293">
      <w:pPr>
        <w:pStyle w:val="14"/>
        <w:tabs>
          <w:tab w:val="right" w:leader="dot" w:pos="8306"/>
        </w:tabs>
        <w:spacing w:line="300" w:lineRule="exact"/>
      </w:pPr>
      <w:r>
        <w:fldChar w:fldCharType="begin"/>
      </w:r>
      <w:r>
        <w:instrText xml:space="preserve">Hyperlink \l "_Toc23788745"</w:instrText>
      </w:r>
      <w:r>
        <w:fldChar w:fldCharType="separate"/>
      </w:r>
      <w:r>
        <w:rPr>
          <w:rFonts w:hint="eastAsia" w:ascii="Times New Roman" w:hAnsi="Times New Roman" w:eastAsia="黑体" w:cs="Times New Roman"/>
          <w:bCs/>
          <w:kern w:val="2"/>
          <w:szCs w:val="32"/>
          <w:lang w:val="en-US" w:eastAsia="zh-CN" w:bidi="ar-SA"/>
        </w:rPr>
        <w:t>二、机构设置</w:t>
      </w:r>
      <w:r>
        <w:tab/>
      </w:r>
      <w:r>
        <w:fldChar w:fldCharType="begin"/>
      </w:r>
      <w:r>
        <w:instrText xml:space="preserve">PageRef _Toc23788745 \h</w:instrText>
      </w:r>
      <w:r>
        <w:fldChar w:fldCharType="separate"/>
      </w:r>
      <w:r>
        <w:t>- 2 -</w:t>
      </w:r>
      <w:r>
        <w:fldChar w:fldCharType="end"/>
      </w:r>
      <w:r>
        <w:fldChar w:fldCharType="end"/>
      </w:r>
    </w:p>
    <w:p w14:paraId="62F91249">
      <w:pPr>
        <w:pStyle w:val="13"/>
        <w:tabs>
          <w:tab w:val="right" w:leader="dot" w:pos="8306"/>
        </w:tabs>
        <w:spacing w:line="300" w:lineRule="exact"/>
        <w:jc w:val="center"/>
      </w:pPr>
      <w:r>
        <w:fldChar w:fldCharType="begin"/>
      </w:r>
      <w:r>
        <w:instrText xml:space="preserve">Hyperlink \l "_Toc23788746"</w:instrText>
      </w:r>
      <w:r>
        <w:fldChar w:fldCharType="separate"/>
      </w:r>
      <w:r>
        <w:rPr>
          <w:rFonts w:hint="eastAsia" w:eastAsia="方正小标宋简体" w:cs="方正小标宋简体"/>
        </w:rPr>
        <w:t>第二部分  2025年度部门决算情况说明</w:t>
      </w:r>
      <w:r>
        <w:tab/>
      </w:r>
      <w:r>
        <w:fldChar w:fldCharType="begin"/>
      </w:r>
      <w:r>
        <w:instrText xml:space="preserve">PageRef _Toc23788746 \h</w:instrText>
      </w:r>
      <w:r>
        <w:fldChar w:fldCharType="separate"/>
      </w:r>
      <w:r>
        <w:t>- 4 -</w:t>
      </w:r>
      <w:r>
        <w:fldChar w:fldCharType="end"/>
      </w:r>
      <w:r>
        <w:fldChar w:fldCharType="end"/>
      </w:r>
    </w:p>
    <w:p w14:paraId="508BBB3F">
      <w:pPr>
        <w:pStyle w:val="14"/>
        <w:tabs>
          <w:tab w:val="right" w:leader="dot" w:pos="8306"/>
        </w:tabs>
        <w:spacing w:line="300" w:lineRule="exact"/>
      </w:pPr>
      <w:r>
        <w:fldChar w:fldCharType="begin"/>
      </w:r>
      <w:r>
        <w:instrText xml:space="preserve">Hyperlink \l "_Toc23788747"</w:instrText>
      </w:r>
      <w:r>
        <w:fldChar w:fldCharType="separate"/>
      </w:r>
      <w:r>
        <w:rPr>
          <w:rFonts w:hint="eastAsia" w:eastAsia="黑体"/>
          <w:szCs w:val="32"/>
        </w:rPr>
        <w:t>一、收</w:t>
      </w:r>
      <w:r>
        <w:rPr>
          <w:rFonts w:hint="eastAsia" w:ascii="Times New Roman" w:hAnsi="Times New Roman" w:eastAsia="黑体" w:cs="Times New Roman"/>
          <w:bCs/>
          <w:kern w:val="2"/>
          <w:szCs w:val="32"/>
          <w:lang w:val="en-US" w:eastAsia="zh-CN" w:bidi="ar-SA"/>
        </w:rPr>
        <w:t>入支出决算总体情况说明</w:t>
      </w:r>
      <w:r>
        <w:tab/>
      </w:r>
      <w:r>
        <w:fldChar w:fldCharType="begin"/>
      </w:r>
      <w:r>
        <w:instrText xml:space="preserve">PageRef _Toc23788747 \h</w:instrText>
      </w:r>
      <w:r>
        <w:fldChar w:fldCharType="separate"/>
      </w:r>
      <w:r>
        <w:t>- 4 -</w:t>
      </w:r>
      <w:r>
        <w:fldChar w:fldCharType="end"/>
      </w:r>
      <w:r>
        <w:fldChar w:fldCharType="end"/>
      </w:r>
    </w:p>
    <w:p w14:paraId="7C40BFBF">
      <w:pPr>
        <w:pStyle w:val="14"/>
        <w:tabs>
          <w:tab w:val="right" w:leader="dot" w:pos="8306"/>
        </w:tabs>
        <w:spacing w:line="300" w:lineRule="exact"/>
      </w:pPr>
      <w:r>
        <w:fldChar w:fldCharType="begin"/>
      </w:r>
      <w:r>
        <w:instrText xml:space="preserve">Hyperlink \l "_Toc23788749"</w:instrText>
      </w:r>
      <w:r>
        <w:fldChar w:fldCharType="separate"/>
      </w:r>
      <w:r>
        <w:rPr>
          <w:rFonts w:hint="eastAsia" w:eastAsia="黑体"/>
          <w:szCs w:val="32"/>
        </w:rPr>
        <w:t>二、收入决算情况说明</w:t>
      </w:r>
      <w:r>
        <w:tab/>
      </w:r>
      <w:r>
        <w:fldChar w:fldCharType="begin"/>
      </w:r>
      <w:r>
        <w:instrText xml:space="preserve">PageRef _Toc23788749 \h</w:instrText>
      </w:r>
      <w:r>
        <w:fldChar w:fldCharType="separate"/>
      </w:r>
      <w:r>
        <w:t>- 4 -</w:t>
      </w:r>
      <w:r>
        <w:fldChar w:fldCharType="end"/>
      </w:r>
      <w:r>
        <w:fldChar w:fldCharType="end"/>
      </w:r>
    </w:p>
    <w:p w14:paraId="2ED020E5">
      <w:pPr>
        <w:pStyle w:val="14"/>
        <w:tabs>
          <w:tab w:val="right" w:leader="dot" w:pos="8306"/>
        </w:tabs>
        <w:spacing w:line="300" w:lineRule="exact"/>
      </w:pPr>
      <w:r>
        <w:fldChar w:fldCharType="begin"/>
      </w:r>
      <w:r>
        <w:instrText xml:space="preserve">Hyperlink \l "_Toc23788751"</w:instrText>
      </w:r>
      <w:r>
        <w:fldChar w:fldCharType="separate"/>
      </w:r>
      <w:r>
        <w:rPr>
          <w:rFonts w:hint="eastAsia" w:eastAsia="黑体"/>
          <w:szCs w:val="32"/>
        </w:rPr>
        <w:t>三、支</w:t>
      </w:r>
      <w:r>
        <w:rPr>
          <w:rFonts w:hint="eastAsia" w:ascii="Times New Roman" w:hAnsi="Times New Roman" w:eastAsia="黑体" w:cs="Times New Roman"/>
          <w:bCs/>
          <w:kern w:val="2"/>
          <w:szCs w:val="32"/>
          <w:lang w:val="en-US" w:eastAsia="zh-CN" w:bidi="ar-SA"/>
        </w:rPr>
        <w:t>出决算情况说明</w:t>
      </w:r>
      <w:r>
        <w:tab/>
      </w:r>
      <w:r>
        <w:fldChar w:fldCharType="begin"/>
      </w:r>
      <w:r>
        <w:instrText xml:space="preserve">PageRef _Toc23788751 \h</w:instrText>
      </w:r>
      <w:r>
        <w:fldChar w:fldCharType="separate"/>
      </w:r>
      <w:r>
        <w:t>- 4 -</w:t>
      </w:r>
      <w:r>
        <w:fldChar w:fldCharType="end"/>
      </w:r>
      <w:r>
        <w:fldChar w:fldCharType="end"/>
      </w:r>
    </w:p>
    <w:p w14:paraId="2C2549F6">
      <w:pPr>
        <w:pStyle w:val="14"/>
        <w:tabs>
          <w:tab w:val="right" w:leader="dot" w:pos="8306"/>
        </w:tabs>
        <w:spacing w:line="300" w:lineRule="exact"/>
      </w:pPr>
      <w:r>
        <w:fldChar w:fldCharType="begin"/>
      </w:r>
      <w:r>
        <w:instrText xml:space="preserve">Hyperlink \l "_Toc23788753"</w:instrText>
      </w:r>
      <w:r>
        <w:fldChar w:fldCharType="separate"/>
      </w:r>
      <w:r>
        <w:rPr>
          <w:rFonts w:hint="eastAsia" w:eastAsia="黑体"/>
          <w:szCs w:val="32"/>
        </w:rPr>
        <w:t>四、财</w:t>
      </w:r>
      <w:r>
        <w:rPr>
          <w:rFonts w:hint="eastAsia" w:ascii="Times New Roman" w:hAnsi="Times New Roman" w:eastAsia="黑体" w:cs="Times New Roman"/>
          <w:bCs/>
          <w:kern w:val="2"/>
          <w:szCs w:val="32"/>
          <w:lang w:val="en-US" w:eastAsia="zh-CN" w:bidi="ar-SA"/>
        </w:rPr>
        <w:t>政拨款收入支出决算总体情况说明</w:t>
      </w:r>
      <w:r>
        <w:tab/>
      </w:r>
      <w:r>
        <w:fldChar w:fldCharType="begin"/>
      </w:r>
      <w:r>
        <w:instrText xml:space="preserve">PageRef _Toc23788753 \h</w:instrText>
      </w:r>
      <w:r>
        <w:fldChar w:fldCharType="separate"/>
      </w:r>
      <w:r>
        <w:t>- 5 -</w:t>
      </w:r>
      <w:r>
        <w:fldChar w:fldCharType="end"/>
      </w:r>
      <w:r>
        <w:fldChar w:fldCharType="end"/>
      </w:r>
    </w:p>
    <w:p w14:paraId="692D8EA9">
      <w:pPr>
        <w:pStyle w:val="14"/>
        <w:tabs>
          <w:tab w:val="right" w:leader="dot" w:pos="8306"/>
        </w:tabs>
        <w:spacing w:line="300" w:lineRule="exact"/>
      </w:pPr>
      <w:r>
        <w:fldChar w:fldCharType="begin"/>
      </w:r>
      <w:r>
        <w:instrText xml:space="preserve">Hyperlink \l "_Toc23788754"</w:instrText>
      </w:r>
      <w:r>
        <w:fldChar w:fldCharType="separate"/>
      </w:r>
      <w:r>
        <w:rPr>
          <w:rFonts w:hint="eastAsia" w:eastAsia="黑体"/>
          <w:szCs w:val="32"/>
        </w:rPr>
        <w:t>五、一</w:t>
      </w:r>
      <w:r>
        <w:rPr>
          <w:rFonts w:hint="eastAsia" w:ascii="Times New Roman" w:hAnsi="Times New Roman" w:eastAsia="黑体" w:cs="Times New Roman"/>
          <w:bCs/>
          <w:kern w:val="2"/>
          <w:szCs w:val="32"/>
          <w:lang w:val="en-US" w:eastAsia="zh-CN" w:bidi="ar-SA"/>
        </w:rPr>
        <w:t>般公共预算财政拨款支出决算情况说明</w:t>
      </w:r>
      <w:r>
        <w:tab/>
      </w:r>
      <w:r>
        <w:fldChar w:fldCharType="begin"/>
      </w:r>
      <w:r>
        <w:instrText xml:space="preserve">PageRef _Toc23788754 \h</w:instrText>
      </w:r>
      <w:r>
        <w:fldChar w:fldCharType="separate"/>
      </w:r>
      <w:r>
        <w:t>- 5 -</w:t>
      </w:r>
      <w:r>
        <w:fldChar w:fldCharType="end"/>
      </w:r>
      <w:r>
        <w:fldChar w:fldCharType="end"/>
      </w:r>
    </w:p>
    <w:p w14:paraId="28EDF4C4">
      <w:pPr>
        <w:pStyle w:val="9"/>
        <w:tabs>
          <w:tab w:val="right" w:leader="dot" w:pos="8306"/>
        </w:tabs>
        <w:spacing w:line="300" w:lineRule="exact"/>
      </w:pPr>
      <w:r>
        <w:fldChar w:fldCharType="begin"/>
      </w:r>
      <w:r>
        <w:instrText xml:space="preserve">Hyperlink \l "_Toc23788755"</w:instrText>
      </w:r>
      <w:r>
        <w:fldChar w:fldCharType="separate"/>
      </w:r>
      <w:r>
        <w:rPr>
          <w:rFonts w:hint="eastAsia" w:eastAsia="楷体_GB2312" w:cs="楷体_GB2312"/>
          <w:szCs w:val="32"/>
        </w:rPr>
        <w:t>（一）一般公共预算财政拨款支出决算总体情况</w:t>
      </w:r>
      <w:r>
        <w:tab/>
      </w:r>
      <w:r>
        <w:fldChar w:fldCharType="begin"/>
      </w:r>
      <w:r>
        <w:instrText xml:space="preserve">PageRef _Toc23788755 \h</w:instrText>
      </w:r>
      <w:r>
        <w:fldChar w:fldCharType="separate"/>
      </w:r>
      <w:r>
        <w:t>- 5 -</w:t>
      </w:r>
      <w:r>
        <w:fldChar w:fldCharType="end"/>
      </w:r>
      <w:r>
        <w:fldChar w:fldCharType="end"/>
      </w:r>
    </w:p>
    <w:p w14:paraId="2FC112AF">
      <w:pPr>
        <w:pStyle w:val="9"/>
        <w:tabs>
          <w:tab w:val="right" w:leader="dot" w:pos="8306"/>
        </w:tabs>
        <w:spacing w:line="300" w:lineRule="exact"/>
      </w:pPr>
      <w:r>
        <w:fldChar w:fldCharType="begin"/>
      </w:r>
      <w:r>
        <w:instrText xml:space="preserve">Hyperlink \l "_Toc23788756"</w:instrText>
      </w:r>
      <w:r>
        <w:fldChar w:fldCharType="separate"/>
      </w:r>
      <w:r>
        <w:rPr>
          <w:rFonts w:hint="eastAsia" w:eastAsia="楷体_GB2312" w:cs="楷体_GB2312"/>
          <w:szCs w:val="32"/>
        </w:rPr>
        <w:t>（二）一般公共预算财政拨款支出决算结构情况</w:t>
      </w:r>
      <w:r>
        <w:tab/>
      </w:r>
      <w:r>
        <w:fldChar w:fldCharType="begin"/>
      </w:r>
      <w:r>
        <w:instrText xml:space="preserve">PageRef _Toc23788756 \h</w:instrText>
      </w:r>
      <w:r>
        <w:fldChar w:fldCharType="separate"/>
      </w:r>
      <w:r>
        <w:t>- 6 -</w:t>
      </w:r>
      <w:r>
        <w:fldChar w:fldCharType="end"/>
      </w:r>
      <w:r>
        <w:fldChar w:fldCharType="end"/>
      </w:r>
    </w:p>
    <w:p w14:paraId="347E9E2A">
      <w:pPr>
        <w:pStyle w:val="9"/>
        <w:tabs>
          <w:tab w:val="right" w:leader="dot" w:pos="8306"/>
        </w:tabs>
        <w:spacing w:line="300" w:lineRule="exact"/>
      </w:pPr>
      <w:r>
        <w:fldChar w:fldCharType="begin"/>
      </w:r>
      <w:r>
        <w:instrText xml:space="preserve">Hyperlink \l "_Toc23788757"</w:instrText>
      </w:r>
      <w:r>
        <w:fldChar w:fldCharType="separate"/>
      </w:r>
      <w:r>
        <w:rPr>
          <w:rFonts w:hint="eastAsia" w:eastAsia="楷体_GB2312" w:cs="楷体_GB2312"/>
          <w:szCs w:val="32"/>
        </w:rPr>
        <w:t>（三）一般公共预算财政拨款支出决算具体情况</w:t>
      </w:r>
      <w:r>
        <w:tab/>
      </w:r>
      <w:r>
        <w:fldChar w:fldCharType="begin"/>
      </w:r>
      <w:r>
        <w:instrText xml:space="preserve">PageRef _Toc23788757 \h</w:instrText>
      </w:r>
      <w:r>
        <w:fldChar w:fldCharType="separate"/>
      </w:r>
      <w:r>
        <w:t>- 6 -</w:t>
      </w:r>
      <w:r>
        <w:fldChar w:fldCharType="end"/>
      </w:r>
      <w:r>
        <w:fldChar w:fldCharType="end"/>
      </w:r>
    </w:p>
    <w:p w14:paraId="61AE8226">
      <w:pPr>
        <w:pStyle w:val="14"/>
        <w:tabs>
          <w:tab w:val="right" w:leader="dot" w:pos="8306"/>
        </w:tabs>
        <w:spacing w:line="300" w:lineRule="exact"/>
      </w:pPr>
      <w:r>
        <w:fldChar w:fldCharType="begin"/>
      </w:r>
      <w:r>
        <w:instrText xml:space="preserve">Hyperlink \l "_Toc23788758"</w:instrText>
      </w:r>
      <w:r>
        <w:fldChar w:fldCharType="separate"/>
      </w:r>
      <w:r>
        <w:rPr>
          <w:rFonts w:hint="eastAsia" w:eastAsia="黑体"/>
          <w:szCs w:val="32"/>
        </w:rPr>
        <w:t>六、一</w:t>
      </w:r>
      <w:r>
        <w:rPr>
          <w:rFonts w:hint="eastAsia" w:ascii="Times New Roman" w:hAnsi="Times New Roman" w:eastAsia="黑体" w:cs="Times New Roman"/>
          <w:bCs/>
          <w:kern w:val="2"/>
          <w:szCs w:val="32"/>
          <w:lang w:val="en-US" w:eastAsia="zh-CN" w:bidi="ar-SA"/>
        </w:rPr>
        <w:t>般公共预算财政拨款基本支出决算情况说明</w:t>
      </w:r>
      <w:r>
        <w:tab/>
      </w:r>
      <w:r>
        <w:fldChar w:fldCharType="begin"/>
      </w:r>
      <w:r>
        <w:instrText xml:space="preserve">PageRef _Toc23788758 \h</w:instrText>
      </w:r>
      <w:r>
        <w:fldChar w:fldCharType="separate"/>
      </w:r>
      <w:r>
        <w:t>- 7 -</w:t>
      </w:r>
      <w:r>
        <w:fldChar w:fldCharType="end"/>
      </w:r>
      <w:r>
        <w:fldChar w:fldCharType="end"/>
      </w:r>
    </w:p>
    <w:p w14:paraId="27B7D399">
      <w:pPr>
        <w:pStyle w:val="14"/>
        <w:tabs>
          <w:tab w:val="right" w:leader="dot" w:pos="8306"/>
        </w:tabs>
        <w:spacing w:line="300" w:lineRule="exact"/>
      </w:pPr>
      <w:r>
        <w:fldChar w:fldCharType="begin"/>
      </w:r>
      <w:r>
        <w:instrText xml:space="preserve">Hyperlink \l "_Toc23788759"</w:instrText>
      </w:r>
      <w:r>
        <w:fldChar w:fldCharType="separate"/>
      </w:r>
      <w:r>
        <w:rPr>
          <w:rFonts w:hint="eastAsia" w:eastAsia="黑体"/>
          <w:szCs w:val="32"/>
        </w:rPr>
        <w:t>七、</w:t>
      </w:r>
      <w:r>
        <w:rPr>
          <w:rFonts w:hint="eastAsia" w:ascii="Times New Roman" w:hAnsi="Times New Roman" w:eastAsia="黑体" w:cs="Times New Roman"/>
          <w:bCs/>
          <w:kern w:val="2"/>
          <w:szCs w:val="32"/>
          <w:lang w:val="en-US" w:eastAsia="zh-CN" w:bidi="ar-SA"/>
        </w:rPr>
        <w:t>财政拨款“三公”经费支出决算情况说明</w:t>
      </w:r>
      <w:r>
        <w:tab/>
      </w:r>
      <w:r>
        <w:fldChar w:fldCharType="begin"/>
      </w:r>
      <w:r>
        <w:instrText xml:space="preserve">PageRef _Toc23788759 \h</w:instrText>
      </w:r>
      <w:r>
        <w:fldChar w:fldCharType="separate"/>
      </w:r>
      <w:r>
        <w:t>- 8 -</w:t>
      </w:r>
      <w:r>
        <w:fldChar w:fldCharType="end"/>
      </w:r>
      <w:r>
        <w:fldChar w:fldCharType="end"/>
      </w:r>
    </w:p>
    <w:p w14:paraId="572DF130">
      <w:pPr>
        <w:pStyle w:val="9"/>
        <w:tabs>
          <w:tab w:val="right" w:leader="dot" w:pos="8306"/>
        </w:tabs>
        <w:spacing w:line="300" w:lineRule="exact"/>
      </w:pPr>
      <w:r>
        <w:fldChar w:fldCharType="begin"/>
      </w:r>
      <w:r>
        <w:instrText xml:space="preserve">Hyperlink \l "_Toc23788760"</w:instrText>
      </w:r>
      <w:r>
        <w:fldChar w:fldCharType="separate"/>
      </w:r>
      <w:r>
        <w:rPr>
          <w:rFonts w:hint="eastAsia" w:eastAsia="楷体_GB2312" w:cs="楷体_GB2312"/>
          <w:szCs w:val="32"/>
        </w:rPr>
        <w:t>（一）“三公”经费财政拨款支出决算总体情况说明</w:t>
      </w:r>
      <w:r>
        <w:tab/>
      </w:r>
      <w:r>
        <w:fldChar w:fldCharType="begin"/>
      </w:r>
      <w:r>
        <w:instrText xml:space="preserve">PageRef _Toc23788760 \h</w:instrText>
      </w:r>
      <w:r>
        <w:fldChar w:fldCharType="separate"/>
      </w:r>
      <w:r>
        <w:t>- 8 -</w:t>
      </w:r>
      <w:r>
        <w:fldChar w:fldCharType="end"/>
      </w:r>
      <w:r>
        <w:fldChar w:fldCharType="end"/>
      </w:r>
    </w:p>
    <w:p w14:paraId="587F9BED">
      <w:pPr>
        <w:pStyle w:val="9"/>
        <w:tabs>
          <w:tab w:val="right" w:leader="dot" w:pos="8306"/>
        </w:tabs>
        <w:spacing w:line="300" w:lineRule="exact"/>
      </w:pPr>
      <w:r>
        <w:fldChar w:fldCharType="begin"/>
      </w:r>
      <w:r>
        <w:instrText xml:space="preserve">Hyperlink \l "_Toc23788761"</w:instrText>
      </w:r>
      <w:r>
        <w:fldChar w:fldCharType="separate"/>
      </w:r>
      <w:r>
        <w:rPr>
          <w:rFonts w:hint="eastAsia" w:eastAsia="楷体_GB2312" w:cs="楷体_GB2312"/>
          <w:szCs w:val="32"/>
        </w:rPr>
        <w:t>（二）“三公”经费财政拨款支出决算具体情况说明</w:t>
      </w:r>
      <w:r>
        <w:tab/>
      </w:r>
      <w:r>
        <w:fldChar w:fldCharType="begin"/>
      </w:r>
      <w:r>
        <w:instrText xml:space="preserve">PageRef _Toc23788761 \h</w:instrText>
      </w:r>
      <w:r>
        <w:fldChar w:fldCharType="separate"/>
      </w:r>
      <w:r>
        <w:t>- 8 -</w:t>
      </w:r>
      <w:r>
        <w:fldChar w:fldCharType="end"/>
      </w:r>
      <w:r>
        <w:fldChar w:fldCharType="end"/>
      </w:r>
    </w:p>
    <w:p w14:paraId="37EA421E">
      <w:pPr>
        <w:pStyle w:val="14"/>
        <w:tabs>
          <w:tab w:val="right" w:leader="dot" w:pos="8306"/>
        </w:tabs>
        <w:spacing w:line="300" w:lineRule="exact"/>
      </w:pPr>
      <w:r>
        <w:fldChar w:fldCharType="begin"/>
      </w:r>
      <w:r>
        <w:instrText xml:space="preserve">Hyperlink \l "_Toc23788762"</w:instrText>
      </w:r>
      <w:r>
        <w:fldChar w:fldCharType="separate"/>
      </w:r>
      <w:r>
        <w:rPr>
          <w:rFonts w:hint="eastAsia" w:eastAsia="黑体"/>
          <w:szCs w:val="32"/>
        </w:rPr>
        <w:t>八、</w:t>
      </w:r>
      <w:r>
        <w:rPr>
          <w:rFonts w:hint="eastAsia" w:ascii="Times New Roman" w:hAnsi="Times New Roman" w:eastAsia="黑体" w:cs="Times New Roman"/>
          <w:bCs/>
          <w:kern w:val="2"/>
          <w:szCs w:val="32"/>
          <w:lang w:val="en-US" w:eastAsia="zh-CN" w:bidi="ar-SA"/>
        </w:rPr>
        <w:t>政府性基金预算支出决算情况说明</w:t>
      </w:r>
      <w:r>
        <w:tab/>
      </w:r>
      <w:r>
        <w:fldChar w:fldCharType="begin"/>
      </w:r>
      <w:r>
        <w:instrText xml:space="preserve">PageRef _Toc23788762 \h</w:instrText>
      </w:r>
      <w:r>
        <w:fldChar w:fldCharType="separate"/>
      </w:r>
      <w:r>
        <w:t>- 10 -</w:t>
      </w:r>
      <w:r>
        <w:fldChar w:fldCharType="end"/>
      </w:r>
      <w:r>
        <w:fldChar w:fldCharType="end"/>
      </w:r>
    </w:p>
    <w:p w14:paraId="5844D90A">
      <w:pPr>
        <w:pStyle w:val="14"/>
        <w:tabs>
          <w:tab w:val="right" w:leader="dot" w:pos="8306"/>
        </w:tabs>
        <w:spacing w:line="300" w:lineRule="exact"/>
      </w:pPr>
      <w:r>
        <w:fldChar w:fldCharType="begin"/>
      </w:r>
      <w:r>
        <w:instrText xml:space="preserve">Hyperlink \l "_Toc23788763"</w:instrText>
      </w:r>
      <w:r>
        <w:fldChar w:fldCharType="separate"/>
      </w:r>
      <w:r>
        <w:rPr>
          <w:rFonts w:hint="eastAsia" w:ascii="Times New Roman" w:hAnsi="Times New Roman" w:eastAsia="黑体" w:cs="Times New Roman"/>
          <w:bCs/>
          <w:kern w:val="2"/>
          <w:szCs w:val="32"/>
          <w:lang w:val="en-US" w:eastAsia="zh-CN" w:bidi="ar-SA"/>
        </w:rPr>
        <w:t>九、国有资本经营预算支出决算情况说明</w:t>
      </w:r>
      <w:r>
        <w:tab/>
      </w:r>
      <w:r>
        <w:fldChar w:fldCharType="begin"/>
      </w:r>
      <w:r>
        <w:instrText xml:space="preserve">PageRef _Toc23788763 \h</w:instrText>
      </w:r>
      <w:r>
        <w:fldChar w:fldCharType="separate"/>
      </w:r>
      <w:r>
        <w:t>- 10 -</w:t>
      </w:r>
      <w:r>
        <w:fldChar w:fldCharType="end"/>
      </w:r>
      <w:r>
        <w:fldChar w:fldCharType="end"/>
      </w:r>
    </w:p>
    <w:p w14:paraId="2D1D6791">
      <w:pPr>
        <w:pStyle w:val="14"/>
        <w:tabs>
          <w:tab w:val="right" w:leader="dot" w:pos="8306"/>
        </w:tabs>
        <w:spacing w:line="300" w:lineRule="exact"/>
      </w:pPr>
      <w:r>
        <w:fldChar w:fldCharType="begin"/>
      </w:r>
      <w:r>
        <w:instrText xml:space="preserve">Hyperlink \l "_Toc23788764"</w:instrText>
      </w:r>
      <w:r>
        <w:fldChar w:fldCharType="separate"/>
      </w:r>
      <w:r>
        <w:rPr>
          <w:rFonts w:hint="eastAsia" w:ascii="Times New Roman" w:hAnsi="Times New Roman" w:eastAsia="黑体" w:cs="Times New Roman"/>
          <w:bCs/>
          <w:kern w:val="2"/>
          <w:szCs w:val="32"/>
          <w:lang w:val="en-US" w:eastAsia="zh-CN" w:bidi="ar-SA"/>
        </w:rPr>
        <w:t>十、其他重要事项的情况说明</w:t>
      </w:r>
      <w:r>
        <w:tab/>
      </w:r>
      <w:r>
        <w:fldChar w:fldCharType="begin"/>
      </w:r>
      <w:r>
        <w:instrText xml:space="preserve">PageRef _Toc23788764 \h</w:instrText>
      </w:r>
      <w:r>
        <w:fldChar w:fldCharType="separate"/>
      </w:r>
      <w:r>
        <w:t>- 10 -</w:t>
      </w:r>
      <w:r>
        <w:fldChar w:fldCharType="end"/>
      </w:r>
      <w:r>
        <w:fldChar w:fldCharType="end"/>
      </w:r>
    </w:p>
    <w:p w14:paraId="23C6B3F1">
      <w:pPr>
        <w:pStyle w:val="9"/>
        <w:tabs>
          <w:tab w:val="right" w:leader="dot" w:pos="8306"/>
        </w:tabs>
        <w:spacing w:line="300" w:lineRule="exact"/>
      </w:pPr>
      <w:r>
        <w:fldChar w:fldCharType="begin"/>
      </w:r>
      <w:r>
        <w:instrText xml:space="preserve">Hyperlink \l "_Toc23788765"</w:instrText>
      </w:r>
      <w:r>
        <w:fldChar w:fldCharType="separate"/>
      </w:r>
      <w:r>
        <w:rPr>
          <w:rFonts w:hint="eastAsia" w:eastAsia="楷体_GB2312" w:cs="楷体_GB2312"/>
          <w:szCs w:val="32"/>
        </w:rPr>
        <w:t>（一）机关运行经费支出情况</w:t>
      </w:r>
      <w:r>
        <w:tab/>
      </w:r>
      <w:r>
        <w:fldChar w:fldCharType="begin"/>
      </w:r>
      <w:r>
        <w:instrText xml:space="preserve">PageRef _Toc23788765 \h</w:instrText>
      </w:r>
      <w:r>
        <w:fldChar w:fldCharType="separate"/>
      </w:r>
      <w:r>
        <w:t>- 10 -</w:t>
      </w:r>
      <w:r>
        <w:fldChar w:fldCharType="end"/>
      </w:r>
      <w:r>
        <w:fldChar w:fldCharType="end"/>
      </w:r>
    </w:p>
    <w:p w14:paraId="1C1B59B8">
      <w:pPr>
        <w:pStyle w:val="9"/>
        <w:tabs>
          <w:tab w:val="right" w:leader="dot" w:pos="8306"/>
        </w:tabs>
        <w:spacing w:line="300" w:lineRule="exact"/>
      </w:pPr>
      <w:r>
        <w:fldChar w:fldCharType="begin"/>
      </w:r>
      <w:r>
        <w:instrText xml:space="preserve">Hyperlink \l "_Toc23788766"</w:instrText>
      </w:r>
      <w:r>
        <w:fldChar w:fldCharType="separate"/>
      </w:r>
      <w:r>
        <w:rPr>
          <w:rFonts w:hint="eastAsia" w:eastAsia="楷体_GB2312" w:cs="楷体_GB2312"/>
          <w:szCs w:val="32"/>
        </w:rPr>
        <w:t>（二）政府采购支出情况</w:t>
      </w:r>
      <w:r>
        <w:tab/>
      </w:r>
      <w:r>
        <w:fldChar w:fldCharType="begin"/>
      </w:r>
      <w:r>
        <w:instrText xml:space="preserve">PageRef _Toc23788766 \h</w:instrText>
      </w:r>
      <w:r>
        <w:fldChar w:fldCharType="separate"/>
      </w:r>
      <w:r>
        <w:t>- 10 -</w:t>
      </w:r>
      <w:r>
        <w:fldChar w:fldCharType="end"/>
      </w:r>
      <w:r>
        <w:fldChar w:fldCharType="end"/>
      </w:r>
    </w:p>
    <w:p w14:paraId="05761D6C">
      <w:pPr>
        <w:pStyle w:val="9"/>
        <w:tabs>
          <w:tab w:val="right" w:leader="dot" w:pos="8306"/>
        </w:tabs>
        <w:spacing w:line="300" w:lineRule="exact"/>
      </w:pPr>
      <w:r>
        <w:fldChar w:fldCharType="begin"/>
      </w:r>
      <w:r>
        <w:instrText xml:space="preserve">Hyperlink \l "_Toc23788767"</w:instrText>
      </w:r>
      <w:r>
        <w:fldChar w:fldCharType="separate"/>
      </w:r>
      <w:r>
        <w:rPr>
          <w:rFonts w:hint="eastAsia" w:eastAsia="楷体_GB2312" w:cs="楷体_GB2312"/>
          <w:szCs w:val="32"/>
        </w:rPr>
        <w:t>（三）国有资产占有使用情况</w:t>
      </w:r>
      <w:r>
        <w:tab/>
      </w:r>
      <w:r>
        <w:fldChar w:fldCharType="begin"/>
      </w:r>
      <w:r>
        <w:instrText xml:space="preserve">PageRef _Toc23788767 \h</w:instrText>
      </w:r>
      <w:r>
        <w:fldChar w:fldCharType="separate"/>
      </w:r>
      <w:r>
        <w:t>- 10 -</w:t>
      </w:r>
      <w:r>
        <w:fldChar w:fldCharType="end"/>
      </w:r>
      <w:r>
        <w:fldChar w:fldCharType="end"/>
      </w:r>
    </w:p>
    <w:p w14:paraId="66FAD4A3">
      <w:pPr>
        <w:pStyle w:val="13"/>
        <w:tabs>
          <w:tab w:val="right" w:leader="dot" w:pos="8306"/>
        </w:tabs>
        <w:spacing w:line="300" w:lineRule="exact"/>
        <w:jc w:val="center"/>
      </w:pPr>
      <w:r>
        <w:fldChar w:fldCharType="begin"/>
      </w:r>
      <w:r>
        <w:instrText xml:space="preserve">Hyperlink \l "_Toc23788768"</w:instrText>
      </w:r>
      <w:r>
        <w:fldChar w:fldCharType="separate"/>
      </w:r>
      <w:r>
        <w:rPr>
          <w:rFonts w:hint="eastAsia" w:eastAsia="黑体"/>
          <w:szCs w:val="44"/>
        </w:rPr>
        <w:t>第三部分  名词解释</w:t>
      </w:r>
      <w:r>
        <w:tab/>
      </w:r>
      <w:r>
        <w:fldChar w:fldCharType="begin"/>
      </w:r>
      <w:r>
        <w:instrText xml:space="preserve">PageRef _Toc23788768 \h</w:instrText>
      </w:r>
      <w:r>
        <w:fldChar w:fldCharType="separate"/>
      </w:r>
      <w:r>
        <w:t>- 12 -</w:t>
      </w:r>
      <w:r>
        <w:fldChar w:fldCharType="end"/>
      </w:r>
      <w:r>
        <w:fldChar w:fldCharType="end"/>
      </w:r>
    </w:p>
    <w:p w14:paraId="46EDA87D">
      <w:pPr>
        <w:pStyle w:val="13"/>
        <w:adjustRightInd w:val="0"/>
        <w:snapToGrid w:val="0"/>
        <w:spacing w:before="0" w:line="300" w:lineRule="exact"/>
        <w:jc w:val="left"/>
        <w:rPr>
          <w:rFonts w:ascii="Times New Roman" w:hAnsi="Times New Roman" w:eastAsia="黑体" w:cs="黑体"/>
          <w:sz w:val="32"/>
          <w:szCs w:val="32"/>
        </w:rPr>
      </w:pPr>
      <w:r>
        <w:rPr>
          <w:rFonts w:hint="eastAsia" w:ascii="Times New Roman" w:hAnsi="Times New Roman" w:eastAsia="黑体" w:cs="黑体"/>
          <w:sz w:val="32"/>
          <w:szCs w:val="32"/>
        </w:rPr>
        <w:t xml:space="preserve">第四部分 </w:t>
      </w:r>
      <w:r>
        <w:fldChar w:fldCharType="begin"/>
      </w:r>
      <w:r>
        <w:instrText xml:space="preserve">Hyperlink \l "_Toc23788746"</w:instrText>
      </w:r>
      <w:r>
        <w:fldChar w:fldCharType="separate"/>
      </w:r>
      <w:r>
        <w:tab/>
      </w:r>
      <w:r>
        <w:fldChar w:fldCharType="begin"/>
      </w:r>
      <w:r>
        <w:instrText xml:space="preserve">PageRef _Toc23788746 \h</w:instrText>
      </w:r>
      <w:r>
        <w:fldChar w:fldCharType="separate"/>
      </w:r>
      <w:r>
        <w:t>- 4 -</w:t>
      </w:r>
      <w:r>
        <w:fldChar w:fldCharType="end"/>
      </w:r>
      <w:r>
        <w:fldChar w:fldCharType="end"/>
      </w:r>
    </w:p>
    <w:p w14:paraId="62281272">
      <w:pPr>
        <w:pStyle w:val="13"/>
        <w:adjustRightInd w:val="0"/>
        <w:snapToGrid w:val="0"/>
        <w:spacing w:before="0" w:line="30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r>
        <w:fldChar w:fldCharType="begin"/>
      </w:r>
      <w:r>
        <w:instrText xml:space="preserve">Hyperlink \l "_Toc23788746"</w:instrText>
      </w:r>
      <w:r>
        <w:fldChar w:fldCharType="separate"/>
      </w:r>
      <w:r>
        <w:tab/>
      </w:r>
      <w:r>
        <w:fldChar w:fldCharType="begin"/>
      </w:r>
      <w:r>
        <w:instrText xml:space="preserve">PageRef _Toc23788746 \h</w:instrText>
      </w:r>
      <w:r>
        <w:fldChar w:fldCharType="separate"/>
      </w:r>
      <w:r>
        <w:t>- 4 -</w:t>
      </w:r>
      <w:r>
        <w:fldChar w:fldCharType="end"/>
      </w:r>
      <w:r>
        <w:fldChar w:fldCharType="end"/>
      </w:r>
    </w:p>
    <w:p w14:paraId="4C1B63DC">
      <w:pPr>
        <w:pStyle w:val="14"/>
        <w:tabs>
          <w:tab w:val="right" w:leader="dot" w:pos="8306"/>
        </w:tabs>
        <w:spacing w:line="300" w:lineRule="exact"/>
        <w:rPr>
          <w:rFonts w:hint="eastAsia" w:eastAsia="黑体"/>
          <w:bCs/>
          <w:szCs w:val="32"/>
        </w:rPr>
      </w:pPr>
      <w:r>
        <w:rPr>
          <w:rFonts w:hint="eastAsia" w:eastAsia="黑体"/>
          <w:bCs/>
          <w:szCs w:val="32"/>
        </w:rPr>
        <w:t>一、收入支出决算总表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4A0FAE21">
      <w:pPr>
        <w:pStyle w:val="14"/>
        <w:tabs>
          <w:tab w:val="right" w:leader="dot" w:pos="8306"/>
        </w:tabs>
        <w:spacing w:line="300" w:lineRule="exact"/>
        <w:rPr>
          <w:rFonts w:hint="eastAsia" w:eastAsia="黑体"/>
          <w:bCs/>
          <w:szCs w:val="32"/>
        </w:rPr>
      </w:pPr>
      <w:r>
        <w:rPr>
          <w:rFonts w:hint="eastAsia" w:eastAsia="黑体"/>
          <w:bCs/>
          <w:szCs w:val="32"/>
        </w:rPr>
        <w:t>二、收入决算表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22BBAEBF">
      <w:pPr>
        <w:pStyle w:val="14"/>
        <w:tabs>
          <w:tab w:val="right" w:leader="dot" w:pos="8306"/>
        </w:tabs>
        <w:spacing w:line="300" w:lineRule="exact"/>
        <w:rPr>
          <w:rFonts w:hint="eastAsia" w:eastAsia="黑体"/>
          <w:bCs/>
          <w:szCs w:val="32"/>
        </w:rPr>
      </w:pPr>
      <w:r>
        <w:rPr>
          <w:rFonts w:hint="eastAsia" w:eastAsia="黑体"/>
          <w:bCs/>
          <w:szCs w:val="32"/>
        </w:rPr>
        <w:t>三、支出决算表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63F68C64">
      <w:pPr>
        <w:pStyle w:val="14"/>
        <w:tabs>
          <w:tab w:val="right" w:leader="dot" w:pos="8306"/>
        </w:tabs>
        <w:spacing w:line="300" w:lineRule="exact"/>
        <w:rPr>
          <w:rFonts w:hint="eastAsia" w:eastAsia="黑体"/>
          <w:bCs/>
          <w:szCs w:val="32"/>
        </w:rPr>
      </w:pPr>
      <w:r>
        <w:rPr>
          <w:rFonts w:hint="eastAsia" w:eastAsia="黑体"/>
          <w:bCs/>
          <w:szCs w:val="32"/>
        </w:rPr>
        <w:t>四、财政拨款收入支出决算总表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78FA3C8E">
      <w:pPr>
        <w:pStyle w:val="14"/>
        <w:tabs>
          <w:tab w:val="right" w:leader="dot" w:pos="8306"/>
        </w:tabs>
        <w:spacing w:line="300" w:lineRule="exact"/>
        <w:rPr>
          <w:rFonts w:hint="eastAsia" w:eastAsia="黑体"/>
          <w:bCs/>
          <w:szCs w:val="32"/>
        </w:rPr>
      </w:pPr>
      <w:r>
        <w:rPr>
          <w:rFonts w:hint="eastAsia" w:eastAsia="黑体"/>
          <w:bCs/>
          <w:szCs w:val="32"/>
        </w:rPr>
        <w:t>五、财政拨款支出决算明细表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1A6529C3">
      <w:pPr>
        <w:pStyle w:val="14"/>
        <w:tabs>
          <w:tab w:val="right" w:leader="dot" w:pos="8306"/>
        </w:tabs>
        <w:spacing w:line="300" w:lineRule="exact"/>
        <w:rPr>
          <w:rFonts w:hint="eastAsia" w:eastAsia="黑体"/>
          <w:bCs/>
          <w:szCs w:val="32"/>
        </w:rPr>
      </w:pPr>
      <w:r>
        <w:rPr>
          <w:rFonts w:hint="eastAsia" w:eastAsia="黑体"/>
          <w:bCs/>
          <w:szCs w:val="32"/>
        </w:rPr>
        <w:t>六、一般公共预算财政拨款支出决算表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4B84DA82">
      <w:pPr>
        <w:pStyle w:val="14"/>
        <w:tabs>
          <w:tab w:val="right" w:leader="dot" w:pos="8306"/>
        </w:tabs>
        <w:spacing w:line="300" w:lineRule="exact"/>
        <w:rPr>
          <w:rFonts w:hint="eastAsia" w:eastAsia="黑体" w:cs="仿宋_GB2312"/>
          <w:bCs/>
          <w:szCs w:val="32"/>
        </w:rPr>
      </w:pPr>
      <w:r>
        <w:rPr>
          <w:rFonts w:hint="eastAsia" w:eastAsia="黑体" w:cs="仿宋_GB2312"/>
          <w:bCs/>
          <w:szCs w:val="32"/>
        </w:rPr>
        <w:t>七、一般公共预算财政拨款支出决算明细表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74B59AEF">
      <w:pPr>
        <w:pStyle w:val="14"/>
        <w:tabs>
          <w:tab w:val="right" w:leader="dot" w:pos="8306"/>
        </w:tabs>
        <w:spacing w:line="300" w:lineRule="exact"/>
        <w:rPr>
          <w:rFonts w:hint="eastAsia" w:eastAsia="黑体" w:cs="仿宋_GB2312"/>
          <w:bCs/>
          <w:szCs w:val="32"/>
        </w:rPr>
      </w:pPr>
      <w:r>
        <w:rPr>
          <w:rFonts w:hint="eastAsia" w:eastAsia="黑体" w:cs="仿宋_GB2312"/>
          <w:bCs/>
          <w:szCs w:val="32"/>
        </w:rPr>
        <w:t>八、一般公共预算财政拨款基本支出决算明细表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08EAF6FF">
      <w:pPr>
        <w:pStyle w:val="14"/>
        <w:tabs>
          <w:tab w:val="right" w:leader="dot" w:pos="8306"/>
        </w:tabs>
        <w:spacing w:line="300" w:lineRule="exact"/>
        <w:rPr>
          <w:rFonts w:hint="eastAsia" w:eastAsia="黑体" w:cs="仿宋_GB2312"/>
          <w:bCs/>
          <w:szCs w:val="32"/>
        </w:rPr>
      </w:pPr>
      <w:r>
        <w:rPr>
          <w:rFonts w:hint="eastAsia" w:eastAsia="黑体" w:cs="仿宋_GB2312"/>
          <w:bCs/>
          <w:szCs w:val="32"/>
        </w:rPr>
        <w:t>九、一般公共预算财政拨款项目支出决算表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36947C6B">
      <w:pPr>
        <w:pStyle w:val="14"/>
        <w:tabs>
          <w:tab w:val="right" w:leader="dot" w:pos="8306"/>
        </w:tabs>
        <w:spacing w:line="300" w:lineRule="exact"/>
        <w:rPr>
          <w:rFonts w:hint="eastAsia" w:eastAsia="黑体" w:cs="仿宋_GB2312"/>
          <w:bCs/>
          <w:szCs w:val="32"/>
        </w:rPr>
      </w:pPr>
      <w:r>
        <w:rPr>
          <w:rFonts w:hint="eastAsia" w:eastAsia="黑体" w:cs="仿宋_GB2312"/>
          <w:bCs/>
          <w:szCs w:val="32"/>
        </w:rPr>
        <w:t>十、政府性基金预算财政拨款收入支出决算表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23DC8817">
      <w:pPr>
        <w:pStyle w:val="14"/>
        <w:tabs>
          <w:tab w:val="right" w:leader="dot" w:pos="8306"/>
        </w:tabs>
        <w:spacing w:line="300" w:lineRule="exact"/>
        <w:rPr>
          <w:rFonts w:hint="eastAsia" w:eastAsia="黑体" w:cs="仿宋_GB2312"/>
          <w:bCs/>
          <w:szCs w:val="32"/>
        </w:rPr>
      </w:pPr>
      <w:r>
        <w:rPr>
          <w:rFonts w:hint="eastAsia" w:eastAsia="黑体" w:cs="仿宋_GB2312"/>
          <w:bCs/>
          <w:szCs w:val="32"/>
        </w:rPr>
        <w:t>十一、国有资本经营预算财政拨款收入支出决算表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1A47E056">
      <w:pPr>
        <w:pStyle w:val="14"/>
        <w:tabs>
          <w:tab w:val="right" w:leader="dot" w:pos="8306"/>
        </w:tabs>
        <w:spacing w:line="300" w:lineRule="exact"/>
        <w:rPr>
          <w:rFonts w:hint="eastAsia" w:eastAsia="黑体" w:cs="仿宋_GB2312"/>
          <w:bCs/>
          <w:szCs w:val="32"/>
        </w:rPr>
      </w:pPr>
      <w:r>
        <w:rPr>
          <w:rFonts w:hint="eastAsia" w:eastAsia="黑体" w:cs="仿宋_GB2312"/>
          <w:bCs/>
          <w:szCs w:val="32"/>
        </w:rPr>
        <w:t>十二、国有资本经营预算财政拨款支出决算表</w:t>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- 4 -</w:t>
      </w:r>
      <w:r>
        <w:fldChar w:fldCharType="end"/>
      </w:r>
      <w:r>
        <w:fldChar w:fldCharType="end"/>
      </w:r>
    </w:p>
    <w:p w14:paraId="54CAB758">
      <w:pPr>
        <w:pStyle w:val="14"/>
        <w:tabs>
          <w:tab w:val="right" w:leader="dot" w:pos="8306"/>
        </w:tabs>
        <w:spacing w:line="300" w:lineRule="exact"/>
        <w:rPr>
          <w:rFonts w:eastAsia="仿宋_GB2312" w:cs="仿宋_GB2312"/>
          <w:bCs/>
          <w:kern w:val="44"/>
          <w:sz w:val="32"/>
          <w:szCs w:val="32"/>
        </w:rPr>
      </w:pPr>
      <w:r>
        <w:rPr>
          <w:rFonts w:hint="eastAsia" w:eastAsia="黑体" w:cs="仿宋_GB2312"/>
          <w:bCs/>
          <w:szCs w:val="32"/>
        </w:rPr>
        <w:t>十三、财政拨款“三公”经费支出决算表</w:t>
      </w:r>
      <w:r>
        <w:rPr>
          <w:rFonts w:eastAsia="仿宋_GB2312" w:cs="仿宋_GB2312"/>
          <w:b/>
          <w:sz w:val="32"/>
          <w:szCs w:val="32"/>
        </w:rPr>
        <w:fldChar w:fldCharType="end"/>
      </w:r>
      <w:r>
        <w:fldChar w:fldCharType="begin"/>
      </w:r>
      <w:r>
        <w:instrText xml:space="preserve">HYPERLINK  \l "_Toc23788749"</w:instrText>
      </w:r>
      <w:r>
        <w:fldChar w:fldCharType="separate"/>
      </w:r>
      <w:r>
        <w:tab/>
      </w:r>
      <w:r>
        <w:fldChar w:fldCharType="begin"/>
      </w:r>
      <w:r>
        <w:instrText xml:space="preserve">PageRef _Toc23788749 \h</w:instrText>
      </w:r>
      <w:r>
        <w:fldChar w:fldCharType="separate"/>
      </w:r>
      <w:r>
        <w:t>- 24 -</w:t>
      </w:r>
      <w:r>
        <w:fldChar w:fldCharType="end"/>
      </w:r>
      <w:r>
        <w:fldChar w:fldCharType="end"/>
      </w:r>
    </w:p>
    <w:p w14:paraId="5D492C32">
      <w:pPr>
        <w:rPr>
          <w:rFonts w:eastAsia="方正小标宋简体" w:cs="方正小标宋简体"/>
          <w:b w:val="0"/>
        </w:rPr>
      </w:pPr>
      <w:bookmarkStart w:id="8" w:name="_Toc23788743"/>
      <w:r>
        <w:rPr>
          <w:rFonts w:eastAsia="方正小标宋简体" w:cs="方正小标宋简体"/>
          <w:b w:val="0"/>
        </w:rPr>
        <w:br w:type="page"/>
      </w:r>
    </w:p>
    <w:p w14:paraId="62BEDFE7">
      <w:pPr>
        <w:pStyle w:val="5"/>
        <w:spacing w:line="576" w:lineRule="exact"/>
        <w:jc w:val="center"/>
        <w:rPr>
          <w:rStyle w:val="19"/>
          <w:rFonts w:eastAsia="方正小标宋简体" w:cs="方正小标宋简体"/>
          <w:b/>
          <w:bCs w:val="0"/>
        </w:rPr>
      </w:pPr>
      <w:r>
        <w:rPr>
          <w:rStyle w:val="19"/>
          <w:rFonts w:hint="eastAsia" w:eastAsia="方正小标宋简体" w:cs="方正小标宋简体"/>
          <w:b w:val="0"/>
          <w:bCs w:val="0"/>
        </w:rPr>
        <w:t>第一部分  单位概况</w:t>
      </w:r>
      <w:bookmarkEnd w:id="6"/>
      <w:bookmarkEnd w:id="7"/>
      <w:bookmarkEnd w:id="8"/>
    </w:p>
    <w:p w14:paraId="0D898628">
      <w:pPr>
        <w:widowControl/>
        <w:spacing w:line="576" w:lineRule="exact"/>
        <w:jc w:val="left"/>
        <w:rPr>
          <w:rFonts w:eastAsia="黑体"/>
          <w:sz w:val="32"/>
          <w:szCs w:val="32"/>
        </w:rPr>
      </w:pPr>
    </w:p>
    <w:p w14:paraId="3F5084F0">
      <w:pPr>
        <w:spacing w:line="576" w:lineRule="exact"/>
        <w:ind w:firstLine="643" w:firstLineChars="200"/>
        <w:rPr>
          <w:rStyle w:val="20"/>
          <w:rFonts w:hint="eastAsia" w:ascii="Times New Roman" w:hAnsi="Times New Roman" w:eastAsia="黑体"/>
        </w:rPr>
      </w:pPr>
      <w:bookmarkStart w:id="9" w:name="_Toc15377197"/>
      <w:bookmarkEnd w:id="9"/>
      <w:bookmarkStart w:id="10" w:name="_Toc15396600"/>
      <w:bookmarkEnd w:id="10"/>
      <w:bookmarkStart w:id="11" w:name="_Toc23788744"/>
      <w:r>
        <w:rPr>
          <w:rStyle w:val="20"/>
          <w:rFonts w:ascii="Times New Roman" w:hAnsi="Times New Roman" w:eastAsia="黑体"/>
        </w:rPr>
        <w:t>一、</w:t>
      </w:r>
      <w:r>
        <w:rPr>
          <w:rStyle w:val="20"/>
          <w:rFonts w:hint="eastAsia" w:ascii="Times New Roman" w:hAnsi="Times New Roman" w:eastAsia="黑体"/>
        </w:rPr>
        <w:t>部门职责</w:t>
      </w:r>
    </w:p>
    <w:bookmarkEnd w:id="11"/>
    <w:p w14:paraId="5D0B6ECF">
      <w:pPr>
        <w:spacing w:line="576"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一是负责中央、省委、州委重大决策部署贯彻落实的协调、督促、检查，中央、省委、州委领导同志批示的传达和督办。二是负责州委会议、重大活动的准备和实施，州委领导活动的协调安排，州委各类文稿的撰写、修改和印制。三是围绕省委和州委的工作部署，综合调研、收集信息、反映动态，为州委决策提供参考建议。四是负责上级公文的承办和州委文件的草拟、印制、分发、管理等工作。五是负责全州党内法规工作，督促指导全州党内规范性文件的制定、审查、报备等工作。六是承担州委值班工作，负责全州党委办公室系统值班指导，对突出事件紧急情况跟踪了解、协调处理。七是负责州委与民主党派中央、民主党派四川省委之间战略合作事项的协调、落实。八是负责并协调州委办公室办公区、生活区的社会治安综合治理和安全防范。九是负责党中央路线方针政策和省委重大决策部署及重要工作安排落实情况的督促检查。十是负责贯彻执行《中华人民共和国档案法》等相关法律法规。十一是承办州委交办的其他任务。</w:t>
      </w:r>
      <w:bookmarkStart w:id="12" w:name="_Toc15377200"/>
      <w:bookmarkStart w:id="13" w:name="_Toc15396601"/>
    </w:p>
    <w:p w14:paraId="2460CCA1">
      <w:pPr>
        <w:spacing w:line="576" w:lineRule="exact"/>
        <w:ind w:firstLine="643" w:firstLineChars="200"/>
        <w:rPr>
          <w:rStyle w:val="20"/>
          <w:rFonts w:hint="eastAsia" w:ascii="Times New Roman" w:hAnsi="Times New Roman" w:eastAsia="黑体"/>
        </w:rPr>
      </w:pPr>
      <w:bookmarkStart w:id="14" w:name="_Toc23788745"/>
      <w:r>
        <w:rPr>
          <w:rStyle w:val="20"/>
          <w:rFonts w:hint="eastAsia" w:ascii="Times New Roman" w:hAnsi="Times New Roman" w:eastAsia="黑体"/>
        </w:rPr>
        <w:t>二、机构设置</w:t>
      </w:r>
      <w:bookmarkEnd w:id="12"/>
      <w:bookmarkEnd w:id="13"/>
    </w:p>
    <w:bookmarkEnd w:id="14"/>
    <w:p w14:paraId="35A865E8">
      <w:pPr>
        <w:widowControl/>
        <w:spacing w:line="576" w:lineRule="exact"/>
        <w:ind w:firstLine="640" w:firstLineChars="200"/>
        <w:jc w:val="left"/>
        <w:rPr>
          <w:rFonts w:ascii="Times New Roman" w:hAnsi="Times New Roman" w:eastAsia="方正仿宋_GBK"/>
          <w:sz w:val="32"/>
          <w:szCs w:val="32"/>
        </w:rPr>
      </w:pPr>
      <w:r>
        <w:rPr>
          <w:rFonts w:ascii="Times New Roman" w:hAnsi="Times New Roman" w:eastAsia="方正仿宋_GBK"/>
          <w:sz w:val="32"/>
          <w:szCs w:val="32"/>
        </w:rPr>
        <w:t>州委办公室设下列内设机构：州委常委办、州委信息办、州委督查室、州委总值班室、综合调研科、秘书一科、秘书二科、秘书三科、秘书四科、法规科、档案监督管理科、人事行财科、机关党委。</w:t>
      </w:r>
    </w:p>
    <w:p w14:paraId="28E630EF">
      <w:pPr>
        <w:widowControl/>
        <w:spacing w:line="576" w:lineRule="exact"/>
        <w:ind w:firstLine="640" w:firstLineChars="200"/>
        <w:jc w:val="left"/>
        <w:rPr>
          <w:rFonts w:eastAsia="仿宋"/>
          <w:kern w:val="0"/>
          <w:sz w:val="32"/>
          <w:szCs w:val="32"/>
        </w:rPr>
      </w:pPr>
      <w:r>
        <w:rPr>
          <w:rFonts w:eastAsia="仿宋"/>
          <w:sz w:val="32"/>
          <w:szCs w:val="32"/>
        </w:rPr>
        <w:t>部分项目支出涉密，不作公开。</w:t>
      </w:r>
      <w:r>
        <w:rPr>
          <w:rFonts w:eastAsia="仿宋"/>
          <w:sz w:val="32"/>
          <w:szCs w:val="32"/>
        </w:rPr>
        <w:br w:type="page"/>
      </w:r>
    </w:p>
    <w:p w14:paraId="36C3A2CF">
      <w:pPr>
        <w:pStyle w:val="5"/>
        <w:spacing w:line="576" w:lineRule="exact"/>
        <w:jc w:val="center"/>
        <w:rPr>
          <w:rFonts w:eastAsia="方正小标宋简体" w:cs="方正小标宋简体"/>
          <w:b w:val="0"/>
        </w:rPr>
      </w:pPr>
      <w:bookmarkStart w:id="15" w:name="_Toc23788746"/>
      <w:bookmarkStart w:id="16" w:name="_Toc15377204"/>
      <w:bookmarkStart w:id="17" w:name="_Toc15396602"/>
      <w:r>
        <w:rPr>
          <w:rFonts w:hint="eastAsia" w:eastAsia="方正小标宋简体" w:cs="方正小标宋简体"/>
          <w:b w:val="0"/>
        </w:rPr>
        <w:t>第二部分  202</w:t>
      </w:r>
      <w:r>
        <w:rPr>
          <w:rFonts w:eastAsia="方正小标宋简体" w:cs="方正小标宋简体"/>
          <w:b w:val="0"/>
        </w:rPr>
        <w:t>5</w:t>
      </w:r>
      <w:r>
        <w:rPr>
          <w:rFonts w:hint="eastAsia" w:eastAsia="方正小标宋简体" w:cs="方正小标宋简体"/>
          <w:b w:val="0"/>
        </w:rPr>
        <w:t>年度</w:t>
      </w:r>
      <w:r>
        <w:rPr>
          <w:rFonts w:eastAsia="方正小标宋简体" w:cs="方正小标宋简体"/>
          <w:b w:val="0"/>
        </w:rPr>
        <w:t>单位</w:t>
      </w:r>
      <w:r>
        <w:rPr>
          <w:rFonts w:hint="eastAsia" w:eastAsia="方正小标宋简体" w:cs="方正小标宋简体"/>
          <w:b w:val="0"/>
        </w:rPr>
        <w:t>决算情况说明</w:t>
      </w:r>
      <w:bookmarkEnd w:id="15"/>
      <w:bookmarkEnd w:id="16"/>
      <w:bookmarkEnd w:id="17"/>
    </w:p>
    <w:p w14:paraId="70898C31">
      <w:pPr>
        <w:spacing w:line="576" w:lineRule="exact"/>
      </w:pPr>
    </w:p>
    <w:p w14:paraId="1736DA62">
      <w:pPr>
        <w:pStyle w:val="26"/>
        <w:spacing w:line="576" w:lineRule="exact"/>
        <w:outlineLvl w:val="1"/>
        <w:rPr>
          <w:rStyle w:val="20"/>
          <w:rFonts w:ascii="Times New Roman" w:hAnsi="Times New Roman" w:eastAsia="黑体"/>
          <w:b w:val="0"/>
        </w:rPr>
      </w:pPr>
      <w:bookmarkStart w:id="18" w:name="_Toc23788747"/>
      <w:bookmarkStart w:id="19" w:name="_Toc15377205"/>
      <w:bookmarkStart w:id="20" w:name="_Toc15396603"/>
      <w:r>
        <w:rPr>
          <w:rFonts w:hint="eastAsia" w:eastAsia="黑体"/>
          <w:sz w:val="32"/>
          <w:szCs w:val="32"/>
        </w:rPr>
        <w:t>一、收</w:t>
      </w:r>
      <w:r>
        <w:rPr>
          <w:rStyle w:val="20"/>
          <w:rFonts w:hint="eastAsia" w:ascii="Times New Roman" w:hAnsi="Times New Roman" w:eastAsia="黑体"/>
          <w:b w:val="0"/>
        </w:rPr>
        <w:t>入支出决算总体情况说明</w:t>
      </w:r>
      <w:bookmarkEnd w:id="18"/>
      <w:bookmarkEnd w:id="19"/>
      <w:bookmarkEnd w:id="20"/>
    </w:p>
    <w:p w14:paraId="347148AA">
      <w:pPr>
        <w:pStyle w:val="26"/>
        <w:spacing w:line="576" w:lineRule="exact"/>
        <w:outlineLvl w:val="1"/>
        <w:rPr>
          <w:rFonts w:eastAsia="仿宋_GB2312" w:cs="仿宋_GB2312"/>
          <w:sz w:val="32"/>
          <w:szCs w:val="32"/>
        </w:rPr>
      </w:pPr>
      <w:bookmarkStart w:id="21" w:name="_Toc23788748"/>
      <w:r>
        <w:drawing>
          <wp:anchor distT="0" distB="0" distL="84455" distR="84455" simplePos="0" relativeHeight="251659264" behindDoc="0" locked="0" layoutInCell="1" allowOverlap="1">
            <wp:simplePos x="0" y="0"/>
            <wp:positionH relativeFrom="column">
              <wp:posOffset>622300</wp:posOffset>
            </wp:positionH>
            <wp:positionV relativeFrom="paragraph">
              <wp:posOffset>1453515</wp:posOffset>
            </wp:positionV>
            <wp:extent cx="4124325" cy="1885950"/>
            <wp:effectExtent l="0" t="0" r="0" b="0"/>
            <wp:wrapNone/>
            <wp:docPr id="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sz w:val="32"/>
          <w:szCs w:val="32"/>
        </w:rPr>
        <w:t>2025年度收入、支出总计均为</w:t>
      </w:r>
      <w:r>
        <w:rPr>
          <w:rFonts w:eastAsia="仿宋_GB2312" w:cs="仿宋_GB2312"/>
          <w:sz w:val="32"/>
          <w:szCs w:val="32"/>
        </w:rPr>
        <w:t>2801.22</w:t>
      </w:r>
      <w:r>
        <w:rPr>
          <w:rFonts w:hint="eastAsia" w:eastAsia="仿宋_GB2312" w:cs="仿宋_GB2312"/>
          <w:sz w:val="32"/>
          <w:szCs w:val="32"/>
        </w:rPr>
        <w:t>万元。与2024年度相比，收入、支出总计各</w:t>
      </w:r>
      <w:r>
        <w:rPr>
          <w:rFonts w:eastAsia="仿宋_GB2312" w:cs="仿宋_GB2312"/>
          <w:sz w:val="32"/>
          <w:szCs w:val="32"/>
        </w:rPr>
        <w:t>减少94.54</w:t>
      </w:r>
      <w:r>
        <w:rPr>
          <w:rFonts w:hint="eastAsia" w:eastAsia="仿宋_GB2312" w:cs="仿宋_GB2312"/>
          <w:sz w:val="32"/>
          <w:szCs w:val="32"/>
        </w:rPr>
        <w:t>万元，</w:t>
      </w:r>
      <w:r>
        <w:rPr>
          <w:rFonts w:eastAsia="仿宋_GB2312" w:cs="仿宋_GB2312"/>
          <w:sz w:val="32"/>
          <w:szCs w:val="32"/>
        </w:rPr>
        <w:t>下降3.38</w:t>
      </w:r>
      <w:r>
        <w:rPr>
          <w:rFonts w:hint="eastAsia" w:eastAsia="仿宋_GB2312" w:cs="仿宋_GB2312"/>
          <w:sz w:val="32"/>
          <w:szCs w:val="32"/>
        </w:rPr>
        <w:t>%。主要变动原因是</w:t>
      </w:r>
      <w:r>
        <w:rPr>
          <w:rFonts w:eastAsia="仿宋_GB2312" w:cs="仿宋_GB2312"/>
          <w:sz w:val="32"/>
          <w:szCs w:val="32"/>
        </w:rPr>
        <w:t>落实过紧日子要求，压减一般性公用经费，经费支出较上年</w:t>
      </w:r>
      <w:bookmarkEnd w:id="21"/>
      <w:r>
        <w:rPr>
          <w:rFonts w:eastAsia="仿宋_GB2312" w:cs="仿宋_GB2312"/>
          <w:sz w:val="32"/>
          <w:szCs w:val="32"/>
        </w:rPr>
        <w:t>减少。</w:t>
      </w:r>
    </w:p>
    <w:p w14:paraId="5C15FBB2">
      <w:pPr>
        <w:pStyle w:val="26"/>
        <w:spacing w:line="576" w:lineRule="exact"/>
        <w:jc w:val="center"/>
        <w:outlineLvl w:val="1"/>
      </w:pPr>
    </w:p>
    <w:p w14:paraId="615B0D55">
      <w:pPr>
        <w:pStyle w:val="26"/>
        <w:spacing w:line="576" w:lineRule="exact"/>
        <w:jc w:val="center"/>
        <w:outlineLvl w:val="1"/>
      </w:pPr>
    </w:p>
    <w:p w14:paraId="23DF97AB">
      <w:pPr>
        <w:pStyle w:val="26"/>
        <w:spacing w:line="576" w:lineRule="exact"/>
        <w:jc w:val="center"/>
        <w:outlineLvl w:val="1"/>
      </w:pPr>
    </w:p>
    <w:p w14:paraId="6BCDD4C7">
      <w:pPr>
        <w:pStyle w:val="26"/>
        <w:spacing w:line="576" w:lineRule="exact"/>
        <w:jc w:val="center"/>
        <w:outlineLvl w:val="1"/>
      </w:pPr>
    </w:p>
    <w:p w14:paraId="522B9B09">
      <w:pPr>
        <w:pStyle w:val="26"/>
        <w:spacing w:line="576" w:lineRule="exact"/>
        <w:jc w:val="center"/>
        <w:outlineLvl w:val="1"/>
      </w:pPr>
    </w:p>
    <w:p w14:paraId="1E8196C5">
      <w:pPr>
        <w:spacing w:line="576" w:lineRule="exact"/>
        <w:ind w:firstLine="640" w:firstLineChars="200"/>
        <w:jc w:val="center"/>
        <w:rPr>
          <w:rFonts w:eastAsia="仿宋_GB2312" w:cs="仿宋_GB2312"/>
          <w:sz w:val="32"/>
          <w:szCs w:val="32"/>
        </w:rPr>
      </w:pPr>
      <w:r>
        <w:rPr>
          <w:rFonts w:hint="eastAsia" w:eastAsia="仿宋_GB2312" w:cs="仿宋_GB2312"/>
          <w:sz w:val="32"/>
          <w:szCs w:val="32"/>
        </w:rPr>
        <w:t>（图1：收入、支出决算总计变动情况图）</w:t>
      </w:r>
    </w:p>
    <w:p w14:paraId="5486C6FB">
      <w:pPr>
        <w:pStyle w:val="26"/>
        <w:spacing w:line="576" w:lineRule="exact"/>
        <w:outlineLvl w:val="1"/>
        <w:rPr>
          <w:rFonts w:eastAsia="黑体"/>
          <w:sz w:val="32"/>
          <w:szCs w:val="32"/>
        </w:rPr>
      </w:pPr>
      <w:bookmarkStart w:id="22" w:name="_Toc23788749"/>
      <w:bookmarkStart w:id="23" w:name="_Toc15396604"/>
      <w:bookmarkStart w:id="24" w:name="_Toc15377206"/>
      <w:r>
        <w:rPr>
          <w:rFonts w:hint="eastAsia" w:eastAsia="黑体"/>
          <w:sz w:val="32"/>
          <w:szCs w:val="32"/>
        </w:rPr>
        <w:t>二、收入决算情况说明</w:t>
      </w:r>
      <w:bookmarkEnd w:id="22"/>
      <w:bookmarkEnd w:id="23"/>
      <w:bookmarkEnd w:id="24"/>
    </w:p>
    <w:p w14:paraId="6AEAFEF2">
      <w:pPr>
        <w:pStyle w:val="26"/>
        <w:spacing w:line="576" w:lineRule="exact"/>
        <w:jc w:val="left"/>
        <w:outlineLvl w:val="1"/>
        <w:rPr>
          <w:rFonts w:ascii="仿宋_GB2312" w:eastAsia="仿宋_GB2312" w:cs="仿宋_GB2312"/>
          <w:sz w:val="32"/>
          <w:szCs w:val="32"/>
        </w:rPr>
      </w:pPr>
      <w:bookmarkStart w:id="25" w:name="_Toc23788750"/>
      <w:r>
        <w:rPr>
          <w:rFonts w:hint="eastAsia" w:ascii="仿宋_GB2312" w:eastAsia="仿宋_GB2312" w:cs="仿宋_GB2312"/>
          <w:sz w:val="32"/>
          <w:szCs w:val="32"/>
        </w:rPr>
        <w:t>2025年度收入合计</w:t>
      </w:r>
      <w:r>
        <w:rPr>
          <w:rFonts w:eastAsia="仿宋_GB2312" w:cs="仿宋_GB2312"/>
          <w:sz w:val="32"/>
          <w:szCs w:val="32"/>
        </w:rPr>
        <w:t>2801.22</w:t>
      </w:r>
      <w:r>
        <w:rPr>
          <w:rFonts w:hint="eastAsia" w:ascii="仿宋_GB2312" w:eastAsia="仿宋_GB2312" w:cs="仿宋_GB2312"/>
          <w:sz w:val="32"/>
          <w:szCs w:val="32"/>
        </w:rPr>
        <w:t>万元，其中：一般公共预算财政拨款收入</w:t>
      </w:r>
      <w:r>
        <w:rPr>
          <w:rFonts w:eastAsia="仿宋_GB2312" w:cs="仿宋_GB2312"/>
          <w:sz w:val="32"/>
          <w:szCs w:val="32"/>
        </w:rPr>
        <w:t>2801.22</w:t>
      </w:r>
      <w:r>
        <w:rPr>
          <w:rFonts w:hint="eastAsia" w:ascii="仿宋_GB2312" w:eastAsia="仿宋_GB2312" w:cs="仿宋_GB2312"/>
          <w:sz w:val="32"/>
          <w:szCs w:val="32"/>
        </w:rPr>
        <w:t>万元，占</w:t>
      </w:r>
      <w:r>
        <w:rPr>
          <w:rFonts w:ascii="仿宋_GB2312" w:eastAsia="仿宋_GB2312" w:cs="仿宋_GB2312"/>
          <w:sz w:val="32"/>
          <w:szCs w:val="32"/>
        </w:rPr>
        <w:t>100</w:t>
      </w:r>
      <w:r>
        <w:rPr>
          <w:rFonts w:hint="eastAsia" w:ascii="仿宋_GB2312" w:eastAsia="仿宋_GB2312" w:cs="仿宋_GB2312"/>
          <w:sz w:val="32"/>
          <w:szCs w:val="32"/>
        </w:rPr>
        <w:t>%</w:t>
      </w:r>
      <w:r>
        <w:rPr>
          <w:rFonts w:ascii="仿宋_GB2312" w:eastAsia="仿宋_GB2312" w:cs="仿宋_GB2312"/>
          <w:sz w:val="32"/>
          <w:szCs w:val="32"/>
        </w:rPr>
        <w:t>。</w:t>
      </w:r>
      <w:bookmarkEnd w:id="25"/>
    </w:p>
    <w:p w14:paraId="505365C1">
      <w:pPr>
        <w:pStyle w:val="26"/>
        <w:spacing w:line="576" w:lineRule="exact"/>
        <w:ind w:left="0" w:firstLine="0" w:firstLineChars="0"/>
        <w:jc w:val="left"/>
        <w:outlineLvl w:val="1"/>
        <w:rPr>
          <w:rFonts w:ascii="仿宋_GB2312" w:eastAsia="仿宋_GB2312" w:cs="仿宋_GB2312"/>
          <w:sz w:val="32"/>
          <w:szCs w:val="32"/>
        </w:rPr>
      </w:pPr>
    </w:p>
    <w:p w14:paraId="711CD676">
      <w:pPr>
        <w:pStyle w:val="26"/>
        <w:spacing w:line="576" w:lineRule="exact"/>
        <w:ind w:left="0" w:firstLine="0" w:firstLineChars="0"/>
        <w:jc w:val="left"/>
        <w:outlineLvl w:val="1"/>
        <w:rPr>
          <w:rFonts w:ascii="仿宋_GB2312" w:eastAsia="仿宋_GB2312" w:cs="仿宋_GB2312"/>
          <w:sz w:val="32"/>
          <w:szCs w:val="32"/>
        </w:rPr>
      </w:pPr>
    </w:p>
    <w:p w14:paraId="217A231A">
      <w:pPr>
        <w:pStyle w:val="26"/>
        <w:spacing w:line="576" w:lineRule="exact"/>
        <w:ind w:left="0" w:firstLine="0" w:firstLineChars="0"/>
        <w:jc w:val="left"/>
        <w:outlineLvl w:val="1"/>
        <w:rPr>
          <w:rFonts w:ascii="仿宋_GB2312" w:eastAsia="仿宋_GB2312" w:cs="仿宋_GB2312"/>
          <w:sz w:val="32"/>
          <w:szCs w:val="32"/>
        </w:rPr>
      </w:pPr>
    </w:p>
    <w:p w14:paraId="5E39A03A">
      <w:pPr>
        <w:pStyle w:val="26"/>
        <w:spacing w:line="576" w:lineRule="exact"/>
        <w:ind w:left="0" w:firstLine="0" w:firstLineChars="0"/>
        <w:jc w:val="left"/>
        <w:outlineLvl w:val="1"/>
        <w:rPr>
          <w:rFonts w:ascii="仿宋_GB2312" w:eastAsia="仿宋_GB2312" w:cs="仿宋_GB2312"/>
          <w:sz w:val="32"/>
          <w:szCs w:val="32"/>
        </w:rPr>
      </w:pPr>
    </w:p>
    <w:p w14:paraId="5AB5BB81">
      <w:pPr>
        <w:pStyle w:val="26"/>
        <w:spacing w:line="576" w:lineRule="exact"/>
        <w:jc w:val="center"/>
        <w:outlineLvl w:val="1"/>
      </w:pPr>
      <w:r>
        <w:drawing>
          <wp:anchor distT="0" distB="0" distL="84455" distR="84455" simplePos="0" relativeHeight="251659264" behindDoc="0" locked="0" layoutInCell="1" allowOverlap="1">
            <wp:simplePos x="0" y="0"/>
            <wp:positionH relativeFrom="column">
              <wp:posOffset>708025</wp:posOffset>
            </wp:positionH>
            <wp:positionV relativeFrom="paragraph">
              <wp:posOffset>-1443355</wp:posOffset>
            </wp:positionV>
            <wp:extent cx="4124325" cy="1809750"/>
            <wp:effectExtent l="0" t="0" r="0" b="0"/>
            <wp:wrapNone/>
            <wp:docPr id="2"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30675225">
      <w:pPr>
        <w:spacing w:line="576" w:lineRule="exact"/>
        <w:ind w:firstLine="800" w:firstLineChars="250"/>
        <w:jc w:val="center"/>
        <w:rPr>
          <w:rFonts w:eastAsia="仿宋_GB2312" w:cs="仿宋_GB2312"/>
          <w:sz w:val="32"/>
          <w:szCs w:val="32"/>
        </w:rPr>
      </w:pPr>
      <w:r>
        <w:rPr>
          <w:rFonts w:hint="eastAsia" w:eastAsia="仿宋_GB2312" w:cs="仿宋_GB2312"/>
          <w:sz w:val="32"/>
          <w:szCs w:val="32"/>
        </w:rPr>
        <w:t>（图2：收入决算结构图）</w:t>
      </w:r>
    </w:p>
    <w:p w14:paraId="20152806">
      <w:pPr>
        <w:pStyle w:val="26"/>
        <w:spacing w:line="576" w:lineRule="exact"/>
        <w:outlineLvl w:val="1"/>
        <w:rPr>
          <w:rStyle w:val="20"/>
          <w:rFonts w:ascii="Times New Roman" w:hAnsi="Times New Roman" w:eastAsia="黑体"/>
          <w:b w:val="0"/>
        </w:rPr>
      </w:pPr>
      <w:bookmarkStart w:id="26" w:name="_Toc15396605"/>
      <w:bookmarkStart w:id="27" w:name="_Toc23788751"/>
      <w:bookmarkStart w:id="28" w:name="_Toc15377207"/>
      <w:r>
        <w:rPr>
          <w:rFonts w:hint="eastAsia" w:eastAsia="黑体"/>
          <w:sz w:val="32"/>
          <w:szCs w:val="32"/>
        </w:rPr>
        <w:t>三、支</w:t>
      </w:r>
      <w:r>
        <w:rPr>
          <w:rStyle w:val="20"/>
          <w:rFonts w:hint="eastAsia" w:ascii="Times New Roman" w:hAnsi="Times New Roman" w:eastAsia="黑体"/>
          <w:b w:val="0"/>
        </w:rPr>
        <w:t>出决算情况说明</w:t>
      </w:r>
      <w:bookmarkEnd w:id="26"/>
      <w:bookmarkEnd w:id="27"/>
      <w:bookmarkEnd w:id="28"/>
    </w:p>
    <w:p w14:paraId="411C765B">
      <w:pPr>
        <w:pStyle w:val="26"/>
        <w:spacing w:line="576" w:lineRule="exact"/>
        <w:jc w:val="left"/>
        <w:outlineLvl w:val="1"/>
        <w:rPr>
          <w:rFonts w:ascii="仿宋_GB2312" w:eastAsia="仿宋_GB2312" w:cs="仿宋_GB2312"/>
          <w:sz w:val="32"/>
          <w:szCs w:val="32"/>
        </w:rPr>
      </w:pPr>
      <w:bookmarkStart w:id="29" w:name="_Toc23788752"/>
      <w:r>
        <w:rPr>
          <w:rFonts w:hint="eastAsia" w:ascii="仿宋_GB2312" w:eastAsia="仿宋_GB2312" w:cs="仿宋_GB2312"/>
          <w:sz w:val="32"/>
          <w:szCs w:val="32"/>
        </w:rPr>
        <w:t>2025年度支出合计</w:t>
      </w:r>
      <w:r>
        <w:rPr>
          <w:rFonts w:eastAsia="仿宋_GB2312" w:cs="仿宋_GB2312"/>
          <w:sz w:val="32"/>
          <w:szCs w:val="32"/>
        </w:rPr>
        <w:t>2801.22</w:t>
      </w:r>
      <w:r>
        <w:rPr>
          <w:rFonts w:hint="eastAsia" w:ascii="仿宋_GB2312" w:eastAsia="仿宋_GB2312" w:cs="仿宋_GB2312"/>
          <w:sz w:val="32"/>
          <w:szCs w:val="32"/>
        </w:rPr>
        <w:t>万元，其中：基本支出</w:t>
      </w:r>
      <w:r>
        <w:rPr>
          <w:rFonts w:ascii="仿宋_GB2312" w:eastAsia="仿宋_GB2312" w:cs="仿宋_GB2312"/>
          <w:sz w:val="32"/>
          <w:szCs w:val="32"/>
        </w:rPr>
        <w:t>2590.52</w:t>
      </w:r>
      <w:r>
        <w:rPr>
          <w:rFonts w:hint="eastAsia" w:ascii="仿宋_GB2312" w:eastAsia="仿宋_GB2312" w:cs="仿宋_GB2312"/>
          <w:sz w:val="32"/>
          <w:szCs w:val="32"/>
        </w:rPr>
        <w:t>万元，占</w:t>
      </w:r>
      <w:r>
        <w:rPr>
          <w:rFonts w:ascii="仿宋_GB2312" w:eastAsia="仿宋_GB2312" w:cs="仿宋_GB2312"/>
          <w:sz w:val="32"/>
          <w:szCs w:val="32"/>
        </w:rPr>
        <w:t>92.48</w:t>
      </w:r>
      <w:r>
        <w:rPr>
          <w:rFonts w:hint="eastAsia" w:ascii="仿宋_GB2312" w:eastAsia="仿宋_GB2312" w:cs="仿宋_GB2312"/>
          <w:sz w:val="32"/>
          <w:szCs w:val="32"/>
        </w:rPr>
        <w:t>%；项目支出</w:t>
      </w:r>
      <w:r>
        <w:rPr>
          <w:rFonts w:ascii="仿宋_GB2312" w:eastAsia="仿宋_GB2312" w:cs="仿宋_GB2312"/>
          <w:sz w:val="32"/>
          <w:szCs w:val="32"/>
        </w:rPr>
        <w:t>210.7</w:t>
      </w:r>
      <w:r>
        <w:rPr>
          <w:rFonts w:hint="eastAsia" w:ascii="仿宋_GB2312" w:eastAsia="仿宋_GB2312" w:cs="仿宋_GB2312"/>
          <w:sz w:val="32"/>
          <w:szCs w:val="32"/>
        </w:rPr>
        <w:t>万元，占</w:t>
      </w:r>
      <w:r>
        <w:rPr>
          <w:rFonts w:ascii="仿宋_GB2312" w:eastAsia="仿宋_GB2312" w:cs="仿宋_GB2312"/>
          <w:sz w:val="32"/>
          <w:szCs w:val="32"/>
        </w:rPr>
        <w:t>7.52</w:t>
      </w:r>
      <w:r>
        <w:rPr>
          <w:rFonts w:hint="eastAsia" w:ascii="仿宋_GB2312" w:eastAsia="仿宋_GB2312" w:cs="仿宋_GB2312"/>
          <w:sz w:val="32"/>
          <w:szCs w:val="32"/>
        </w:rPr>
        <w:t>%</w:t>
      </w:r>
      <w:r>
        <w:rPr>
          <w:rFonts w:ascii="仿宋_GB2312" w:eastAsia="仿宋_GB2312" w:cs="仿宋_GB2312"/>
          <w:sz w:val="32"/>
          <w:szCs w:val="32"/>
        </w:rPr>
        <w:t>。</w:t>
      </w:r>
      <w:bookmarkEnd w:id="29"/>
    </w:p>
    <w:p w14:paraId="1E3D68C4">
      <w:pPr>
        <w:pStyle w:val="26"/>
        <w:spacing w:line="576" w:lineRule="exact"/>
        <w:jc w:val="left"/>
        <w:outlineLvl w:val="1"/>
        <w:rPr>
          <w:rFonts w:ascii="仿宋_GB2312" w:eastAsia="仿宋_GB2312" w:cs="仿宋_GB2312"/>
          <w:sz w:val="32"/>
          <w:szCs w:val="32"/>
        </w:rPr>
      </w:pPr>
    </w:p>
    <w:p w14:paraId="045C772F">
      <w:pPr>
        <w:pStyle w:val="26"/>
        <w:spacing w:line="576" w:lineRule="exact"/>
        <w:jc w:val="left"/>
        <w:outlineLvl w:val="1"/>
        <w:rPr>
          <w:rFonts w:ascii="仿宋_GB2312" w:eastAsia="仿宋_GB2312" w:cs="仿宋_GB2312"/>
          <w:sz w:val="32"/>
          <w:szCs w:val="32"/>
        </w:rPr>
      </w:pPr>
    </w:p>
    <w:p w14:paraId="1FA92147">
      <w:pPr>
        <w:pStyle w:val="26"/>
        <w:spacing w:line="576" w:lineRule="exact"/>
        <w:jc w:val="left"/>
        <w:outlineLvl w:val="1"/>
        <w:rPr>
          <w:rFonts w:ascii="仿宋_GB2312" w:eastAsia="仿宋_GB2312" w:cs="仿宋_GB2312"/>
          <w:sz w:val="32"/>
          <w:szCs w:val="32"/>
        </w:rPr>
      </w:pPr>
    </w:p>
    <w:p w14:paraId="26FA5552">
      <w:pPr>
        <w:pStyle w:val="26"/>
        <w:spacing w:line="576" w:lineRule="exact"/>
        <w:jc w:val="left"/>
        <w:outlineLvl w:val="1"/>
        <w:rPr>
          <w:rFonts w:ascii="仿宋_GB2312" w:eastAsia="仿宋_GB2312" w:cs="仿宋_GB2312"/>
          <w:sz w:val="32"/>
          <w:szCs w:val="32"/>
        </w:rPr>
      </w:pPr>
    </w:p>
    <w:p w14:paraId="126657DA">
      <w:pPr>
        <w:pStyle w:val="26"/>
        <w:spacing w:line="576" w:lineRule="exact"/>
        <w:jc w:val="center"/>
        <w:outlineLvl w:val="1"/>
      </w:pPr>
      <w:r>
        <w:drawing>
          <wp:anchor distT="0" distB="0" distL="84455" distR="84455" simplePos="0" relativeHeight="251659264" behindDoc="0" locked="0" layoutInCell="1" allowOverlap="1">
            <wp:simplePos x="0" y="0"/>
            <wp:positionH relativeFrom="column">
              <wp:align>center</wp:align>
            </wp:positionH>
            <wp:positionV relativeFrom="paragraph">
              <wp:posOffset>-1443355</wp:posOffset>
            </wp:positionV>
            <wp:extent cx="4124325" cy="1809750"/>
            <wp:effectExtent l="0" t="0" r="0" b="0"/>
            <wp:wrapNone/>
            <wp:docPr id="3"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6720C0A">
      <w:pPr>
        <w:spacing w:line="576" w:lineRule="exact"/>
        <w:ind w:firstLine="800" w:firstLineChars="250"/>
        <w:jc w:val="center"/>
        <w:rPr>
          <w:rFonts w:eastAsia="仿宋_GB2312" w:cs="仿宋_GB2312"/>
          <w:sz w:val="32"/>
          <w:szCs w:val="32"/>
        </w:rPr>
      </w:pPr>
      <w:r>
        <w:rPr>
          <w:rFonts w:hint="eastAsia" w:eastAsia="仿宋_GB2312" w:cs="仿宋_GB2312"/>
          <w:sz w:val="32"/>
          <w:szCs w:val="32"/>
        </w:rPr>
        <w:t>（图3：支出决算结构图）</w:t>
      </w:r>
    </w:p>
    <w:p w14:paraId="3DC51709">
      <w:pPr>
        <w:spacing w:line="576" w:lineRule="exact"/>
        <w:ind w:firstLine="640" w:firstLineChars="200"/>
        <w:outlineLvl w:val="1"/>
        <w:rPr>
          <w:rStyle w:val="20"/>
          <w:rFonts w:ascii="Times New Roman" w:hAnsi="Times New Roman" w:eastAsia="黑体"/>
          <w:b w:val="0"/>
        </w:rPr>
      </w:pPr>
      <w:bookmarkStart w:id="30" w:name="_Toc23788753"/>
      <w:bookmarkStart w:id="31" w:name="_Toc15377208"/>
      <w:bookmarkStart w:id="32" w:name="_Toc15396606"/>
      <w:r>
        <w:rPr>
          <w:rFonts w:hint="eastAsia" w:eastAsia="黑体"/>
          <w:sz w:val="32"/>
          <w:szCs w:val="32"/>
        </w:rPr>
        <w:t>四、财</w:t>
      </w:r>
      <w:r>
        <w:rPr>
          <w:rStyle w:val="20"/>
          <w:rFonts w:hint="eastAsia" w:ascii="Times New Roman" w:hAnsi="Times New Roman" w:eastAsia="黑体"/>
          <w:b w:val="0"/>
        </w:rPr>
        <w:t>政拨款收入支出决算总体情况说明</w:t>
      </w:r>
      <w:bookmarkEnd w:id="30"/>
      <w:bookmarkEnd w:id="31"/>
      <w:bookmarkEnd w:id="32"/>
    </w:p>
    <w:p w14:paraId="7EB2C659">
      <w:pPr>
        <w:pStyle w:val="26"/>
        <w:spacing w:line="576" w:lineRule="exact"/>
        <w:outlineLvl w:val="1"/>
        <w:rPr>
          <w:rFonts w:eastAsia="仿宋_GB2312" w:cs="仿宋_GB2312"/>
          <w:sz w:val="32"/>
          <w:szCs w:val="32"/>
        </w:rPr>
      </w:pPr>
      <w:r>
        <w:rPr>
          <w:rFonts w:hint="eastAsia" w:eastAsia="仿宋_GB2312" w:cs="仿宋_GB2312"/>
          <w:sz w:val="32"/>
          <w:szCs w:val="32"/>
        </w:rPr>
        <w:t>2025年度财政拨款收入、支出总计均为</w:t>
      </w:r>
      <w:r>
        <w:rPr>
          <w:rFonts w:eastAsia="仿宋_GB2312" w:cs="仿宋_GB2312"/>
          <w:sz w:val="32"/>
          <w:szCs w:val="32"/>
        </w:rPr>
        <w:t>2801.22</w:t>
      </w:r>
      <w:r>
        <w:rPr>
          <w:rFonts w:hint="eastAsia" w:eastAsia="仿宋_GB2312" w:cs="仿宋_GB2312"/>
          <w:sz w:val="32"/>
          <w:szCs w:val="32"/>
        </w:rPr>
        <w:t>万元。与2024年度相比，财政拨款收入总计、支出总计各</w:t>
      </w:r>
      <w:r>
        <w:rPr>
          <w:rFonts w:eastAsia="仿宋_GB2312" w:cs="仿宋_GB2312"/>
          <w:sz w:val="32"/>
          <w:szCs w:val="32"/>
        </w:rPr>
        <w:t>减少94.54</w:t>
      </w:r>
      <w:r>
        <w:rPr>
          <w:rFonts w:hint="eastAsia" w:eastAsia="仿宋_GB2312" w:cs="仿宋_GB2312"/>
          <w:sz w:val="32"/>
          <w:szCs w:val="32"/>
        </w:rPr>
        <w:t>万元，</w:t>
      </w:r>
      <w:r>
        <w:rPr>
          <w:rFonts w:eastAsia="仿宋_GB2312" w:cs="仿宋_GB2312"/>
          <w:sz w:val="32"/>
          <w:szCs w:val="32"/>
        </w:rPr>
        <w:t>下降3.38</w:t>
      </w:r>
      <w:r>
        <w:rPr>
          <w:rFonts w:hint="eastAsia" w:eastAsia="仿宋_GB2312" w:cs="仿宋_GB2312"/>
          <w:sz w:val="32"/>
          <w:szCs w:val="32"/>
        </w:rPr>
        <w:t>%。主要变动原因是</w:t>
      </w:r>
      <w:r>
        <w:rPr>
          <w:rFonts w:eastAsia="仿宋_GB2312" w:cs="仿宋_GB2312"/>
          <w:sz w:val="32"/>
          <w:szCs w:val="32"/>
        </w:rPr>
        <w:t>落实过紧日子要求，压减一般性公用经费，经费支出较上年减少。</w:t>
      </w:r>
    </w:p>
    <w:p w14:paraId="67623397">
      <w:pPr>
        <w:pStyle w:val="2"/>
      </w:pPr>
      <w:r>
        <w:drawing>
          <wp:anchor distT="0" distB="0" distL="84455" distR="84455" simplePos="0" relativeHeight="251659264" behindDoc="0" locked="0" layoutInCell="1" allowOverlap="1">
            <wp:simplePos x="0" y="0"/>
            <wp:positionH relativeFrom="column">
              <wp:posOffset>665480</wp:posOffset>
            </wp:positionH>
            <wp:positionV relativeFrom="paragraph">
              <wp:posOffset>28575</wp:posOffset>
            </wp:positionV>
            <wp:extent cx="4114800" cy="1885950"/>
            <wp:effectExtent l="0" t="0" r="0" b="0"/>
            <wp:wrapNone/>
            <wp:docPr id="4"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12B90012">
      <w:pPr>
        <w:pStyle w:val="3"/>
      </w:pPr>
    </w:p>
    <w:p w14:paraId="289C0234">
      <w:pPr>
        <w:pStyle w:val="3"/>
      </w:pPr>
    </w:p>
    <w:p w14:paraId="073C2FA1">
      <w:pPr>
        <w:pStyle w:val="2"/>
      </w:pPr>
    </w:p>
    <w:p w14:paraId="2C293B3E">
      <w:pPr>
        <w:pStyle w:val="3"/>
      </w:pPr>
    </w:p>
    <w:p w14:paraId="6553D038">
      <w:pPr>
        <w:pStyle w:val="3"/>
      </w:pPr>
    </w:p>
    <w:p w14:paraId="29AAA2EA">
      <w:pPr>
        <w:pStyle w:val="3"/>
      </w:pPr>
    </w:p>
    <w:p w14:paraId="57A7928C">
      <w:pPr>
        <w:pStyle w:val="26"/>
        <w:spacing w:line="576" w:lineRule="exact"/>
        <w:jc w:val="center"/>
        <w:outlineLvl w:val="1"/>
      </w:pPr>
    </w:p>
    <w:p w14:paraId="46BAD52C">
      <w:pPr>
        <w:spacing w:line="576"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14:paraId="7A5579FC">
      <w:pPr>
        <w:spacing w:line="576" w:lineRule="exact"/>
        <w:ind w:firstLine="640" w:firstLineChars="200"/>
        <w:outlineLvl w:val="1"/>
        <w:rPr>
          <w:rStyle w:val="20"/>
          <w:rFonts w:ascii="Times New Roman" w:hAnsi="Times New Roman" w:eastAsia="黑体"/>
          <w:b w:val="0"/>
        </w:rPr>
      </w:pPr>
      <w:bookmarkStart w:id="33" w:name="_Toc23788754"/>
      <w:bookmarkStart w:id="34" w:name="_Toc15396607"/>
      <w:bookmarkStart w:id="35" w:name="_Toc15377209"/>
      <w:r>
        <w:rPr>
          <w:rFonts w:hint="eastAsia" w:eastAsia="黑体"/>
          <w:sz w:val="32"/>
          <w:szCs w:val="32"/>
        </w:rPr>
        <w:t>五、</w:t>
      </w:r>
      <w:r>
        <w:rPr>
          <w:rFonts w:hint="eastAsia" w:eastAsia="黑体"/>
          <w:b/>
          <w:sz w:val="32"/>
          <w:szCs w:val="32"/>
        </w:rPr>
        <w:t>一</w:t>
      </w:r>
      <w:r>
        <w:rPr>
          <w:rStyle w:val="20"/>
          <w:rFonts w:hint="eastAsia" w:ascii="Times New Roman" w:hAnsi="Times New Roman" w:eastAsia="黑体"/>
          <w:b w:val="0"/>
        </w:rPr>
        <w:t>般公共预算财政拨款支出决算情况说明</w:t>
      </w:r>
      <w:bookmarkEnd w:id="33"/>
      <w:bookmarkEnd w:id="34"/>
      <w:bookmarkEnd w:id="35"/>
    </w:p>
    <w:p w14:paraId="6A0F11DB">
      <w:pPr>
        <w:spacing w:line="576" w:lineRule="exact"/>
        <w:ind w:firstLine="643" w:firstLineChars="200"/>
        <w:outlineLvl w:val="2"/>
        <w:rPr>
          <w:rFonts w:eastAsia="楷体_GB2312" w:cs="楷体_GB2312"/>
          <w:b/>
          <w:sz w:val="32"/>
          <w:szCs w:val="32"/>
        </w:rPr>
      </w:pPr>
      <w:bookmarkStart w:id="36" w:name="_Toc15377210"/>
      <w:bookmarkStart w:id="37" w:name="_Toc23788755"/>
      <w:r>
        <w:rPr>
          <w:rFonts w:hint="eastAsia" w:eastAsia="楷体_GB2312" w:cs="楷体_GB2312"/>
          <w:b/>
          <w:sz w:val="32"/>
          <w:szCs w:val="32"/>
        </w:rPr>
        <w:t>（一）一般公共预算财政拨款支出决算总体情况</w:t>
      </w:r>
      <w:bookmarkEnd w:id="36"/>
      <w:bookmarkEnd w:id="37"/>
    </w:p>
    <w:p w14:paraId="10330A24">
      <w:pPr>
        <w:pStyle w:val="26"/>
        <w:spacing w:line="576" w:lineRule="exact"/>
        <w:outlineLvl w:val="1"/>
        <w:rPr>
          <w:rFonts w:eastAsia="仿宋_GB2312" w:cs="仿宋_GB2312"/>
          <w:sz w:val="32"/>
          <w:szCs w:val="32"/>
        </w:rPr>
      </w:pPr>
      <w:r>
        <w:rPr>
          <w:rFonts w:hint="eastAsia" w:ascii="仿宋_GB2312" w:eastAsia="仿宋_GB2312" w:cs="仿宋_GB2312"/>
          <w:sz w:val="32"/>
          <w:szCs w:val="32"/>
        </w:rPr>
        <w:t>2025年度一般公共预算财政拨款支出</w:t>
      </w:r>
      <w:r>
        <w:rPr>
          <w:rFonts w:eastAsia="仿宋_GB2312" w:cs="仿宋_GB2312"/>
          <w:sz w:val="32"/>
          <w:szCs w:val="32"/>
        </w:rPr>
        <w:t>2801.22</w:t>
      </w:r>
      <w:r>
        <w:rPr>
          <w:rFonts w:hint="eastAsia" w:ascii="仿宋_GB2312" w:eastAsia="仿宋_GB2312" w:cs="仿宋_GB2312"/>
          <w:sz w:val="32"/>
          <w:szCs w:val="32"/>
        </w:rPr>
        <w:t>万元，占本年支出合计的</w:t>
      </w:r>
      <w:r>
        <w:rPr>
          <w:rFonts w:ascii="仿宋_GB2312" w:eastAsia="仿宋_GB2312" w:cs="仿宋_GB2312"/>
          <w:sz w:val="32"/>
          <w:szCs w:val="32"/>
        </w:rPr>
        <w:t>100</w:t>
      </w:r>
      <w:r>
        <w:rPr>
          <w:rFonts w:hint="eastAsia" w:ascii="仿宋_GB2312" w:eastAsia="仿宋_GB2312" w:cs="仿宋_GB2312"/>
          <w:sz w:val="32"/>
          <w:szCs w:val="32"/>
        </w:rPr>
        <w:t>%。与2024年度相比，一般公共预算财政拨款支出</w:t>
      </w:r>
      <w:r>
        <w:rPr>
          <w:rFonts w:ascii="仿宋_GB2312" w:eastAsia="仿宋_GB2312" w:cs="仿宋_GB2312"/>
          <w:sz w:val="32"/>
          <w:szCs w:val="32"/>
        </w:rPr>
        <w:t>减少94.54</w:t>
      </w:r>
      <w:r>
        <w:rPr>
          <w:rFonts w:hint="eastAsia" w:ascii="仿宋_GB2312" w:eastAsia="仿宋_GB2312" w:cs="仿宋_GB2312"/>
          <w:sz w:val="32"/>
          <w:szCs w:val="32"/>
        </w:rPr>
        <w:t>万元，</w:t>
      </w:r>
      <w:r>
        <w:rPr>
          <w:rFonts w:ascii="仿宋_GB2312" w:eastAsia="仿宋_GB2312" w:cs="仿宋_GB2312"/>
          <w:sz w:val="32"/>
          <w:szCs w:val="32"/>
        </w:rPr>
        <w:t>下降3.38</w:t>
      </w:r>
      <w:r>
        <w:rPr>
          <w:rFonts w:hint="eastAsia" w:ascii="仿宋_GB2312" w:eastAsia="仿宋_GB2312" w:cs="仿宋_GB2312"/>
          <w:sz w:val="32"/>
          <w:szCs w:val="32"/>
        </w:rPr>
        <w:t>%。主要变动原因是</w:t>
      </w:r>
      <w:r>
        <w:rPr>
          <w:rFonts w:eastAsia="仿宋_GB2312" w:cs="仿宋_GB2312"/>
          <w:sz w:val="32"/>
          <w:szCs w:val="32"/>
        </w:rPr>
        <w:t>落实过紧日子要求，压减一般性公用经费，经费支出较上年减少。</w:t>
      </w:r>
    </w:p>
    <w:p w14:paraId="5FC19275">
      <w:pPr>
        <w:pStyle w:val="2"/>
      </w:pPr>
    </w:p>
    <w:p w14:paraId="57704DA1">
      <w:pPr>
        <w:pStyle w:val="3"/>
      </w:pPr>
      <w:r>
        <w:drawing>
          <wp:anchor distT="0" distB="0" distL="84455" distR="84455" simplePos="0" relativeHeight="251659264" behindDoc="0" locked="0" layoutInCell="1" allowOverlap="1">
            <wp:simplePos x="0" y="0"/>
            <wp:positionH relativeFrom="column">
              <wp:posOffset>584200</wp:posOffset>
            </wp:positionH>
            <wp:positionV relativeFrom="paragraph">
              <wp:posOffset>40005</wp:posOffset>
            </wp:positionV>
            <wp:extent cx="4105275" cy="1885950"/>
            <wp:effectExtent l="0" t="0" r="0" b="0"/>
            <wp:wrapNone/>
            <wp:docPr id="5"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34B7743">
      <w:pPr>
        <w:pStyle w:val="3"/>
      </w:pPr>
    </w:p>
    <w:p w14:paraId="258D0D34">
      <w:pPr>
        <w:pStyle w:val="3"/>
      </w:pPr>
    </w:p>
    <w:p w14:paraId="5A589A77">
      <w:pPr>
        <w:pStyle w:val="3"/>
      </w:pPr>
    </w:p>
    <w:p w14:paraId="075292F7">
      <w:pPr>
        <w:pStyle w:val="3"/>
      </w:pPr>
    </w:p>
    <w:p w14:paraId="2CFAE52D">
      <w:pPr>
        <w:pStyle w:val="3"/>
      </w:pPr>
    </w:p>
    <w:p w14:paraId="32003FEF">
      <w:pPr>
        <w:pStyle w:val="26"/>
        <w:spacing w:line="576" w:lineRule="exact"/>
        <w:jc w:val="center"/>
        <w:outlineLvl w:val="1"/>
      </w:pPr>
    </w:p>
    <w:p w14:paraId="065CCB20">
      <w:pPr>
        <w:pStyle w:val="2"/>
        <w:jc w:val="center"/>
      </w:pPr>
    </w:p>
    <w:p w14:paraId="61408EC9">
      <w:pPr>
        <w:spacing w:line="576" w:lineRule="exact"/>
        <w:ind w:firstLine="640"/>
        <w:jc w:val="center"/>
        <w:rPr>
          <w:rFonts w:eastAsia="仿宋_GB2312" w:cs="仿宋_GB2312"/>
          <w:sz w:val="32"/>
          <w:szCs w:val="32"/>
        </w:rPr>
      </w:pPr>
      <w:r>
        <w:rPr>
          <w:rFonts w:hint="eastAsia" w:eastAsia="仿宋_GB2312" w:cs="仿宋_GB2312"/>
          <w:sz w:val="32"/>
          <w:szCs w:val="32"/>
        </w:rPr>
        <w:t>（图5：一般公共预算财政拨款支出决算变动情况）</w:t>
      </w:r>
    </w:p>
    <w:p w14:paraId="173F0C19">
      <w:pPr>
        <w:spacing w:line="576" w:lineRule="exact"/>
        <w:ind w:firstLine="643" w:firstLineChars="200"/>
        <w:outlineLvl w:val="2"/>
        <w:rPr>
          <w:rFonts w:eastAsia="楷体_GB2312" w:cs="楷体_GB2312"/>
          <w:b/>
          <w:sz w:val="32"/>
          <w:szCs w:val="32"/>
        </w:rPr>
      </w:pPr>
      <w:bookmarkStart w:id="38" w:name="_Toc15377211"/>
      <w:bookmarkStart w:id="39" w:name="_Toc23788756"/>
      <w:r>
        <w:rPr>
          <w:rFonts w:hint="eastAsia" w:eastAsia="楷体_GB2312" w:cs="楷体_GB2312"/>
          <w:b/>
          <w:sz w:val="32"/>
          <w:szCs w:val="32"/>
        </w:rPr>
        <w:t>（二）一般公共预算财政拨款支出决算结构情况</w:t>
      </w:r>
      <w:bookmarkEnd w:id="38"/>
      <w:bookmarkEnd w:id="39"/>
    </w:p>
    <w:p w14:paraId="1D8FA327">
      <w:pPr>
        <w:spacing w:line="576" w:lineRule="exact"/>
        <w:ind w:firstLine="640"/>
        <w:rPr>
          <w:rFonts w:eastAsia="仿宋_GB2312" w:cs="仿宋_GB2312"/>
          <w:sz w:val="32"/>
          <w:szCs w:val="32"/>
        </w:rPr>
      </w:pPr>
      <w:r>
        <w:rPr>
          <w:rFonts w:hint="eastAsia" w:eastAsia="仿宋_GB2312" w:cs="仿宋_GB2312"/>
          <w:sz w:val="32"/>
          <w:szCs w:val="32"/>
        </w:rPr>
        <w:t>2025年度一般公共预算财政拨款支出</w:t>
      </w:r>
      <w:r>
        <w:rPr>
          <w:rFonts w:eastAsia="仿宋_GB2312" w:cs="仿宋_GB2312"/>
          <w:sz w:val="32"/>
          <w:szCs w:val="32"/>
        </w:rPr>
        <w:t>2801.22</w:t>
      </w:r>
      <w:r>
        <w:rPr>
          <w:rFonts w:hint="eastAsia" w:ascii="仿宋_GB2312" w:eastAsia="仿宋_GB2312" w:cs="仿宋_GB2312"/>
          <w:sz w:val="32"/>
          <w:szCs w:val="32"/>
        </w:rPr>
        <w:t>万元</w:t>
      </w:r>
      <w:r>
        <w:rPr>
          <w:rFonts w:hint="eastAsia" w:eastAsia="仿宋_GB2312" w:cs="仿宋_GB2312"/>
          <w:sz w:val="32"/>
          <w:szCs w:val="32"/>
        </w:rPr>
        <w:t>，主要用于以下方面：一般公共服务支出</w:t>
      </w:r>
      <w:r>
        <w:rPr>
          <w:rFonts w:eastAsia="仿宋_GB2312" w:cs="仿宋_GB2312"/>
          <w:sz w:val="32"/>
          <w:szCs w:val="32"/>
        </w:rPr>
        <w:t>2346.37</w:t>
      </w:r>
      <w:r>
        <w:rPr>
          <w:rFonts w:hint="eastAsia" w:eastAsia="仿宋_GB2312" w:cs="仿宋_GB2312"/>
          <w:sz w:val="32"/>
          <w:szCs w:val="32"/>
        </w:rPr>
        <w:t>万元，占</w:t>
      </w:r>
      <w:r>
        <w:rPr>
          <w:rFonts w:eastAsia="仿宋_GB2312" w:cs="仿宋_GB2312"/>
          <w:sz w:val="32"/>
          <w:szCs w:val="32"/>
        </w:rPr>
        <w:t>83.77</w:t>
      </w:r>
      <w:r>
        <w:rPr>
          <w:rFonts w:hint="eastAsia" w:eastAsia="仿宋_GB2312" w:cs="仿宋_GB2312"/>
          <w:sz w:val="32"/>
          <w:szCs w:val="32"/>
        </w:rPr>
        <w:t>%；社会保障和就业支出</w:t>
      </w:r>
      <w:r>
        <w:rPr>
          <w:rFonts w:eastAsia="仿宋_GB2312" w:cs="仿宋_GB2312"/>
          <w:sz w:val="32"/>
          <w:szCs w:val="32"/>
        </w:rPr>
        <w:t>237.37</w:t>
      </w:r>
      <w:r>
        <w:rPr>
          <w:rFonts w:hint="eastAsia" w:eastAsia="仿宋_GB2312" w:cs="仿宋_GB2312"/>
          <w:sz w:val="32"/>
          <w:szCs w:val="32"/>
        </w:rPr>
        <w:t>万元，占</w:t>
      </w:r>
      <w:r>
        <w:rPr>
          <w:rFonts w:eastAsia="仿宋_GB2312" w:cs="仿宋_GB2312"/>
          <w:sz w:val="32"/>
          <w:szCs w:val="32"/>
        </w:rPr>
        <w:t>8.47</w:t>
      </w:r>
      <w:r>
        <w:rPr>
          <w:rFonts w:hint="eastAsia" w:eastAsia="仿宋_GB2312" w:cs="仿宋_GB2312"/>
          <w:sz w:val="32"/>
          <w:szCs w:val="32"/>
        </w:rPr>
        <w:t>%；卫生健康支出</w:t>
      </w:r>
      <w:r>
        <w:rPr>
          <w:rFonts w:eastAsia="仿宋_GB2312" w:cs="仿宋_GB2312"/>
          <w:sz w:val="32"/>
          <w:szCs w:val="32"/>
        </w:rPr>
        <w:t>90.38</w:t>
      </w:r>
      <w:r>
        <w:rPr>
          <w:rFonts w:hint="eastAsia" w:eastAsia="仿宋_GB2312" w:cs="仿宋_GB2312"/>
          <w:sz w:val="32"/>
          <w:szCs w:val="32"/>
        </w:rPr>
        <w:t>万元，占</w:t>
      </w:r>
      <w:r>
        <w:rPr>
          <w:rFonts w:eastAsia="仿宋_GB2312" w:cs="仿宋_GB2312"/>
          <w:sz w:val="32"/>
          <w:szCs w:val="32"/>
        </w:rPr>
        <w:t>3.23</w:t>
      </w:r>
      <w:r>
        <w:rPr>
          <w:rFonts w:hint="eastAsia" w:eastAsia="仿宋_GB2312" w:cs="仿宋_GB2312"/>
          <w:sz w:val="32"/>
          <w:szCs w:val="32"/>
        </w:rPr>
        <w:t>%；住房保障支出</w:t>
      </w:r>
      <w:r>
        <w:rPr>
          <w:rFonts w:eastAsia="仿宋_GB2312" w:cs="仿宋_GB2312"/>
          <w:sz w:val="32"/>
          <w:szCs w:val="32"/>
        </w:rPr>
        <w:t>127.1</w:t>
      </w:r>
      <w:r>
        <w:rPr>
          <w:rFonts w:hint="eastAsia" w:eastAsia="仿宋_GB2312" w:cs="仿宋_GB2312"/>
          <w:sz w:val="32"/>
          <w:szCs w:val="32"/>
        </w:rPr>
        <w:t>万元，占</w:t>
      </w:r>
      <w:r>
        <w:rPr>
          <w:rFonts w:eastAsia="仿宋_GB2312" w:cs="仿宋_GB2312"/>
          <w:sz w:val="32"/>
          <w:szCs w:val="32"/>
        </w:rPr>
        <w:t>4.53</w:t>
      </w:r>
      <w:r>
        <w:rPr>
          <w:rFonts w:hint="eastAsia" w:eastAsia="仿宋_GB2312" w:cs="仿宋_GB2312"/>
          <w:sz w:val="32"/>
          <w:szCs w:val="32"/>
        </w:rPr>
        <w:t>%</w:t>
      </w:r>
      <w:r>
        <w:rPr>
          <w:rFonts w:eastAsia="仿宋_GB2312" w:cs="仿宋_GB2312"/>
          <w:sz w:val="32"/>
          <w:szCs w:val="32"/>
        </w:rPr>
        <w:t>。</w:t>
      </w:r>
    </w:p>
    <w:p w14:paraId="3B2C4DC9">
      <w:pPr>
        <w:pStyle w:val="2"/>
        <w:jc w:val="center"/>
      </w:pPr>
      <w:r>
        <w:drawing>
          <wp:inline distT="0" distB="0" distL="84455" distR="84455">
            <wp:extent cx="4123690" cy="2095500"/>
            <wp:effectExtent l="0" t="0" r="0" b="0"/>
            <wp:docPr id="6"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ABBA939">
      <w:pPr>
        <w:spacing w:line="576"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14:paraId="61264019">
      <w:pPr>
        <w:spacing w:line="576" w:lineRule="exact"/>
        <w:ind w:firstLine="643" w:firstLineChars="200"/>
        <w:outlineLvl w:val="2"/>
        <w:rPr>
          <w:rFonts w:eastAsia="楷体_GB2312" w:cs="楷体_GB2312"/>
          <w:b/>
          <w:sz w:val="32"/>
          <w:szCs w:val="32"/>
        </w:rPr>
      </w:pPr>
      <w:bookmarkStart w:id="40" w:name="_Toc23788757"/>
      <w:bookmarkStart w:id="41" w:name="_Toc15377212"/>
      <w:r>
        <w:rPr>
          <w:rFonts w:hint="eastAsia" w:eastAsia="楷体_GB2312" w:cs="楷体_GB2312"/>
          <w:b/>
          <w:sz w:val="32"/>
          <w:szCs w:val="32"/>
        </w:rPr>
        <w:t>（三）一般公共预算财政拨款支出决算具体情况</w:t>
      </w:r>
      <w:bookmarkEnd w:id="40"/>
      <w:bookmarkEnd w:id="41"/>
    </w:p>
    <w:p w14:paraId="46ADEE53">
      <w:pPr>
        <w:spacing w:line="576" w:lineRule="exact"/>
        <w:ind w:firstLine="640"/>
        <w:rPr>
          <w:rFonts w:eastAsia="仿宋_GB2312" w:cs="仿宋_GB2312"/>
          <w:sz w:val="32"/>
          <w:szCs w:val="32"/>
        </w:rPr>
      </w:pPr>
      <w:bookmarkStart w:id="42" w:name="_Toc15378460"/>
      <w:bookmarkStart w:id="43" w:name="_Toc15377213"/>
      <w:bookmarkStart w:id="44" w:name="_Toc15377444"/>
      <w:r>
        <w:rPr>
          <w:rFonts w:hint="eastAsia" w:eastAsia="仿宋_GB2312" w:cs="仿宋_GB2312"/>
          <w:sz w:val="32"/>
          <w:szCs w:val="32"/>
        </w:rPr>
        <w:t>2025年度一般公共预算财政拨款支出决算数为</w:t>
      </w:r>
      <w:r>
        <w:rPr>
          <w:rFonts w:eastAsia="仿宋_GB2312" w:cs="仿宋_GB2312"/>
          <w:sz w:val="32"/>
          <w:szCs w:val="32"/>
        </w:rPr>
        <w:t>2801.22</w:t>
      </w:r>
      <w:r>
        <w:rPr>
          <w:rFonts w:hint="eastAsia" w:ascii="仿宋_GB2312" w:eastAsia="仿宋_GB2312" w:cs="仿宋_GB2312"/>
          <w:sz w:val="32"/>
          <w:szCs w:val="32"/>
        </w:rPr>
        <w:t>，</w:t>
      </w:r>
      <w:r>
        <w:rPr>
          <w:rFonts w:hint="eastAsia" w:eastAsia="仿宋_GB2312" w:cs="仿宋_GB2312"/>
          <w:sz w:val="32"/>
          <w:szCs w:val="32"/>
        </w:rPr>
        <w:t>完成预算</w:t>
      </w:r>
      <w:r>
        <w:rPr>
          <w:rFonts w:eastAsia="仿宋_GB2312" w:cs="仿宋_GB2312"/>
          <w:sz w:val="32"/>
          <w:szCs w:val="32"/>
        </w:rPr>
        <w:t>100</w:t>
      </w:r>
      <w:r>
        <w:rPr>
          <w:rFonts w:hint="eastAsia" w:eastAsia="仿宋_GB2312" w:cs="仿宋_GB2312"/>
          <w:sz w:val="32"/>
          <w:szCs w:val="32"/>
        </w:rPr>
        <w:t>%。其中：</w:t>
      </w:r>
      <w:bookmarkEnd w:id="42"/>
      <w:bookmarkEnd w:id="43"/>
      <w:bookmarkEnd w:id="44"/>
    </w:p>
    <w:p w14:paraId="28948EA9">
      <w:pPr>
        <w:spacing w:line="576" w:lineRule="exact"/>
        <w:ind w:firstLine="640"/>
        <w:rPr>
          <w:rFonts w:eastAsia="仿宋_GB2312" w:cs="仿宋_GB2312"/>
          <w:sz w:val="32"/>
          <w:szCs w:val="32"/>
        </w:rPr>
      </w:pPr>
      <w:r>
        <w:rPr>
          <w:rFonts w:hint="eastAsia" w:eastAsia="仿宋_GB2312" w:cs="仿宋_GB2312"/>
          <w:b/>
          <w:bCs/>
          <w:sz w:val="32"/>
          <w:szCs w:val="32"/>
        </w:rPr>
        <w:t>1.一般公共服务（</w:t>
      </w:r>
      <w:r>
        <w:rPr>
          <w:rFonts w:eastAsia="仿宋_GB2312" w:cs="仿宋_GB2312"/>
          <w:b/>
          <w:bCs/>
          <w:sz w:val="32"/>
          <w:szCs w:val="32"/>
        </w:rPr>
        <w:t>201</w:t>
      </w:r>
      <w:r>
        <w:rPr>
          <w:rFonts w:hint="eastAsia" w:eastAsia="仿宋_GB2312" w:cs="仿宋_GB2312"/>
          <w:b/>
          <w:bCs/>
          <w:sz w:val="32"/>
          <w:szCs w:val="32"/>
        </w:rPr>
        <w:t>）</w:t>
      </w:r>
      <w:r>
        <w:rPr>
          <w:rFonts w:eastAsia="仿宋_GB2312" w:cs="仿宋_GB2312"/>
          <w:b/>
          <w:bCs/>
          <w:sz w:val="32"/>
          <w:szCs w:val="32"/>
        </w:rPr>
        <w:t>党委办公厅（室）及相关机构事务</w:t>
      </w:r>
      <w:r>
        <w:rPr>
          <w:rFonts w:hint="eastAsia" w:eastAsia="仿宋_GB2312" w:cs="仿宋_GB2312"/>
          <w:b/>
          <w:bCs/>
          <w:sz w:val="32"/>
          <w:szCs w:val="32"/>
        </w:rPr>
        <w:t>（</w:t>
      </w:r>
      <w:r>
        <w:rPr>
          <w:rFonts w:eastAsia="仿宋_GB2312" w:cs="仿宋_GB2312"/>
          <w:b/>
          <w:bCs/>
          <w:sz w:val="32"/>
          <w:szCs w:val="32"/>
        </w:rPr>
        <w:t>31</w:t>
      </w:r>
      <w:r>
        <w:rPr>
          <w:rFonts w:hint="eastAsia" w:eastAsia="仿宋_GB2312" w:cs="仿宋_GB2312"/>
          <w:b/>
          <w:bCs/>
          <w:sz w:val="32"/>
          <w:szCs w:val="32"/>
        </w:rPr>
        <w:t>）</w:t>
      </w:r>
      <w:r>
        <w:rPr>
          <w:rFonts w:eastAsia="仿宋_GB2312" w:cs="仿宋_GB2312"/>
          <w:b/>
          <w:bCs/>
          <w:sz w:val="32"/>
          <w:szCs w:val="32"/>
        </w:rPr>
        <w:t>行政运行</w:t>
      </w:r>
      <w:r>
        <w:rPr>
          <w:rFonts w:hint="eastAsia" w:eastAsia="仿宋_GB2312" w:cs="仿宋_GB2312"/>
          <w:b/>
          <w:bCs/>
          <w:sz w:val="32"/>
          <w:szCs w:val="32"/>
        </w:rPr>
        <w:t>（</w:t>
      </w:r>
      <w:r>
        <w:rPr>
          <w:rFonts w:eastAsia="仿宋_GB2312" w:cs="仿宋_GB2312"/>
          <w:b/>
          <w:bCs/>
          <w:sz w:val="32"/>
          <w:szCs w:val="32"/>
        </w:rPr>
        <w:t>01</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2135.27</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3E0C2133">
      <w:pPr>
        <w:spacing w:line="576" w:lineRule="exact"/>
        <w:ind w:firstLine="640"/>
        <w:rPr>
          <w:rFonts w:eastAsia="仿宋_GB2312" w:cs="仿宋_GB2312"/>
          <w:sz w:val="32"/>
          <w:szCs w:val="32"/>
        </w:rPr>
      </w:pPr>
      <w:r>
        <w:rPr>
          <w:rFonts w:eastAsia="仿宋_GB2312" w:cs="仿宋_GB2312"/>
          <w:b/>
          <w:bCs/>
          <w:sz w:val="32"/>
          <w:szCs w:val="32"/>
        </w:rPr>
        <w:t>2</w:t>
      </w:r>
      <w:r>
        <w:rPr>
          <w:rFonts w:hint="eastAsia" w:eastAsia="仿宋_GB2312" w:cs="仿宋_GB2312"/>
          <w:b/>
          <w:bCs/>
          <w:sz w:val="32"/>
          <w:szCs w:val="32"/>
        </w:rPr>
        <w:t>.一般公共服务（</w:t>
      </w:r>
      <w:r>
        <w:rPr>
          <w:rFonts w:eastAsia="仿宋_GB2312" w:cs="仿宋_GB2312"/>
          <w:b/>
          <w:bCs/>
          <w:sz w:val="32"/>
          <w:szCs w:val="32"/>
        </w:rPr>
        <w:t>201</w:t>
      </w:r>
      <w:r>
        <w:rPr>
          <w:rFonts w:hint="eastAsia" w:eastAsia="仿宋_GB2312" w:cs="仿宋_GB2312"/>
          <w:b/>
          <w:bCs/>
          <w:sz w:val="32"/>
          <w:szCs w:val="32"/>
        </w:rPr>
        <w:t>）</w:t>
      </w:r>
      <w:r>
        <w:rPr>
          <w:rFonts w:eastAsia="仿宋_GB2312" w:cs="仿宋_GB2312"/>
          <w:b/>
          <w:bCs/>
          <w:sz w:val="32"/>
          <w:szCs w:val="32"/>
        </w:rPr>
        <w:t>党委办公厅（室）及相关机构事务</w:t>
      </w:r>
      <w:r>
        <w:rPr>
          <w:rFonts w:hint="eastAsia" w:eastAsia="仿宋_GB2312" w:cs="仿宋_GB2312"/>
          <w:b/>
          <w:bCs/>
          <w:sz w:val="32"/>
          <w:szCs w:val="32"/>
        </w:rPr>
        <w:t>（</w:t>
      </w:r>
      <w:r>
        <w:rPr>
          <w:rFonts w:eastAsia="仿宋_GB2312" w:cs="仿宋_GB2312"/>
          <w:b/>
          <w:bCs/>
          <w:sz w:val="32"/>
          <w:szCs w:val="32"/>
        </w:rPr>
        <w:t>31</w:t>
      </w:r>
      <w:r>
        <w:rPr>
          <w:rFonts w:hint="eastAsia" w:eastAsia="仿宋_GB2312" w:cs="仿宋_GB2312"/>
          <w:b/>
          <w:bCs/>
          <w:sz w:val="32"/>
          <w:szCs w:val="32"/>
        </w:rPr>
        <w:t>）</w:t>
      </w:r>
      <w:r>
        <w:rPr>
          <w:rFonts w:eastAsia="仿宋_GB2312" w:cs="仿宋_GB2312"/>
          <w:b/>
          <w:bCs/>
          <w:sz w:val="32"/>
          <w:szCs w:val="32"/>
        </w:rPr>
        <w:t>一般行政管理事务</w:t>
      </w:r>
      <w:r>
        <w:rPr>
          <w:rFonts w:hint="eastAsia" w:eastAsia="仿宋_GB2312" w:cs="仿宋_GB2312"/>
          <w:b/>
          <w:bCs/>
          <w:sz w:val="32"/>
          <w:szCs w:val="32"/>
        </w:rPr>
        <w:t>（</w:t>
      </w:r>
      <w:r>
        <w:rPr>
          <w:rFonts w:eastAsia="仿宋_GB2312" w:cs="仿宋_GB2312"/>
          <w:b/>
          <w:bCs/>
          <w:sz w:val="32"/>
          <w:szCs w:val="32"/>
        </w:rPr>
        <w:t>02</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210.7</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761FD101">
      <w:pPr>
        <w:pStyle w:val="2"/>
      </w:pPr>
    </w:p>
    <w:p w14:paraId="6E7C5486">
      <w:pPr>
        <w:spacing w:line="576" w:lineRule="exact"/>
        <w:ind w:firstLine="640"/>
        <w:rPr>
          <w:rFonts w:eastAsia="仿宋_GB2312" w:cs="仿宋_GB2312"/>
          <w:sz w:val="32"/>
          <w:szCs w:val="32"/>
        </w:rPr>
      </w:pPr>
      <w:r>
        <w:rPr>
          <w:rFonts w:eastAsia="仿宋_GB2312" w:cs="仿宋_GB2312"/>
          <w:b/>
          <w:bCs/>
          <w:sz w:val="32"/>
          <w:szCs w:val="32"/>
        </w:rPr>
        <w:t>3</w:t>
      </w:r>
      <w:r>
        <w:rPr>
          <w:rFonts w:hint="eastAsia" w:eastAsia="仿宋_GB2312" w:cs="仿宋_GB2312"/>
          <w:b/>
          <w:bCs/>
          <w:sz w:val="32"/>
          <w:szCs w:val="32"/>
        </w:rPr>
        <w:t>.社会保障和就业（</w:t>
      </w:r>
      <w:r>
        <w:rPr>
          <w:rFonts w:eastAsia="仿宋_GB2312" w:cs="仿宋_GB2312"/>
          <w:b/>
          <w:bCs/>
          <w:sz w:val="32"/>
          <w:szCs w:val="32"/>
        </w:rPr>
        <w:t>208</w:t>
      </w:r>
      <w:r>
        <w:rPr>
          <w:rFonts w:hint="eastAsia" w:eastAsia="仿宋_GB2312" w:cs="仿宋_GB2312"/>
          <w:b/>
          <w:bCs/>
          <w:sz w:val="32"/>
          <w:szCs w:val="32"/>
        </w:rPr>
        <w:t>）</w:t>
      </w:r>
      <w:r>
        <w:rPr>
          <w:rFonts w:eastAsia="仿宋_GB2312" w:cs="仿宋_GB2312"/>
          <w:b/>
          <w:bCs/>
          <w:sz w:val="32"/>
          <w:szCs w:val="32"/>
        </w:rPr>
        <w:t>行政事业单位养老支出</w:t>
      </w:r>
      <w:r>
        <w:rPr>
          <w:rFonts w:hint="eastAsia" w:eastAsia="仿宋_GB2312" w:cs="仿宋_GB2312"/>
          <w:b/>
          <w:bCs/>
          <w:sz w:val="32"/>
          <w:szCs w:val="32"/>
        </w:rPr>
        <w:t>（</w:t>
      </w:r>
      <w:r>
        <w:rPr>
          <w:rFonts w:eastAsia="仿宋_GB2312" w:cs="仿宋_GB2312"/>
          <w:b/>
          <w:bCs/>
          <w:sz w:val="32"/>
          <w:szCs w:val="32"/>
        </w:rPr>
        <w:t>05</w:t>
      </w:r>
      <w:r>
        <w:rPr>
          <w:rFonts w:hint="eastAsia" w:eastAsia="仿宋_GB2312" w:cs="仿宋_GB2312"/>
          <w:b/>
          <w:bCs/>
          <w:sz w:val="32"/>
          <w:szCs w:val="32"/>
        </w:rPr>
        <w:t>）</w:t>
      </w:r>
      <w:r>
        <w:rPr>
          <w:rFonts w:eastAsia="仿宋_GB2312" w:cs="仿宋_GB2312"/>
          <w:b/>
          <w:bCs/>
          <w:sz w:val="32"/>
          <w:szCs w:val="32"/>
        </w:rPr>
        <w:t>机关事业单位基本养老保险缴费支出</w:t>
      </w:r>
      <w:r>
        <w:rPr>
          <w:rFonts w:hint="eastAsia" w:eastAsia="仿宋_GB2312" w:cs="仿宋_GB2312"/>
          <w:b/>
          <w:bCs/>
          <w:sz w:val="32"/>
          <w:szCs w:val="32"/>
        </w:rPr>
        <w:t>（</w:t>
      </w:r>
      <w:r>
        <w:rPr>
          <w:rFonts w:eastAsia="仿宋_GB2312" w:cs="仿宋_GB2312"/>
          <w:b/>
          <w:bCs/>
          <w:sz w:val="32"/>
          <w:szCs w:val="32"/>
        </w:rPr>
        <w:t>05</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158.25</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366A7DA3">
      <w:pPr>
        <w:spacing w:line="576" w:lineRule="exact"/>
        <w:ind w:firstLine="640"/>
        <w:rPr>
          <w:rFonts w:eastAsia="仿宋_GB2312" w:cs="仿宋_GB2312"/>
          <w:sz w:val="32"/>
          <w:szCs w:val="32"/>
        </w:rPr>
      </w:pPr>
      <w:r>
        <w:rPr>
          <w:rFonts w:eastAsia="仿宋_GB2312" w:cs="仿宋_GB2312"/>
          <w:b/>
          <w:bCs/>
          <w:sz w:val="32"/>
          <w:szCs w:val="32"/>
        </w:rPr>
        <w:t>4</w:t>
      </w:r>
      <w:r>
        <w:rPr>
          <w:rFonts w:hint="eastAsia" w:eastAsia="仿宋_GB2312" w:cs="仿宋_GB2312"/>
          <w:b/>
          <w:bCs/>
          <w:sz w:val="32"/>
          <w:szCs w:val="32"/>
        </w:rPr>
        <w:t>.社会保障和就业（</w:t>
      </w:r>
      <w:r>
        <w:rPr>
          <w:rFonts w:eastAsia="仿宋_GB2312" w:cs="仿宋_GB2312"/>
          <w:b/>
          <w:bCs/>
          <w:sz w:val="32"/>
          <w:szCs w:val="32"/>
        </w:rPr>
        <w:t>208</w:t>
      </w:r>
      <w:r>
        <w:rPr>
          <w:rFonts w:hint="eastAsia" w:eastAsia="仿宋_GB2312" w:cs="仿宋_GB2312"/>
          <w:b/>
          <w:bCs/>
          <w:sz w:val="32"/>
          <w:szCs w:val="32"/>
        </w:rPr>
        <w:t>）</w:t>
      </w:r>
      <w:r>
        <w:rPr>
          <w:rFonts w:eastAsia="仿宋_GB2312" w:cs="仿宋_GB2312"/>
          <w:b/>
          <w:bCs/>
          <w:sz w:val="32"/>
          <w:szCs w:val="32"/>
        </w:rPr>
        <w:t>行政事业单位养老支出</w:t>
      </w:r>
      <w:r>
        <w:rPr>
          <w:rFonts w:hint="eastAsia" w:eastAsia="仿宋_GB2312" w:cs="仿宋_GB2312"/>
          <w:b/>
          <w:bCs/>
          <w:sz w:val="32"/>
          <w:szCs w:val="32"/>
        </w:rPr>
        <w:t>（</w:t>
      </w:r>
      <w:r>
        <w:rPr>
          <w:rFonts w:eastAsia="仿宋_GB2312" w:cs="仿宋_GB2312"/>
          <w:b/>
          <w:bCs/>
          <w:sz w:val="32"/>
          <w:szCs w:val="32"/>
        </w:rPr>
        <w:t>05</w:t>
      </w:r>
      <w:r>
        <w:rPr>
          <w:rFonts w:hint="eastAsia" w:eastAsia="仿宋_GB2312" w:cs="仿宋_GB2312"/>
          <w:b/>
          <w:bCs/>
          <w:sz w:val="32"/>
          <w:szCs w:val="32"/>
        </w:rPr>
        <w:t>）</w:t>
      </w:r>
      <w:r>
        <w:rPr>
          <w:rFonts w:eastAsia="仿宋_GB2312" w:cs="仿宋_GB2312"/>
          <w:b/>
          <w:bCs/>
          <w:sz w:val="32"/>
          <w:szCs w:val="32"/>
        </w:rPr>
        <w:t>机关事业单位职业年金缴费支出</w:t>
      </w:r>
      <w:r>
        <w:rPr>
          <w:rFonts w:hint="eastAsia" w:eastAsia="仿宋_GB2312" w:cs="仿宋_GB2312"/>
          <w:b/>
          <w:bCs/>
          <w:sz w:val="32"/>
          <w:szCs w:val="32"/>
        </w:rPr>
        <w:t>（</w:t>
      </w:r>
      <w:r>
        <w:rPr>
          <w:rFonts w:eastAsia="仿宋_GB2312" w:cs="仿宋_GB2312"/>
          <w:b/>
          <w:bCs/>
          <w:sz w:val="32"/>
          <w:szCs w:val="32"/>
        </w:rPr>
        <w:t>06</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79.12</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3FF80113">
      <w:pPr>
        <w:spacing w:line="576" w:lineRule="exact"/>
        <w:ind w:firstLine="640"/>
        <w:rPr>
          <w:rFonts w:eastAsia="仿宋_GB2312" w:cs="仿宋_GB2312"/>
          <w:sz w:val="32"/>
          <w:szCs w:val="32"/>
        </w:rPr>
      </w:pPr>
      <w:r>
        <w:rPr>
          <w:rFonts w:eastAsia="仿宋_GB2312" w:cs="仿宋_GB2312"/>
          <w:b/>
          <w:bCs/>
          <w:sz w:val="32"/>
          <w:szCs w:val="32"/>
        </w:rPr>
        <w:t>5</w:t>
      </w:r>
      <w:r>
        <w:rPr>
          <w:rFonts w:hint="eastAsia" w:eastAsia="仿宋_GB2312" w:cs="仿宋_GB2312"/>
          <w:b/>
          <w:bCs/>
          <w:sz w:val="32"/>
          <w:szCs w:val="32"/>
        </w:rPr>
        <w:t>.卫生健康（</w:t>
      </w:r>
      <w:r>
        <w:rPr>
          <w:rFonts w:eastAsia="仿宋_GB2312" w:cs="仿宋_GB2312"/>
          <w:b/>
          <w:bCs/>
          <w:sz w:val="32"/>
          <w:szCs w:val="32"/>
        </w:rPr>
        <w:t>210</w:t>
      </w:r>
      <w:r>
        <w:rPr>
          <w:rFonts w:hint="eastAsia" w:eastAsia="仿宋_GB2312" w:cs="仿宋_GB2312"/>
          <w:b/>
          <w:bCs/>
          <w:sz w:val="32"/>
          <w:szCs w:val="32"/>
        </w:rPr>
        <w:t>）</w:t>
      </w:r>
      <w:r>
        <w:rPr>
          <w:rFonts w:eastAsia="仿宋_GB2312" w:cs="仿宋_GB2312"/>
          <w:b/>
          <w:bCs/>
          <w:sz w:val="32"/>
          <w:szCs w:val="32"/>
        </w:rPr>
        <w:t>行政事业单位医疗</w:t>
      </w:r>
      <w:r>
        <w:rPr>
          <w:rFonts w:hint="eastAsia" w:eastAsia="仿宋_GB2312" w:cs="仿宋_GB2312"/>
          <w:b/>
          <w:bCs/>
          <w:sz w:val="32"/>
          <w:szCs w:val="32"/>
        </w:rPr>
        <w:t>（</w:t>
      </w:r>
      <w:r>
        <w:rPr>
          <w:rFonts w:eastAsia="仿宋_GB2312" w:cs="仿宋_GB2312"/>
          <w:b/>
          <w:bCs/>
          <w:sz w:val="32"/>
          <w:szCs w:val="32"/>
        </w:rPr>
        <w:t>11</w:t>
      </w:r>
      <w:r>
        <w:rPr>
          <w:rFonts w:hint="eastAsia" w:eastAsia="仿宋_GB2312" w:cs="仿宋_GB2312"/>
          <w:b/>
          <w:bCs/>
          <w:sz w:val="32"/>
          <w:szCs w:val="32"/>
        </w:rPr>
        <w:t>）</w:t>
      </w:r>
      <w:r>
        <w:rPr>
          <w:rFonts w:eastAsia="仿宋_GB2312" w:cs="仿宋_GB2312"/>
          <w:b/>
          <w:bCs/>
          <w:sz w:val="32"/>
          <w:szCs w:val="32"/>
        </w:rPr>
        <w:t>行政单位医疗</w:t>
      </w:r>
      <w:r>
        <w:rPr>
          <w:rFonts w:hint="eastAsia" w:eastAsia="仿宋_GB2312" w:cs="仿宋_GB2312"/>
          <w:b/>
          <w:bCs/>
          <w:sz w:val="32"/>
          <w:szCs w:val="32"/>
        </w:rPr>
        <w:t>（</w:t>
      </w:r>
      <w:r>
        <w:rPr>
          <w:rFonts w:eastAsia="仿宋_GB2312" w:cs="仿宋_GB2312"/>
          <w:b/>
          <w:bCs/>
          <w:sz w:val="32"/>
          <w:szCs w:val="32"/>
        </w:rPr>
        <w:t>01</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74.47</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6CB74BDF">
      <w:pPr>
        <w:spacing w:line="576" w:lineRule="exact"/>
        <w:ind w:firstLine="640"/>
        <w:rPr>
          <w:rFonts w:eastAsia="仿宋_GB2312" w:cs="仿宋_GB2312"/>
          <w:sz w:val="32"/>
          <w:szCs w:val="32"/>
        </w:rPr>
      </w:pPr>
      <w:r>
        <w:rPr>
          <w:rFonts w:eastAsia="仿宋_GB2312" w:cs="仿宋_GB2312"/>
          <w:b/>
          <w:bCs/>
          <w:sz w:val="32"/>
          <w:szCs w:val="32"/>
        </w:rPr>
        <w:t>6</w:t>
      </w:r>
      <w:r>
        <w:rPr>
          <w:rFonts w:hint="eastAsia" w:eastAsia="仿宋_GB2312" w:cs="仿宋_GB2312"/>
          <w:b/>
          <w:bCs/>
          <w:sz w:val="32"/>
          <w:szCs w:val="32"/>
        </w:rPr>
        <w:t>.卫生健康（</w:t>
      </w:r>
      <w:r>
        <w:rPr>
          <w:rFonts w:eastAsia="仿宋_GB2312" w:cs="仿宋_GB2312"/>
          <w:b/>
          <w:bCs/>
          <w:sz w:val="32"/>
          <w:szCs w:val="32"/>
        </w:rPr>
        <w:t>210</w:t>
      </w:r>
      <w:r>
        <w:rPr>
          <w:rFonts w:hint="eastAsia" w:eastAsia="仿宋_GB2312" w:cs="仿宋_GB2312"/>
          <w:b/>
          <w:bCs/>
          <w:sz w:val="32"/>
          <w:szCs w:val="32"/>
        </w:rPr>
        <w:t>）</w:t>
      </w:r>
      <w:r>
        <w:rPr>
          <w:rFonts w:eastAsia="仿宋_GB2312" w:cs="仿宋_GB2312"/>
          <w:b/>
          <w:bCs/>
          <w:sz w:val="32"/>
          <w:szCs w:val="32"/>
        </w:rPr>
        <w:t>行政事业单位医疗</w:t>
      </w:r>
      <w:r>
        <w:rPr>
          <w:rFonts w:hint="eastAsia" w:eastAsia="仿宋_GB2312" w:cs="仿宋_GB2312"/>
          <w:b/>
          <w:bCs/>
          <w:sz w:val="32"/>
          <w:szCs w:val="32"/>
        </w:rPr>
        <w:t>（</w:t>
      </w:r>
      <w:r>
        <w:rPr>
          <w:rFonts w:eastAsia="仿宋_GB2312" w:cs="仿宋_GB2312"/>
          <w:b/>
          <w:bCs/>
          <w:sz w:val="32"/>
          <w:szCs w:val="32"/>
        </w:rPr>
        <w:t>11</w:t>
      </w:r>
      <w:r>
        <w:rPr>
          <w:rFonts w:hint="eastAsia" w:eastAsia="仿宋_GB2312" w:cs="仿宋_GB2312"/>
          <w:b/>
          <w:bCs/>
          <w:sz w:val="32"/>
          <w:szCs w:val="32"/>
        </w:rPr>
        <w:t>）</w:t>
      </w:r>
      <w:r>
        <w:rPr>
          <w:rFonts w:eastAsia="仿宋_GB2312" w:cs="仿宋_GB2312"/>
          <w:b/>
          <w:bCs/>
          <w:sz w:val="32"/>
          <w:szCs w:val="32"/>
        </w:rPr>
        <w:t>公务员医疗补助</w:t>
      </w:r>
      <w:r>
        <w:rPr>
          <w:rFonts w:hint="eastAsia" w:eastAsia="仿宋_GB2312" w:cs="仿宋_GB2312"/>
          <w:b/>
          <w:bCs/>
          <w:sz w:val="32"/>
          <w:szCs w:val="32"/>
        </w:rPr>
        <w:t>（</w:t>
      </w:r>
      <w:r>
        <w:rPr>
          <w:rFonts w:eastAsia="仿宋_GB2312" w:cs="仿宋_GB2312"/>
          <w:b/>
          <w:bCs/>
          <w:sz w:val="32"/>
          <w:szCs w:val="32"/>
        </w:rPr>
        <w:t>03</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15.91</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611161F3">
      <w:pPr>
        <w:spacing w:line="576" w:lineRule="exact"/>
        <w:ind w:firstLine="640"/>
        <w:rPr>
          <w:rFonts w:eastAsia="仿宋_GB2312" w:cs="仿宋_GB2312"/>
          <w:sz w:val="32"/>
          <w:szCs w:val="32"/>
        </w:rPr>
      </w:pPr>
      <w:r>
        <w:rPr>
          <w:rFonts w:eastAsia="仿宋_GB2312" w:cs="仿宋_GB2312"/>
          <w:b/>
          <w:bCs/>
          <w:sz w:val="32"/>
          <w:szCs w:val="32"/>
        </w:rPr>
        <w:t>7</w:t>
      </w:r>
      <w:r>
        <w:rPr>
          <w:rFonts w:hint="eastAsia" w:eastAsia="仿宋_GB2312" w:cs="仿宋_GB2312"/>
          <w:b/>
          <w:bCs/>
          <w:sz w:val="32"/>
          <w:szCs w:val="32"/>
        </w:rPr>
        <w:t>.</w:t>
      </w:r>
      <w:r>
        <w:rPr>
          <w:rFonts w:eastAsia="仿宋_GB2312" w:cs="仿宋_GB2312"/>
          <w:b/>
          <w:bCs/>
          <w:sz w:val="32"/>
          <w:szCs w:val="32"/>
        </w:rPr>
        <w:t>住房保障支出</w:t>
      </w:r>
      <w:r>
        <w:rPr>
          <w:rFonts w:hint="eastAsia" w:eastAsia="仿宋_GB2312" w:cs="仿宋_GB2312"/>
          <w:b/>
          <w:bCs/>
          <w:sz w:val="32"/>
          <w:szCs w:val="32"/>
        </w:rPr>
        <w:t>（</w:t>
      </w:r>
      <w:r>
        <w:rPr>
          <w:rFonts w:eastAsia="仿宋_GB2312" w:cs="仿宋_GB2312"/>
          <w:b/>
          <w:bCs/>
          <w:sz w:val="32"/>
          <w:szCs w:val="32"/>
        </w:rPr>
        <w:t>221</w:t>
      </w:r>
      <w:r>
        <w:rPr>
          <w:rFonts w:hint="eastAsia" w:eastAsia="仿宋_GB2312" w:cs="仿宋_GB2312"/>
          <w:b/>
          <w:bCs/>
          <w:sz w:val="32"/>
          <w:szCs w:val="32"/>
        </w:rPr>
        <w:t>）</w:t>
      </w:r>
      <w:r>
        <w:rPr>
          <w:rFonts w:eastAsia="仿宋_GB2312" w:cs="仿宋_GB2312"/>
          <w:b/>
          <w:bCs/>
          <w:sz w:val="32"/>
          <w:szCs w:val="32"/>
        </w:rPr>
        <w:t>住房改革支出</w:t>
      </w:r>
      <w:r>
        <w:rPr>
          <w:rFonts w:hint="eastAsia" w:eastAsia="仿宋_GB2312" w:cs="仿宋_GB2312"/>
          <w:b/>
          <w:bCs/>
          <w:sz w:val="32"/>
          <w:szCs w:val="32"/>
        </w:rPr>
        <w:t>（</w:t>
      </w:r>
      <w:r>
        <w:rPr>
          <w:rFonts w:eastAsia="仿宋_GB2312" w:cs="仿宋_GB2312"/>
          <w:b/>
          <w:bCs/>
          <w:sz w:val="32"/>
          <w:szCs w:val="32"/>
        </w:rPr>
        <w:t>02</w:t>
      </w:r>
      <w:r>
        <w:rPr>
          <w:rFonts w:hint="eastAsia" w:eastAsia="仿宋_GB2312" w:cs="仿宋_GB2312"/>
          <w:b/>
          <w:bCs/>
          <w:sz w:val="32"/>
          <w:szCs w:val="32"/>
        </w:rPr>
        <w:t>）</w:t>
      </w:r>
      <w:r>
        <w:rPr>
          <w:rFonts w:eastAsia="仿宋_GB2312" w:cs="仿宋_GB2312"/>
          <w:b/>
          <w:bCs/>
          <w:sz w:val="32"/>
          <w:szCs w:val="32"/>
        </w:rPr>
        <w:t>住房公积金</w:t>
      </w:r>
      <w:r>
        <w:rPr>
          <w:rFonts w:hint="eastAsia" w:eastAsia="仿宋_GB2312" w:cs="仿宋_GB2312"/>
          <w:b/>
          <w:bCs/>
          <w:sz w:val="32"/>
          <w:szCs w:val="32"/>
        </w:rPr>
        <w:t>（</w:t>
      </w:r>
      <w:r>
        <w:rPr>
          <w:rFonts w:eastAsia="仿宋_GB2312" w:cs="仿宋_GB2312"/>
          <w:b/>
          <w:bCs/>
          <w:sz w:val="32"/>
          <w:szCs w:val="32"/>
        </w:rPr>
        <w:t>01</w:t>
      </w:r>
      <w:r>
        <w:rPr>
          <w:rFonts w:hint="eastAsia" w:eastAsia="仿宋_GB2312" w:cs="仿宋_GB2312"/>
          <w:b/>
          <w:bCs/>
          <w:sz w:val="32"/>
          <w:szCs w:val="32"/>
        </w:rPr>
        <w:t>）：</w:t>
      </w:r>
      <w:r>
        <w:rPr>
          <w:rFonts w:hint="eastAsia" w:eastAsia="仿宋_GB2312" w:cs="仿宋_GB2312"/>
          <w:sz w:val="32"/>
          <w:szCs w:val="32"/>
        </w:rPr>
        <w:t>支出决算为</w:t>
      </w:r>
      <w:r>
        <w:rPr>
          <w:rFonts w:eastAsia="仿宋_GB2312" w:cs="仿宋_GB2312"/>
          <w:sz w:val="32"/>
          <w:szCs w:val="32"/>
        </w:rPr>
        <w:t>127.1</w:t>
      </w:r>
      <w:r>
        <w:rPr>
          <w:rFonts w:hint="eastAsia" w:eastAsia="仿宋_GB2312" w:cs="仿宋_GB2312"/>
          <w:sz w:val="32"/>
          <w:szCs w:val="32"/>
        </w:rPr>
        <w:t>万元，完成预算</w:t>
      </w:r>
      <w:r>
        <w:rPr>
          <w:rFonts w:eastAsia="仿宋_GB2312" w:cs="仿宋_GB2312"/>
          <w:sz w:val="32"/>
          <w:szCs w:val="32"/>
        </w:rPr>
        <w:t>100</w:t>
      </w:r>
      <w:r>
        <w:rPr>
          <w:rFonts w:hint="eastAsia" w:eastAsia="仿宋_GB2312" w:cs="仿宋_GB2312"/>
          <w:sz w:val="32"/>
          <w:szCs w:val="32"/>
        </w:rPr>
        <w:t>%</w:t>
      </w:r>
      <w:r>
        <w:rPr>
          <w:rFonts w:eastAsia="仿宋_GB2312" w:cs="仿宋_GB2312"/>
          <w:sz w:val="32"/>
          <w:szCs w:val="32"/>
        </w:rPr>
        <w:t>。</w:t>
      </w:r>
    </w:p>
    <w:p w14:paraId="21E54938">
      <w:pPr>
        <w:tabs>
          <w:tab w:val="right" w:pos="8306"/>
        </w:tabs>
        <w:spacing w:line="576" w:lineRule="exact"/>
        <w:ind w:firstLine="640"/>
        <w:outlineLvl w:val="1"/>
        <w:rPr>
          <w:rStyle w:val="20"/>
          <w:rFonts w:ascii="Times New Roman" w:hAnsi="Times New Roman"/>
        </w:rPr>
      </w:pPr>
      <w:bookmarkStart w:id="45" w:name="_Toc15377214"/>
      <w:bookmarkStart w:id="46" w:name="_Toc15396608"/>
      <w:bookmarkStart w:id="47" w:name="_Toc23788758"/>
      <w:r>
        <w:rPr>
          <w:rFonts w:hint="eastAsia" w:eastAsia="黑体"/>
          <w:sz w:val="32"/>
          <w:szCs w:val="32"/>
        </w:rPr>
        <w:t>六</w:t>
      </w:r>
      <w:r>
        <w:rPr>
          <w:rFonts w:hint="eastAsia" w:eastAsia="黑体"/>
          <w:b/>
          <w:sz w:val="32"/>
          <w:szCs w:val="32"/>
        </w:rPr>
        <w:t>、一</w:t>
      </w:r>
      <w:r>
        <w:rPr>
          <w:rStyle w:val="20"/>
          <w:rFonts w:hint="eastAsia" w:ascii="Times New Roman" w:hAnsi="Times New Roman" w:eastAsia="黑体"/>
          <w:b w:val="0"/>
        </w:rPr>
        <w:t>般公共预算财政拨款基本支出决算情况说明</w:t>
      </w:r>
      <w:bookmarkEnd w:id="45"/>
      <w:bookmarkEnd w:id="46"/>
      <w:bookmarkEnd w:id="47"/>
    </w:p>
    <w:p w14:paraId="47637267">
      <w:pPr>
        <w:spacing w:line="576"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ascii="仿宋_GB2312" w:eastAsia="仿宋_GB2312" w:cs="仿宋_GB2312"/>
          <w:sz w:val="32"/>
          <w:szCs w:val="32"/>
        </w:rPr>
        <w:t>2590.52</w:t>
      </w:r>
      <w:r>
        <w:rPr>
          <w:rFonts w:hint="eastAsia" w:ascii="仿宋_GB2312" w:eastAsia="仿宋_GB2312" w:cs="仿宋_GB2312"/>
          <w:sz w:val="32"/>
          <w:szCs w:val="32"/>
        </w:rPr>
        <w:t>万</w:t>
      </w:r>
      <w:r>
        <w:rPr>
          <w:rFonts w:hint="eastAsia" w:eastAsia="仿宋_GB2312" w:cs="仿宋_GB2312"/>
          <w:sz w:val="32"/>
          <w:szCs w:val="32"/>
        </w:rPr>
        <w:t>元，其中：</w:t>
      </w:r>
    </w:p>
    <w:p w14:paraId="7828C25C">
      <w:pPr>
        <w:spacing w:line="576" w:lineRule="exact"/>
        <w:ind w:firstLine="640"/>
        <w:rPr>
          <w:rFonts w:eastAsia="仿宋_GB2312" w:cs="仿宋_GB2312"/>
          <w:sz w:val="32"/>
          <w:szCs w:val="32"/>
        </w:rPr>
      </w:pPr>
      <w:r>
        <w:rPr>
          <w:rFonts w:hint="eastAsia" w:eastAsia="仿宋_GB2312" w:cs="仿宋_GB2312"/>
          <w:sz w:val="32"/>
          <w:szCs w:val="32"/>
        </w:rPr>
        <w:t>人员经费</w:t>
      </w:r>
      <w:r>
        <w:rPr>
          <w:rFonts w:eastAsia="仿宋_GB2312" w:cs="仿宋_GB2312"/>
          <w:sz w:val="32"/>
          <w:szCs w:val="32"/>
        </w:rPr>
        <w:t>1945.42</w:t>
      </w:r>
      <w:r>
        <w:rPr>
          <w:rFonts w:hint="eastAsia" w:ascii="仿宋_GB2312" w:eastAsia="仿宋_GB2312" w:cs="仿宋_GB2312"/>
          <w:sz w:val="32"/>
          <w:szCs w:val="32"/>
        </w:rPr>
        <w:t>万</w:t>
      </w:r>
      <w:r>
        <w:rPr>
          <w:rFonts w:hint="eastAsia" w:eastAsia="仿宋_GB2312" w:cs="仿宋_GB2312"/>
          <w:sz w:val="32"/>
          <w:szCs w:val="32"/>
        </w:rPr>
        <w:t>元，主要包括：基本工资</w:t>
      </w:r>
      <w:r>
        <w:rPr>
          <w:rFonts w:eastAsia="仿宋_GB2312" w:cs="仿宋_GB2312"/>
          <w:sz w:val="32"/>
          <w:szCs w:val="32"/>
        </w:rPr>
        <w:t>360.86万元</w:t>
      </w:r>
      <w:r>
        <w:rPr>
          <w:rFonts w:hint="eastAsia" w:eastAsia="仿宋_GB2312" w:cs="仿宋_GB2312"/>
          <w:sz w:val="32"/>
          <w:szCs w:val="32"/>
        </w:rPr>
        <w:t>、津贴补贴</w:t>
      </w:r>
      <w:r>
        <w:rPr>
          <w:rFonts w:eastAsia="仿宋_GB2312" w:cs="仿宋_GB2312"/>
          <w:sz w:val="32"/>
          <w:szCs w:val="32"/>
        </w:rPr>
        <w:t>355.34万元</w:t>
      </w:r>
      <w:r>
        <w:rPr>
          <w:rFonts w:hint="eastAsia" w:eastAsia="仿宋_GB2312" w:cs="仿宋_GB2312"/>
          <w:sz w:val="32"/>
          <w:szCs w:val="32"/>
        </w:rPr>
        <w:t>、奖金</w:t>
      </w:r>
      <w:r>
        <w:rPr>
          <w:rFonts w:eastAsia="仿宋_GB2312" w:cs="仿宋_GB2312"/>
          <w:sz w:val="32"/>
          <w:szCs w:val="32"/>
        </w:rPr>
        <w:t>442.52万元</w:t>
      </w:r>
      <w:r>
        <w:rPr>
          <w:rFonts w:hint="eastAsia" w:eastAsia="仿宋_GB2312" w:cs="仿宋_GB2312"/>
          <w:sz w:val="32"/>
          <w:szCs w:val="32"/>
        </w:rPr>
        <w:t>、伙食补助费</w:t>
      </w:r>
      <w:r>
        <w:rPr>
          <w:rFonts w:eastAsia="仿宋_GB2312" w:cs="仿宋_GB2312"/>
          <w:sz w:val="32"/>
          <w:szCs w:val="32"/>
        </w:rPr>
        <w:t>48.66万元</w:t>
      </w:r>
      <w:r>
        <w:rPr>
          <w:rFonts w:hint="eastAsia" w:eastAsia="仿宋_GB2312" w:cs="仿宋_GB2312"/>
          <w:sz w:val="32"/>
          <w:szCs w:val="32"/>
        </w:rPr>
        <w:t>、机关事业单位基本养老保险缴费</w:t>
      </w:r>
      <w:r>
        <w:rPr>
          <w:rFonts w:eastAsia="仿宋_GB2312" w:cs="仿宋_GB2312"/>
          <w:sz w:val="32"/>
          <w:szCs w:val="32"/>
        </w:rPr>
        <w:t>158.25万元</w:t>
      </w:r>
      <w:r>
        <w:rPr>
          <w:rFonts w:hint="eastAsia" w:eastAsia="仿宋_GB2312" w:cs="仿宋_GB2312"/>
          <w:sz w:val="32"/>
          <w:szCs w:val="32"/>
        </w:rPr>
        <w:t>、职业年金缴费</w:t>
      </w:r>
      <w:r>
        <w:rPr>
          <w:rFonts w:eastAsia="仿宋_GB2312" w:cs="仿宋_GB2312"/>
          <w:sz w:val="32"/>
          <w:szCs w:val="32"/>
        </w:rPr>
        <w:t>79.12万元</w:t>
      </w:r>
      <w:r>
        <w:rPr>
          <w:rFonts w:hint="eastAsia" w:eastAsia="仿宋_GB2312" w:cs="仿宋_GB2312"/>
          <w:sz w:val="32"/>
          <w:szCs w:val="32"/>
        </w:rPr>
        <w:t>、</w:t>
      </w:r>
      <w:r>
        <w:rPr>
          <w:rFonts w:eastAsia="仿宋_GB2312" w:cs="仿宋_GB2312"/>
          <w:sz w:val="32"/>
          <w:szCs w:val="32"/>
        </w:rPr>
        <w:t>职工基本医疗保险缴费74.47万元、公务员医疗补助缴费15.91万元、</w:t>
      </w:r>
      <w:r>
        <w:rPr>
          <w:rFonts w:hint="eastAsia" w:eastAsia="仿宋_GB2312" w:cs="仿宋_GB2312"/>
          <w:sz w:val="32"/>
          <w:szCs w:val="32"/>
        </w:rPr>
        <w:t>其他社会保障缴费</w:t>
      </w:r>
      <w:r>
        <w:rPr>
          <w:rFonts w:eastAsia="仿宋_GB2312" w:cs="仿宋_GB2312"/>
          <w:sz w:val="32"/>
          <w:szCs w:val="32"/>
        </w:rPr>
        <w:t>3.36万元</w:t>
      </w:r>
      <w:r>
        <w:rPr>
          <w:rFonts w:hint="eastAsia" w:eastAsia="仿宋_GB2312" w:cs="仿宋_GB2312"/>
          <w:sz w:val="32"/>
          <w:szCs w:val="32"/>
        </w:rPr>
        <w:t>、住房公积金</w:t>
      </w:r>
      <w:r>
        <w:rPr>
          <w:rFonts w:eastAsia="仿宋_GB2312" w:cs="仿宋_GB2312"/>
          <w:sz w:val="32"/>
          <w:szCs w:val="32"/>
        </w:rPr>
        <w:t>127.1万元</w:t>
      </w:r>
      <w:r>
        <w:rPr>
          <w:rFonts w:hint="eastAsia" w:eastAsia="仿宋_GB2312" w:cs="仿宋_GB2312"/>
          <w:sz w:val="32"/>
          <w:szCs w:val="32"/>
        </w:rPr>
        <w:t>、其他工资福利支出</w:t>
      </w:r>
      <w:r>
        <w:rPr>
          <w:rFonts w:eastAsia="仿宋_GB2312" w:cs="仿宋_GB2312"/>
          <w:sz w:val="32"/>
          <w:szCs w:val="32"/>
        </w:rPr>
        <w:t>111.56万元</w:t>
      </w:r>
      <w:r>
        <w:rPr>
          <w:rFonts w:hint="eastAsia" w:eastAsia="仿宋_GB2312" w:cs="仿宋_GB2312"/>
          <w:sz w:val="32"/>
          <w:szCs w:val="32"/>
        </w:rPr>
        <w:t>、抚恤金</w:t>
      </w:r>
      <w:r>
        <w:rPr>
          <w:rFonts w:eastAsia="仿宋_GB2312" w:cs="仿宋_GB2312"/>
          <w:sz w:val="32"/>
          <w:szCs w:val="32"/>
        </w:rPr>
        <w:t>45.91万元</w:t>
      </w:r>
      <w:r>
        <w:rPr>
          <w:rFonts w:hint="eastAsia" w:eastAsia="仿宋_GB2312" w:cs="仿宋_GB2312"/>
          <w:sz w:val="32"/>
          <w:szCs w:val="32"/>
        </w:rPr>
        <w:t>、生活补助</w:t>
      </w:r>
      <w:r>
        <w:rPr>
          <w:rFonts w:eastAsia="仿宋_GB2312" w:cs="仿宋_GB2312"/>
          <w:sz w:val="32"/>
          <w:szCs w:val="32"/>
        </w:rPr>
        <w:t>122.71万元</w:t>
      </w:r>
      <w:r>
        <w:rPr>
          <w:rFonts w:hint="eastAsia" w:eastAsia="仿宋_GB2312" w:cs="仿宋_GB2312"/>
          <w:sz w:val="32"/>
          <w:szCs w:val="32"/>
        </w:rPr>
        <w:t>、奖励金</w:t>
      </w:r>
      <w:r>
        <w:rPr>
          <w:rFonts w:eastAsia="仿宋_GB2312" w:cs="仿宋_GB2312"/>
          <w:sz w:val="32"/>
          <w:szCs w:val="32"/>
        </w:rPr>
        <w:t>0.03万元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ascii="仿宋_GB2312" w:eastAsia="仿宋_GB2312" w:cs="仿宋_GB2312"/>
          <w:sz w:val="32"/>
          <w:szCs w:val="32"/>
        </w:rPr>
        <w:t>644.7</w:t>
      </w:r>
      <w:r>
        <w:rPr>
          <w:rFonts w:hint="eastAsia" w:ascii="仿宋_GB2312" w:eastAsia="仿宋_GB2312" w:cs="仿宋_GB2312"/>
          <w:sz w:val="32"/>
          <w:szCs w:val="32"/>
        </w:rPr>
        <w:t>万</w:t>
      </w:r>
      <w:r>
        <w:rPr>
          <w:rFonts w:hint="eastAsia" w:eastAsia="仿宋_GB2312" w:cs="仿宋_GB2312"/>
          <w:sz w:val="32"/>
          <w:szCs w:val="32"/>
        </w:rPr>
        <w:t>元，主要包括：办公费</w:t>
      </w:r>
      <w:r>
        <w:rPr>
          <w:rFonts w:eastAsia="仿宋_GB2312" w:cs="仿宋_GB2312"/>
          <w:sz w:val="32"/>
          <w:szCs w:val="32"/>
        </w:rPr>
        <w:t>62.5万元</w:t>
      </w:r>
      <w:r>
        <w:rPr>
          <w:rFonts w:hint="eastAsia" w:eastAsia="仿宋_GB2312" w:cs="仿宋_GB2312"/>
          <w:sz w:val="32"/>
          <w:szCs w:val="32"/>
        </w:rPr>
        <w:t>、印刷费</w:t>
      </w:r>
      <w:r>
        <w:rPr>
          <w:rFonts w:eastAsia="仿宋_GB2312" w:cs="仿宋_GB2312"/>
          <w:sz w:val="32"/>
          <w:szCs w:val="32"/>
        </w:rPr>
        <w:t>22.6万元</w:t>
      </w:r>
      <w:r>
        <w:rPr>
          <w:rFonts w:hint="eastAsia" w:eastAsia="仿宋_GB2312" w:cs="仿宋_GB2312"/>
          <w:sz w:val="32"/>
          <w:szCs w:val="32"/>
        </w:rPr>
        <w:t>、水费</w:t>
      </w:r>
      <w:r>
        <w:rPr>
          <w:rFonts w:eastAsia="仿宋_GB2312" w:cs="仿宋_GB2312"/>
          <w:sz w:val="32"/>
          <w:szCs w:val="32"/>
        </w:rPr>
        <w:t>2.29万元</w:t>
      </w:r>
      <w:r>
        <w:rPr>
          <w:rFonts w:hint="eastAsia" w:eastAsia="仿宋_GB2312" w:cs="仿宋_GB2312"/>
          <w:sz w:val="32"/>
          <w:szCs w:val="32"/>
        </w:rPr>
        <w:t>、电费</w:t>
      </w:r>
      <w:r>
        <w:rPr>
          <w:rFonts w:eastAsia="仿宋_GB2312" w:cs="仿宋_GB2312"/>
          <w:sz w:val="32"/>
          <w:szCs w:val="32"/>
        </w:rPr>
        <w:t>72.63万元</w:t>
      </w:r>
      <w:r>
        <w:rPr>
          <w:rFonts w:hint="eastAsia" w:eastAsia="仿宋_GB2312" w:cs="仿宋_GB2312"/>
          <w:sz w:val="32"/>
          <w:szCs w:val="32"/>
        </w:rPr>
        <w:t>、邮电费</w:t>
      </w:r>
      <w:r>
        <w:rPr>
          <w:rFonts w:eastAsia="仿宋_GB2312" w:cs="仿宋_GB2312"/>
          <w:sz w:val="32"/>
          <w:szCs w:val="32"/>
        </w:rPr>
        <w:t>48.1万元</w:t>
      </w:r>
      <w:r>
        <w:rPr>
          <w:rFonts w:hint="eastAsia" w:eastAsia="仿宋_GB2312" w:cs="仿宋_GB2312"/>
          <w:sz w:val="32"/>
          <w:szCs w:val="32"/>
        </w:rPr>
        <w:t>、物业管理费</w:t>
      </w:r>
      <w:r>
        <w:rPr>
          <w:rFonts w:eastAsia="仿宋_GB2312" w:cs="仿宋_GB2312"/>
          <w:sz w:val="32"/>
          <w:szCs w:val="32"/>
        </w:rPr>
        <w:t>38.16万元</w:t>
      </w:r>
      <w:r>
        <w:rPr>
          <w:rFonts w:hint="eastAsia" w:eastAsia="仿宋_GB2312" w:cs="仿宋_GB2312"/>
          <w:sz w:val="32"/>
          <w:szCs w:val="32"/>
        </w:rPr>
        <w:t>、差旅费</w:t>
      </w:r>
      <w:r>
        <w:rPr>
          <w:rFonts w:eastAsia="仿宋_GB2312" w:cs="仿宋_GB2312"/>
          <w:sz w:val="32"/>
          <w:szCs w:val="32"/>
        </w:rPr>
        <w:t>161.03万元</w:t>
      </w:r>
      <w:r>
        <w:rPr>
          <w:rFonts w:hint="eastAsia" w:eastAsia="仿宋_GB2312" w:cs="仿宋_GB2312"/>
          <w:sz w:val="32"/>
          <w:szCs w:val="32"/>
        </w:rPr>
        <w:t>、维修（护）费</w:t>
      </w:r>
      <w:r>
        <w:rPr>
          <w:rFonts w:eastAsia="仿宋_GB2312" w:cs="仿宋_GB2312"/>
          <w:sz w:val="32"/>
          <w:szCs w:val="32"/>
        </w:rPr>
        <w:t>30.21万元</w:t>
      </w:r>
      <w:r>
        <w:rPr>
          <w:rFonts w:hint="eastAsia" w:eastAsia="仿宋_GB2312" w:cs="仿宋_GB2312"/>
          <w:sz w:val="32"/>
          <w:szCs w:val="32"/>
        </w:rPr>
        <w:t>、租赁费</w:t>
      </w:r>
      <w:r>
        <w:rPr>
          <w:rFonts w:eastAsia="仿宋_GB2312" w:cs="仿宋_GB2312"/>
          <w:sz w:val="32"/>
          <w:szCs w:val="32"/>
        </w:rPr>
        <w:t>10.52万元</w:t>
      </w:r>
      <w:r>
        <w:rPr>
          <w:rFonts w:hint="eastAsia" w:eastAsia="仿宋_GB2312" w:cs="仿宋_GB2312"/>
          <w:sz w:val="32"/>
          <w:szCs w:val="32"/>
        </w:rPr>
        <w:t>、会议费</w:t>
      </w:r>
      <w:r>
        <w:rPr>
          <w:rFonts w:eastAsia="仿宋_GB2312" w:cs="仿宋_GB2312"/>
          <w:sz w:val="32"/>
          <w:szCs w:val="32"/>
        </w:rPr>
        <w:t>19.41万元</w:t>
      </w:r>
      <w:r>
        <w:rPr>
          <w:rFonts w:hint="eastAsia" w:eastAsia="仿宋_GB2312" w:cs="仿宋_GB2312"/>
          <w:sz w:val="32"/>
          <w:szCs w:val="32"/>
        </w:rPr>
        <w:t>、培训费</w:t>
      </w:r>
      <w:r>
        <w:rPr>
          <w:rFonts w:eastAsia="仿宋_GB2312" w:cs="仿宋_GB2312"/>
          <w:sz w:val="32"/>
          <w:szCs w:val="32"/>
        </w:rPr>
        <w:t>0.85万元</w:t>
      </w:r>
      <w:r>
        <w:rPr>
          <w:rFonts w:hint="eastAsia" w:eastAsia="仿宋_GB2312" w:cs="仿宋_GB2312"/>
          <w:sz w:val="32"/>
          <w:szCs w:val="32"/>
        </w:rPr>
        <w:t>、公务接待费</w:t>
      </w:r>
      <w:r>
        <w:rPr>
          <w:rFonts w:eastAsia="仿宋_GB2312" w:cs="仿宋_GB2312"/>
          <w:sz w:val="32"/>
          <w:szCs w:val="32"/>
        </w:rPr>
        <w:t>0.22万元</w:t>
      </w:r>
      <w:r>
        <w:rPr>
          <w:rFonts w:hint="eastAsia" w:eastAsia="仿宋_GB2312" w:cs="仿宋_GB2312"/>
          <w:sz w:val="32"/>
          <w:szCs w:val="32"/>
        </w:rPr>
        <w:t>、劳务费</w:t>
      </w:r>
      <w:r>
        <w:rPr>
          <w:rFonts w:eastAsia="仿宋_GB2312" w:cs="仿宋_GB2312"/>
          <w:sz w:val="32"/>
          <w:szCs w:val="32"/>
        </w:rPr>
        <w:t>1.78万元</w:t>
      </w:r>
      <w:r>
        <w:rPr>
          <w:rFonts w:hint="eastAsia" w:eastAsia="仿宋_GB2312" w:cs="仿宋_GB2312"/>
          <w:sz w:val="32"/>
          <w:szCs w:val="32"/>
        </w:rPr>
        <w:t>、委托业务费</w:t>
      </w:r>
      <w:r>
        <w:rPr>
          <w:rFonts w:eastAsia="仿宋_GB2312" w:cs="仿宋_GB2312"/>
          <w:sz w:val="32"/>
          <w:szCs w:val="32"/>
        </w:rPr>
        <w:t>5.7万元</w:t>
      </w:r>
      <w:r>
        <w:rPr>
          <w:rFonts w:hint="eastAsia" w:eastAsia="仿宋_GB2312" w:cs="仿宋_GB2312"/>
          <w:sz w:val="32"/>
          <w:szCs w:val="32"/>
        </w:rPr>
        <w:t>、</w:t>
      </w:r>
      <w:r>
        <w:rPr>
          <w:rFonts w:eastAsia="仿宋_GB2312" w:cs="仿宋_GB2312"/>
          <w:sz w:val="32"/>
          <w:szCs w:val="32"/>
        </w:rPr>
        <w:t>工会经费5.76万元、</w:t>
      </w:r>
      <w:r>
        <w:rPr>
          <w:rFonts w:hint="eastAsia" w:eastAsia="仿宋_GB2312" w:cs="仿宋_GB2312"/>
          <w:sz w:val="32"/>
          <w:szCs w:val="32"/>
        </w:rPr>
        <w:t>福利费</w:t>
      </w:r>
      <w:r>
        <w:rPr>
          <w:rFonts w:eastAsia="仿宋_GB2312" w:cs="仿宋_GB2312"/>
          <w:sz w:val="32"/>
          <w:szCs w:val="32"/>
        </w:rPr>
        <w:t>8.95万元</w:t>
      </w:r>
      <w:r>
        <w:rPr>
          <w:rFonts w:hint="eastAsia" w:eastAsia="仿宋_GB2312" w:cs="仿宋_GB2312"/>
          <w:sz w:val="32"/>
          <w:szCs w:val="32"/>
        </w:rPr>
        <w:t>、公务用车运行维护费</w:t>
      </w:r>
      <w:r>
        <w:rPr>
          <w:rFonts w:eastAsia="仿宋_GB2312" w:cs="仿宋_GB2312"/>
          <w:sz w:val="32"/>
          <w:szCs w:val="32"/>
        </w:rPr>
        <w:t>150.61万元</w:t>
      </w:r>
      <w:r>
        <w:rPr>
          <w:rFonts w:hint="eastAsia" w:eastAsia="仿宋_GB2312" w:cs="仿宋_GB2312"/>
          <w:sz w:val="32"/>
          <w:szCs w:val="32"/>
        </w:rPr>
        <w:t>、其他商品和服务支出</w:t>
      </w:r>
      <w:r>
        <w:rPr>
          <w:rFonts w:eastAsia="仿宋_GB2312" w:cs="仿宋_GB2312"/>
          <w:sz w:val="32"/>
          <w:szCs w:val="32"/>
        </w:rPr>
        <w:t>3.36万元。</w:t>
      </w:r>
    </w:p>
    <w:p w14:paraId="47F44069">
      <w:pPr>
        <w:spacing w:line="576" w:lineRule="exact"/>
        <w:ind w:firstLine="640"/>
        <w:outlineLvl w:val="1"/>
        <w:rPr>
          <w:rStyle w:val="20"/>
          <w:rFonts w:ascii="Times New Roman" w:hAnsi="Times New Roman" w:eastAsia="黑体"/>
          <w:b w:val="0"/>
        </w:rPr>
      </w:pPr>
      <w:bookmarkStart w:id="48" w:name="_Toc15396609"/>
      <w:bookmarkStart w:id="49" w:name="_Toc15377215"/>
      <w:bookmarkStart w:id="50" w:name="_Toc23788759"/>
      <w:r>
        <w:rPr>
          <w:rFonts w:hint="eastAsia" w:eastAsia="黑体"/>
          <w:sz w:val="32"/>
          <w:szCs w:val="32"/>
        </w:rPr>
        <w:t>七、</w:t>
      </w:r>
      <w:r>
        <w:rPr>
          <w:rStyle w:val="20"/>
          <w:rFonts w:hint="eastAsia" w:ascii="Times New Roman" w:hAnsi="Times New Roman" w:eastAsia="黑体"/>
          <w:b w:val="0"/>
        </w:rPr>
        <w:t>财政拨款</w:t>
      </w:r>
      <w:r>
        <w:rPr>
          <w:rStyle w:val="20"/>
          <w:rFonts w:hint="eastAsia" w:ascii="Times New Roman" w:hAnsi="Times New Roman" w:eastAsia="黑体"/>
        </w:rPr>
        <w:t>“</w:t>
      </w:r>
      <w:r>
        <w:rPr>
          <w:rStyle w:val="20"/>
          <w:rFonts w:hint="eastAsia" w:ascii="Times New Roman" w:hAnsi="Times New Roman" w:eastAsia="黑体"/>
          <w:b w:val="0"/>
        </w:rPr>
        <w:t>三公”经费支出决算情况说明</w:t>
      </w:r>
      <w:bookmarkEnd w:id="48"/>
      <w:bookmarkEnd w:id="49"/>
      <w:bookmarkEnd w:id="50"/>
    </w:p>
    <w:p w14:paraId="16F2A70D">
      <w:pPr>
        <w:spacing w:line="576" w:lineRule="exact"/>
        <w:ind w:firstLine="643" w:firstLineChars="200"/>
        <w:outlineLvl w:val="2"/>
        <w:rPr>
          <w:rFonts w:eastAsia="楷体_GB2312" w:cs="楷体_GB2312"/>
          <w:b/>
          <w:sz w:val="32"/>
          <w:szCs w:val="32"/>
        </w:rPr>
      </w:pPr>
      <w:bookmarkStart w:id="51" w:name="_Toc15377216"/>
      <w:bookmarkStart w:id="52" w:name="_Toc23788760"/>
      <w:r>
        <w:rPr>
          <w:rFonts w:hint="eastAsia" w:eastAsia="楷体_GB2312" w:cs="楷体_GB2312"/>
          <w:b/>
          <w:sz w:val="32"/>
          <w:szCs w:val="32"/>
        </w:rPr>
        <w:t>（一）“三公”经费财政拨款支出决算总体情况说明</w:t>
      </w:r>
      <w:bookmarkEnd w:id="51"/>
      <w:bookmarkEnd w:id="52"/>
    </w:p>
    <w:p w14:paraId="7B6C9666">
      <w:pPr>
        <w:spacing w:line="576" w:lineRule="exact"/>
        <w:ind w:firstLine="640"/>
        <w:rPr>
          <w:rFonts w:eastAsia="仿宋_GB2312" w:cs="仿宋_GB2312"/>
          <w:sz w:val="32"/>
          <w:szCs w:val="32"/>
        </w:rPr>
      </w:pPr>
      <w:r>
        <w:rPr>
          <w:rFonts w:hint="eastAsia" w:eastAsia="仿宋_GB2312" w:cs="仿宋_GB2312"/>
          <w:sz w:val="32"/>
          <w:szCs w:val="32"/>
        </w:rPr>
        <w:t>2025年度“三公”经费财政拨款支出决算为</w:t>
      </w:r>
      <w:r>
        <w:rPr>
          <w:rFonts w:ascii="仿宋_GB2312" w:eastAsia="仿宋_GB2312" w:cs="仿宋_GB2312"/>
          <w:sz w:val="32"/>
          <w:szCs w:val="32"/>
        </w:rPr>
        <w:t>150.83</w:t>
      </w:r>
      <w:r>
        <w:rPr>
          <w:rFonts w:hint="eastAsia" w:ascii="仿宋_GB2312" w:eastAsia="仿宋_GB2312" w:cs="仿宋_GB2312"/>
          <w:sz w:val="32"/>
          <w:szCs w:val="32"/>
        </w:rPr>
        <w:t>万元，完成预算</w:t>
      </w:r>
      <w:r>
        <w:rPr>
          <w:rFonts w:ascii="仿宋_GB2312" w:eastAsia="仿宋_GB2312" w:cs="仿宋_GB2312"/>
          <w:sz w:val="32"/>
          <w:szCs w:val="32"/>
        </w:rPr>
        <w:t>100</w:t>
      </w:r>
      <w:r>
        <w:rPr>
          <w:rFonts w:hint="eastAsia" w:ascii="仿宋_GB2312" w:eastAsia="仿宋_GB2312" w:cs="仿宋_GB2312"/>
          <w:sz w:val="32"/>
          <w:szCs w:val="32"/>
        </w:rPr>
        <w:t>%，</w:t>
      </w:r>
      <w:r>
        <w:rPr>
          <w:rFonts w:hint="eastAsia" w:eastAsia="仿宋_GB2312" w:cs="仿宋_GB2312"/>
          <w:sz w:val="32"/>
          <w:szCs w:val="32"/>
        </w:rPr>
        <w:t>较上年度</w:t>
      </w:r>
      <w:r>
        <w:rPr>
          <w:rFonts w:eastAsia="仿宋_GB2312" w:cs="仿宋_GB2312"/>
          <w:sz w:val="32"/>
          <w:szCs w:val="32"/>
        </w:rPr>
        <w:t>减少210.28</w:t>
      </w:r>
      <w:r>
        <w:rPr>
          <w:rFonts w:hint="eastAsia" w:eastAsia="仿宋_GB2312" w:cs="仿宋_GB2312"/>
          <w:sz w:val="32"/>
          <w:szCs w:val="32"/>
        </w:rPr>
        <w:t>万元，</w:t>
      </w:r>
      <w:r>
        <w:rPr>
          <w:rFonts w:eastAsia="仿宋_GB2312" w:cs="仿宋_GB2312"/>
          <w:sz w:val="32"/>
          <w:szCs w:val="32"/>
        </w:rPr>
        <w:t>下降58.24</w:t>
      </w:r>
      <w:r>
        <w:rPr>
          <w:rFonts w:hint="eastAsia" w:eastAsia="仿宋_GB2312" w:cs="仿宋_GB2312"/>
          <w:sz w:val="32"/>
          <w:szCs w:val="32"/>
        </w:rPr>
        <w:t>%。</w:t>
      </w:r>
      <w:r>
        <w:rPr>
          <w:rFonts w:hint="eastAsia" w:ascii="仿宋" w:eastAsia="仿宋"/>
          <w:sz w:val="32"/>
          <w:szCs w:val="32"/>
        </w:rPr>
        <w:t>决算数与预算数持平。</w:t>
      </w:r>
    </w:p>
    <w:p w14:paraId="4F6CA63F">
      <w:pPr>
        <w:spacing w:line="576" w:lineRule="exact"/>
        <w:ind w:firstLine="643" w:firstLineChars="200"/>
        <w:outlineLvl w:val="2"/>
        <w:rPr>
          <w:rFonts w:eastAsia="楷体_GB2312" w:cs="楷体_GB2312"/>
          <w:b/>
          <w:sz w:val="32"/>
          <w:szCs w:val="32"/>
        </w:rPr>
      </w:pPr>
      <w:bookmarkStart w:id="53" w:name="_Toc23788761"/>
      <w:bookmarkStart w:id="54" w:name="_Toc15377217"/>
      <w:r>
        <w:rPr>
          <w:rFonts w:hint="eastAsia" w:eastAsia="楷体_GB2312" w:cs="楷体_GB2312"/>
          <w:b/>
          <w:sz w:val="32"/>
          <w:szCs w:val="32"/>
        </w:rPr>
        <w:t>（二）“三公”经费财政拨款支出决算具体情况说明</w:t>
      </w:r>
      <w:bookmarkEnd w:id="53"/>
      <w:bookmarkEnd w:id="54"/>
    </w:p>
    <w:p w14:paraId="04ACF10A">
      <w:pPr>
        <w:spacing w:line="576" w:lineRule="exact"/>
        <w:ind w:firstLine="640"/>
        <w:rPr>
          <w:rFonts w:ascii="仿宋_GB2312" w:eastAsia="仿宋_GB2312" w:cs="仿宋_GB2312"/>
          <w:sz w:val="32"/>
          <w:szCs w:val="32"/>
        </w:rPr>
      </w:pPr>
      <w:r>
        <w:rPr>
          <w:rFonts w:hint="eastAsia" w:ascii="仿宋_GB2312" w:eastAsia="仿宋_GB2312" w:cs="仿宋_GB2312"/>
          <w:sz w:val="32"/>
          <w:szCs w:val="32"/>
        </w:rPr>
        <w:t>2025年度“三公”经费财政拨款支出决算中，因公出国（境）费支出决算</w:t>
      </w:r>
      <w:r>
        <w:rPr>
          <w:rFonts w:ascii="仿宋_GB2312" w:eastAsia="仿宋_GB2312" w:cs="仿宋_GB2312"/>
          <w:sz w:val="32"/>
          <w:szCs w:val="32"/>
        </w:rPr>
        <w:t>0</w:t>
      </w:r>
      <w:r>
        <w:rPr>
          <w:rFonts w:hint="eastAsia" w:ascii="仿宋_GB2312" w:eastAsia="仿宋_GB2312" w:cs="仿宋_GB2312"/>
          <w:sz w:val="32"/>
          <w:szCs w:val="32"/>
        </w:rPr>
        <w:t>万元；公务用车购置及运行维护费支出决算</w:t>
      </w:r>
      <w:r>
        <w:rPr>
          <w:rFonts w:ascii="仿宋_GB2312" w:eastAsia="仿宋_GB2312" w:cs="仿宋_GB2312"/>
          <w:sz w:val="32"/>
          <w:szCs w:val="32"/>
        </w:rPr>
        <w:t>150.61</w:t>
      </w:r>
      <w:r>
        <w:rPr>
          <w:rFonts w:hint="eastAsia" w:ascii="仿宋_GB2312" w:eastAsia="仿宋_GB2312" w:cs="仿宋_GB2312"/>
          <w:sz w:val="32"/>
          <w:szCs w:val="32"/>
        </w:rPr>
        <w:t>万元，占</w:t>
      </w:r>
      <w:r>
        <w:rPr>
          <w:rFonts w:ascii="仿宋_GB2312" w:eastAsia="仿宋_GB2312" w:cs="仿宋_GB2312"/>
          <w:sz w:val="32"/>
          <w:szCs w:val="32"/>
        </w:rPr>
        <w:t>99.86</w:t>
      </w:r>
      <w:r>
        <w:rPr>
          <w:rFonts w:hint="eastAsia" w:ascii="仿宋_GB2312" w:eastAsia="仿宋_GB2312" w:cs="仿宋_GB2312"/>
          <w:sz w:val="32"/>
          <w:szCs w:val="32"/>
        </w:rPr>
        <w:t>%；公务接待费支出决算</w:t>
      </w:r>
      <w:r>
        <w:rPr>
          <w:rFonts w:ascii="仿宋_GB2312" w:eastAsia="仿宋_GB2312" w:cs="仿宋_GB2312"/>
          <w:sz w:val="32"/>
          <w:szCs w:val="32"/>
        </w:rPr>
        <w:t>0.22</w:t>
      </w:r>
      <w:r>
        <w:rPr>
          <w:rFonts w:hint="eastAsia" w:ascii="仿宋_GB2312" w:eastAsia="仿宋_GB2312" w:cs="仿宋_GB2312"/>
          <w:sz w:val="32"/>
          <w:szCs w:val="32"/>
        </w:rPr>
        <w:t>万元，占</w:t>
      </w:r>
      <w:r>
        <w:rPr>
          <w:rFonts w:ascii="仿宋_GB2312" w:eastAsia="仿宋_GB2312" w:cs="仿宋_GB2312"/>
          <w:sz w:val="32"/>
          <w:szCs w:val="32"/>
        </w:rPr>
        <w:t>0.14</w:t>
      </w:r>
      <w:r>
        <w:rPr>
          <w:rFonts w:hint="eastAsia" w:ascii="仿宋_GB2312" w:eastAsia="仿宋_GB2312" w:cs="仿宋_GB2312"/>
          <w:sz w:val="32"/>
          <w:szCs w:val="32"/>
        </w:rPr>
        <w:t>%。具体情况如下：</w:t>
      </w:r>
    </w:p>
    <w:p w14:paraId="1A2110C6">
      <w:pPr>
        <w:pStyle w:val="2"/>
        <w:jc w:val="center"/>
      </w:pPr>
      <w:r>
        <w:drawing>
          <wp:inline distT="0" distB="0" distL="84455" distR="84455">
            <wp:extent cx="4123690" cy="1809115"/>
            <wp:effectExtent l="0" t="0" r="0" b="0"/>
            <wp:docPr id="7"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12C2555">
      <w:pPr>
        <w:pStyle w:val="2"/>
        <w:jc w:val="center"/>
      </w:pPr>
    </w:p>
    <w:p w14:paraId="6E316ED0">
      <w:pPr>
        <w:spacing w:line="576"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14:paraId="3A10FFB2">
      <w:pPr>
        <w:spacing w:line="576"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eastAsia="仿宋_GB2312" w:cs="仿宋_GB2312"/>
          <w:b/>
          <w:bCs/>
          <w:sz w:val="32"/>
          <w:szCs w:val="32"/>
        </w:rPr>
        <w:t>0</w:t>
      </w:r>
      <w:r>
        <w:rPr>
          <w:rFonts w:hint="eastAsia" w:eastAsia="仿宋_GB2312" w:cs="仿宋_GB2312"/>
          <w:b/>
          <w:bCs/>
          <w:sz w:val="32"/>
          <w:szCs w:val="32"/>
        </w:rPr>
        <w:t>万元。</w:t>
      </w:r>
      <w:r>
        <w:rPr>
          <w:rFonts w:hint="eastAsia" w:eastAsia="仿宋_GB2312" w:cs="仿宋_GB2312"/>
          <w:sz w:val="32"/>
          <w:szCs w:val="32"/>
        </w:rPr>
        <w:t>全年安排因公出国（境）团</w:t>
      </w:r>
      <w:r>
        <w:rPr>
          <w:rFonts w:hint="eastAsia" w:ascii="仿宋_GB2312" w:eastAsia="仿宋_GB2312" w:cs="仿宋_GB2312"/>
          <w:sz w:val="32"/>
          <w:szCs w:val="32"/>
        </w:rPr>
        <w:t>组</w:t>
      </w:r>
      <w:r>
        <w:rPr>
          <w:rFonts w:ascii="仿宋_GB2312" w:eastAsia="仿宋_GB2312" w:cs="仿宋_GB2312"/>
          <w:sz w:val="32"/>
          <w:szCs w:val="32"/>
        </w:rPr>
        <w:t>0</w:t>
      </w:r>
      <w:r>
        <w:rPr>
          <w:rFonts w:hint="eastAsia" w:eastAsia="仿宋_GB2312" w:cs="仿宋_GB2312"/>
          <w:sz w:val="32"/>
          <w:szCs w:val="32"/>
        </w:rPr>
        <w:t>次，出国（境）</w:t>
      </w:r>
      <w:r>
        <w:rPr>
          <w:rFonts w:ascii="仿宋_GB2312" w:eastAsia="仿宋_GB2312" w:cs="仿宋_GB2312"/>
          <w:sz w:val="32"/>
          <w:szCs w:val="32"/>
        </w:rPr>
        <w:t>0</w:t>
      </w:r>
      <w:r>
        <w:rPr>
          <w:rFonts w:hint="eastAsia" w:ascii="仿宋_GB2312" w:eastAsia="仿宋_GB2312" w:cs="仿宋_GB2312"/>
          <w:sz w:val="32"/>
          <w:szCs w:val="32"/>
        </w:rPr>
        <w:t>人</w:t>
      </w:r>
      <w:r>
        <w:rPr>
          <w:rFonts w:hint="eastAsia" w:eastAsia="仿宋_GB2312" w:cs="仿宋_GB2312"/>
          <w:sz w:val="32"/>
          <w:szCs w:val="32"/>
        </w:rPr>
        <w:t>。因公出国（境）支出</w:t>
      </w:r>
      <w:r>
        <w:rPr>
          <w:rFonts w:eastAsia="仿宋_GB2312" w:cs="仿宋_GB2312"/>
          <w:sz w:val="32"/>
          <w:szCs w:val="32"/>
        </w:rPr>
        <w:t>0万元，</w:t>
      </w:r>
      <w:r>
        <w:rPr>
          <w:rFonts w:hint="eastAsia" w:eastAsia="仿宋_GB2312" w:cs="仿宋_GB2312"/>
          <w:sz w:val="32"/>
          <w:szCs w:val="32"/>
        </w:rPr>
        <w:t>决算</w:t>
      </w:r>
      <w:r>
        <w:rPr>
          <w:rFonts w:eastAsia="仿宋_GB2312" w:cs="仿宋_GB2312"/>
          <w:sz w:val="32"/>
          <w:szCs w:val="32"/>
        </w:rPr>
        <w:t>数较上年持平。</w:t>
      </w:r>
    </w:p>
    <w:p w14:paraId="2535729A">
      <w:pPr>
        <w:spacing w:line="576" w:lineRule="exact"/>
        <w:ind w:firstLine="640"/>
        <w:rPr>
          <w:rFonts w:eastAsia="仿宋_GB2312" w:cs="仿宋_GB2312"/>
          <w:sz w:val="32"/>
          <w:szCs w:val="32"/>
        </w:rPr>
      </w:pPr>
      <w:r>
        <w:rPr>
          <w:rFonts w:hint="eastAsia" w:eastAsia="仿宋_GB2312" w:cs="仿宋_GB2312"/>
          <w:b/>
          <w:bCs/>
          <w:sz w:val="32"/>
          <w:szCs w:val="32"/>
        </w:rPr>
        <w:t>2.公务用车购置及运行维护费支出</w:t>
      </w:r>
      <w:r>
        <w:rPr>
          <w:rFonts w:ascii="仿宋_GB2312" w:eastAsia="仿宋_GB2312" w:cs="仿宋_GB2312"/>
          <w:b/>
          <w:bCs/>
          <w:sz w:val="32"/>
          <w:szCs w:val="32"/>
        </w:rPr>
        <w:t>150.61</w:t>
      </w:r>
      <w:r>
        <w:rPr>
          <w:rFonts w:hint="eastAsia" w:ascii="仿宋_GB2312" w:eastAsia="仿宋_GB2312" w:cs="仿宋_GB2312"/>
          <w:b/>
          <w:bCs/>
          <w:sz w:val="32"/>
          <w:szCs w:val="32"/>
        </w:rPr>
        <w:t>万</w:t>
      </w:r>
      <w:r>
        <w:rPr>
          <w:rFonts w:hint="eastAsia" w:eastAsia="仿宋_GB2312" w:cs="仿宋_GB2312"/>
          <w:b/>
          <w:bCs/>
          <w:sz w:val="32"/>
          <w:szCs w:val="32"/>
        </w:rPr>
        <w:t>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公务用车购置及运行维护费支出决算比2024年度</w:t>
      </w:r>
      <w:r>
        <w:rPr>
          <w:rFonts w:eastAsia="仿宋_GB2312" w:cs="仿宋_GB2312"/>
          <w:sz w:val="32"/>
          <w:szCs w:val="32"/>
        </w:rPr>
        <w:t>减少209.9</w:t>
      </w:r>
      <w:r>
        <w:rPr>
          <w:rFonts w:hint="eastAsia" w:eastAsia="仿宋_GB2312" w:cs="仿宋_GB2312"/>
          <w:sz w:val="32"/>
          <w:szCs w:val="32"/>
        </w:rPr>
        <w:t>万元，</w:t>
      </w:r>
      <w:r>
        <w:rPr>
          <w:rFonts w:eastAsia="仿宋_GB2312" w:cs="仿宋_GB2312"/>
          <w:sz w:val="32"/>
          <w:szCs w:val="32"/>
        </w:rPr>
        <w:t>下降58.23</w:t>
      </w:r>
      <w:r>
        <w:rPr>
          <w:rFonts w:hint="eastAsia" w:eastAsia="仿宋_GB2312" w:cs="仿宋_GB2312"/>
          <w:sz w:val="32"/>
          <w:szCs w:val="32"/>
        </w:rPr>
        <w:t>%。主要原因是</w:t>
      </w:r>
      <w:r>
        <w:rPr>
          <w:rFonts w:eastAsia="仿宋_GB2312" w:cs="仿宋_GB2312"/>
          <w:sz w:val="32"/>
          <w:szCs w:val="32"/>
        </w:rPr>
        <w:t>2025年未购置车辆，公务用车购置费较上年减少119.6万元。</w:t>
      </w:r>
    </w:p>
    <w:p w14:paraId="6179A656">
      <w:pPr>
        <w:spacing w:line="576" w:lineRule="exact"/>
        <w:ind w:firstLine="640"/>
        <w:rPr>
          <w:rFonts w:eastAsia="仿宋_GB2312" w:cs="仿宋_GB2312"/>
          <w:sz w:val="32"/>
          <w:szCs w:val="32"/>
        </w:rPr>
      </w:pPr>
      <w:r>
        <w:rPr>
          <w:rFonts w:hint="eastAsia" w:eastAsia="仿宋_GB2312" w:cs="仿宋_GB2312"/>
          <w:sz w:val="32"/>
          <w:szCs w:val="32"/>
        </w:rPr>
        <w:t>其中：公务用车购置</w:t>
      </w:r>
      <w:r>
        <w:rPr>
          <w:rFonts w:eastAsia="仿宋_GB2312" w:cs="仿宋_GB2312"/>
          <w:sz w:val="32"/>
          <w:szCs w:val="32"/>
        </w:rPr>
        <w:t>费</w:t>
      </w:r>
      <w:r>
        <w:rPr>
          <w:rFonts w:hint="eastAsia" w:eastAsia="仿宋_GB2312" w:cs="仿宋_GB2312"/>
          <w:sz w:val="32"/>
          <w:szCs w:val="32"/>
        </w:rPr>
        <w:t>支</w:t>
      </w:r>
      <w:r>
        <w:rPr>
          <w:rFonts w:hint="eastAsia" w:ascii="仿宋_GB2312" w:eastAsia="仿宋_GB2312" w:cs="仿宋_GB2312"/>
          <w:sz w:val="32"/>
          <w:szCs w:val="32"/>
        </w:rPr>
        <w:t>出</w:t>
      </w:r>
      <w:r>
        <w:rPr>
          <w:rFonts w:ascii="仿宋_GB2312" w:eastAsia="仿宋_GB2312" w:cs="仿宋_GB2312"/>
          <w:sz w:val="32"/>
          <w:szCs w:val="32"/>
        </w:rPr>
        <w:t>0</w:t>
      </w:r>
      <w:r>
        <w:rPr>
          <w:rFonts w:hint="eastAsia" w:eastAsia="仿宋_GB2312" w:cs="仿宋_GB2312"/>
          <w:sz w:val="32"/>
          <w:szCs w:val="32"/>
        </w:rPr>
        <w:t>万元。截至2025年12月31日，单位共有公务用车</w:t>
      </w:r>
      <w:r>
        <w:rPr>
          <w:rFonts w:eastAsia="仿宋_GB2312" w:cs="仿宋_GB2312"/>
          <w:sz w:val="32"/>
          <w:szCs w:val="32"/>
        </w:rPr>
        <w:t>18</w:t>
      </w:r>
      <w:r>
        <w:rPr>
          <w:rFonts w:hint="eastAsia" w:eastAsia="仿宋_GB2312" w:cs="仿宋_GB2312"/>
          <w:sz w:val="32"/>
          <w:szCs w:val="32"/>
        </w:rPr>
        <w:t>辆，其中：轿车</w:t>
      </w:r>
      <w:r>
        <w:rPr>
          <w:rFonts w:eastAsia="仿宋_GB2312" w:cs="仿宋_GB2312"/>
          <w:sz w:val="32"/>
          <w:szCs w:val="32"/>
        </w:rPr>
        <w:t>1</w:t>
      </w:r>
      <w:r>
        <w:rPr>
          <w:rFonts w:hint="eastAsia" w:eastAsia="仿宋_GB2312" w:cs="仿宋_GB2312"/>
          <w:sz w:val="32"/>
          <w:szCs w:val="32"/>
        </w:rPr>
        <w:t>辆、越野车</w:t>
      </w:r>
      <w:r>
        <w:rPr>
          <w:rFonts w:eastAsia="仿宋_GB2312" w:cs="仿宋_GB2312"/>
          <w:sz w:val="32"/>
          <w:szCs w:val="32"/>
        </w:rPr>
        <w:t>16</w:t>
      </w:r>
      <w:r>
        <w:rPr>
          <w:rFonts w:hint="eastAsia" w:eastAsia="仿宋_GB2312" w:cs="仿宋_GB2312"/>
          <w:sz w:val="32"/>
          <w:szCs w:val="32"/>
        </w:rPr>
        <w:t>辆、</w:t>
      </w:r>
      <w:r>
        <w:rPr>
          <w:rFonts w:eastAsia="仿宋_GB2312" w:cs="仿宋_GB2312"/>
          <w:sz w:val="32"/>
          <w:szCs w:val="32"/>
        </w:rPr>
        <w:t>皮卡车1</w:t>
      </w:r>
      <w:r>
        <w:rPr>
          <w:rFonts w:hint="eastAsia" w:eastAsia="仿宋_GB2312" w:cs="仿宋_GB2312"/>
          <w:sz w:val="32"/>
          <w:szCs w:val="32"/>
        </w:rPr>
        <w:t>辆。</w:t>
      </w:r>
    </w:p>
    <w:p w14:paraId="5E17F899">
      <w:pPr>
        <w:spacing w:line="576"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eastAsia="仿宋_GB2312" w:cs="仿宋_GB2312"/>
          <w:sz w:val="32"/>
          <w:szCs w:val="32"/>
        </w:rPr>
        <w:t>出</w:t>
      </w:r>
      <w:r>
        <w:rPr>
          <w:rFonts w:ascii="仿宋_GB2312" w:eastAsia="仿宋_GB2312" w:cs="仿宋_GB2312"/>
          <w:sz w:val="32"/>
          <w:szCs w:val="32"/>
        </w:rPr>
        <w:t>150.61</w:t>
      </w:r>
      <w:r>
        <w:rPr>
          <w:rFonts w:hint="eastAsia" w:eastAsia="仿宋_GB2312" w:cs="仿宋_GB2312"/>
          <w:sz w:val="32"/>
          <w:szCs w:val="32"/>
        </w:rPr>
        <w:t>万元。</w:t>
      </w:r>
      <w:r>
        <w:rPr>
          <w:rFonts w:hint="eastAsia" w:ascii="仿宋_GB2312" w:eastAsia="仿宋_GB2312"/>
          <w:sz w:val="32"/>
          <w:szCs w:val="32"/>
        </w:rPr>
        <w:t>主要用于公务出行及一线调研等所需的公务用车燃料费、维修费、过路过桥费、保险费等支出。</w:t>
      </w:r>
    </w:p>
    <w:p w14:paraId="548E2E47">
      <w:pPr>
        <w:spacing w:line="576" w:lineRule="exact"/>
        <w:ind w:firstLine="640"/>
        <w:rPr>
          <w:rFonts w:eastAsia="仿宋_GB2312" w:cs="仿宋_GB2312"/>
          <w:sz w:val="32"/>
          <w:szCs w:val="32"/>
        </w:rPr>
      </w:pPr>
      <w:r>
        <w:rPr>
          <w:rFonts w:hint="eastAsia" w:eastAsia="仿宋_GB2312" w:cs="仿宋_GB2312"/>
          <w:b/>
          <w:bCs/>
          <w:sz w:val="32"/>
          <w:szCs w:val="32"/>
        </w:rPr>
        <w:t>3.公务接待费支出</w:t>
      </w:r>
      <w:r>
        <w:rPr>
          <w:rFonts w:ascii="仿宋_GB2312" w:eastAsia="仿宋_GB2312" w:cs="仿宋_GB2312"/>
          <w:b/>
          <w:bCs/>
          <w:sz w:val="32"/>
          <w:szCs w:val="32"/>
        </w:rPr>
        <w:t>0.22</w:t>
      </w:r>
      <w:r>
        <w:rPr>
          <w:rFonts w:hint="eastAsia" w:ascii="仿宋_GB2312" w:eastAsia="仿宋_GB2312" w:cs="仿宋_GB2312"/>
          <w:b/>
          <w:bCs/>
          <w:sz w:val="32"/>
          <w:szCs w:val="32"/>
        </w:rPr>
        <w:t>万</w:t>
      </w:r>
      <w:r>
        <w:rPr>
          <w:rFonts w:hint="eastAsia" w:eastAsia="仿宋_GB2312" w:cs="仿宋_GB2312"/>
          <w:b/>
          <w:bCs/>
          <w:sz w:val="32"/>
          <w:szCs w:val="32"/>
        </w:rPr>
        <w:t>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公务接待费支出决算比2024年度减少</w:t>
      </w:r>
      <w:r>
        <w:rPr>
          <w:rFonts w:eastAsia="仿宋_GB2312" w:cs="仿宋_GB2312"/>
          <w:sz w:val="32"/>
          <w:szCs w:val="32"/>
        </w:rPr>
        <w:t>0.38</w:t>
      </w:r>
      <w:r>
        <w:rPr>
          <w:rFonts w:hint="eastAsia" w:eastAsia="仿宋_GB2312" w:cs="仿宋_GB2312"/>
          <w:sz w:val="32"/>
          <w:szCs w:val="32"/>
        </w:rPr>
        <w:t>万元，下降</w:t>
      </w:r>
      <w:r>
        <w:rPr>
          <w:rFonts w:eastAsia="仿宋_GB2312" w:cs="仿宋_GB2312"/>
          <w:sz w:val="32"/>
          <w:szCs w:val="32"/>
        </w:rPr>
        <w:t>63.34</w:t>
      </w:r>
      <w:r>
        <w:rPr>
          <w:rFonts w:hint="eastAsia" w:eastAsia="仿宋_GB2312" w:cs="仿宋_GB2312"/>
          <w:sz w:val="32"/>
          <w:szCs w:val="32"/>
        </w:rPr>
        <w:t>%。主要原因是</w:t>
      </w:r>
      <w:r>
        <w:rPr>
          <w:rFonts w:hint="eastAsia" w:ascii="仿宋_GB2312" w:eastAsia="仿宋_GB2312"/>
          <w:sz w:val="32"/>
          <w:szCs w:val="32"/>
        </w:rPr>
        <w:t>厉行节约</w:t>
      </w:r>
      <w:r>
        <w:rPr>
          <w:rFonts w:ascii="仿宋_GB2312" w:eastAsia="仿宋_GB2312"/>
          <w:sz w:val="32"/>
          <w:szCs w:val="32"/>
        </w:rPr>
        <w:t>，接待批次及人数较上年均有减少</w:t>
      </w:r>
      <w:r>
        <w:rPr>
          <w:rFonts w:hint="eastAsia" w:eastAsia="仿宋_GB2312" w:cs="仿宋_GB2312"/>
          <w:sz w:val="32"/>
          <w:szCs w:val="32"/>
        </w:rPr>
        <w:t>。其中：</w:t>
      </w:r>
    </w:p>
    <w:p w14:paraId="6D181FD0">
      <w:pPr>
        <w:spacing w:line="576"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eastAsia="仿宋_GB2312" w:cs="仿宋_GB2312"/>
          <w:sz w:val="32"/>
          <w:szCs w:val="32"/>
        </w:rPr>
        <w:t>出</w:t>
      </w:r>
      <w:r>
        <w:rPr>
          <w:rFonts w:ascii="仿宋_GB2312" w:eastAsia="仿宋_GB2312" w:cs="仿宋_GB2312"/>
          <w:sz w:val="32"/>
          <w:szCs w:val="32"/>
        </w:rPr>
        <w:t>0.22</w:t>
      </w:r>
      <w:r>
        <w:rPr>
          <w:rFonts w:hint="eastAsia" w:ascii="仿宋_GB2312" w:eastAsia="仿宋_GB2312" w:cs="仿宋_GB2312"/>
          <w:sz w:val="32"/>
          <w:szCs w:val="32"/>
        </w:rPr>
        <w:t>万</w:t>
      </w:r>
      <w:r>
        <w:rPr>
          <w:rFonts w:hint="eastAsia" w:eastAsia="仿宋_GB2312" w:cs="仿宋_GB2312"/>
          <w:sz w:val="32"/>
          <w:szCs w:val="32"/>
        </w:rPr>
        <w:t>元，</w:t>
      </w:r>
      <w:r>
        <w:rPr>
          <w:rFonts w:hint="eastAsia" w:ascii="仿宋_GB2312" w:eastAsia="仿宋_GB2312"/>
          <w:sz w:val="32"/>
          <w:szCs w:val="32"/>
        </w:rPr>
        <w:t>主要用于来州调研等业务活动开支的用餐费</w:t>
      </w:r>
      <w:r>
        <w:rPr>
          <w:rFonts w:hint="eastAsia" w:eastAsia="仿宋_GB2312" w:cs="仿宋_GB2312"/>
          <w:sz w:val="32"/>
          <w:szCs w:val="32"/>
        </w:rPr>
        <w:t>。国内公务接</w:t>
      </w:r>
      <w:r>
        <w:rPr>
          <w:rFonts w:hint="eastAsia" w:ascii="仿宋_GB2312" w:eastAsia="仿宋_GB2312" w:cs="仿宋_GB2312"/>
          <w:sz w:val="32"/>
          <w:szCs w:val="32"/>
        </w:rPr>
        <w:t>待</w:t>
      </w:r>
      <w:r>
        <w:rPr>
          <w:rFonts w:ascii="仿宋_GB2312" w:eastAsia="仿宋_GB2312" w:cs="仿宋_GB2312"/>
          <w:sz w:val="32"/>
          <w:szCs w:val="32"/>
        </w:rPr>
        <w:t>3</w:t>
      </w:r>
      <w:r>
        <w:rPr>
          <w:rFonts w:hint="eastAsia" w:ascii="仿宋_GB2312" w:eastAsia="仿宋_GB2312" w:cs="仿宋_GB2312"/>
          <w:sz w:val="32"/>
          <w:szCs w:val="32"/>
        </w:rPr>
        <w:t>批次，</w:t>
      </w:r>
      <w:r>
        <w:rPr>
          <w:rFonts w:ascii="仿宋_GB2312" w:eastAsia="仿宋_GB2312" w:cs="仿宋_GB2312"/>
          <w:sz w:val="32"/>
          <w:szCs w:val="32"/>
        </w:rPr>
        <w:t>20</w:t>
      </w:r>
      <w:r>
        <w:rPr>
          <w:rFonts w:hint="eastAsia" w:eastAsia="仿宋_GB2312" w:cs="仿宋_GB2312"/>
          <w:sz w:val="32"/>
          <w:szCs w:val="32"/>
        </w:rPr>
        <w:t>人次，共计支出</w:t>
      </w:r>
      <w:r>
        <w:rPr>
          <w:rFonts w:eastAsia="仿宋_GB2312" w:cs="仿宋_GB2312"/>
          <w:sz w:val="32"/>
          <w:szCs w:val="32"/>
        </w:rPr>
        <w:t>0.22</w:t>
      </w:r>
      <w:r>
        <w:rPr>
          <w:rFonts w:hint="eastAsia" w:eastAsia="仿宋_GB2312" w:cs="仿宋_GB2312"/>
          <w:sz w:val="32"/>
          <w:szCs w:val="32"/>
        </w:rPr>
        <w:t>万元，具体内容包括：</w:t>
      </w:r>
      <w:r>
        <w:rPr>
          <w:rFonts w:hint="eastAsia" w:ascii="仿宋_GB2312" w:eastAsia="仿宋_GB2312"/>
          <w:sz w:val="32"/>
          <w:szCs w:val="32"/>
        </w:rPr>
        <w:t>中国电信四川公司</w:t>
      </w:r>
      <w:r>
        <w:rPr>
          <w:rFonts w:ascii="仿宋_GB2312" w:eastAsia="仿宋_GB2312"/>
          <w:sz w:val="32"/>
          <w:szCs w:val="32"/>
        </w:rPr>
        <w:t>一行赴州调研</w:t>
      </w:r>
      <w:r>
        <w:rPr>
          <w:rFonts w:hint="eastAsia" w:ascii="仿宋_GB2312" w:eastAsia="仿宋_GB2312"/>
          <w:sz w:val="32"/>
          <w:szCs w:val="32"/>
        </w:rPr>
        <w:t>等</w:t>
      </w:r>
      <w:r>
        <w:rPr>
          <w:rFonts w:ascii="仿宋_GB2312" w:eastAsia="仿宋_GB2312"/>
          <w:sz w:val="32"/>
          <w:szCs w:val="32"/>
        </w:rPr>
        <w:t>3</w:t>
      </w:r>
      <w:r>
        <w:rPr>
          <w:rFonts w:hint="eastAsia" w:ascii="仿宋_GB2312" w:eastAsia="仿宋_GB2312"/>
          <w:sz w:val="32"/>
          <w:szCs w:val="32"/>
        </w:rPr>
        <w:t>批次接待，人均餐标在70元/人/天至80元/人/天</w:t>
      </w:r>
      <w:r>
        <w:rPr>
          <w:rFonts w:hint="eastAsia" w:eastAsia="仿宋_GB2312" w:cs="仿宋_GB2312"/>
          <w:sz w:val="32"/>
          <w:szCs w:val="32"/>
        </w:rPr>
        <w:t>。</w:t>
      </w:r>
    </w:p>
    <w:p w14:paraId="452D6865">
      <w:pPr>
        <w:spacing w:line="576"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eastAsia="仿宋_GB2312" w:cs="仿宋_GB2312"/>
          <w:sz w:val="32"/>
          <w:szCs w:val="32"/>
        </w:rPr>
        <w:t>出</w:t>
      </w:r>
      <w:r>
        <w:rPr>
          <w:rFonts w:ascii="仿宋_GB2312" w:eastAsia="仿宋_GB2312" w:cs="仿宋_GB2312"/>
          <w:sz w:val="32"/>
          <w:szCs w:val="32"/>
        </w:rPr>
        <w:t>0</w:t>
      </w:r>
      <w:r>
        <w:rPr>
          <w:rFonts w:hint="eastAsia" w:ascii="仿宋_GB2312" w:eastAsia="仿宋_GB2312" w:cs="仿宋_GB2312"/>
          <w:sz w:val="32"/>
          <w:szCs w:val="32"/>
        </w:rPr>
        <w:t>万元</w:t>
      </w:r>
      <w:r>
        <w:rPr>
          <w:rFonts w:hint="eastAsia" w:eastAsia="仿宋_GB2312" w:cs="仿宋_GB2312"/>
          <w:sz w:val="32"/>
          <w:szCs w:val="32"/>
        </w:rPr>
        <w:t>。</w:t>
      </w:r>
      <w:bookmarkStart w:id="55" w:name="_Toc15396610"/>
      <w:bookmarkStart w:id="56" w:name="_Toc15377218"/>
    </w:p>
    <w:p w14:paraId="6EDA90C3">
      <w:pPr>
        <w:spacing w:line="576" w:lineRule="exact"/>
        <w:ind w:firstLine="640"/>
        <w:outlineLvl w:val="1"/>
        <w:rPr>
          <w:rStyle w:val="20"/>
          <w:rFonts w:ascii="Times New Roman" w:hAnsi="Times New Roman" w:eastAsia="黑体"/>
        </w:rPr>
      </w:pPr>
      <w:bookmarkStart w:id="57" w:name="_Toc23788762"/>
      <w:r>
        <w:rPr>
          <w:rFonts w:hint="eastAsia" w:eastAsia="黑体"/>
          <w:sz w:val="32"/>
          <w:szCs w:val="32"/>
        </w:rPr>
        <w:t>八、</w:t>
      </w:r>
      <w:r>
        <w:rPr>
          <w:rStyle w:val="20"/>
          <w:rFonts w:hint="eastAsia" w:ascii="Times New Roman" w:hAnsi="Times New Roman" w:eastAsia="黑体"/>
          <w:b w:val="0"/>
        </w:rPr>
        <w:t>政府性基金预算支出决算情况说明</w:t>
      </w:r>
      <w:bookmarkEnd w:id="55"/>
      <w:bookmarkEnd w:id="56"/>
      <w:bookmarkEnd w:id="57"/>
    </w:p>
    <w:p w14:paraId="38E26BE4">
      <w:pPr>
        <w:spacing w:line="576" w:lineRule="exact"/>
        <w:ind w:firstLine="640"/>
        <w:rPr>
          <w:rFonts w:eastAsia="仿宋_GB2312" w:cs="仿宋_GB2312"/>
          <w:sz w:val="32"/>
          <w:szCs w:val="32"/>
        </w:rPr>
      </w:pPr>
      <w:r>
        <w:rPr>
          <w:rFonts w:hint="eastAsia" w:ascii="仿宋_GB2312" w:eastAsia="仿宋_GB2312" w:cs="仿宋_GB2312"/>
          <w:sz w:val="32"/>
          <w:szCs w:val="32"/>
        </w:rPr>
        <w:t>2025年度政府性基金预算财政拨款支出</w:t>
      </w:r>
      <w:r>
        <w:rPr>
          <w:rFonts w:ascii="仿宋_GB2312" w:eastAsia="仿宋_GB2312" w:cs="仿宋_GB2312"/>
          <w:sz w:val="32"/>
          <w:szCs w:val="32"/>
        </w:rPr>
        <w:t>0</w:t>
      </w:r>
      <w:r>
        <w:rPr>
          <w:rFonts w:hint="eastAsia" w:ascii="仿宋_GB2312" w:eastAsia="仿宋_GB2312" w:cs="仿宋_GB2312"/>
          <w:sz w:val="32"/>
          <w:szCs w:val="32"/>
        </w:rPr>
        <w:t>万元</w:t>
      </w:r>
      <w:r>
        <w:rPr>
          <w:rFonts w:ascii="仿宋_GB2312" w:eastAsia="仿宋_GB2312" w:cs="仿宋_GB2312"/>
          <w:sz w:val="32"/>
          <w:szCs w:val="32"/>
        </w:rPr>
        <w:t>。</w:t>
      </w:r>
    </w:p>
    <w:p w14:paraId="790A3AB0">
      <w:pPr>
        <w:spacing w:line="576" w:lineRule="exact"/>
        <w:ind w:left="630"/>
        <w:outlineLvl w:val="1"/>
        <w:rPr>
          <w:rStyle w:val="20"/>
          <w:rFonts w:ascii="Times New Roman" w:hAnsi="Times New Roman" w:eastAsia="黑体"/>
          <w:b w:val="0"/>
        </w:rPr>
      </w:pPr>
      <w:bookmarkStart w:id="58" w:name="_Toc15377219"/>
      <w:bookmarkStart w:id="59" w:name="_Toc15396611"/>
      <w:bookmarkStart w:id="60" w:name="_Toc23788763"/>
      <w:r>
        <w:rPr>
          <w:rStyle w:val="20"/>
          <w:rFonts w:hint="eastAsia" w:ascii="Times New Roman" w:hAnsi="Times New Roman" w:eastAsia="黑体"/>
          <w:b w:val="0"/>
        </w:rPr>
        <w:t>九、国有资本经营预算支出决算情况说明</w:t>
      </w:r>
      <w:bookmarkEnd w:id="58"/>
      <w:bookmarkEnd w:id="59"/>
      <w:bookmarkEnd w:id="60"/>
    </w:p>
    <w:p w14:paraId="02488EEA">
      <w:pPr>
        <w:spacing w:line="576"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ascii="仿宋_GB2312" w:eastAsia="仿宋_GB2312" w:cs="仿宋_GB2312"/>
          <w:sz w:val="32"/>
          <w:szCs w:val="32"/>
        </w:rPr>
        <w:t>0</w:t>
      </w:r>
      <w:r>
        <w:rPr>
          <w:rFonts w:hint="eastAsia" w:ascii="仿宋_GB2312" w:eastAsia="仿宋_GB2312" w:cs="仿宋_GB2312"/>
          <w:sz w:val="32"/>
          <w:szCs w:val="32"/>
        </w:rPr>
        <w:t>万元</w:t>
      </w:r>
      <w:r>
        <w:rPr>
          <w:rFonts w:ascii="仿宋_GB2312" w:eastAsia="仿宋_GB2312" w:cs="仿宋_GB2312"/>
          <w:sz w:val="32"/>
          <w:szCs w:val="32"/>
        </w:rPr>
        <w:t>。</w:t>
      </w:r>
    </w:p>
    <w:p w14:paraId="7C6314EE">
      <w:pPr>
        <w:spacing w:line="576" w:lineRule="exact"/>
        <w:ind w:left="630"/>
        <w:outlineLvl w:val="1"/>
        <w:rPr>
          <w:rStyle w:val="20"/>
          <w:rFonts w:ascii="Times New Roman" w:hAnsi="Times New Roman" w:eastAsia="黑体"/>
          <w:b w:val="0"/>
        </w:rPr>
      </w:pPr>
      <w:bookmarkStart w:id="61" w:name="_Toc23788764"/>
      <w:bookmarkStart w:id="62" w:name="_Toc15377221"/>
      <w:bookmarkStart w:id="63" w:name="_Toc15396612"/>
      <w:r>
        <w:rPr>
          <w:rStyle w:val="20"/>
          <w:rFonts w:hint="eastAsia" w:ascii="Times New Roman" w:hAnsi="Times New Roman" w:eastAsia="黑体"/>
          <w:b w:val="0"/>
        </w:rPr>
        <w:t>十、其他重要事项的情况说明</w:t>
      </w:r>
      <w:bookmarkEnd w:id="61"/>
      <w:bookmarkEnd w:id="62"/>
      <w:bookmarkEnd w:id="63"/>
    </w:p>
    <w:p w14:paraId="4581F767">
      <w:pPr>
        <w:spacing w:line="576" w:lineRule="exact"/>
        <w:ind w:firstLine="643" w:firstLineChars="200"/>
        <w:outlineLvl w:val="2"/>
        <w:rPr>
          <w:rFonts w:eastAsia="楷体_GB2312" w:cs="楷体_GB2312"/>
          <w:b/>
          <w:sz w:val="32"/>
          <w:szCs w:val="32"/>
        </w:rPr>
      </w:pPr>
      <w:bookmarkStart w:id="64" w:name="_Toc15377222"/>
      <w:bookmarkStart w:id="65" w:name="_Toc23788765"/>
      <w:r>
        <w:rPr>
          <w:rFonts w:hint="eastAsia" w:eastAsia="楷体_GB2312" w:cs="楷体_GB2312"/>
          <w:b/>
          <w:sz w:val="32"/>
          <w:szCs w:val="32"/>
        </w:rPr>
        <w:t>（一）机关运行经费支出情况</w:t>
      </w:r>
      <w:bookmarkEnd w:id="64"/>
      <w:bookmarkEnd w:id="65"/>
    </w:p>
    <w:p w14:paraId="2F717BCF">
      <w:pPr>
        <w:spacing w:line="576"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eastAsia="仿宋_GB2312" w:cs="仿宋_GB2312"/>
          <w:sz w:val="32"/>
          <w:szCs w:val="32"/>
        </w:rPr>
        <w:t>，</w:t>
      </w:r>
      <w:r>
        <w:rPr>
          <w:rFonts w:ascii="仿宋_GB2312" w:eastAsia="仿宋_GB2312" w:cs="仿宋_GB2312"/>
          <w:sz w:val="32"/>
          <w:szCs w:val="32"/>
        </w:rPr>
        <w:t>中共阿坝州委办公室</w:t>
      </w:r>
      <w:r>
        <w:rPr>
          <w:rFonts w:hint="eastAsia" w:ascii="仿宋_GB2312" w:eastAsia="仿宋_GB2312" w:cs="仿宋_GB2312"/>
          <w:sz w:val="32"/>
          <w:szCs w:val="32"/>
        </w:rPr>
        <w:t>机关运行经费支出</w:t>
      </w:r>
      <w:r>
        <w:rPr>
          <w:rFonts w:ascii="仿宋_GB2312" w:eastAsia="仿宋_GB2312" w:cs="仿宋_GB2312"/>
          <w:sz w:val="32"/>
          <w:szCs w:val="32"/>
        </w:rPr>
        <w:t>644.7</w:t>
      </w:r>
      <w:r>
        <w:rPr>
          <w:rFonts w:hint="eastAsia" w:ascii="仿宋_GB2312" w:eastAsia="仿宋_GB2312" w:cs="仿宋_GB2312"/>
          <w:sz w:val="32"/>
          <w:szCs w:val="32"/>
        </w:rPr>
        <w:t>万</w:t>
      </w:r>
      <w:r>
        <w:rPr>
          <w:rFonts w:hint="eastAsia" w:eastAsia="仿宋_GB2312" w:cs="仿宋_GB2312"/>
          <w:sz w:val="32"/>
          <w:szCs w:val="32"/>
        </w:rPr>
        <w:t>元，比2024年度</w:t>
      </w:r>
      <w:r>
        <w:rPr>
          <w:rFonts w:eastAsia="仿宋_GB2312" w:cs="仿宋_GB2312"/>
          <w:sz w:val="32"/>
          <w:szCs w:val="32"/>
        </w:rPr>
        <w:t>减少291.77</w:t>
      </w:r>
      <w:r>
        <w:rPr>
          <w:rFonts w:hint="eastAsia" w:eastAsia="仿宋_GB2312" w:cs="仿宋_GB2312"/>
          <w:sz w:val="32"/>
          <w:szCs w:val="32"/>
        </w:rPr>
        <w:t>万元，</w:t>
      </w:r>
      <w:r>
        <w:rPr>
          <w:rFonts w:eastAsia="仿宋_GB2312" w:cs="仿宋_GB2312"/>
          <w:sz w:val="32"/>
          <w:szCs w:val="32"/>
        </w:rPr>
        <w:t>下降31.16</w:t>
      </w:r>
      <w:r>
        <w:rPr>
          <w:rFonts w:hint="eastAsia" w:eastAsia="仿宋_GB2312" w:cs="仿宋_GB2312"/>
          <w:sz w:val="32"/>
          <w:szCs w:val="32"/>
        </w:rPr>
        <w:t>%。主要原因</w:t>
      </w:r>
      <w:r>
        <w:rPr>
          <w:rFonts w:eastAsia="仿宋_GB2312" w:cs="仿宋_GB2312"/>
          <w:sz w:val="32"/>
          <w:szCs w:val="32"/>
        </w:rPr>
        <w:t>：一是公务用车购置费较上年减少119.6万元，二是办公设备购置费较上年减少53.27万元，三是公用经费较上年压减118.9万元。</w:t>
      </w:r>
    </w:p>
    <w:p w14:paraId="7E552BBB">
      <w:pPr>
        <w:spacing w:line="576" w:lineRule="exact"/>
        <w:ind w:firstLine="643" w:firstLineChars="200"/>
        <w:outlineLvl w:val="2"/>
        <w:rPr>
          <w:rFonts w:eastAsia="楷体_GB2312" w:cs="楷体_GB2312"/>
          <w:b/>
          <w:sz w:val="32"/>
          <w:szCs w:val="32"/>
        </w:rPr>
      </w:pPr>
      <w:bookmarkStart w:id="66" w:name="_Toc15377223"/>
      <w:bookmarkStart w:id="67" w:name="_Toc23788766"/>
      <w:r>
        <w:rPr>
          <w:rFonts w:hint="eastAsia" w:eastAsia="楷体_GB2312" w:cs="楷体_GB2312"/>
          <w:b/>
          <w:sz w:val="32"/>
          <w:szCs w:val="32"/>
        </w:rPr>
        <w:t>（二）政府采购支出情况</w:t>
      </w:r>
      <w:bookmarkEnd w:id="66"/>
      <w:bookmarkEnd w:id="67"/>
    </w:p>
    <w:p w14:paraId="1C1D7AB3">
      <w:pPr>
        <w:spacing w:line="576" w:lineRule="exact"/>
        <w:ind w:firstLine="640"/>
        <w:rPr>
          <w:rFonts w:eastAsia="仿宋_GB2312" w:cs="仿宋_GB2312"/>
          <w:sz w:val="32"/>
          <w:szCs w:val="32"/>
        </w:rPr>
      </w:pPr>
      <w:r>
        <w:rPr>
          <w:rFonts w:hint="eastAsia" w:ascii="仿宋_GB2312" w:eastAsia="仿宋_GB2312" w:cs="仿宋_GB2312"/>
          <w:sz w:val="32"/>
          <w:szCs w:val="32"/>
        </w:rPr>
        <w:t>2025年度，</w:t>
      </w:r>
      <w:r>
        <w:rPr>
          <w:rFonts w:ascii="仿宋_GB2312" w:eastAsia="仿宋_GB2312" w:cs="仿宋_GB2312"/>
          <w:sz w:val="32"/>
          <w:szCs w:val="32"/>
        </w:rPr>
        <w:t>中共阿坝州委办公室</w:t>
      </w:r>
      <w:r>
        <w:rPr>
          <w:rFonts w:hint="eastAsia" w:ascii="仿宋_GB2312" w:eastAsia="仿宋_GB2312" w:cs="仿宋_GB2312"/>
          <w:sz w:val="32"/>
          <w:szCs w:val="32"/>
        </w:rPr>
        <w:t>政府采购支出总额</w:t>
      </w:r>
      <w:r>
        <w:rPr>
          <w:rFonts w:ascii="仿宋_GB2312" w:eastAsia="仿宋_GB2312" w:cs="仿宋_GB2312"/>
          <w:sz w:val="32"/>
          <w:szCs w:val="32"/>
        </w:rPr>
        <w:t>178.38万元，</w:t>
      </w:r>
      <w:r>
        <w:rPr>
          <w:rFonts w:hint="eastAsia" w:ascii="仿宋_GB2312" w:eastAsia="仿宋_GB2312" w:cs="仿宋_GB2312"/>
          <w:sz w:val="32"/>
          <w:szCs w:val="32"/>
        </w:rPr>
        <w:t>其中：政府采购货物支出</w:t>
      </w:r>
      <w:r>
        <w:rPr>
          <w:rFonts w:ascii="仿宋_GB2312" w:eastAsia="仿宋_GB2312" w:cs="仿宋_GB2312"/>
          <w:sz w:val="32"/>
          <w:szCs w:val="32"/>
        </w:rPr>
        <w:t>19.71</w:t>
      </w:r>
      <w:r>
        <w:rPr>
          <w:rFonts w:hint="eastAsia" w:ascii="仿宋_GB2312" w:eastAsia="仿宋_GB2312" w:cs="仿宋_GB2312"/>
          <w:sz w:val="32"/>
          <w:szCs w:val="32"/>
        </w:rPr>
        <w:t>万元。主要用于</w:t>
      </w:r>
      <w:r>
        <w:rPr>
          <w:rFonts w:ascii="仿宋_GB2312" w:eastAsia="仿宋_GB2312" w:cs="仿宋_GB2312"/>
          <w:sz w:val="32"/>
          <w:szCs w:val="32"/>
        </w:rPr>
        <w:t>购置办公设备、办公用纸、空调机</w:t>
      </w:r>
      <w:r>
        <w:rPr>
          <w:rFonts w:hint="eastAsia" w:ascii="仿宋_GB2312" w:eastAsia="仿宋_GB2312" w:cs="仿宋_GB2312"/>
          <w:sz w:val="32"/>
          <w:szCs w:val="32"/>
        </w:rPr>
        <w:t>。授予中小企业合同金额</w:t>
      </w:r>
      <w:r>
        <w:rPr>
          <w:rFonts w:ascii="仿宋_GB2312" w:eastAsia="仿宋_GB2312" w:cs="仿宋_GB2312"/>
          <w:sz w:val="32"/>
          <w:szCs w:val="32"/>
        </w:rPr>
        <w:t>178.38</w:t>
      </w:r>
      <w:r>
        <w:rPr>
          <w:rFonts w:hint="eastAsia" w:ascii="仿宋_GB2312" w:eastAsia="仿宋_GB2312" w:cs="仿宋_GB2312"/>
          <w:sz w:val="32"/>
          <w:szCs w:val="32"/>
        </w:rPr>
        <w:t>万元，占政府采购支出总额的</w:t>
      </w:r>
      <w:r>
        <w:rPr>
          <w:rFonts w:ascii="仿宋_GB2312" w:eastAsia="仿宋_GB2312" w:cs="仿宋_GB2312"/>
          <w:sz w:val="32"/>
          <w:szCs w:val="32"/>
        </w:rPr>
        <w:t>100</w:t>
      </w:r>
      <w:r>
        <w:rPr>
          <w:rFonts w:hint="eastAsia" w:ascii="仿宋_GB2312" w:eastAsia="仿宋_GB2312" w:cs="仿宋_GB2312"/>
          <w:sz w:val="32"/>
          <w:szCs w:val="32"/>
        </w:rPr>
        <w:t>%。</w:t>
      </w:r>
    </w:p>
    <w:p w14:paraId="6EA511AF">
      <w:pPr>
        <w:spacing w:line="576" w:lineRule="exact"/>
        <w:ind w:firstLine="643" w:firstLineChars="200"/>
        <w:outlineLvl w:val="2"/>
        <w:rPr>
          <w:rFonts w:eastAsia="楷体_GB2312" w:cs="楷体_GB2312"/>
          <w:b/>
          <w:sz w:val="32"/>
          <w:szCs w:val="32"/>
        </w:rPr>
      </w:pPr>
      <w:bookmarkStart w:id="68" w:name="_Toc15377224"/>
      <w:bookmarkStart w:id="69" w:name="_Toc23788767"/>
      <w:r>
        <w:rPr>
          <w:rFonts w:hint="eastAsia" w:eastAsia="楷体_GB2312" w:cs="楷体_GB2312"/>
          <w:b/>
          <w:sz w:val="32"/>
          <w:szCs w:val="32"/>
        </w:rPr>
        <w:t>（三）国有资产占有使用情况</w:t>
      </w:r>
      <w:bookmarkEnd w:id="68"/>
      <w:bookmarkEnd w:id="69"/>
    </w:p>
    <w:p w14:paraId="602460B3">
      <w:pPr>
        <w:spacing w:line="576" w:lineRule="exact"/>
        <w:ind w:firstLine="640"/>
        <w:rPr>
          <w:rFonts w:ascii="仿宋_GB2312" w:eastAsia="仿宋_GB2312"/>
          <w:sz w:val="32"/>
          <w:szCs w:val="32"/>
        </w:rPr>
      </w:pPr>
      <w:r>
        <w:rPr>
          <w:rFonts w:hint="eastAsia" w:ascii="仿宋_GB2312" w:eastAsia="仿宋_GB2312" w:cs="仿宋_GB2312"/>
          <w:sz w:val="32"/>
          <w:szCs w:val="32"/>
        </w:rPr>
        <w:t>截至2025年12月31日，</w:t>
      </w:r>
      <w:r>
        <w:rPr>
          <w:rFonts w:ascii="仿宋_GB2312" w:eastAsia="仿宋_GB2312" w:cs="仿宋_GB2312"/>
          <w:sz w:val="32"/>
          <w:szCs w:val="32"/>
        </w:rPr>
        <w:t>中共阿坝州委办公室</w:t>
      </w:r>
      <w:r>
        <w:rPr>
          <w:rFonts w:hint="eastAsia" w:ascii="仿宋_GB2312" w:eastAsia="仿宋_GB2312" w:cs="仿宋_GB2312"/>
          <w:sz w:val="32"/>
          <w:szCs w:val="32"/>
        </w:rPr>
        <w:t>共有车辆</w:t>
      </w:r>
      <w:r>
        <w:rPr>
          <w:rFonts w:ascii="仿宋_GB2312" w:eastAsia="仿宋_GB2312" w:cs="仿宋_GB2312"/>
          <w:sz w:val="32"/>
          <w:szCs w:val="32"/>
        </w:rPr>
        <w:t>18</w:t>
      </w:r>
      <w:r>
        <w:rPr>
          <w:rFonts w:hint="eastAsia" w:ascii="仿宋_GB2312" w:eastAsia="仿宋_GB2312" w:cs="仿宋_GB2312"/>
          <w:sz w:val="32"/>
          <w:szCs w:val="32"/>
        </w:rPr>
        <w:t>辆，</w:t>
      </w:r>
      <w:r>
        <w:rPr>
          <w:rFonts w:hint="eastAsia" w:ascii="仿宋_GB2312" w:eastAsia="仿宋_GB2312"/>
          <w:sz w:val="32"/>
          <w:szCs w:val="32"/>
        </w:rPr>
        <w:t>其中：应急保障用车17辆、特种专业技术用车1辆。单价50万元以上通用设备0台（套），单价100万元以上专用设备（不含车辆）0台（套）。</w:t>
      </w:r>
    </w:p>
    <w:p w14:paraId="6B440C98">
      <w:pPr>
        <w:spacing w:line="576" w:lineRule="exact"/>
        <w:ind w:firstLine="640"/>
        <w:rPr>
          <w:rFonts w:eastAsia="楷体_GB2312" w:cs="楷体_GB2312"/>
          <w:b/>
          <w:sz w:val="32"/>
          <w:szCs w:val="32"/>
        </w:rPr>
      </w:pPr>
      <w:r>
        <w:rPr>
          <w:rFonts w:hint="eastAsia" w:eastAsia="楷体_GB2312" w:cs="楷体_GB2312"/>
          <w:b/>
          <w:sz w:val="32"/>
          <w:szCs w:val="32"/>
        </w:rPr>
        <w:t>（四）预算绩效管理情况</w:t>
      </w:r>
    </w:p>
    <w:p w14:paraId="61364225">
      <w:pPr>
        <w:spacing w:line="576" w:lineRule="exact"/>
        <w:ind w:firstLine="640"/>
        <w:rPr>
          <w:rFonts w:eastAsia="仿宋_GB2312" w:cs="仿宋_GB2312"/>
          <w:sz w:val="32"/>
          <w:szCs w:val="32"/>
        </w:rPr>
      </w:pPr>
      <w:r>
        <w:rPr>
          <w:rFonts w:hint="eastAsia" w:eastAsia="仿宋_GB2312" w:cs="仿宋_GB2312"/>
          <w:sz w:val="32"/>
          <w:szCs w:val="32"/>
        </w:rPr>
        <w:t>根据预算绩效管理要求，</w:t>
      </w:r>
      <w:r>
        <w:rPr>
          <w:rFonts w:ascii="仿宋_GB2312" w:eastAsia="仿宋_GB2312" w:cs="仿宋_GB2312"/>
          <w:sz w:val="32"/>
          <w:szCs w:val="32"/>
        </w:rPr>
        <w:t>中共阿坝州委办公室</w:t>
      </w:r>
      <w:r>
        <w:rPr>
          <w:rFonts w:hint="eastAsia" w:eastAsia="仿宋_GB2312" w:cs="仿宋_GB2312"/>
          <w:sz w:val="32"/>
          <w:szCs w:val="32"/>
        </w:rPr>
        <w:t>在2025年度预算编制阶段，组织对</w:t>
      </w:r>
      <w:r>
        <w:rPr>
          <w:rFonts w:eastAsia="仿宋_GB2312" w:cs="仿宋_GB2312"/>
          <w:sz w:val="32"/>
          <w:szCs w:val="32"/>
        </w:rPr>
        <w:t>州委大院零星维修（护）费、办公设备购置费、中央空调运行维护费</w:t>
      </w:r>
      <w:r>
        <w:rPr>
          <w:rFonts w:hint="eastAsia" w:eastAsia="仿宋_GB2312" w:cs="仿宋_GB2312"/>
          <w:sz w:val="32"/>
          <w:szCs w:val="32"/>
        </w:rPr>
        <w:t>等</w:t>
      </w:r>
      <w:r>
        <w:rPr>
          <w:rFonts w:eastAsia="仿宋_GB2312" w:cs="仿宋_GB2312"/>
          <w:sz w:val="32"/>
          <w:szCs w:val="32"/>
        </w:rPr>
        <w:t>13</w:t>
      </w:r>
      <w:r>
        <w:rPr>
          <w:rFonts w:hint="eastAsia" w:eastAsia="仿宋_GB2312" w:cs="仿宋_GB2312"/>
          <w:sz w:val="32"/>
          <w:szCs w:val="32"/>
        </w:rPr>
        <w:t>个项目开展了预算事前绩效评估，对</w:t>
      </w:r>
      <w:r>
        <w:rPr>
          <w:rFonts w:eastAsia="仿宋_GB2312" w:cs="仿宋_GB2312"/>
          <w:sz w:val="32"/>
          <w:szCs w:val="32"/>
        </w:rPr>
        <w:t>5</w:t>
      </w:r>
      <w:r>
        <w:rPr>
          <w:rFonts w:hint="eastAsia" w:eastAsia="仿宋_GB2312" w:cs="仿宋_GB2312"/>
          <w:sz w:val="32"/>
          <w:szCs w:val="32"/>
        </w:rPr>
        <w:t>个项目编制了绩效目标，预算执行过程中，选取</w:t>
      </w:r>
      <w:r>
        <w:rPr>
          <w:rFonts w:eastAsia="仿宋_GB2312" w:cs="仿宋_GB2312"/>
          <w:sz w:val="32"/>
          <w:szCs w:val="32"/>
        </w:rPr>
        <w:t>3</w:t>
      </w:r>
      <w:r>
        <w:rPr>
          <w:rFonts w:hint="eastAsia" w:eastAsia="仿宋_GB2312" w:cs="仿宋_GB2312"/>
          <w:sz w:val="32"/>
          <w:szCs w:val="32"/>
        </w:rPr>
        <w:t>个项目开展绩效监控。</w:t>
      </w:r>
    </w:p>
    <w:p w14:paraId="583B8A84">
      <w:pPr>
        <w:spacing w:line="576" w:lineRule="exact"/>
        <w:ind w:firstLine="640"/>
        <w:rPr>
          <w:rFonts w:eastAsia="仿宋_GB2312" w:cs="仿宋_GB2312"/>
          <w:sz w:val="32"/>
          <w:szCs w:val="32"/>
        </w:rPr>
      </w:pPr>
      <w:r>
        <w:rPr>
          <w:rFonts w:hint="eastAsia" w:eastAsia="仿宋_GB2312" w:cs="仿宋_GB2312"/>
          <w:sz w:val="32"/>
          <w:szCs w:val="32"/>
        </w:rPr>
        <w:t>组织对2025年度一般公共预算、社会保险基金预算以及资本资产等全面开展绩效自评，形成</w:t>
      </w:r>
      <w:r>
        <w:rPr>
          <w:rFonts w:ascii="仿宋_GB2312" w:eastAsia="仿宋_GB2312" w:cs="仿宋_GB2312"/>
          <w:sz w:val="32"/>
          <w:szCs w:val="32"/>
        </w:rPr>
        <w:t>中共阿坝州委办公室</w:t>
      </w:r>
      <w:r>
        <w:rPr>
          <w:rFonts w:hint="eastAsia" w:eastAsia="仿宋_GB2312" w:cs="仿宋_GB2312"/>
          <w:sz w:val="32"/>
          <w:szCs w:val="32"/>
        </w:rPr>
        <w:t>整体绩效自评报告</w:t>
      </w:r>
      <w:r>
        <w:rPr>
          <w:rFonts w:eastAsia="仿宋_GB2312" w:cs="仿宋_GB2312"/>
          <w:sz w:val="32"/>
          <w:szCs w:val="32"/>
        </w:rPr>
        <w:t>及单个特定目标类</w:t>
      </w:r>
      <w:r>
        <w:rPr>
          <w:rFonts w:hint="eastAsia" w:eastAsia="仿宋_GB2312" w:cs="仿宋_GB2312"/>
          <w:sz w:val="32"/>
          <w:szCs w:val="32"/>
        </w:rPr>
        <w:t>项目绩效自评报告，其中，</w:t>
      </w:r>
      <w:r>
        <w:rPr>
          <w:rFonts w:ascii="仿宋_GB2312" w:eastAsia="仿宋_GB2312" w:cs="仿宋_GB2312"/>
          <w:sz w:val="32"/>
          <w:szCs w:val="32"/>
        </w:rPr>
        <w:t>中共阿坝州委办公室</w:t>
      </w:r>
      <w:r>
        <w:rPr>
          <w:rFonts w:hint="eastAsia" w:eastAsia="仿宋_GB2312" w:cs="仿宋_GB2312"/>
          <w:sz w:val="32"/>
          <w:szCs w:val="32"/>
        </w:rPr>
        <w:t>部门整体绩效自评得分为</w:t>
      </w:r>
      <w:r>
        <w:rPr>
          <w:rFonts w:eastAsia="仿宋_GB2312" w:cs="仿宋_GB2312"/>
          <w:sz w:val="32"/>
          <w:szCs w:val="32"/>
        </w:rPr>
        <w:t>95</w:t>
      </w:r>
      <w:r>
        <w:rPr>
          <w:rFonts w:hint="eastAsia" w:eastAsia="仿宋_GB2312" w:cs="仿宋_GB2312"/>
          <w:sz w:val="32"/>
          <w:szCs w:val="32"/>
        </w:rPr>
        <w:t>分，</w:t>
      </w:r>
      <w:r>
        <w:rPr>
          <w:rFonts w:eastAsia="仿宋_GB2312" w:cs="仿宋_GB2312"/>
          <w:sz w:val="32"/>
          <w:szCs w:val="32"/>
        </w:rPr>
        <w:t>主要从财政拨款预算偏离度、单位收入统筹度、预算年终结余率、一般性支出、财务管理规范、资产配置预算偏离度、采购执行率等方面进行评价。单个特定目标类</w:t>
      </w:r>
      <w:r>
        <w:rPr>
          <w:rFonts w:hint="eastAsia" w:eastAsia="仿宋_GB2312" w:cs="仿宋_GB2312"/>
          <w:sz w:val="32"/>
          <w:szCs w:val="32"/>
        </w:rPr>
        <w:t>项目绩效自评得分</w:t>
      </w:r>
      <w:r>
        <w:rPr>
          <w:rFonts w:eastAsia="仿宋_GB2312" w:cs="仿宋_GB2312"/>
          <w:sz w:val="32"/>
          <w:szCs w:val="32"/>
        </w:rPr>
        <w:t>均不低于95</w:t>
      </w:r>
      <w:r>
        <w:rPr>
          <w:rFonts w:hint="eastAsia" w:eastAsia="仿宋_GB2312" w:cs="仿宋_GB2312"/>
          <w:sz w:val="32"/>
          <w:szCs w:val="32"/>
        </w:rPr>
        <w:t>分，</w:t>
      </w:r>
      <w:r>
        <w:rPr>
          <w:rFonts w:eastAsia="仿宋_GB2312" w:cs="仿宋_GB2312"/>
          <w:sz w:val="32"/>
          <w:szCs w:val="32"/>
        </w:rPr>
        <w:t>部分特定目标类</w:t>
      </w:r>
      <w:r>
        <w:rPr>
          <w:rFonts w:hint="eastAsia" w:eastAsia="仿宋_GB2312" w:cs="仿宋_GB2312"/>
          <w:sz w:val="32"/>
          <w:szCs w:val="32"/>
        </w:rPr>
        <w:t>绩效自评得分</w:t>
      </w:r>
      <w:r>
        <w:rPr>
          <w:rFonts w:eastAsia="仿宋_GB2312" w:cs="仿宋_GB2312"/>
          <w:sz w:val="32"/>
          <w:szCs w:val="32"/>
        </w:rPr>
        <w:t>为100分。绩效自评主要从项目投入管理、产出完成情况、实施效益、服务对象满意度等方面进行评价</w:t>
      </w:r>
      <w:r>
        <w:rPr>
          <w:rFonts w:hint="eastAsia" w:eastAsia="仿宋_GB2312" w:cs="仿宋_GB2312"/>
          <w:sz w:val="32"/>
          <w:szCs w:val="32"/>
        </w:rPr>
        <w:t>。绩效自评报告详见附件。</w:t>
      </w:r>
      <w:bookmarkStart w:id="70" w:name="_Toc23788768"/>
      <w:bookmarkStart w:id="71" w:name="_Toc15377225"/>
      <w:bookmarkStart w:id="72" w:name="_Toc15396613"/>
    </w:p>
    <w:p w14:paraId="1FE95DF5">
      <w:pPr>
        <w:rPr>
          <w:rFonts w:eastAsia="黑体"/>
          <w:sz w:val="44"/>
          <w:szCs w:val="44"/>
        </w:rPr>
      </w:pPr>
      <w:r>
        <w:rPr>
          <w:rFonts w:eastAsia="黑体"/>
          <w:sz w:val="44"/>
          <w:szCs w:val="44"/>
        </w:rPr>
        <w:br w:type="page"/>
      </w:r>
    </w:p>
    <w:p w14:paraId="079DE3D6">
      <w:pPr>
        <w:spacing w:line="576" w:lineRule="exact"/>
        <w:ind w:firstLine="640"/>
        <w:jc w:val="center"/>
        <w:rPr>
          <w:rFonts w:eastAsia="黑体"/>
          <w:sz w:val="44"/>
          <w:szCs w:val="44"/>
        </w:rPr>
      </w:pPr>
      <w:r>
        <w:rPr>
          <w:rFonts w:hint="eastAsia" w:eastAsia="黑体"/>
          <w:sz w:val="44"/>
          <w:szCs w:val="44"/>
        </w:rPr>
        <w:t>第三部分  名词解释</w:t>
      </w:r>
      <w:bookmarkEnd w:id="70"/>
      <w:bookmarkEnd w:id="71"/>
      <w:bookmarkEnd w:id="72"/>
    </w:p>
    <w:p w14:paraId="7F701FFC">
      <w:pPr>
        <w:spacing w:line="576" w:lineRule="exact"/>
        <w:jc w:val="left"/>
        <w:rPr>
          <w:b/>
          <w:sz w:val="44"/>
          <w:szCs w:val="44"/>
        </w:rPr>
      </w:pPr>
    </w:p>
    <w:p w14:paraId="60CFC1FA">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1.财政拨款收入：指单位从同级财政部门取得的财政预算资金。</w:t>
      </w:r>
    </w:p>
    <w:p w14:paraId="6B7DFC78">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2.一般公共服务支出（201）党委办公厅（室）及相关机构事务（31）行政运行（01）：指行政单位的基本支出。</w:t>
      </w:r>
    </w:p>
    <w:p w14:paraId="36D2C0DD">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3.一般公共服务支出（201）党委办公厅（室）及相关机构事务（31）一般行政管理事务（02）：指行政单位未单独设置项级科目的其他项目支出。</w:t>
      </w:r>
    </w:p>
    <w:p w14:paraId="474B3332">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4.教育支出（205）其他教育支出（99）其他教育支出（99）：指其他用于教育方面的支出。</w:t>
      </w:r>
    </w:p>
    <w:p w14:paraId="31885C98">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5.社会保障和就业支出（208）行政事业单位养老支出（05）机关事业单位基本养老保险缴费支出（05）：指机关事业单位实施养老保险制度由单位缴纳的基本养老保险费支出。</w:t>
      </w:r>
    </w:p>
    <w:p w14:paraId="1DA31D09">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6.社会保障和就业支出（208）行政事业单位养老支出（05）机关事业单位职业年金缴费支出（06）：指机关事业单位实施养老保险制度由单位实际缴纳的职业年金支出。</w:t>
      </w:r>
    </w:p>
    <w:p w14:paraId="294053E3">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7.卫生健康支出（210）行政事业单位医疗（11）行政单位医疗（01）：指财政部门安排的行政单位基本医疗保险缴费经费。</w:t>
      </w:r>
    </w:p>
    <w:p w14:paraId="61F89BB7">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8.卫生健康支出（210）行政事业单位医疗（11）公务员医疗补助（03）：指财政部门安排的公务员医疗补助经费。</w:t>
      </w:r>
    </w:p>
    <w:p w14:paraId="3E90C5E9">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9.住房保障支出（221）住房改革支出（02）住房公积金（01）：指行政事业单位按人力资源和社会保障部、财政部规定的基本工资和津贴补贴以及规定比例为职工缴纳的住房公积金。</w:t>
      </w:r>
    </w:p>
    <w:p w14:paraId="5A7375D0">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10.住房保障支出（221）住房改革支出（02）购房补贴（03）：指按房改政策规定，行政事业单位向符合条件职工（含离退休人员）发放的用于购买住房的补贴。</w:t>
      </w:r>
    </w:p>
    <w:p w14:paraId="4DF5CFE6">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11.基本支出：指为保障机构正常运转、完成日常工作任务而发生的人员支出和公用支出。</w:t>
      </w:r>
    </w:p>
    <w:p w14:paraId="4F67A156">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12.项目支出：指在基本支出之外为完成特定行政任务和事业发展目标所发生的支出。</w:t>
      </w:r>
    </w:p>
    <w:p w14:paraId="3FA2ADB1">
      <w:pPr>
        <w:pStyle w:val="8"/>
        <w:spacing w:line="576" w:lineRule="exact"/>
        <w:ind w:firstLine="640" w:firstLineChars="200"/>
        <w:rPr>
          <w:rStyle w:val="17"/>
          <w:rFonts w:ascii="Times New Roman" w:hAnsi="Times New Roman" w:eastAsia="方正仿宋_GBK"/>
          <w:b w:val="0"/>
          <w:bCs/>
          <w:sz w:val="32"/>
          <w:szCs w:val="32"/>
        </w:rPr>
      </w:pPr>
      <w:r>
        <w:rPr>
          <w:rStyle w:val="17"/>
          <w:rFonts w:ascii="Times New Roman" w:hAnsi="Times New Roman" w:eastAsia="方正仿宋_GBK"/>
          <w:b w:val="0"/>
          <w:bCs/>
          <w:sz w:val="32"/>
          <w:szCs w:val="32"/>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56A357">
      <w:pPr>
        <w:rPr>
          <w:rFonts w:eastAsia="仿宋_GB2312" w:cs="仿宋_GB2312"/>
          <w:b/>
          <w:bCs/>
          <w:sz w:val="32"/>
          <w:szCs w:val="32"/>
        </w:rPr>
      </w:pPr>
      <w:r>
        <w:rPr>
          <w:rStyle w:val="17"/>
          <w:rFonts w:ascii="Times New Roman" w:hAnsi="Times New Roman" w:eastAsia="方正仿宋_GBK"/>
          <w:b w:val="0"/>
          <w:bCs/>
          <w:sz w:val="32"/>
          <w:szCs w:val="32"/>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w:t>
      </w:r>
    </w:p>
    <w:p w14:paraId="12356FEC">
      <w:pPr>
        <w:spacing w:line="576" w:lineRule="exact"/>
        <w:jc w:val="center"/>
        <w:rPr>
          <w:rStyle w:val="19"/>
          <w:rFonts w:eastAsia="黑体"/>
          <w:b w:val="0"/>
        </w:rPr>
      </w:pPr>
      <w:bookmarkStart w:id="73" w:name="_Toc15377226"/>
      <w:r>
        <w:rPr>
          <w:rFonts w:hint="eastAsia" w:eastAsia="仿宋_GB2312" w:cs="仿宋_GB2312"/>
          <w:sz w:val="32"/>
          <w:szCs w:val="32"/>
        </w:rPr>
        <w:br w:type="page"/>
      </w:r>
      <w:bookmarkStart w:id="74" w:name="_Toc15396614"/>
      <w:r>
        <w:rPr>
          <w:rFonts w:hint="eastAsia" w:eastAsia="黑体"/>
          <w:sz w:val="44"/>
          <w:szCs w:val="44"/>
        </w:rPr>
        <w:t>第四部分  附件</w:t>
      </w:r>
      <w:bookmarkEnd w:id="74"/>
    </w:p>
    <w:p w14:paraId="409114CC">
      <w:pPr>
        <w:spacing w:line="576" w:lineRule="exact"/>
        <w:jc w:val="left"/>
        <w:outlineLvl w:val="0"/>
        <w:rPr>
          <w:rFonts w:eastAsia="黑体" w:cs="黑体"/>
          <w:color w:val="FF0000"/>
          <w:sz w:val="32"/>
          <w:szCs w:val="32"/>
        </w:rPr>
      </w:pPr>
    </w:p>
    <w:p w14:paraId="37DCA9BF">
      <w:pPr>
        <w:spacing w:line="576" w:lineRule="exact"/>
        <w:jc w:val="left"/>
        <w:outlineLvl w:val="0"/>
        <w:rPr>
          <w:rFonts w:eastAsia="黑体" w:cs="方正小标宋简体"/>
          <w:sz w:val="44"/>
          <w:szCs w:val="44"/>
        </w:rPr>
      </w:pPr>
      <w:bookmarkStart w:id="75" w:name="_Toc23788769"/>
      <w:r>
        <w:rPr>
          <w:rFonts w:hint="eastAsia" w:eastAsia="黑体" w:cs="黑体"/>
          <w:sz w:val="32"/>
          <w:szCs w:val="32"/>
        </w:rPr>
        <w:t>附件1</w:t>
      </w:r>
      <w:bookmarkEnd w:id="75"/>
    </w:p>
    <w:p w14:paraId="05B5E4A1">
      <w:pPr>
        <w:widowControl/>
        <w:spacing w:line="576" w:lineRule="exact"/>
        <w:contextualSpacing/>
        <w:jc w:val="center"/>
        <w:rPr>
          <w:rFonts w:eastAsia="方正小标宋简体"/>
          <w:bCs/>
          <w:sz w:val="44"/>
          <w:szCs w:val="44"/>
          <w:shd w:val="clear" w:color="auto" w:fill="FFFFFF"/>
        </w:rPr>
      </w:pPr>
    </w:p>
    <w:p w14:paraId="12EFFEB7">
      <w:pPr>
        <w:widowControl/>
        <w:spacing w:line="576" w:lineRule="exact"/>
        <w:contextualSpacing/>
        <w:jc w:val="center"/>
        <w:rPr>
          <w:rFonts w:hint="eastAsia" w:ascii="方正公文小标宋" w:eastAsia="方正公文小标宋"/>
          <w:bCs/>
          <w:sz w:val="44"/>
          <w:szCs w:val="44"/>
        </w:rPr>
      </w:pPr>
      <w:r>
        <w:rPr>
          <w:rFonts w:ascii="方正公文小标宋" w:eastAsia="方正公文小标宋"/>
          <w:bCs/>
          <w:sz w:val="44"/>
          <w:szCs w:val="44"/>
        </w:rPr>
        <w:t>单位</w:t>
      </w:r>
      <w:r>
        <w:rPr>
          <w:rFonts w:hint="eastAsia" w:ascii="方正公文小标宋" w:eastAsia="方正公文小标宋"/>
          <w:bCs/>
          <w:sz w:val="44"/>
          <w:szCs w:val="44"/>
        </w:rPr>
        <w:t>预算绩效评价报告</w:t>
      </w:r>
    </w:p>
    <w:p w14:paraId="3DE8A657">
      <w:pPr>
        <w:widowControl/>
        <w:spacing w:line="576" w:lineRule="exact"/>
        <w:contextualSpacing/>
        <w:jc w:val="center"/>
        <w:rPr>
          <w:rFonts w:hint="eastAsia" w:eastAsia="仿宋_GB2312"/>
          <w:sz w:val="32"/>
          <w:szCs w:val="32"/>
        </w:rPr>
      </w:pPr>
      <w:r>
        <w:rPr>
          <w:rFonts w:hint="eastAsia" w:eastAsia="仿宋_GB2312"/>
          <w:sz w:val="32"/>
          <w:szCs w:val="32"/>
        </w:rPr>
        <w:t>（中共阿坝州委办公室）</w:t>
      </w:r>
    </w:p>
    <w:p w14:paraId="59CDE768">
      <w:pPr>
        <w:widowControl/>
        <w:adjustRightInd w:val="0"/>
        <w:snapToGrid w:val="0"/>
        <w:spacing w:line="576" w:lineRule="exact"/>
        <w:ind w:firstLine="640" w:firstLineChars="200"/>
        <w:contextualSpacing/>
        <w:jc w:val="left"/>
        <w:rPr>
          <w:rFonts w:hint="eastAsia" w:eastAsia="仿宋_GB2312"/>
          <w:sz w:val="32"/>
          <w:szCs w:val="32"/>
        </w:rPr>
      </w:pPr>
    </w:p>
    <w:p w14:paraId="53C3CBC9">
      <w:pPr>
        <w:widowControl/>
        <w:adjustRightInd w:val="0"/>
        <w:snapToGrid w:val="0"/>
        <w:spacing w:line="576" w:lineRule="exact"/>
        <w:ind w:firstLine="640" w:firstLineChars="200"/>
        <w:contextualSpacing/>
        <w:jc w:val="left"/>
        <w:rPr>
          <w:rFonts w:hint="eastAsia" w:ascii="方正黑体_GBK" w:eastAsia="方正黑体_GBK"/>
          <w:sz w:val="32"/>
          <w:szCs w:val="32"/>
          <w:lang w:val="zh-CN"/>
        </w:rPr>
      </w:pPr>
      <w:r>
        <w:rPr>
          <w:rFonts w:hint="eastAsia" w:ascii="方正黑体_GBK" w:eastAsia="方正黑体_GBK"/>
          <w:sz w:val="32"/>
          <w:szCs w:val="32"/>
          <w:lang w:val="zh-CN"/>
        </w:rPr>
        <w:t>一、单位基本情况</w:t>
      </w:r>
    </w:p>
    <w:p w14:paraId="7DC63FD5">
      <w:pPr>
        <w:widowControl/>
        <w:spacing w:line="576" w:lineRule="exact"/>
        <w:ind w:firstLine="643" w:firstLineChars="200"/>
        <w:jc w:val="left"/>
        <w:rPr>
          <w:rFonts w:eastAsia="楷体_GB2312" w:cs="楷体_GB2312"/>
          <w:b/>
          <w:sz w:val="32"/>
          <w:szCs w:val="32"/>
          <w:lang w:val="zh-CN"/>
        </w:rPr>
      </w:pPr>
      <w:r>
        <w:rPr>
          <w:rFonts w:hint="eastAsia" w:eastAsia="楷体_GB2312" w:cs="楷体_GB2312"/>
          <w:b/>
          <w:sz w:val="32"/>
          <w:szCs w:val="32"/>
          <w:lang w:val="zh-CN"/>
        </w:rPr>
        <w:t>（一）</w:t>
      </w:r>
      <w:r>
        <w:rPr>
          <w:rFonts w:eastAsia="楷体_GB2312" w:cs="楷体_GB2312"/>
          <w:b/>
          <w:sz w:val="32"/>
          <w:szCs w:val="32"/>
          <w:lang w:val="zh-CN"/>
        </w:rPr>
        <w:t>机构组成。</w:t>
      </w:r>
    </w:p>
    <w:p w14:paraId="639CE928">
      <w:pPr>
        <w:widowControl/>
        <w:adjustRightInd w:val="0"/>
        <w:snapToGrid w:val="0"/>
        <w:spacing w:line="576" w:lineRule="exact"/>
        <w:ind w:firstLine="640" w:firstLineChars="200"/>
        <w:contextualSpacing/>
        <w:jc w:val="left"/>
        <w:rPr>
          <w:rFonts w:hint="eastAsia" w:eastAsia="仿宋_GB2312"/>
          <w:sz w:val="32"/>
          <w:szCs w:val="32"/>
        </w:rPr>
      </w:pPr>
      <w:r>
        <w:rPr>
          <w:rFonts w:eastAsia="仿宋_GB2312"/>
          <w:sz w:val="32"/>
          <w:szCs w:val="32"/>
        </w:rPr>
        <w:t>中共阿坝</w:t>
      </w:r>
      <w:r>
        <w:rPr>
          <w:rFonts w:hint="eastAsia" w:eastAsia="仿宋_GB2312"/>
          <w:sz w:val="32"/>
          <w:szCs w:val="32"/>
        </w:rPr>
        <w:t>州委办公室内设机构</w:t>
      </w:r>
      <w:r>
        <w:rPr>
          <w:rFonts w:eastAsia="仿宋_GB2312"/>
          <w:sz w:val="32"/>
          <w:szCs w:val="32"/>
        </w:rPr>
        <w:t>包括</w:t>
      </w:r>
      <w:r>
        <w:rPr>
          <w:rFonts w:hint="eastAsia" w:eastAsia="仿宋_GB2312"/>
          <w:sz w:val="32"/>
          <w:szCs w:val="32"/>
        </w:rPr>
        <w:t>：州委常委办、州委信息办、州委督查室、州委总值班室、综合调研科、秘书一科、秘书二科、秘书三科、秘书四科、法规科、档案监督管理科、人事行财科、机关党委。</w:t>
      </w:r>
    </w:p>
    <w:p w14:paraId="6C03EC98">
      <w:pPr>
        <w:widowControl/>
        <w:adjustRightInd w:val="0"/>
        <w:snapToGrid w:val="0"/>
        <w:spacing w:line="576" w:lineRule="exact"/>
        <w:ind w:firstLine="643" w:firstLineChars="200"/>
        <w:contextualSpacing/>
        <w:jc w:val="left"/>
        <w:rPr>
          <w:rFonts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14:paraId="78BF017B">
      <w:pPr>
        <w:widowControl/>
        <w:adjustRightInd w:val="0"/>
        <w:snapToGrid w:val="0"/>
        <w:spacing w:line="576" w:lineRule="exact"/>
        <w:ind w:firstLine="640" w:firstLineChars="200"/>
        <w:contextualSpacing/>
        <w:jc w:val="left"/>
        <w:rPr>
          <w:rFonts w:hint="eastAsia" w:eastAsia="仿宋_GB2312"/>
          <w:bCs/>
          <w:sz w:val="32"/>
          <w:szCs w:val="32"/>
          <w:lang w:val="zh-CN"/>
        </w:rPr>
      </w:pPr>
      <w:r>
        <w:rPr>
          <w:rFonts w:hint="eastAsia" w:eastAsia="仿宋_GB2312"/>
          <w:sz w:val="32"/>
          <w:szCs w:val="32"/>
        </w:rPr>
        <w:t>一是负责中央、省委、州委重大决策部署贯彻落实的协调、督促、检查，中央、省委、州委领导同志批示的传达和督办。二是负责州委会议、重大活动的准备和实施，州委领导活动的协调安排，州委各类文稿的撰写、修改和印制。三是围绕省委和州委的工作部署，综合调研、收集信息、反映动态，为州委决策提供参考建议。四是负责上级公文的承办和州委文件的草拟、印制、分发、管理等工作。五是负责全州党内法规工作，负责督促指导全州党内规范性文件的制定、审查、报备等工作。六是承担州委值班工作，负责全州党委办公室系统值班指导，对突出事件紧急情况跟踪了解、协调处理。七是负责州委与民主党派中央、民主党派四川省委之间战略合作事项的协调、落实。八是负责省委涉藏办工作的对接和办理。九是负责并协调州委办公室办公区、生活区的社会治安综合治理和安全防范。十是负责党中央路线方针政策和省委重大决策部署及重要工作安排落实情况的督促检查。十一是负责贯彻执行《中华人民共和国档案法》等相关法律法规。十二是承办州委交办的其他任务。</w:t>
      </w:r>
    </w:p>
    <w:p w14:paraId="3E1B8EAA">
      <w:pPr>
        <w:spacing w:line="576" w:lineRule="exact"/>
        <w:ind w:firstLine="643" w:firstLineChars="200"/>
        <w:rPr>
          <w:szCs w:val="32"/>
        </w:rPr>
      </w:pPr>
      <w:r>
        <w:rPr>
          <w:rFonts w:hint="eastAsia" w:ascii="方正楷体_GBK" w:eastAsia="方正楷体_GBK"/>
          <w:b/>
          <w:bCs/>
          <w:sz w:val="32"/>
          <w:szCs w:val="32"/>
          <w:lang w:val="zh-CN"/>
        </w:rPr>
        <w:t>（三）人员概况。</w:t>
      </w:r>
      <w:r>
        <w:rPr>
          <w:rFonts w:eastAsia="仿宋_GB2312"/>
          <w:sz w:val="32"/>
          <w:szCs w:val="32"/>
        </w:rPr>
        <w:t>截至2025年末，</w:t>
      </w:r>
      <w:r>
        <w:rPr>
          <w:rFonts w:eastAsia="仿宋_GB2312" w:cs="仿宋_GB2312"/>
          <w:sz w:val="32"/>
          <w:szCs w:val="32"/>
        </w:rPr>
        <w:t>中共阿坝州委办公室</w:t>
      </w:r>
      <w:r>
        <w:rPr>
          <w:rFonts w:eastAsia="仿宋_GB2312"/>
          <w:sz w:val="32"/>
          <w:szCs w:val="32"/>
        </w:rPr>
        <w:t>年末实有人数56人。</w:t>
      </w:r>
    </w:p>
    <w:p w14:paraId="78E27D50">
      <w:pPr>
        <w:widowControl/>
        <w:adjustRightInd w:val="0"/>
        <w:snapToGrid w:val="0"/>
        <w:spacing w:line="576" w:lineRule="exact"/>
        <w:ind w:firstLine="640" w:firstLineChars="200"/>
        <w:contextualSpacing/>
        <w:jc w:val="left"/>
        <w:rPr>
          <w:rFonts w:hint="eastAsia" w:ascii="方正黑体_GBK" w:eastAsia="方正黑体_GBK"/>
          <w:sz w:val="32"/>
          <w:szCs w:val="32"/>
          <w:lang w:val="zh-CN"/>
        </w:rPr>
      </w:pPr>
      <w:r>
        <w:rPr>
          <w:rFonts w:hint="eastAsia" w:ascii="方正黑体_GBK" w:eastAsia="方正黑体_GBK"/>
          <w:sz w:val="32"/>
          <w:szCs w:val="32"/>
          <w:lang w:val="zh-CN"/>
        </w:rPr>
        <w:t>二、部门资金收支情况</w:t>
      </w:r>
    </w:p>
    <w:p w14:paraId="36EA856A">
      <w:pPr>
        <w:widowControl/>
        <w:adjustRightInd w:val="0"/>
        <w:snapToGrid w:val="0"/>
        <w:spacing w:line="576" w:lineRule="exact"/>
        <w:ind w:firstLine="643" w:firstLineChars="200"/>
        <w:contextualSpacing/>
        <w:jc w:val="left"/>
        <w:rPr>
          <w:rFonts w:eastAsia="楷体_GB2312"/>
          <w:b/>
          <w:bCs/>
          <w:color w:val="000000"/>
          <w:kern w:val="0"/>
          <w:szCs w:val="32"/>
          <w:shd w:val="clear" w:color="auto" w:fill="FFFFFF"/>
        </w:rPr>
      </w:pPr>
      <w:r>
        <w:rPr>
          <w:rFonts w:hint="eastAsia" w:ascii="方正楷体_GBK" w:eastAsia="方正楷体_GBK"/>
          <w:b/>
          <w:bCs/>
          <w:sz w:val="32"/>
          <w:szCs w:val="32"/>
          <w:lang w:val="zh-CN"/>
        </w:rPr>
        <w:t>（一）收入情况。</w:t>
      </w:r>
      <w:r>
        <w:rPr>
          <w:rFonts w:eastAsia="仿宋_GB2312"/>
          <w:sz w:val="32"/>
          <w:szCs w:val="32"/>
        </w:rPr>
        <w:t>中共阿坝</w:t>
      </w:r>
      <w:r>
        <w:rPr>
          <w:rFonts w:hint="eastAsia" w:eastAsia="仿宋_GB2312"/>
          <w:sz w:val="32"/>
          <w:szCs w:val="32"/>
        </w:rPr>
        <w:t>州委办公室2025年年初预算收入</w:t>
      </w:r>
      <w:r>
        <w:rPr>
          <w:rFonts w:eastAsia="仿宋_GB2312"/>
          <w:sz w:val="32"/>
          <w:szCs w:val="32"/>
        </w:rPr>
        <w:t>2801.22万元，</w:t>
      </w:r>
      <w:r>
        <w:rPr>
          <w:rFonts w:hint="eastAsia" w:eastAsia="仿宋_GB2312"/>
          <w:sz w:val="32"/>
          <w:szCs w:val="32"/>
        </w:rPr>
        <w:t>决算报表收入</w:t>
      </w:r>
      <w:r>
        <w:rPr>
          <w:rFonts w:eastAsia="仿宋_GB2312"/>
          <w:sz w:val="32"/>
          <w:szCs w:val="32"/>
        </w:rPr>
        <w:t>2801.22万元</w:t>
      </w:r>
      <w:r>
        <w:rPr>
          <w:rFonts w:hint="eastAsia" w:eastAsia="仿宋_GB2312"/>
          <w:sz w:val="32"/>
          <w:szCs w:val="32"/>
        </w:rPr>
        <w:t>。</w:t>
      </w:r>
    </w:p>
    <w:p w14:paraId="18B7C225">
      <w:pPr>
        <w:widowControl/>
        <w:adjustRightInd w:val="0"/>
        <w:snapToGrid w:val="0"/>
        <w:spacing w:line="576" w:lineRule="exact"/>
        <w:ind w:firstLine="643" w:firstLineChars="200"/>
        <w:contextualSpacing/>
        <w:jc w:val="left"/>
        <w:rPr>
          <w:szCs w:val="32"/>
          <w:lang w:val="zh-CN"/>
        </w:rPr>
      </w:pPr>
      <w:r>
        <w:rPr>
          <w:rFonts w:hint="eastAsia" w:ascii="方正楷体_GBK" w:eastAsia="方正楷体_GBK"/>
          <w:b/>
          <w:bCs/>
          <w:sz w:val="32"/>
          <w:szCs w:val="32"/>
          <w:lang w:val="zh-CN"/>
        </w:rPr>
        <w:t>（二）支出情况。</w:t>
      </w:r>
      <w:r>
        <w:rPr>
          <w:rFonts w:eastAsia="仿宋_GB2312"/>
          <w:sz w:val="32"/>
          <w:szCs w:val="32"/>
        </w:rPr>
        <w:t>中共阿坝</w:t>
      </w:r>
      <w:r>
        <w:rPr>
          <w:rFonts w:hint="eastAsia" w:eastAsia="仿宋_GB2312"/>
          <w:sz w:val="32"/>
          <w:szCs w:val="32"/>
        </w:rPr>
        <w:t>州委办公室2025年年初预算支出</w:t>
      </w:r>
      <w:r>
        <w:rPr>
          <w:rFonts w:eastAsia="仿宋_GB2312"/>
          <w:sz w:val="32"/>
          <w:szCs w:val="32"/>
        </w:rPr>
        <w:t>2801.22万元</w:t>
      </w:r>
      <w:r>
        <w:rPr>
          <w:rFonts w:hint="eastAsia" w:eastAsia="仿宋_GB2312"/>
          <w:sz w:val="32"/>
          <w:szCs w:val="32"/>
        </w:rPr>
        <w:t>、决算报表支出</w:t>
      </w:r>
      <w:r>
        <w:rPr>
          <w:rFonts w:eastAsia="仿宋_GB2312"/>
          <w:sz w:val="32"/>
          <w:szCs w:val="32"/>
        </w:rPr>
        <w:t>2801.22万元</w:t>
      </w:r>
      <w:r>
        <w:rPr>
          <w:rFonts w:hint="eastAsia" w:eastAsia="仿宋_GB2312"/>
          <w:sz w:val="32"/>
          <w:szCs w:val="32"/>
        </w:rPr>
        <w:t>。</w:t>
      </w:r>
    </w:p>
    <w:p w14:paraId="3CBFF436">
      <w:pPr>
        <w:widowControl/>
        <w:adjustRightInd w:val="0"/>
        <w:snapToGrid w:val="0"/>
        <w:spacing w:line="576" w:lineRule="exact"/>
        <w:ind w:firstLine="643" w:firstLineChars="200"/>
        <w:contextualSpacing/>
        <w:jc w:val="left"/>
        <w:rPr>
          <w:rFonts w:eastAsia="仿宋_GB2312"/>
          <w:color w:val="000000"/>
          <w:kern w:val="0"/>
          <w:szCs w:val="32"/>
          <w:shd w:val="clear" w:color="auto" w:fill="FFFFFF"/>
          <w:lang w:val="zh-CN"/>
        </w:rPr>
      </w:pPr>
      <w:r>
        <w:rPr>
          <w:rFonts w:hint="eastAsia" w:ascii="方正楷体_GBK" w:eastAsia="方正楷体_GBK"/>
          <w:b/>
          <w:bCs/>
          <w:sz w:val="32"/>
          <w:szCs w:val="32"/>
          <w:lang w:val="zh-CN"/>
        </w:rPr>
        <w:t>（三）结余分配和结转结余情况。</w:t>
      </w:r>
      <w:r>
        <w:rPr>
          <w:rFonts w:eastAsia="仿宋_GB2312"/>
          <w:sz w:val="32"/>
          <w:szCs w:val="32"/>
        </w:rPr>
        <w:t>中共阿坝</w:t>
      </w:r>
      <w:r>
        <w:rPr>
          <w:rFonts w:hint="eastAsia" w:eastAsia="仿宋_GB2312"/>
          <w:sz w:val="32"/>
          <w:szCs w:val="32"/>
        </w:rPr>
        <w:t>州委办公室2025年决算报表</w:t>
      </w:r>
      <w:r>
        <w:rPr>
          <w:rFonts w:eastAsia="仿宋_GB2312"/>
          <w:sz w:val="32"/>
          <w:szCs w:val="32"/>
        </w:rPr>
        <w:t>无结转结余资金。</w:t>
      </w:r>
    </w:p>
    <w:p w14:paraId="3E594B60">
      <w:pPr>
        <w:widowControl/>
        <w:adjustRightInd w:val="0"/>
        <w:snapToGrid w:val="0"/>
        <w:spacing w:line="576" w:lineRule="exact"/>
        <w:ind w:firstLine="640" w:firstLineChars="200"/>
        <w:contextualSpacing/>
        <w:jc w:val="left"/>
        <w:rPr>
          <w:rFonts w:hint="eastAsia" w:ascii="方正黑体_GBK" w:eastAsia="方正黑体_GBK"/>
          <w:sz w:val="32"/>
          <w:szCs w:val="32"/>
          <w:lang w:val="zh-CN"/>
        </w:rPr>
      </w:pPr>
      <w:r>
        <w:rPr>
          <w:rFonts w:hint="eastAsia" w:ascii="方正黑体_GBK" w:eastAsia="方正黑体_GBK"/>
          <w:sz w:val="32"/>
          <w:szCs w:val="32"/>
          <w:lang w:val="zh-CN"/>
        </w:rPr>
        <w:t>三、预算绩效分析</w:t>
      </w:r>
    </w:p>
    <w:p w14:paraId="4068CFE1">
      <w:pPr>
        <w:adjustRightInd w:val="0"/>
        <w:snapToGrid w:val="0"/>
        <w:spacing w:line="576" w:lineRule="exact"/>
        <w:ind w:firstLine="643" w:firstLineChars="200"/>
        <w:contextualSpacing/>
        <w:jc w:val="left"/>
        <w:rPr>
          <w:rFonts w:eastAsia="仿宋_GB2312" w:cs="仿宋_GB2312"/>
          <w:sz w:val="32"/>
          <w:szCs w:val="32"/>
          <w:lang w:val="zh-CN"/>
        </w:rPr>
      </w:pPr>
      <w:r>
        <w:rPr>
          <w:rFonts w:hint="eastAsia" w:ascii="方正楷体_GBK" w:eastAsia="方正楷体_GBK"/>
          <w:b/>
          <w:bCs/>
          <w:sz w:val="32"/>
          <w:szCs w:val="32"/>
          <w:lang w:val="zh-CN"/>
        </w:rPr>
        <w:t>（一）预算总体绩效分析。</w:t>
      </w:r>
    </w:p>
    <w:p w14:paraId="7A402D5B">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bCs/>
          <w:sz w:val="32"/>
          <w:szCs w:val="32"/>
          <w:highlight w:val="none"/>
          <w:lang w:val="zh-CN"/>
        </w:rPr>
      </w:pPr>
      <w:r>
        <w:rPr>
          <w:rFonts w:eastAsia="仿宋_GB2312"/>
          <w:b/>
          <w:bCs/>
          <w:sz w:val="32"/>
          <w:szCs w:val="32"/>
          <w:highlight w:val="none"/>
          <w:lang w:val="zh-CN" w:eastAsia="zh-CN"/>
        </w:rPr>
        <w:t>1.</w:t>
      </w:r>
      <w:r>
        <w:rPr>
          <w:rFonts w:eastAsia="仿宋_GB2312"/>
          <w:b/>
          <w:bCs/>
          <w:sz w:val="32"/>
          <w:szCs w:val="32"/>
          <w:highlight w:val="none"/>
          <w:lang w:val="zh-CN"/>
        </w:rPr>
        <w:t>履职效能。</w:t>
      </w:r>
      <w:r>
        <w:rPr>
          <w:rFonts w:eastAsia="仿宋_GB2312"/>
          <w:bCs/>
          <w:sz w:val="32"/>
          <w:szCs w:val="32"/>
          <w:highlight w:val="none"/>
          <w:lang w:val="zh-CN"/>
        </w:rPr>
        <w:t>一是完成</w:t>
      </w:r>
      <w:r>
        <w:rPr>
          <w:rFonts w:eastAsia="仿宋_GB2312"/>
          <w:sz w:val="32"/>
          <w:szCs w:val="32"/>
          <w:u w:val="none"/>
          <w:lang w:bidi="ar-SA"/>
        </w:rPr>
        <w:t>筹办各类州委会议、重大活动的准备和实施，州委领导活动的协调安排，州委各类文稿的撰写、修改和印制；二是完成上级公文的承办和州委文件的草拟、印制、分发、管理等工作；三是完成州委值班工作，负责全州党委办公室系统值班指导，对突出事件紧急情况跟踪了解、协调处理。</w:t>
      </w:r>
    </w:p>
    <w:p w14:paraId="40417E71">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sz w:val="32"/>
          <w:szCs w:val="32"/>
        </w:rPr>
      </w:pPr>
      <w:r>
        <w:rPr>
          <w:rFonts w:eastAsia="仿宋_GB2312"/>
          <w:b/>
          <w:bCs/>
          <w:sz w:val="32"/>
          <w:szCs w:val="32"/>
          <w:highlight w:val="none"/>
          <w:lang w:val="zh-CN" w:eastAsia="zh-CN"/>
        </w:rPr>
        <w:t>2.</w:t>
      </w:r>
      <w:r>
        <w:rPr>
          <w:rFonts w:eastAsia="仿宋_GB2312"/>
          <w:b/>
          <w:bCs/>
          <w:sz w:val="32"/>
          <w:szCs w:val="32"/>
          <w:highlight w:val="none"/>
          <w:lang w:val="zh-CN"/>
        </w:rPr>
        <w:t>预算管理。</w:t>
      </w:r>
      <w:r>
        <w:rPr>
          <w:rFonts w:eastAsia="仿宋_GB2312"/>
          <w:sz w:val="32"/>
          <w:szCs w:val="32"/>
          <w:lang w:val="en-US" w:eastAsia="zh-CN"/>
        </w:rPr>
        <w:t>单位不断强化预算意识，实行部门综合预算管理，形成以单位领导支持、财务部门牵头、其他部门密切配合的工作格局，保证预算编制质量。结合单位业务情况，进行科学合理分配细化，部门预算经批复后，跟踪预算执行进度，及时组织收入，科学合理安排支出，降低预算支出的波动幅度。严格执行项目支出预算，积极组织项目实施，对于达到政府采购标准的项目支出，明确规定采购项目的采购期限，督促尽快组织实施采购计划。加强对预算执行过程的控制和结果的反馈，对预算执行差异及时分析成因和影响，并及时向领导和相关科室进行反馈，以采取措施纠正执行偏差，促进预算目标的全面完成。</w:t>
      </w:r>
      <w:r>
        <w:rPr>
          <w:rFonts w:eastAsia="仿宋_GB2312"/>
          <w:bCs/>
          <w:sz w:val="32"/>
          <w:szCs w:val="32"/>
          <w:highlight w:val="none"/>
          <w:lang w:val="zh-CN"/>
        </w:rPr>
        <w:t>按照年初预算管理要求，做到应编尽编的原则，将全年支出纳入预算管理。</w:t>
      </w:r>
      <w:r>
        <w:rPr>
          <w:rFonts w:eastAsia="仿宋_GB2312"/>
          <w:bCs/>
          <w:sz w:val="32"/>
          <w:szCs w:val="32"/>
          <w:lang w:val="zh-CN"/>
        </w:rPr>
        <w:t>2025</w:t>
      </w:r>
      <w:r>
        <w:rPr>
          <w:rFonts w:eastAsia="仿宋_GB2312"/>
          <w:bCs/>
          <w:sz w:val="32"/>
          <w:szCs w:val="32"/>
          <w:highlight w:val="none"/>
          <w:lang w:val="zh-CN"/>
        </w:rPr>
        <w:t>年州委办一般公共预算财政拨款收入调整预算数</w:t>
      </w:r>
      <w:r>
        <w:rPr>
          <w:rFonts w:eastAsia="仿宋_GB2312"/>
          <w:sz w:val="32"/>
          <w:szCs w:val="32"/>
        </w:rPr>
        <w:t>2801.22</w:t>
      </w:r>
      <w:r>
        <w:rPr>
          <w:rFonts w:eastAsia="仿宋_GB2312"/>
          <w:bCs/>
          <w:sz w:val="32"/>
          <w:szCs w:val="32"/>
          <w:highlight w:val="none"/>
          <w:lang w:val="zh-CN"/>
        </w:rPr>
        <w:t>万元，支出数</w:t>
      </w:r>
      <w:r>
        <w:rPr>
          <w:rFonts w:eastAsia="仿宋_GB2312"/>
          <w:sz w:val="32"/>
          <w:szCs w:val="32"/>
        </w:rPr>
        <w:t>2801.22</w:t>
      </w:r>
      <w:r>
        <w:rPr>
          <w:rFonts w:eastAsia="仿宋_GB2312"/>
          <w:bCs/>
          <w:sz w:val="32"/>
          <w:szCs w:val="32"/>
          <w:highlight w:val="none"/>
          <w:lang w:val="zh-CN"/>
        </w:rPr>
        <w:t>万元，支出进度达100%，年末无结转结余资金。</w:t>
      </w:r>
    </w:p>
    <w:p w14:paraId="1A93EC9B">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bCs/>
          <w:sz w:val="32"/>
          <w:szCs w:val="32"/>
        </w:rPr>
      </w:pPr>
      <w:r>
        <w:rPr>
          <w:rFonts w:eastAsia="仿宋_GB2312"/>
          <w:b/>
          <w:bCs/>
          <w:sz w:val="32"/>
          <w:szCs w:val="32"/>
          <w:highlight w:val="none"/>
          <w:lang w:val="zh-CN" w:eastAsia="zh-CN"/>
        </w:rPr>
        <w:t>3.</w:t>
      </w:r>
      <w:r>
        <w:rPr>
          <w:rFonts w:eastAsia="仿宋_GB2312"/>
          <w:b/>
          <w:bCs/>
          <w:sz w:val="32"/>
          <w:szCs w:val="32"/>
          <w:highlight w:val="none"/>
          <w:lang w:val="zh-CN"/>
        </w:rPr>
        <w:t>财务管理。</w:t>
      </w:r>
      <w:r>
        <w:rPr>
          <w:rFonts w:eastAsia="仿宋_GB2312"/>
          <w:b/>
          <w:bCs/>
          <w:sz w:val="32"/>
          <w:szCs w:val="32"/>
          <w:lang w:val="zh-CN"/>
        </w:rPr>
        <w:t> </w:t>
      </w:r>
      <w:r>
        <w:rPr>
          <w:rFonts w:eastAsia="仿宋_GB2312"/>
          <w:bCs/>
          <w:sz w:val="32"/>
          <w:szCs w:val="32"/>
          <w:lang w:val="zh-CN"/>
        </w:rPr>
        <w:t>我办建立了完善的财务审核机制，对每一笔经济业务都进行严格的审核，包括原始凭证的真实性、合法性、准确性以及审批手续的完整性。记账凭证的编制依据充分、内容准确，如实反映了经济业务的实质，不存在虚假记载、误导性陈述或重大遗漏。定期进行财务对账工作，包括账账核对、账证核对、账实核对等，确保会计数据的一致性和准确性，未发现重大差异和不符之处</w:t>
      </w:r>
      <w:r>
        <w:rPr>
          <w:rFonts w:eastAsia="仿宋_GB2312"/>
          <w:bCs/>
          <w:sz w:val="32"/>
          <w:szCs w:val="32"/>
        </w:rPr>
        <w:t>。</w:t>
      </w:r>
    </w:p>
    <w:p w14:paraId="7B987D3C">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bCs/>
          <w:sz w:val="32"/>
          <w:szCs w:val="32"/>
          <w:highlight w:val="none"/>
          <w:lang w:val="zh-CN"/>
        </w:rPr>
      </w:pPr>
      <w:r>
        <w:rPr>
          <w:rFonts w:eastAsia="仿宋_GB2312"/>
          <w:b/>
          <w:bCs/>
          <w:sz w:val="32"/>
          <w:szCs w:val="32"/>
          <w:highlight w:val="none"/>
          <w:lang w:val="zh-CN" w:eastAsia="zh-CN"/>
        </w:rPr>
        <w:t>4.</w:t>
      </w:r>
      <w:r>
        <w:rPr>
          <w:rFonts w:eastAsia="仿宋_GB2312"/>
          <w:b/>
          <w:bCs/>
          <w:sz w:val="32"/>
          <w:szCs w:val="32"/>
          <w:highlight w:val="none"/>
          <w:lang w:val="zh-CN"/>
        </w:rPr>
        <w:t>资产管理。</w:t>
      </w:r>
      <w:r>
        <w:rPr>
          <w:rFonts w:eastAsia="仿宋_GB2312"/>
          <w:bCs/>
          <w:sz w:val="32"/>
          <w:szCs w:val="32"/>
          <w:lang w:val="zh-CN"/>
        </w:rPr>
        <w:t>一是加强会计核算工作。严格执行现行固定资产管理制度，对已完工的基建工程、购入的固定资产、收到的捐赠资产等及时入账，并按照数量、金额登记明细账，编制固定资产卡片，确保账面上能真实、完整的反映单位的固定资产情况，并结合本单位的实际情况，完善固定资产管理制度。二是加强程序管理。对纳入政府采购目录范围内的资产采购，必须报政府采购中心进行政府采购；未纳入政府采购目录范围内的资产采购，采用其他形式采购。未纳入预算的固定资产，不得随意采购，确需急用，必须经相关部门批准。三是加强内部监督。定期或不定期的对固定资产进行抽查。检查固定资产的购置、领用、处置等程序是否合规，账实是否相符等，防止国有资产的流失。</w:t>
      </w:r>
    </w:p>
    <w:p w14:paraId="2DE45C87">
      <w:pPr>
        <w:keepNext w:val="0"/>
        <w:keepLines w:val="0"/>
        <w:pageBreakBefore w:val="0"/>
        <w:widowControl w:val="0"/>
        <w:kinsoku/>
        <w:wordWrap/>
        <w:overflowPunct/>
        <w:topLinePunct w:val="0"/>
        <w:autoSpaceDE/>
        <w:autoSpaceDN/>
        <w:adjustRightInd w:val="0"/>
        <w:snapToGrid w:val="0"/>
        <w:spacing w:line="578" w:lineRule="exact"/>
        <w:ind w:left="0" w:firstLine="643" w:firstLineChars="200"/>
        <w:contextualSpacing/>
        <w:jc w:val="left"/>
        <w:rPr>
          <w:rFonts w:eastAsia="仿宋_GB2312" w:cs="仿宋_GB2312"/>
          <w:sz w:val="32"/>
          <w:szCs w:val="32"/>
          <w:lang w:val="zh-CN"/>
        </w:rPr>
      </w:pPr>
      <w:r>
        <w:rPr>
          <w:rFonts w:eastAsia="仿宋_GB2312"/>
          <w:b/>
          <w:bCs/>
          <w:sz w:val="32"/>
          <w:szCs w:val="32"/>
          <w:highlight w:val="none"/>
          <w:lang w:val="zh-CN" w:eastAsia="zh-CN"/>
        </w:rPr>
        <w:t>5.</w:t>
      </w:r>
      <w:r>
        <w:rPr>
          <w:rFonts w:eastAsia="仿宋_GB2312"/>
          <w:b/>
          <w:bCs/>
          <w:sz w:val="32"/>
          <w:szCs w:val="32"/>
          <w:highlight w:val="none"/>
          <w:lang w:val="zh-CN"/>
        </w:rPr>
        <w:t>采购管理。</w:t>
      </w:r>
      <w:r>
        <w:rPr>
          <w:rFonts w:eastAsia="仿宋_GB2312"/>
          <w:bCs/>
          <w:sz w:val="32"/>
          <w:szCs w:val="32"/>
          <w:highlight w:val="none"/>
          <w:lang w:val="zh-CN"/>
        </w:rPr>
        <w:t>按照政府采购相关要求，</w:t>
      </w:r>
      <w:r>
        <w:rPr>
          <w:rFonts w:eastAsia="仿宋_GB2312"/>
          <w:bCs/>
          <w:sz w:val="32"/>
          <w:szCs w:val="32"/>
          <w:lang w:val="zh-CN"/>
        </w:rPr>
        <w:t>健全完善部门内控制度，全面梳理业务流程，明确业务环节，分析风险隐患，完善风险评估机制，制定风险应对策略;有效运用不相容岗位相互分离、内部授权审批控制、归口管理、预算控制、财产保护控制、会计控制、单据控制、信息内部公开等内部控制基本方法，加强对单位层面和业务层面的内部控制，实现内部控制体系全面、有效实施。建立单位内控监督约束机制，确保采购资金安全、合理、有效使用，最大限度发挥财政资金使用效益。</w:t>
      </w:r>
    </w:p>
    <w:p w14:paraId="7FE6CEDE">
      <w:pPr>
        <w:adjustRightInd w:val="0"/>
        <w:snapToGrid w:val="0"/>
        <w:spacing w:line="576" w:lineRule="exact"/>
        <w:ind w:firstLine="643" w:firstLineChars="200"/>
        <w:contextualSpacing/>
        <w:rPr>
          <w:rFonts w:eastAsia="楷体_GB2312"/>
          <w:b/>
          <w:bCs/>
          <w:color w:val="000000"/>
          <w:kern w:val="0"/>
          <w:sz w:val="32"/>
          <w:szCs w:val="32"/>
          <w:shd w:val="clear" w:color="auto" w:fill="FFFFFF"/>
          <w:lang w:val="zh-CN"/>
        </w:rPr>
      </w:pPr>
      <w:r>
        <w:rPr>
          <w:rFonts w:hint="eastAsia" w:ascii="方正楷体_GBK" w:eastAsia="方正楷体_GBK"/>
          <w:b/>
          <w:bCs/>
          <w:sz w:val="32"/>
          <w:szCs w:val="32"/>
          <w:lang w:val="zh-CN"/>
        </w:rPr>
        <w:t>（二）部门预算项目绩效分析。</w:t>
      </w:r>
    </w:p>
    <w:p w14:paraId="793A700C">
      <w:pPr>
        <w:adjustRightInd w:val="0"/>
        <w:snapToGrid w:val="0"/>
        <w:spacing w:line="576" w:lineRule="exact"/>
        <w:ind w:firstLine="640" w:firstLineChars="200"/>
        <w:contextualSpacing/>
        <w:rPr>
          <w:rFonts w:eastAsia="仿宋_GB2312" w:cs="仿宋_GB2312"/>
          <w:sz w:val="32"/>
          <w:szCs w:val="32"/>
          <w:lang w:val="zh-CN"/>
        </w:rPr>
      </w:pPr>
      <w:r>
        <w:rPr>
          <w:rFonts w:eastAsia="仿宋_GB2312" w:cs="仿宋_GB2312"/>
          <w:sz w:val="32"/>
          <w:szCs w:val="32"/>
        </w:rPr>
        <w:t>常年性项目绩效分析。</w:t>
      </w:r>
      <w:r>
        <w:rPr>
          <w:rFonts w:eastAsia="仿宋_GB2312" w:cs="仿宋_GB2312"/>
          <w:sz w:val="32"/>
          <w:szCs w:val="32"/>
          <w:lang w:val="zh-CN"/>
        </w:rPr>
        <w:t>该类项目总数4个，涉及预算总金额</w:t>
      </w:r>
      <w:r>
        <w:rPr>
          <w:rFonts w:eastAsia="仿宋_GB2312" w:cs="仿宋_GB2312"/>
          <w:sz w:val="32"/>
          <w:szCs w:val="32"/>
        </w:rPr>
        <w:t>45.55</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eastAsia="仿宋_GB2312" w:cs="仿宋_GB2312"/>
          <w:sz w:val="32"/>
          <w:szCs w:val="32"/>
        </w:rPr>
        <w:t>100</w:t>
      </w:r>
      <w:r>
        <w:rPr>
          <w:rFonts w:eastAsia="仿宋_GB2312" w:cs="仿宋_GB2312"/>
          <w:sz w:val="32"/>
          <w:szCs w:val="32"/>
          <w:lang w:val="zh-CN"/>
        </w:rPr>
        <w:t>%。</w:t>
      </w:r>
    </w:p>
    <w:p w14:paraId="76CA1BE0">
      <w:pPr>
        <w:adjustRightInd w:val="0"/>
        <w:snapToGrid w:val="0"/>
        <w:spacing w:line="576" w:lineRule="exact"/>
        <w:ind w:firstLine="643" w:firstLineChars="200"/>
        <w:contextualSpacing/>
        <w:rPr>
          <w:rFonts w:eastAsia="仿宋_GB2312" w:cs="仿宋_GB2312"/>
          <w:sz w:val="32"/>
          <w:szCs w:val="32"/>
          <w:lang w:val="zh-CN"/>
        </w:rPr>
      </w:pPr>
      <w:r>
        <w:rPr>
          <w:rFonts w:hint="eastAsia" w:eastAsia="仿宋_GB2312" w:cs="仿宋_GB2312"/>
          <w:b/>
          <w:bCs/>
          <w:sz w:val="32"/>
          <w:szCs w:val="32"/>
        </w:rPr>
        <w:t>1.</w:t>
      </w:r>
      <w:r>
        <w:rPr>
          <w:rFonts w:hint="eastAsia" w:eastAsia="仿宋_GB2312" w:cs="仿宋_GB2312"/>
          <w:b/>
          <w:bCs/>
          <w:sz w:val="32"/>
          <w:szCs w:val="32"/>
          <w:lang w:val="zh-CN"/>
        </w:rPr>
        <w:t>项目决策。</w:t>
      </w:r>
      <w:r>
        <w:rPr>
          <w:rFonts w:eastAsia="仿宋_GB2312" w:cs="仿宋_GB2312"/>
          <w:bCs/>
          <w:sz w:val="32"/>
          <w:szCs w:val="32"/>
          <w:highlight w:val="none"/>
          <w:lang w:val="zh-CN"/>
        </w:rPr>
        <w:t>围绕部门中心工作，按照时间节点要求，设置各类项目目标绩效目标，在单位完成“三重一大”集体讨论程序后，按要求在预算管理一体化中进行申报，根据相关科室（中心）项目推进要求，及时将项目入库，并编制绩效目标。</w:t>
      </w:r>
    </w:p>
    <w:p w14:paraId="49E28A7F">
      <w:pPr>
        <w:adjustRightInd w:val="0"/>
        <w:snapToGrid w:val="0"/>
        <w:spacing w:line="576" w:lineRule="exact"/>
        <w:ind w:firstLine="643" w:firstLineChars="200"/>
        <w:contextualSpacing/>
        <w:rPr>
          <w:rFonts w:eastAsia="仿宋_GB2312" w:cs="仿宋_GB2312"/>
          <w:sz w:val="32"/>
          <w:szCs w:val="32"/>
          <w:lang w:val="zh-CN"/>
        </w:rPr>
      </w:pPr>
      <w:r>
        <w:rPr>
          <w:rFonts w:hint="eastAsia" w:eastAsia="仿宋_GB2312" w:cs="仿宋_GB2312"/>
          <w:b/>
          <w:bCs/>
          <w:sz w:val="32"/>
          <w:szCs w:val="32"/>
        </w:rPr>
        <w:t>2.项目执</w:t>
      </w:r>
      <w:r>
        <w:rPr>
          <w:rFonts w:hint="eastAsia" w:eastAsia="仿宋_GB2312" w:cs="仿宋_GB2312"/>
          <w:b/>
          <w:bCs/>
          <w:sz w:val="32"/>
          <w:szCs w:val="32"/>
          <w:lang w:val="zh-CN"/>
        </w:rPr>
        <w:t>行。</w:t>
      </w:r>
      <w:r>
        <w:rPr>
          <w:rFonts w:eastAsia="仿宋_GB2312" w:cs="仿宋_GB2312"/>
          <w:bCs/>
          <w:sz w:val="32"/>
          <w:szCs w:val="32"/>
          <w:highlight w:val="none"/>
          <w:lang w:val="zh-CN"/>
        </w:rPr>
        <w:t>根据项目绩效目标，及时推进项目执行，在年初预定的间节点完成相应工作，如未及时完成，需及时调整项目绩效目标，保证资金执行的同时，达到预计继续熬目标。</w:t>
      </w:r>
    </w:p>
    <w:p w14:paraId="39CA511E">
      <w:pPr>
        <w:adjustRightInd w:val="0"/>
        <w:snapToGrid w:val="0"/>
        <w:spacing w:line="576" w:lineRule="exact"/>
        <w:ind w:firstLine="643" w:firstLineChars="200"/>
        <w:contextualSpacing/>
        <w:rPr>
          <w:rFonts w:eastAsia="仿宋_GB2312" w:cs="仿宋_GB2312"/>
          <w:sz w:val="32"/>
          <w:szCs w:val="32"/>
          <w:lang w:val="zh-CN"/>
        </w:rPr>
      </w:pPr>
      <w:r>
        <w:rPr>
          <w:rFonts w:hint="eastAsia" w:eastAsia="仿宋_GB2312" w:cs="仿宋_GB2312"/>
          <w:b/>
          <w:bCs/>
          <w:sz w:val="32"/>
          <w:szCs w:val="32"/>
        </w:rPr>
        <w:t>3.</w:t>
      </w:r>
      <w:r>
        <w:rPr>
          <w:rFonts w:hint="eastAsia" w:eastAsia="仿宋_GB2312" w:cs="仿宋_GB2312"/>
          <w:b/>
          <w:bCs/>
          <w:sz w:val="32"/>
          <w:szCs w:val="32"/>
          <w:lang w:val="zh-CN"/>
        </w:rPr>
        <w:t>目标实现。</w:t>
      </w:r>
      <w:r>
        <w:rPr>
          <w:rFonts w:eastAsia="仿宋_GB2312" w:cs="仿宋_GB2312"/>
          <w:bCs/>
          <w:sz w:val="32"/>
          <w:szCs w:val="32"/>
          <w:highlight w:val="none"/>
          <w:lang w:val="zh-CN"/>
        </w:rPr>
        <w:t>综合考虑绩效目标完成情况、目标偏离原因和实现效果，本年度绩效评价表现较好，虽然在文稿编制、会务保障、后勤管理等方面取得一定的成绩，但仍需对目标偏离的问题采取有效的改进措施，以提高单位的整体绩效水平。</w:t>
      </w:r>
    </w:p>
    <w:p w14:paraId="7C9190A2">
      <w:pPr>
        <w:snapToGrid w:val="0"/>
        <w:spacing w:line="576" w:lineRule="exact"/>
        <w:ind w:firstLine="643" w:firstLineChars="200"/>
        <w:rPr>
          <w:rFonts w:eastAsia="仿宋_GB2312" w:cs="仿宋_GB2312"/>
          <w:bCs/>
          <w:sz w:val="32"/>
          <w:szCs w:val="32"/>
          <w:lang w:val="zh-CN"/>
        </w:rPr>
      </w:pPr>
      <w:r>
        <w:rPr>
          <w:rFonts w:hint="eastAsia" w:ascii="方正楷体_GBK" w:eastAsia="方正楷体_GBK"/>
          <w:b/>
          <w:bCs/>
          <w:sz w:val="32"/>
          <w:szCs w:val="32"/>
          <w:lang w:val="zh-CN"/>
        </w:rPr>
        <w:t>（三）绩效结果应用情况</w:t>
      </w:r>
      <w:r>
        <w:rPr>
          <w:rFonts w:hint="eastAsia" w:eastAsia="仿宋_GB2312" w:cs="仿宋_GB2312"/>
          <w:bCs/>
          <w:sz w:val="32"/>
          <w:szCs w:val="32"/>
          <w:lang w:val="zh-CN"/>
        </w:rPr>
        <w:t>。</w:t>
      </w:r>
      <w:r>
        <w:rPr>
          <w:rFonts w:eastAsia="仿宋_GB2312" w:cs="仿宋_GB2312"/>
          <w:bCs/>
          <w:sz w:val="32"/>
          <w:szCs w:val="32"/>
          <w:lang w:val="zh-CN"/>
        </w:rPr>
        <w:t>根据室务会的决定，人事行财科应当根据国家有关法律法规和监管规则的要求，结合实际情况，围绕对合理保证单位经济活动合法合规、资产安全和使用有效、财务信息真实完整，有效防范舞弊和预防腐败，提高公共服务的效率和效果等单个或整体控制目标的实现程度，组织实施对单位内部控制系统设计和执行的有效性进行定期或不定期（每年至少一次）的调查、测试、分析、评估及改进，以合理保证单位目标的实现。</w:t>
      </w:r>
    </w:p>
    <w:p w14:paraId="37DE9045">
      <w:pPr>
        <w:widowControl/>
        <w:adjustRightInd w:val="0"/>
        <w:snapToGrid w:val="0"/>
        <w:spacing w:line="576" w:lineRule="exact"/>
        <w:ind w:firstLine="640" w:firstLineChars="200"/>
        <w:contextualSpacing/>
        <w:jc w:val="left"/>
        <w:rPr>
          <w:rFonts w:eastAsia="黑体"/>
          <w:color w:val="000000"/>
          <w:kern w:val="0"/>
          <w:sz w:val="32"/>
          <w:szCs w:val="32"/>
          <w:shd w:val="clear" w:color="auto" w:fill="FFFFFF"/>
          <w:lang w:val="zh-CN"/>
        </w:rPr>
      </w:pPr>
      <w:r>
        <w:rPr>
          <w:rFonts w:hint="eastAsia" w:ascii="方正黑体_GBK" w:eastAsia="方正黑体_GBK"/>
          <w:sz w:val="32"/>
          <w:szCs w:val="32"/>
          <w:lang w:val="zh-CN"/>
        </w:rPr>
        <w:t>四、评价结论及建议</w:t>
      </w:r>
    </w:p>
    <w:p w14:paraId="67C29A64">
      <w:pPr>
        <w:widowControl/>
        <w:adjustRightInd w:val="0"/>
        <w:snapToGrid w:val="0"/>
        <w:spacing w:line="576" w:lineRule="exact"/>
        <w:ind w:firstLine="643" w:firstLineChars="200"/>
        <w:contextualSpacing/>
        <w:jc w:val="left"/>
        <w:rPr>
          <w:rFonts w:eastAsia="仿宋_GB2312" w:cs="仿宋_GB2312"/>
          <w:bCs/>
          <w:sz w:val="32"/>
          <w:szCs w:val="32"/>
          <w:lang w:val="zh-CN"/>
        </w:rPr>
      </w:pPr>
      <w:r>
        <w:rPr>
          <w:rFonts w:hint="eastAsia" w:ascii="方正楷体_GBK" w:eastAsia="方正楷体_GBK"/>
          <w:b/>
          <w:bCs/>
          <w:sz w:val="32"/>
          <w:szCs w:val="32"/>
          <w:lang w:val="zh-CN"/>
        </w:rPr>
        <w:t>（一）评价结论</w:t>
      </w:r>
      <w:r>
        <w:rPr>
          <w:rFonts w:eastAsia="仿宋_GB2312" w:cs="仿宋_GB2312"/>
          <w:bCs/>
          <w:sz w:val="32"/>
          <w:szCs w:val="32"/>
          <w:lang w:val="zh-CN"/>
        </w:rPr>
        <w:t>。</w:t>
      </w:r>
      <w:r>
        <w:rPr>
          <w:rFonts w:eastAsia="仿宋_GB2312" w:cs="仿宋_GB2312"/>
          <w:bCs/>
          <w:sz w:val="32"/>
          <w:szCs w:val="32"/>
          <w:lang w:val="zh-CN" w:eastAsia="zh-CN" w:bidi="ar-SA"/>
        </w:rPr>
        <w:t>2025年我办严格遵守财经纪律，严格执行</w:t>
      </w:r>
      <w:r>
        <w:rPr>
          <w:rFonts w:hint="eastAsia" w:eastAsia="仿宋_GB2312" w:cs="仿宋_GB2312"/>
          <w:bCs/>
          <w:sz w:val="32"/>
          <w:szCs w:val="32"/>
          <w:lang w:val="en-US" w:eastAsia="zh-CN" w:bidi="ar-SA"/>
        </w:rPr>
        <w:t>中央</w:t>
      </w:r>
      <w:bookmarkStart w:id="91" w:name="_GoBack"/>
      <w:bookmarkEnd w:id="91"/>
      <w:r>
        <w:rPr>
          <w:rFonts w:eastAsia="仿宋_GB2312" w:cs="仿宋_GB2312"/>
          <w:bCs/>
          <w:sz w:val="32"/>
          <w:szCs w:val="32"/>
          <w:lang w:val="zh-CN" w:eastAsia="zh-CN" w:bidi="ar-SA"/>
        </w:rPr>
        <w:t>八项规定，严格按照预算法及州财政相关要求进行收支管理，准确编制预决算，严格支出标准，按时对预决算信息在政府部门网站公开，严格执行内控制度，整体评价结果总体较好。</w:t>
      </w:r>
    </w:p>
    <w:p w14:paraId="70723EA7">
      <w:pPr>
        <w:wordWrap/>
        <w:adjustRightInd/>
        <w:snapToGrid/>
        <w:spacing w:line="576" w:lineRule="exact"/>
        <w:ind w:left="0" w:firstLine="640"/>
        <w:rPr>
          <w:rFonts w:eastAsia="仿宋_GB2312"/>
          <w:sz w:val="32"/>
          <w:szCs w:val="32"/>
        </w:rPr>
      </w:pPr>
      <w:r>
        <w:rPr>
          <w:rFonts w:hint="eastAsia" w:ascii="方正楷体_GBK" w:eastAsia="方正楷体_GBK"/>
          <w:b/>
          <w:bCs/>
          <w:sz w:val="32"/>
          <w:szCs w:val="32"/>
          <w:lang w:val="zh-CN"/>
        </w:rPr>
        <w:t>（二）存在问题。</w:t>
      </w:r>
      <w:r>
        <w:rPr>
          <w:rFonts w:eastAsia="仿宋_GB2312" w:cs="仿宋_GB2312"/>
          <w:bCs/>
          <w:sz w:val="32"/>
          <w:szCs w:val="32"/>
          <w:lang w:val="zh-CN"/>
        </w:rPr>
        <w:t>2025年度，我办整体收支管理情况较好，但依然存在部分业务理论知识不足，导致部分预算编制不精准。</w:t>
      </w:r>
    </w:p>
    <w:p w14:paraId="5A440408">
      <w:pPr>
        <w:widowControl/>
        <w:adjustRightInd w:val="0"/>
        <w:snapToGrid w:val="0"/>
        <w:spacing w:line="576" w:lineRule="exact"/>
        <w:ind w:firstLine="643" w:firstLineChars="200"/>
        <w:contextualSpacing/>
        <w:jc w:val="left"/>
        <w:rPr>
          <w:rFonts w:eastAsia="仿宋_GB2312"/>
          <w:sz w:val="32"/>
          <w:szCs w:val="32"/>
        </w:rPr>
      </w:pPr>
      <w:r>
        <w:rPr>
          <w:rFonts w:hint="eastAsia" w:ascii="方正楷体_GBK" w:eastAsia="方正楷体_GBK"/>
          <w:b/>
          <w:bCs/>
          <w:sz w:val="32"/>
          <w:szCs w:val="32"/>
          <w:lang w:val="zh-CN"/>
        </w:rPr>
        <w:t>（三）改进建议。</w:t>
      </w:r>
      <w:bookmarkStart w:id="76" w:name="_Hlk110546638"/>
      <w:r>
        <w:rPr>
          <w:rFonts w:eastAsia="仿宋_GB2312" w:cs="仿宋_GB2312"/>
          <w:bCs/>
          <w:sz w:val="32"/>
          <w:szCs w:val="32"/>
          <w:lang w:val="zh-CN" w:eastAsia="zh-CN" w:bidi="ar-SA"/>
        </w:rPr>
        <w:t>一是进一步严格财务审核，提高精细化管理要求。二是建议财政部门加大对支出评价业务的培训和指导，全面提高部门整体支出绩效。</w:t>
      </w:r>
    </w:p>
    <w:bookmarkEnd w:id="76"/>
    <w:p w14:paraId="2E9E1F3B">
      <w:pPr>
        <w:pStyle w:val="3"/>
        <w:spacing w:line="576" w:lineRule="exact"/>
        <w:ind w:left="0" w:leftChars="0"/>
        <w:rPr>
          <w:rFonts w:ascii="Times New Roman" w:hAnsi="Times New Roman" w:eastAsia="仿宋_GB2312"/>
          <w:sz w:val="32"/>
          <w:lang w:val="zh-CN"/>
        </w:rPr>
      </w:pPr>
    </w:p>
    <w:p w14:paraId="2FE73258">
      <w:pPr>
        <w:pStyle w:val="3"/>
        <w:spacing w:line="576" w:lineRule="exact"/>
        <w:ind w:left="0" w:leftChars="0"/>
        <w:rPr>
          <w:rFonts w:ascii="Times New Roman" w:hAnsi="Times New Roman" w:eastAsia="仿宋_GB2312"/>
          <w:sz w:val="32"/>
          <w:lang w:val="zh-CN"/>
        </w:rPr>
      </w:pPr>
      <w:r>
        <w:rPr>
          <w:rFonts w:hint="eastAsia" w:ascii="Times New Roman" w:hAnsi="Times New Roman" w:eastAsia="仿宋_GB2312"/>
          <w:sz w:val="32"/>
          <w:lang w:val="zh-CN"/>
        </w:rPr>
        <w:t>附表：</w:t>
      </w:r>
      <w:r>
        <w:rPr>
          <w:rFonts w:hint="eastAsia" w:ascii="Times New Roman" w:hAnsi="Times New Roman" w:eastAsia="仿宋_GB2312"/>
          <w:sz w:val="32"/>
        </w:rPr>
        <w:t>部门预算项目支出绩效自评表（2025年度）</w:t>
      </w:r>
    </w:p>
    <w:p w14:paraId="549BE712">
      <w:pPr>
        <w:pStyle w:val="3"/>
        <w:spacing w:line="576" w:lineRule="exact"/>
        <w:ind w:left="0" w:leftChars="0" w:firstLine="0" w:firstLineChars="0"/>
        <w:rPr>
          <w:rFonts w:ascii="Times New Roman" w:hAnsi="Times New Roman"/>
          <w:sz w:val="32"/>
          <w:highlight w:val="yellow"/>
          <w:lang w:val="zh-CN"/>
        </w:rPr>
      </w:pPr>
    </w:p>
    <w:p w14:paraId="07997B30">
      <w:pPr>
        <w:pStyle w:val="8"/>
        <w:spacing w:before="93" w:beforeLines="0" w:line="576" w:lineRule="exact"/>
        <w:rPr>
          <w:rFonts w:ascii="Times New Roman" w:hAnsi="Times New Roman" w:cs="宋体"/>
          <w:color w:val="FF0000"/>
          <w:sz w:val="32"/>
          <w:szCs w:val="32"/>
          <w:highlight w:val="yellow"/>
          <w:shd w:val="clear" w:color="auto" w:fill="FFFFFF"/>
          <w:lang w:val="zh-CN"/>
        </w:rPr>
      </w:pPr>
    </w:p>
    <w:p w14:paraId="41613116">
      <w:pPr>
        <w:spacing w:line="576" w:lineRule="exact"/>
        <w:rPr>
          <w:rFonts w:eastAsia="黑体" w:cs="黑体"/>
          <w:kern w:val="0"/>
          <w:sz w:val="32"/>
          <w:szCs w:val="32"/>
          <w:shd w:val="clear" w:color="auto" w:fill="FFFFFF"/>
          <w:lang w:val="zh-CN"/>
        </w:rPr>
      </w:pPr>
      <w:r>
        <w:rPr>
          <w:rFonts w:hint="eastAsia" w:ascii="方正楷体_GBK" w:eastAsia="方正楷体_GBK" w:cs="黑体"/>
          <w:b/>
          <w:bCs/>
          <w:sz w:val="32"/>
          <w:szCs w:val="32"/>
          <w:lang w:val="zh-CN"/>
        </w:rPr>
        <w:br w:type="page"/>
      </w:r>
    </w:p>
    <w:p w14:paraId="2A7E4634">
      <w:pPr>
        <w:pStyle w:val="8"/>
        <w:spacing w:before="93" w:beforeLines="0" w:line="576" w:lineRule="exact"/>
        <w:rPr>
          <w:rFonts w:ascii="Times New Roman" w:hAnsi="Times New Roman" w:cs="仿宋_GB2312"/>
          <w:bCs/>
          <w:kern w:val="2"/>
          <w:sz w:val="32"/>
          <w:szCs w:val="32"/>
          <w:lang w:val="zh-CN"/>
        </w:rPr>
      </w:pPr>
      <w:r>
        <w:rPr>
          <w:rFonts w:ascii="Times New Roman" w:hAnsi="Times New Roman" w:cs="仿宋_GB2312"/>
          <w:bCs/>
          <w:kern w:val="2"/>
          <w:sz w:val="32"/>
          <w:szCs w:val="32"/>
          <w:lang w:val="zh-CN"/>
        </w:rPr>
        <w:t>附件2</w:t>
      </w:r>
    </w:p>
    <w:p w14:paraId="540A7DAD">
      <w:pPr>
        <w:pStyle w:val="29"/>
        <w:spacing w:line="576" w:lineRule="exact"/>
        <w:jc w:val="center"/>
        <w:rPr>
          <w:rFonts w:ascii="Times New Roman" w:hAnsi="Times New Roman" w:eastAsia="方正小标宋简体"/>
          <w:color w:val="auto"/>
          <w:kern w:val="2"/>
          <w:sz w:val="44"/>
          <w:szCs w:val="44"/>
          <w:lang w:val="en-US"/>
        </w:rPr>
      </w:pPr>
    </w:p>
    <w:p w14:paraId="6733904C">
      <w:pPr>
        <w:pStyle w:val="29"/>
        <w:spacing w:line="576" w:lineRule="exact"/>
        <w:jc w:val="center"/>
        <w:rPr>
          <w:rFonts w:ascii="Times New Roman" w:hAnsi="Times New Roman" w:eastAsia="方正小标宋简体"/>
          <w:color w:val="auto"/>
          <w:kern w:val="2"/>
          <w:sz w:val="44"/>
          <w:szCs w:val="44"/>
          <w:lang w:val="en-US"/>
        </w:rPr>
      </w:pPr>
      <w:r>
        <w:rPr>
          <w:rFonts w:ascii="Times New Roman" w:hAnsi="Times New Roman" w:eastAsia="方正小标宋简体"/>
          <w:color w:val="auto"/>
          <w:kern w:val="2"/>
          <w:sz w:val="44"/>
          <w:szCs w:val="44"/>
          <w:lang w:val="en-US"/>
        </w:rPr>
        <w:t>专项预算项目绩效评价报告</w:t>
      </w:r>
    </w:p>
    <w:p w14:paraId="28FE3FF4">
      <w:pPr>
        <w:pStyle w:val="29"/>
        <w:spacing w:line="576" w:lineRule="exact"/>
        <w:ind w:firstLine="640"/>
        <w:jc w:val="center"/>
        <w:rPr>
          <w:rFonts w:ascii="Times New Roman" w:hAnsi="Times New Roman"/>
          <w:color w:val="auto"/>
          <w:kern w:val="2"/>
          <w:sz w:val="32"/>
          <w:szCs w:val="32"/>
        </w:rPr>
      </w:pPr>
    </w:p>
    <w:p w14:paraId="25E7F289">
      <w:pPr>
        <w:widowControl/>
        <w:adjustRightInd w:val="0"/>
        <w:snapToGrid w:val="0"/>
        <w:spacing w:line="576" w:lineRule="exact"/>
        <w:ind w:firstLine="640" w:firstLineChars="200"/>
        <w:contextualSpacing/>
        <w:jc w:val="left"/>
        <w:rPr>
          <w:rFonts w:hint="eastAsia" w:eastAsia="仿宋_GB2312"/>
          <w:sz w:val="32"/>
          <w:szCs w:val="32"/>
          <w:lang w:val="zh-CN"/>
        </w:rPr>
      </w:pPr>
      <w:r>
        <w:rPr>
          <w:rFonts w:hint="eastAsia" w:eastAsia="仿宋_GB2312"/>
          <w:sz w:val="32"/>
          <w:szCs w:val="32"/>
          <w:lang w:val="zh-CN"/>
        </w:rPr>
        <w:t>中共阿坝州委办公室2025年无专项资金预算项目</w:t>
      </w:r>
    </w:p>
    <w:p w14:paraId="522111EA">
      <w:pPr>
        <w:rPr>
          <w:rFonts w:hint="eastAsia" w:eastAsia="仿宋_GB2312"/>
          <w:sz w:val="32"/>
          <w:szCs w:val="32"/>
          <w:lang w:val="zh-CN"/>
        </w:rPr>
      </w:pPr>
      <w:r>
        <w:rPr>
          <w:rFonts w:hint="eastAsia" w:eastAsia="仿宋_GB2312"/>
          <w:sz w:val="32"/>
          <w:szCs w:val="32"/>
          <w:lang w:val="zh-CN"/>
        </w:rPr>
        <w:br w:type="page"/>
      </w:r>
    </w:p>
    <w:p w14:paraId="3C1578EA">
      <w:pPr>
        <w:widowControl/>
        <w:spacing w:line="576" w:lineRule="exact"/>
        <w:jc w:val="center"/>
        <w:rPr>
          <w:rFonts w:eastAsia="仿宋"/>
        </w:rPr>
      </w:pPr>
      <w:bookmarkStart w:id="77" w:name="_Toc15396618"/>
      <w:r>
        <w:rPr>
          <w:rFonts w:hint="eastAsia" w:eastAsia="黑体"/>
          <w:sz w:val="44"/>
          <w:szCs w:val="44"/>
        </w:rPr>
        <w:t>第</w:t>
      </w:r>
      <w:r>
        <w:rPr>
          <w:rStyle w:val="19"/>
          <w:rFonts w:hint="eastAsia" w:eastAsia="黑体"/>
          <w:b w:val="0"/>
        </w:rPr>
        <w:t>五部分 附表</w:t>
      </w:r>
      <w:bookmarkEnd w:id="73"/>
      <w:bookmarkEnd w:id="77"/>
      <w:bookmarkStart w:id="78" w:name="_Toc15396619"/>
    </w:p>
    <w:p w14:paraId="79D023C2">
      <w:pPr>
        <w:pStyle w:val="14"/>
        <w:adjustRightInd w:val="0"/>
        <w:snapToGrid w:val="0"/>
        <w:spacing w:line="576" w:lineRule="exact"/>
        <w:jc w:val="left"/>
        <w:rPr>
          <w:rFonts w:eastAsia="仿宋_GB2312" w:cs="仿宋_GB2312"/>
          <w:sz w:val="32"/>
          <w:szCs w:val="32"/>
        </w:rPr>
      </w:pPr>
    </w:p>
    <w:p w14:paraId="53EFFB33">
      <w:pPr>
        <w:pStyle w:val="14"/>
        <w:adjustRightInd w:val="0"/>
        <w:snapToGrid w:val="0"/>
        <w:spacing w:line="576" w:lineRule="exact"/>
        <w:jc w:val="left"/>
        <w:rPr>
          <w:rFonts w:eastAsia="仿宋_GB2312" w:cs="仿宋_GB2312"/>
          <w:sz w:val="32"/>
          <w:szCs w:val="32"/>
        </w:rPr>
      </w:pPr>
      <w:r>
        <w:rPr>
          <w:rFonts w:hint="eastAsia" w:eastAsia="仿宋_GB2312" w:cs="仿宋_GB2312"/>
          <w:sz w:val="32"/>
          <w:szCs w:val="32"/>
        </w:rPr>
        <w:t>一、收入支出决算总表</w:t>
      </w:r>
      <w:bookmarkEnd w:id="78"/>
    </w:p>
    <w:p w14:paraId="26C26E17">
      <w:pPr>
        <w:pStyle w:val="14"/>
        <w:adjustRightInd w:val="0"/>
        <w:snapToGrid w:val="0"/>
        <w:spacing w:line="576" w:lineRule="exact"/>
        <w:jc w:val="left"/>
        <w:rPr>
          <w:rFonts w:eastAsia="仿宋_GB2312" w:cs="仿宋_GB2312"/>
          <w:sz w:val="32"/>
          <w:szCs w:val="32"/>
        </w:rPr>
      </w:pPr>
      <w:bookmarkStart w:id="79" w:name="_Toc15396620"/>
      <w:r>
        <w:rPr>
          <w:rFonts w:hint="eastAsia" w:eastAsia="仿宋_GB2312" w:cs="仿宋_GB2312"/>
          <w:sz w:val="32"/>
          <w:szCs w:val="32"/>
        </w:rPr>
        <w:t>二、收入决算表</w:t>
      </w:r>
      <w:bookmarkEnd w:id="79"/>
    </w:p>
    <w:p w14:paraId="594F931F">
      <w:pPr>
        <w:pStyle w:val="14"/>
        <w:adjustRightInd w:val="0"/>
        <w:snapToGrid w:val="0"/>
        <w:spacing w:line="576" w:lineRule="exact"/>
        <w:jc w:val="left"/>
        <w:rPr>
          <w:rFonts w:eastAsia="仿宋_GB2312" w:cs="仿宋_GB2312"/>
          <w:sz w:val="32"/>
          <w:szCs w:val="32"/>
        </w:rPr>
      </w:pPr>
      <w:bookmarkStart w:id="80" w:name="_Toc15396621"/>
      <w:r>
        <w:rPr>
          <w:rFonts w:hint="eastAsia" w:eastAsia="仿宋_GB2312" w:cs="仿宋_GB2312"/>
          <w:sz w:val="32"/>
          <w:szCs w:val="32"/>
        </w:rPr>
        <w:t>三、支出决算表</w:t>
      </w:r>
      <w:bookmarkEnd w:id="80"/>
    </w:p>
    <w:p w14:paraId="55E9D705">
      <w:pPr>
        <w:pStyle w:val="14"/>
        <w:adjustRightInd w:val="0"/>
        <w:snapToGrid w:val="0"/>
        <w:spacing w:line="576" w:lineRule="exact"/>
        <w:jc w:val="left"/>
        <w:rPr>
          <w:rFonts w:eastAsia="仿宋_GB2312" w:cs="仿宋_GB2312"/>
          <w:sz w:val="32"/>
          <w:szCs w:val="32"/>
        </w:rPr>
      </w:pPr>
      <w:bookmarkStart w:id="81" w:name="_Toc15396622"/>
      <w:r>
        <w:rPr>
          <w:rFonts w:hint="eastAsia" w:eastAsia="仿宋_GB2312" w:cs="仿宋_GB2312"/>
          <w:sz w:val="32"/>
          <w:szCs w:val="32"/>
        </w:rPr>
        <w:t>四、财政拨款收入支出决算总表</w:t>
      </w:r>
      <w:bookmarkEnd w:id="81"/>
    </w:p>
    <w:p w14:paraId="52554497">
      <w:pPr>
        <w:pStyle w:val="14"/>
        <w:adjustRightInd w:val="0"/>
        <w:snapToGrid w:val="0"/>
        <w:spacing w:line="576" w:lineRule="exact"/>
        <w:jc w:val="left"/>
        <w:rPr>
          <w:rFonts w:eastAsia="仿宋_GB2312" w:cs="仿宋_GB2312"/>
          <w:sz w:val="32"/>
          <w:szCs w:val="32"/>
        </w:rPr>
      </w:pPr>
      <w:bookmarkStart w:id="82" w:name="_Toc15396623"/>
      <w:r>
        <w:rPr>
          <w:rFonts w:hint="eastAsia" w:eastAsia="仿宋_GB2312" w:cs="仿宋_GB2312"/>
          <w:sz w:val="32"/>
          <w:szCs w:val="32"/>
        </w:rPr>
        <w:t>五、财政拨款支出决算明细表</w:t>
      </w:r>
      <w:bookmarkEnd w:id="82"/>
      <w:bookmarkStart w:id="83" w:name="_Toc15396624"/>
    </w:p>
    <w:p w14:paraId="25A1F9DB">
      <w:pPr>
        <w:pStyle w:val="14"/>
        <w:adjustRightInd w:val="0"/>
        <w:snapToGrid w:val="0"/>
        <w:spacing w:line="576"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83"/>
    </w:p>
    <w:p w14:paraId="051BFA49">
      <w:pPr>
        <w:pStyle w:val="14"/>
        <w:adjustRightInd w:val="0"/>
        <w:snapToGrid w:val="0"/>
        <w:spacing w:line="576" w:lineRule="exact"/>
        <w:jc w:val="left"/>
        <w:rPr>
          <w:rFonts w:eastAsia="仿宋_GB2312" w:cs="仿宋_GB2312"/>
          <w:sz w:val="32"/>
          <w:szCs w:val="32"/>
        </w:rPr>
      </w:pPr>
      <w:bookmarkStart w:id="84" w:name="_Toc15396625"/>
      <w:r>
        <w:rPr>
          <w:rFonts w:hint="eastAsia" w:eastAsia="仿宋_GB2312" w:cs="仿宋_GB2312"/>
          <w:sz w:val="32"/>
          <w:szCs w:val="32"/>
        </w:rPr>
        <w:t>七、一般公共预算财政拨款支出决算明细表</w:t>
      </w:r>
      <w:bookmarkEnd w:id="84"/>
    </w:p>
    <w:p w14:paraId="712E1911">
      <w:pPr>
        <w:pStyle w:val="14"/>
        <w:adjustRightInd w:val="0"/>
        <w:snapToGrid w:val="0"/>
        <w:spacing w:line="576" w:lineRule="exact"/>
        <w:jc w:val="left"/>
        <w:rPr>
          <w:rFonts w:eastAsia="仿宋_GB2312" w:cs="仿宋_GB2312"/>
          <w:sz w:val="32"/>
          <w:szCs w:val="32"/>
        </w:rPr>
      </w:pPr>
      <w:bookmarkStart w:id="85" w:name="_Toc15396626"/>
      <w:r>
        <w:rPr>
          <w:rFonts w:hint="eastAsia" w:eastAsia="仿宋_GB2312" w:cs="仿宋_GB2312"/>
          <w:sz w:val="32"/>
          <w:szCs w:val="32"/>
        </w:rPr>
        <w:t>八、一般公共预算财政拨款基本支出决算表</w:t>
      </w:r>
      <w:bookmarkEnd w:id="85"/>
    </w:p>
    <w:p w14:paraId="3BC883A0">
      <w:pPr>
        <w:pStyle w:val="14"/>
        <w:adjustRightInd w:val="0"/>
        <w:snapToGrid w:val="0"/>
        <w:spacing w:line="576" w:lineRule="exact"/>
        <w:jc w:val="left"/>
        <w:rPr>
          <w:rFonts w:eastAsia="仿宋_GB2312" w:cs="仿宋_GB2312"/>
          <w:sz w:val="32"/>
          <w:szCs w:val="32"/>
        </w:rPr>
      </w:pPr>
      <w:bookmarkStart w:id="86" w:name="_Toc15396627"/>
      <w:r>
        <w:rPr>
          <w:rFonts w:hint="eastAsia" w:eastAsia="仿宋_GB2312" w:cs="仿宋_GB2312"/>
          <w:sz w:val="32"/>
          <w:szCs w:val="32"/>
        </w:rPr>
        <w:t>九、一般公共预算财政拨款项目支出决算表</w:t>
      </w:r>
      <w:bookmarkEnd w:id="86"/>
    </w:p>
    <w:p w14:paraId="058715D4">
      <w:pPr>
        <w:pStyle w:val="14"/>
        <w:adjustRightInd w:val="0"/>
        <w:snapToGrid w:val="0"/>
        <w:spacing w:line="576" w:lineRule="exact"/>
        <w:jc w:val="left"/>
        <w:rPr>
          <w:rFonts w:eastAsia="仿宋_GB2312" w:cs="仿宋_GB2312"/>
          <w:sz w:val="32"/>
          <w:szCs w:val="32"/>
        </w:rPr>
      </w:pPr>
      <w:bookmarkStart w:id="87" w:name="_Toc15396628"/>
      <w:r>
        <w:rPr>
          <w:rFonts w:hint="eastAsia" w:eastAsia="仿宋_GB2312" w:cs="仿宋_GB2312"/>
          <w:sz w:val="32"/>
          <w:szCs w:val="32"/>
        </w:rPr>
        <w:t>十、</w:t>
      </w:r>
      <w:bookmarkEnd w:id="87"/>
      <w:r>
        <w:rPr>
          <w:rFonts w:hint="eastAsia" w:eastAsia="仿宋_GB2312" w:cs="仿宋_GB2312"/>
          <w:sz w:val="32"/>
          <w:szCs w:val="32"/>
        </w:rPr>
        <w:t>政府性基金预算财政拨款收入支出决算表</w:t>
      </w:r>
    </w:p>
    <w:p w14:paraId="303AAC29">
      <w:pPr>
        <w:pStyle w:val="14"/>
        <w:adjustRightInd w:val="0"/>
        <w:snapToGrid w:val="0"/>
        <w:spacing w:line="576" w:lineRule="exact"/>
        <w:jc w:val="left"/>
        <w:rPr>
          <w:rFonts w:eastAsia="仿宋_GB2312" w:cs="仿宋_GB2312"/>
          <w:sz w:val="32"/>
          <w:szCs w:val="32"/>
        </w:rPr>
      </w:pPr>
      <w:bookmarkStart w:id="88" w:name="_Toc15396629"/>
      <w:r>
        <w:rPr>
          <w:rFonts w:hint="eastAsia" w:eastAsia="仿宋_GB2312" w:cs="仿宋_GB2312"/>
          <w:sz w:val="32"/>
          <w:szCs w:val="32"/>
        </w:rPr>
        <w:t>十一、</w:t>
      </w:r>
      <w:bookmarkEnd w:id="88"/>
      <w:r>
        <w:rPr>
          <w:rFonts w:hint="eastAsia" w:eastAsia="仿宋_GB2312" w:cs="仿宋_GB2312"/>
          <w:sz w:val="32"/>
          <w:szCs w:val="32"/>
        </w:rPr>
        <w:t>国有资本经营预算财政拨款收入支出决算表</w:t>
      </w:r>
    </w:p>
    <w:p w14:paraId="4F3F77B9">
      <w:pPr>
        <w:pStyle w:val="14"/>
        <w:adjustRightInd w:val="0"/>
        <w:snapToGrid w:val="0"/>
        <w:spacing w:line="576" w:lineRule="exact"/>
        <w:jc w:val="left"/>
        <w:rPr>
          <w:rFonts w:eastAsia="仿宋_GB2312" w:cs="仿宋_GB2312"/>
          <w:sz w:val="32"/>
          <w:szCs w:val="32"/>
        </w:rPr>
      </w:pPr>
      <w:bookmarkStart w:id="89" w:name="_Toc15396630"/>
      <w:r>
        <w:rPr>
          <w:rFonts w:hint="eastAsia" w:eastAsia="仿宋_GB2312" w:cs="仿宋_GB2312"/>
          <w:sz w:val="32"/>
          <w:szCs w:val="32"/>
        </w:rPr>
        <w:t>十二、</w:t>
      </w:r>
      <w:bookmarkEnd w:id="89"/>
      <w:r>
        <w:rPr>
          <w:rFonts w:hint="eastAsia" w:eastAsia="仿宋_GB2312" w:cs="仿宋_GB2312"/>
          <w:sz w:val="32"/>
          <w:szCs w:val="32"/>
        </w:rPr>
        <w:t>国有资本经营预算财政拨款支出决算表</w:t>
      </w:r>
    </w:p>
    <w:p w14:paraId="667845A4">
      <w:pPr>
        <w:pStyle w:val="14"/>
        <w:adjustRightInd w:val="0"/>
        <w:snapToGrid w:val="0"/>
        <w:spacing w:line="576" w:lineRule="exact"/>
        <w:jc w:val="left"/>
        <w:rPr>
          <w:rFonts w:eastAsia="仿宋_GB2312" w:cs="仿宋_GB2312"/>
          <w:sz w:val="32"/>
          <w:szCs w:val="32"/>
        </w:rPr>
      </w:pPr>
      <w:bookmarkStart w:id="90" w:name="_Toc15396631"/>
      <w:r>
        <w:rPr>
          <w:rFonts w:hint="eastAsia" w:eastAsia="仿宋_GB2312" w:cs="仿宋_GB2312"/>
          <w:sz w:val="32"/>
          <w:szCs w:val="32"/>
        </w:rPr>
        <w:t>十三、</w:t>
      </w:r>
      <w:bookmarkEnd w:id="90"/>
      <w:r>
        <w:rPr>
          <w:rFonts w:hint="eastAsia" w:eastAsia="仿宋_GB2312" w:cs="仿宋_GB2312"/>
          <w:sz w:val="32"/>
          <w:szCs w:val="32"/>
        </w:rPr>
        <w:t>财政拨款“三公”经费支出决算表</w:t>
      </w:r>
    </w:p>
    <w:p w14:paraId="26BA473D"/>
    <w:sectPr>
      <w:footerReference r:id="rId6" w:type="first"/>
      <w:footerReference r:id="rId5" w:type="default"/>
      <w:pgSz w:w="11906" w:h="16838"/>
      <w:pgMar w:top="1440" w:right="1800" w:bottom="1440" w:left="1800"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Lucida Sans">
    <w:altName w:val="Lucida Sans Unicode"/>
    <w:panose1 w:val="00000000000000000000"/>
    <w:charset w:val="01"/>
    <w:family w:val="auto"/>
    <w:pitch w:val="default"/>
    <w:sig w:usb0="00000000" w:usb1="00000000" w:usb2="00000000" w:usb3="00000000" w:csb0="00000000" w:csb1="00000000"/>
  </w:font>
  <w:font w:name="方正公文小标宋">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FB64F">
    <w:pPr>
      <w:pStyle w:val="11"/>
      <w:jc w:val="center"/>
    </w:pPr>
  </w:p>
  <w:p w14:paraId="6FF76573">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05D76">
    <w:pPr>
      <w:pStyle w:val="11"/>
      <w:jc w:val="center"/>
      <w:rPr>
        <w:rFonts w:hint="eastAsia"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w:instrText>
    </w:r>
    <w:r>
      <w:rPr>
        <w:rFonts w:hint="eastAsia" w:ascii="仿宋_GB2312" w:eastAsia="仿宋_GB2312"/>
        <w:sz w:val="28"/>
        <w:szCs w:val="28"/>
      </w:rPr>
      <w:fldChar w:fldCharType="separate"/>
    </w:r>
    <w:r>
      <w:rPr>
        <w:rFonts w:hint="eastAsia" w:ascii="仿宋_GB2312" w:eastAsia="仿宋_GB2312"/>
        <w:sz w:val="28"/>
        <w:szCs w:val="28"/>
      </w:rPr>
      <w:t>- 2 -</w:t>
    </w:r>
    <w:r>
      <w:rPr>
        <w:rFonts w:hint="eastAsia" w:ascii="仿宋_GB2312" w:eastAsia="仿宋_GB2312"/>
        <w:sz w:val="28"/>
        <w:szCs w:val="28"/>
      </w:rPr>
      <w:fldChar w:fldCharType="end"/>
    </w:r>
  </w:p>
  <w:p w14:paraId="1D0AFFD9">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B2F5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C3339">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4B587E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9"/>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0"/>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uiPriority w:val="0"/>
    <w:pPr>
      <w:keepNext/>
      <w:keepLines/>
      <w:widowControl w:val="0"/>
      <w:spacing w:before="260" w:after="260" w:line="415" w:lineRule="auto"/>
      <w:outlineLvl w:val="2"/>
    </w:pPr>
    <w:rPr>
      <w:b/>
      <w:bCs/>
      <w:sz w:val="32"/>
      <w:szCs w:val="32"/>
    </w:rPr>
  </w:style>
  <w:style w:type="character" w:default="1" w:styleId="16">
    <w:name w:val="Default Paragraph Font"/>
    <w:uiPriority w:val="0"/>
  </w:style>
  <w:style w:type="table" w:default="1" w:styleId="15">
    <w:name w:val="Normal Table"/>
    <w:semiHidden/>
    <w:uiPriority w:val="0"/>
    <w:tblPr>
      <w:tblCellMar>
        <w:top w:w="0" w:type="dxa"/>
        <w:left w:w="108" w:type="dxa"/>
        <w:bottom w:w="0" w:type="dxa"/>
        <w:right w:w="108" w:type="dxa"/>
      </w:tblCellMar>
    </w:tblPr>
  </w:style>
  <w:style w:type="paragraph" w:styleId="2">
    <w:name w:val="footnote text"/>
    <w:basedOn w:val="1"/>
    <w:next w:val="3"/>
    <w:uiPriority w:val="0"/>
    <w:pPr>
      <w:snapToGrid w:val="0"/>
      <w:jc w:val="left"/>
    </w:pPr>
    <w:rPr>
      <w:sz w:val="18"/>
      <w:szCs w:val="18"/>
    </w:rPr>
  </w:style>
  <w:style w:type="paragraph" w:styleId="3">
    <w:name w:val="Body Text First Indent 2"/>
    <w:basedOn w:val="4"/>
    <w:uiPriority w:val="0"/>
    <w:pPr>
      <w:ind w:firstLine="200" w:firstLineChars="200"/>
    </w:pPr>
  </w:style>
  <w:style w:type="paragraph" w:styleId="4">
    <w:name w:val="Body Text Indent"/>
    <w:basedOn w:val="1"/>
    <w:next w:val="3"/>
    <w:qFormat/>
    <w:uiPriority w:val="0"/>
    <w:pPr>
      <w:spacing w:after="120"/>
      <w:ind w:left="200" w:leftChars="200"/>
    </w:pPr>
    <w:rPr>
      <w:rFonts w:ascii="仿宋_GB2312" w:hAnsi="仿宋_GB2312"/>
      <w:szCs w:val="32"/>
    </w:rPr>
  </w:style>
  <w:style w:type="paragraph" w:styleId="8">
    <w:name w:val="Body Text"/>
    <w:basedOn w:val="1"/>
    <w:uiPriority w:val="0"/>
    <w:pPr>
      <w:spacing w:before="30" w:beforeLines="30"/>
    </w:pPr>
    <w:rPr>
      <w:rFonts w:ascii="仿宋_GB2312" w:eastAsia="仿宋_GB2312"/>
      <w:kern w:val="0"/>
      <w:sz w:val="30"/>
    </w:rPr>
  </w:style>
  <w:style w:type="paragraph" w:styleId="9">
    <w:name w:val="toc 3"/>
    <w:basedOn w:val="1"/>
    <w:next w:val="1"/>
    <w:uiPriority w:val="0"/>
    <w:pPr>
      <w:tabs>
        <w:tab w:val="right" w:leader="dot" w:pos="8296"/>
      </w:tabs>
      <w:ind w:left="400" w:leftChars="400"/>
    </w:pPr>
  </w:style>
  <w:style w:type="paragraph" w:styleId="10">
    <w:name w:val="Balloon Text"/>
    <w:basedOn w:val="1"/>
    <w:uiPriority w:val="0"/>
    <w:rPr>
      <w:sz w:val="18"/>
      <w:szCs w:val="18"/>
    </w:rPr>
  </w:style>
  <w:style w:type="paragraph" w:styleId="11">
    <w:name w:val="footer"/>
    <w:basedOn w:val="1"/>
    <w:uiPriority w:val="0"/>
    <w:pPr>
      <w:tabs>
        <w:tab w:val="center" w:pos="4153"/>
        <w:tab w:val="right" w:pos="8306"/>
      </w:tabs>
      <w:snapToGrid w:val="0"/>
      <w:jc w:val="left"/>
    </w:pPr>
    <w:rPr>
      <w:rFonts w:ascii="Calibri" w:hAnsi="Calibri"/>
      <w:kern w:val="0"/>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oc 2"/>
    <w:basedOn w:val="1"/>
    <w:next w:val="1"/>
    <w:qFormat/>
    <w:uiPriority w:val="0"/>
    <w:pPr>
      <w:tabs>
        <w:tab w:val="right" w:leader="dot" w:pos="8296"/>
      </w:tabs>
      <w:ind w:left="200" w:leftChars="200"/>
    </w:pPr>
  </w:style>
  <w:style w:type="character" w:styleId="17">
    <w:name w:val="Strong"/>
    <w:qFormat/>
    <w:uiPriority w:val="0"/>
    <w:rPr>
      <w:b/>
    </w:rPr>
  </w:style>
  <w:style w:type="character" w:styleId="18">
    <w:name w:val="Hyperlink"/>
    <w:basedOn w:val="16"/>
    <w:uiPriority w:val="0"/>
    <w:rPr>
      <w:color w:val="0000FF"/>
      <w:u w:val="single"/>
    </w:rPr>
  </w:style>
  <w:style w:type="character" w:customStyle="1" w:styleId="19">
    <w:name w:val="heading 1 Char"/>
    <w:basedOn w:val="16"/>
    <w:link w:val="5"/>
    <w:uiPriority w:val="0"/>
    <w:rPr>
      <w:rFonts w:ascii="Times New Roman" w:hAnsi="Times New Roman" w:eastAsia="宋体" w:cs="Times New Roman"/>
      <w:b/>
      <w:bCs/>
      <w:kern w:val="44"/>
      <w:sz w:val="44"/>
      <w:szCs w:val="44"/>
      <w:lang w:val="en-US" w:eastAsia="zh-CN" w:bidi="ar-SA"/>
    </w:rPr>
  </w:style>
  <w:style w:type="character" w:customStyle="1" w:styleId="20">
    <w:name w:val="heading 2 Char"/>
    <w:basedOn w:val="16"/>
    <w:link w:val="6"/>
    <w:uiPriority w:val="0"/>
    <w:rPr>
      <w:rFonts w:ascii="Cambria" w:hAnsi="Cambria" w:eastAsia="宋体" w:cs="Times New Roman"/>
      <w:b/>
      <w:bCs/>
      <w:kern w:val="2"/>
      <w:sz w:val="32"/>
      <w:szCs w:val="32"/>
      <w:lang w:val="en-US" w:eastAsia="zh-CN" w:bidi="ar-SA"/>
    </w:rPr>
  </w:style>
  <w:style w:type="paragraph" w:customStyle="1" w:styleId="21">
    <w:name w:val="标题 5（有编号）（绿盟科技）"/>
    <w:next w:val="1"/>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6"/>
    <w:qFormat/>
    <w:uiPriority w:val="0"/>
    <w:rPr>
      <w:rFonts w:ascii="Times New Roman" w:hAnsi="Times New Roman"/>
      <w:sz w:val="18"/>
      <w:szCs w:val="18"/>
    </w:rPr>
  </w:style>
  <w:style w:type="character" w:customStyle="1" w:styleId="23">
    <w:name w:val="Footer Char"/>
    <w:basedOn w:val="16"/>
    <w:qFormat/>
    <w:uiPriority w:val="0"/>
    <w:rPr>
      <w:rFonts w:ascii="Times New Roman" w:hAnsi="Times New Roman"/>
      <w:sz w:val="18"/>
      <w:szCs w:val="18"/>
    </w:rPr>
  </w:style>
  <w:style w:type="character" w:customStyle="1" w:styleId="24">
    <w:name w:val="Body Text Char"/>
    <w:basedOn w:val="16"/>
    <w:uiPriority w:val="0"/>
    <w:rPr>
      <w:rFonts w:ascii="Times New Roman" w:hAnsi="Times New Roman"/>
      <w:szCs w:val="24"/>
    </w:rPr>
  </w:style>
  <w:style w:type="paragraph" w:customStyle="1" w:styleId="25">
    <w:name w:val="Defaul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6">
    <w:name w:val="List Paragraph"/>
    <w:basedOn w:val="1"/>
    <w:uiPriority w:val="0"/>
    <w:pPr>
      <w:ind w:firstLine="200" w:firstLineChars="200"/>
    </w:pPr>
  </w:style>
  <w:style w:type="paragraph" w:customStyle="1" w:styleId="27">
    <w:name w:val="TOC 标题1"/>
    <w:basedOn w:val="5"/>
    <w:next w:val="1"/>
    <w:uiPriority w:val="0"/>
    <w:pPr>
      <w:keepNext/>
      <w:keepLines/>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28">
    <w:name w:val="TOC 标题2"/>
    <w:basedOn w:val="5"/>
    <w:next w:val="1"/>
    <w:uiPriority w:val="0"/>
    <w:pPr>
      <w:keepNext/>
      <w:keepLines/>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29">
    <w:name w:val="四号正文"/>
    <w:basedOn w:val="1"/>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'工作表465537'!$A$2</c:f>
              <c:strCache>
                <c:ptCount val="1"/>
                <c:pt idx="0">
                  <c:v>2024年度</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'工作表465537'!$B$1:$C$1</c:f>
              <c:strCache>
                <c:ptCount val="2"/>
                <c:pt idx="0">
                  <c:v>收入</c:v>
                </c:pt>
                <c:pt idx="1">
                  <c:v>支出</c:v>
                </c:pt>
              </c:strCache>
            </c:strRef>
          </c:cat>
          <c:val>
            <c:numRef>
              <c:f>'工作表465537'!$B$2:$C$2</c:f>
              <c:numCache>
                <c:formatCode>General</c:formatCode>
                <c:ptCount val="2"/>
                <c:pt idx="0">
                  <c:v>2895.76</c:v>
                </c:pt>
                <c:pt idx="1">
                  <c:v>2895.76</c:v>
                </c:pt>
              </c:numCache>
            </c:numRef>
          </c:val>
        </c:ser>
        <c:ser>
          <c:idx val="1"/>
          <c:order val="1"/>
          <c:tx>
            <c:strRef>
              <c:f>'工作表465537'!$A$3</c:f>
              <c:strCache>
                <c:ptCount val="1"/>
                <c:pt idx="0">
                  <c:v>2025年度</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'工作表465537'!$B$1:$C$1</c:f>
              <c:strCache>
                <c:ptCount val="2"/>
                <c:pt idx="0">
                  <c:v>收入</c:v>
                </c:pt>
                <c:pt idx="1">
                  <c:v>支出</c:v>
                </c:pt>
              </c:strCache>
            </c:strRef>
          </c:cat>
          <c:val>
            <c:numRef>
              <c:f>'工作表465537'!$B$3:$C$3</c:f>
              <c:numCache>
                <c:formatCode>General</c:formatCode>
                <c:ptCount val="2"/>
                <c:pt idx="0">
                  <c:v>2801.22</c:v>
                </c:pt>
                <c:pt idx="1">
                  <c:v>2801.22</c:v>
                </c:pt>
              </c:numCache>
            </c:numRef>
          </c:val>
        </c:ser>
        <c:ser>
          <c:idx val="2"/>
          <c:order val="2"/>
          <c:tx>
            <c:strRef>
              <c:f>系列3</c:f>
              <c:strCache>
                <c:ptCount val="1"/>
                <c:pt idx="0">
                  <c:v>系列3</c:v>
                </c:pt>
              </c:strCache>
            </c:strRef>
          </c:tx>
          <c:spPr>
            <a:solidFill>
              <a:srgbClr val="A5A5A5"/>
            </a:solidFill>
            <a:ln>
              <a:noFill/>
            </a:ln>
          </c:spPr>
          <c:invertIfNegative val="0"/>
          <c:dLbls>
            <c:delete val="1"/>
          </c:dLbls>
          <c:cat>
            <c:strRef>
              <c:f>{"收入","支出"}</c:f>
              <c:strCache>
                <c:ptCount val="2"/>
                <c:pt idx="0">
                  <c:v>收入</c:v>
                </c:pt>
                <c:pt idx="1">
                  <c:v>支出</c:v>
                </c:pt>
              </c:strCache>
            </c:strRef>
          </c:cat>
          <c:val>
            <c:numRef>
              <c:f>{}</c:f>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ayout>
        <c:manualLayout>
          <c:xMode val="edge"/>
          <c:yMode val="edge"/>
          <c:x val="0.7827381"/>
          <c:y val="0.3888889"/>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1d27a95a-9e02-4f04-84bd-d8eb68a936e2}"/>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2025年度收入</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tx>
            <c:strRef>
              <c:f>'工作表465538'!$A$2</c:f>
              <c:strCache>
                <c:ptCount val="1"/>
                <c:pt idx="0">
                  <c:v>2025年度收入</c:v>
                </c:pt>
              </c:strCache>
            </c:strRef>
          </c:tx>
          <c:spPr>
            <a:solidFill>
              <a:srgbClr val="4F81BD"/>
            </a:solidFill>
            <a:ln>
              <a:noFill/>
            </a:ln>
          </c:spPr>
          <c:explosion val="0"/>
          <c:dPt>
            <c:idx val="0"/>
            <c:bubble3D val="0"/>
            <c:spPr>
              <a:solidFill>
                <a:srgbClr val="5B9BD5"/>
              </a:solidFill>
              <a:ln>
                <a:noFill/>
              </a:ln>
            </c:spPr>
          </c:dPt>
          <c:dLbls>
            <c:dLbl>
              <c:idx val="0"/>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'工作表465538'!$B$1</c:f>
              <c:strCache>
                <c:ptCount val="1"/>
                <c:pt idx="0">
                  <c:v>一般公共预算财政拨款收入</c:v>
                </c:pt>
              </c:strCache>
            </c:strRef>
          </c:cat>
          <c:val>
            <c:numRef>
              <c:f>工作表465538!$B$2</c:f>
              <c:numCache>
                <c:formatCode>General</c:formatCode>
                <c:ptCount val="1"/>
                <c:pt idx="0">
                  <c:v>2801.22</c:v>
                </c:pt>
              </c:numCache>
            </c:numRef>
          </c:val>
        </c:ser>
        <c:ser>
          <c:idx val="1"/>
          <c:order val="1"/>
          <c:tx>
            <c:strRef>
              <c:f>系列2</c:f>
              <c:strCache>
                <c:ptCount val="1"/>
                <c:pt idx="0">
                  <c:v>系列2</c:v>
                </c:pt>
              </c:strCache>
            </c:strRef>
          </c:tx>
          <c:spPr>
            <a:solidFill>
              <a:srgbClr val="C0504D"/>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c:f>
            </c:numRef>
          </c:val>
        </c:ser>
        <c:ser>
          <c:idx val="2"/>
          <c:order val="2"/>
          <c:tx>
            <c:strRef>
              <c:f>系列3</c:f>
              <c:strCache>
                <c:ptCount val="1"/>
                <c:pt idx="0">
                  <c:v>系列3</c:v>
                </c:pt>
              </c:strCache>
            </c:strRef>
          </c:tx>
          <c:spPr>
            <a:solidFill>
              <a:srgbClr val="9BBB59"/>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c:f>
            </c:numRef>
          </c:val>
        </c:ser>
        <c:dLbls>
          <c:showLegendKey val="0"/>
          <c:showVal val="1"/>
          <c:showCatName val="0"/>
          <c:showSerName val="0"/>
          <c:showPercent val="0"/>
          <c:showBubbleSize val="0"/>
        </c:dLbls>
      </c:pie3D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02f402d5-b858-4a82-93a3-abc1b67fc9ea}"/>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2025年度支出</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pieChart>
        <c:varyColors val="1"/>
        <c:ser>
          <c:idx val="0"/>
          <c:order val="0"/>
          <c:tx>
            <c:strRef>
              <c:f>'工作表465539'!$A$2</c:f>
              <c:strCache>
                <c:ptCount val="1"/>
                <c:pt idx="0">
                  <c:v>2025年度支出</c:v>
                </c:pt>
              </c:strCache>
            </c:strRef>
          </c:tx>
          <c:spPr>
            <a:solidFill>
              <a:srgbClr val="4F81BD"/>
            </a:solidFill>
            <a:ln>
              <a:noFill/>
            </a:ln>
          </c:spPr>
          <c:explosion val="0"/>
          <c:dPt>
            <c:idx val="0"/>
            <c:bubble3D val="0"/>
            <c:spPr>
              <a:solidFill>
                <a:srgbClr val="5B9BD5"/>
              </a:solidFill>
              <a:ln>
                <a:noFill/>
              </a:ln>
            </c:spPr>
          </c:dPt>
          <c:dPt>
            <c:idx val="1"/>
            <c:bubble3D val="0"/>
            <c:spPr>
              <a:solidFill>
                <a:srgbClr val="ED7D31"/>
              </a:solidFill>
              <a:ln>
                <a:noFill/>
              </a:ln>
            </c:spPr>
          </c:dPt>
          <c:dLbls>
            <c:dLbl>
              <c:idx val="0"/>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'工作表465539'!$B$1:$C$1</c:f>
              <c:strCache>
                <c:ptCount val="2"/>
                <c:pt idx="0">
                  <c:v>基本支出</c:v>
                </c:pt>
                <c:pt idx="1">
                  <c:v>项目支出</c:v>
                </c:pt>
              </c:strCache>
            </c:strRef>
          </c:cat>
          <c:val>
            <c:numRef>
              <c:f>'工作表465539'!$B$2:$C$2</c:f>
              <c:numCache>
                <c:formatCode>General</c:formatCode>
                <c:ptCount val="2"/>
                <c:pt idx="0">
                  <c:v>2590.52</c:v>
                </c:pt>
                <c:pt idx="1">
                  <c:v>210.7</c:v>
                </c:pt>
              </c:numCache>
            </c:numRef>
          </c:val>
        </c:ser>
        <c:ser>
          <c:idx val="1"/>
          <c:order val="1"/>
          <c:tx>
            <c:strRef>
              <c:f>系列2</c:f>
              <c:strCache>
                <c:ptCount val="1"/>
                <c:pt idx="0">
                  <c:v>系列2</c:v>
                </c:pt>
              </c:strCache>
            </c:strRef>
          </c:tx>
          <c:spPr>
            <a:solidFill>
              <a:srgbClr val="C0504D"/>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c:f>
            </c:numRef>
          </c:val>
        </c:ser>
        <c:ser>
          <c:idx val="2"/>
          <c:order val="2"/>
          <c:tx>
            <c:strRef>
              <c:f>系列3</c:f>
              <c:strCache>
                <c:ptCount val="1"/>
                <c:pt idx="0">
                  <c:v>系列3</c:v>
                </c:pt>
              </c:strCache>
            </c:strRef>
          </c:tx>
          <c:spPr>
            <a:solidFill>
              <a:srgbClr val="9BBB59"/>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c:f>
            </c:numRef>
          </c:val>
        </c:ser>
        <c:dLbls>
          <c:showLegendKey val="0"/>
          <c:showVal val="1"/>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24fdd340-d14f-4cd4-b5a7-73947be1aaf6}"/>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'工作表465540'!$A$2</c:f>
              <c:strCache>
                <c:ptCount val="1"/>
                <c:pt idx="0">
                  <c:v>2024年度</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'工作表465540'!$B$1:$C$1</c:f>
              <c:strCache>
                <c:ptCount val="2"/>
                <c:pt idx="0">
                  <c:v>财政拨款收入</c:v>
                </c:pt>
                <c:pt idx="1">
                  <c:v>财政拨款支出</c:v>
                </c:pt>
              </c:strCache>
            </c:strRef>
          </c:cat>
          <c:val>
            <c:numRef>
              <c:f>'工作表465540'!$B$2:$C$2</c:f>
              <c:numCache>
                <c:formatCode>General</c:formatCode>
                <c:ptCount val="2"/>
                <c:pt idx="0">
                  <c:v>2895.76</c:v>
                </c:pt>
                <c:pt idx="1">
                  <c:v>2895.76</c:v>
                </c:pt>
              </c:numCache>
            </c:numRef>
          </c:val>
        </c:ser>
        <c:ser>
          <c:idx val="1"/>
          <c:order val="1"/>
          <c:tx>
            <c:strRef>
              <c:f>'工作表465540'!$A$3</c:f>
              <c:strCache>
                <c:ptCount val="1"/>
                <c:pt idx="0">
                  <c:v>2025年度</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'工作表465540'!$B$1:$C$1</c:f>
              <c:strCache>
                <c:ptCount val="2"/>
                <c:pt idx="0">
                  <c:v>财政拨款收入</c:v>
                </c:pt>
                <c:pt idx="1">
                  <c:v>财政拨款支出</c:v>
                </c:pt>
              </c:strCache>
            </c:strRef>
          </c:cat>
          <c:val>
            <c:numRef>
              <c:f>'工作表465540'!$B$3:$C$3</c:f>
              <c:numCache>
                <c:formatCode>General</c:formatCode>
                <c:ptCount val="2"/>
                <c:pt idx="0">
                  <c:v>2801.22</c:v>
                </c:pt>
                <c:pt idx="1">
                  <c:v>2801.22</c:v>
                </c:pt>
              </c:numCache>
            </c:numRef>
          </c:val>
        </c:ser>
        <c:ser>
          <c:idx val="2"/>
          <c:order val="2"/>
          <c:tx>
            <c:strRef>
              <c:f>系列3</c:f>
              <c:strCache>
                <c:ptCount val="1"/>
                <c:pt idx="0">
                  <c:v>系列3</c:v>
                </c:pt>
              </c:strCache>
            </c:strRef>
          </c:tx>
          <c:spPr>
            <a:solidFill>
              <a:srgbClr val="A5A5A5"/>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{"财政拨款收入","财政拨款支出"}</c:f>
              <c:strCache>
                <c:ptCount val="2"/>
                <c:pt idx="0">
                  <c:v>财政拨款收入</c:v>
                </c:pt>
                <c:pt idx="1">
                  <c:v>财政拨款支出</c:v>
                </c:pt>
              </c:strCache>
            </c:strRef>
          </c:cat>
          <c:val>
            <c:numRef>
              <c:f>{1,#N/A}</c:f>
              <c:numCache>
                <c:formatCode>General</c:formatCode>
                <c:ptCount val="2"/>
                <c:pt idx="0">
                  <c:v>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egendEntry>
        <c:idx val="2"/>
        <c:delete val="1"/>
      </c:legendEntry>
      <c:layout>
        <c:manualLayout>
          <c:xMode val="edge"/>
          <c:yMode val="edge"/>
          <c:x val="0.7827381"/>
          <c:y val="0.3888889"/>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96179ff6-ed9f-4360-b2f4-440cd5b0344c}"/>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'工作表465541'!$A$2</c:f>
              <c:strCache>
                <c:ptCount val="1"/>
                <c:pt idx="0">
                  <c:v>2024年度</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'工作表465541'!$B$1:$C$1</c:f>
              <c:strCache>
                <c:ptCount val="2"/>
                <c:pt idx="0">
                  <c:v>一般公共预算财政拨款收入</c:v>
                </c:pt>
                <c:pt idx="1">
                  <c:v>一般公共预算财政拨款支出</c:v>
                </c:pt>
              </c:strCache>
            </c:strRef>
          </c:cat>
          <c:val>
            <c:numRef>
              <c:f>'工作表465541'!$B$2:$C$2</c:f>
              <c:numCache>
                <c:formatCode>General</c:formatCode>
                <c:ptCount val="2"/>
                <c:pt idx="0">
                  <c:v>2895.76</c:v>
                </c:pt>
                <c:pt idx="1">
                  <c:v>2895.76</c:v>
                </c:pt>
              </c:numCache>
            </c:numRef>
          </c:val>
        </c:ser>
        <c:ser>
          <c:idx val="1"/>
          <c:order val="1"/>
          <c:tx>
            <c:strRef>
              <c:f>'工作表465541'!$A$3</c:f>
              <c:strCache>
                <c:ptCount val="1"/>
                <c:pt idx="0">
                  <c:v>2025年度</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'工作表465541'!$B$1:$C$1</c:f>
              <c:strCache>
                <c:ptCount val="2"/>
                <c:pt idx="0">
                  <c:v>一般公共预算财政拨款收入</c:v>
                </c:pt>
                <c:pt idx="1">
                  <c:v>一般公共预算财政拨款支出</c:v>
                </c:pt>
              </c:strCache>
            </c:strRef>
          </c:cat>
          <c:val>
            <c:numRef>
              <c:f>'工作表465541'!$B$3:$C$3</c:f>
              <c:numCache>
                <c:formatCode>General</c:formatCode>
                <c:ptCount val="2"/>
                <c:pt idx="0">
                  <c:v>2801.22</c:v>
                </c:pt>
                <c:pt idx="1">
                  <c:v>2801.22</c:v>
                </c:pt>
              </c:numCache>
            </c:numRef>
          </c:val>
        </c:ser>
        <c:ser>
          <c:idx val="2"/>
          <c:order val="2"/>
          <c:tx>
            <c:strRef>
              <c:f>系列3</c:f>
              <c:strCache>
                <c:ptCount val="1"/>
                <c:pt idx="0">
                  <c:v>系列3</c:v>
                </c:pt>
              </c:strCache>
            </c:strRef>
          </c:tx>
          <c:spPr>
            <a:solidFill>
              <a:srgbClr val="A5A5A5"/>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{"一般公共预算财政拨款收入","一般公共预算财政拨款支出"}</c:f>
              <c:strCache>
                <c:ptCount val="2"/>
                <c:pt idx="0">
                  <c:v>一般公共预算财政拨款收入</c:v>
                </c:pt>
                <c:pt idx="1">
                  <c:v>一般公共预算财政拨款支出</c:v>
                </c:pt>
              </c:strCache>
            </c:strRef>
          </c:cat>
          <c:val>
            <c:numRef>
              <c:f>{1,#N/A}</c:f>
              <c:numCache>
                <c:formatCode>General</c:formatCode>
                <c:ptCount val="2"/>
                <c:pt idx="0">
                  <c:v>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egendEntry>
        <c:idx val="2"/>
        <c:delete val="1"/>
      </c:legendEntry>
      <c:layout>
        <c:manualLayout>
          <c:xMode val="edge"/>
          <c:yMode val="edge"/>
          <c:x val="0.7827381"/>
          <c:y val="0.3888889"/>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5a372299-ba2f-4c5c-a47f-3aee70010a88}"/>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2025年一般公共预算财政拨款支出</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manualLayout>
          <c:xMode val="edge"/>
          <c:yMode val="edge"/>
          <c:x val="0"/>
          <c:y val="0.08370044"/>
          <c:w val="0.8497409"/>
          <c:h val="0.9030837"/>
        </c:manualLayout>
      </c:layout>
      <c:barChart>
        <c:barDir val="col"/>
        <c:grouping val="clustered"/>
        <c:varyColors val="0"/>
        <c:ser>
          <c:idx val="0"/>
          <c:order val="0"/>
          <c:tx>
            <c:strRef>
              <c:f>'工作表465542'!$A$2</c:f>
              <c:strCache>
                <c:ptCount val="1"/>
                <c:pt idx="0">
                  <c:v>2025年一般公共预算财政拨款支出</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'工作表465542'!$B$1:$E$1</c:f>
              <c:strCache>
                <c:ptCount val="4"/>
                <c:pt idx="0">
                  <c:v>一般公共服务支出</c:v>
                </c:pt>
                <c:pt idx="1">
                  <c:v>社会保障和就业支出</c:v>
                </c:pt>
                <c:pt idx="2">
                  <c:v>卫生健康支出</c:v>
                </c:pt>
                <c:pt idx="3">
                  <c:v>住房保障支出</c:v>
                </c:pt>
              </c:strCache>
            </c:strRef>
          </c:cat>
          <c:val>
            <c:numRef>
              <c:f>'工作表465542'!$B$2:$E$2</c:f>
              <c:numCache>
                <c:formatCode>General</c:formatCode>
                <c:ptCount val="4"/>
                <c:pt idx="0">
                  <c:v>2346.37</c:v>
                </c:pt>
                <c:pt idx="1">
                  <c:v>237.37</c:v>
                </c:pt>
                <c:pt idx="2">
                  <c:v>90.38</c:v>
                </c:pt>
                <c:pt idx="3">
                  <c:v>121.1</c:v>
                </c:pt>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ayout>
        <c:manualLayout>
          <c:xMode val="edge"/>
          <c:yMode val="edge"/>
          <c:x val="0.67292887"/>
          <c:y val="0.82454544"/>
        </c:manualLayou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d27e73af-c794-4c6c-8170-bf6c7be0cd86}"/>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2025年度三公经费财政拨款支出</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pieChart>
        <c:varyColors val="1"/>
        <c:ser>
          <c:idx val="0"/>
          <c:order val="0"/>
          <c:tx>
            <c:strRef>
              <c:f>'工作表465537 (2)'!$A$2</c:f>
              <c:strCache>
                <c:ptCount val="1"/>
                <c:pt idx="0">
                  <c:v>2025年度三公经费财政拨款支出</c:v>
                </c:pt>
              </c:strCache>
            </c:strRef>
          </c:tx>
          <c:spPr>
            <a:solidFill>
              <a:srgbClr val="4F81BD"/>
            </a:solidFill>
            <a:ln>
              <a:noFill/>
            </a:ln>
          </c:spPr>
          <c:explosion val="0"/>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Lbls>
            <c:dLbl>
              <c:idx val="0"/>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1"/>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0"/>
              <c:showCatName val="0"/>
              <c:showSerName val="0"/>
              <c:showPercent val="0"/>
              <c:showBubbleSize val="0"/>
              <c:extLst>
                <c:ext xmlns:c15="http://schemas.microsoft.com/office/drawing/2012/chart" uri="{CE6537A1-D6FC-4f65-9D91-7224C49458BB}"/>
              </c:extLst>
            </c:dLbl>
            <c:dLbl>
              <c:idx val="2"/>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'工作表465537 (2)'!$B$1:$D$1</c:f>
              <c:strCache>
                <c:ptCount val="3"/>
                <c:pt idx="0">
                  <c:v>公务用车购置及运行维护费支出</c:v>
                </c:pt>
                <c:pt idx="1">
                  <c:v>公务接待费支出</c:v>
                </c:pt>
                <c:pt idx="2">
                  <c:v>因公出国（境）费支出</c:v>
                </c:pt>
              </c:strCache>
            </c:strRef>
          </c:cat>
          <c:val>
            <c:numRef>
              <c:f>'工作表465537 (2)'!$B$2:$D$2</c:f>
              <c:numCache>
                <c:formatCode>General</c:formatCode>
                <c:ptCount val="3"/>
                <c:pt idx="0">
                  <c:v>150.61</c:v>
                </c:pt>
                <c:pt idx="1">
                  <c:v>0.22</c:v>
                </c:pt>
                <c:pt idx="2">
                  <c:v>0</c:v>
                </c:pt>
              </c:numCache>
            </c:numRef>
          </c:val>
        </c:ser>
        <c:ser>
          <c:idx val="1"/>
          <c:order val="1"/>
          <c:tx>
            <c:strRef>
              <c:f>系列2</c:f>
              <c:strCache>
                <c:ptCount val="1"/>
                <c:pt idx="0">
                  <c:v>系列2</c:v>
                </c:pt>
              </c:strCache>
            </c:strRef>
          </c:tx>
          <c:spPr>
            <a:solidFill>
              <a:srgbClr val="C0504D"/>
            </a:solidFill>
            <a:ln>
              <a:noFill/>
            </a:ln>
          </c:spPr>
          <c:explosion val="0"/>
          <c:dLbls>
            <c:delete val="1"/>
          </c:dLbls>
          <c:cat>
            <c:strRef>
              <c:f>{"公务用车购置及运行维护费支出","公务接待费支出","因公出国（境）费支出"}</c:f>
              <c:strCache>
                <c:ptCount val="3"/>
                <c:pt idx="0">
                  <c:v>公务用车购置及运行维护费支出</c:v>
                </c:pt>
                <c:pt idx="1">
                  <c:v>公务接待费支出</c:v>
                </c:pt>
                <c:pt idx="2">
                  <c:v>因公出国（境）费支出</c:v>
                </c:pt>
              </c:strCache>
            </c:strRef>
          </c:cat>
          <c:val>
            <c:numRef>
              <c:f>{}</c:f>
            </c:numRef>
          </c:val>
        </c:ser>
        <c:ser>
          <c:idx val="2"/>
          <c:order val="2"/>
          <c:tx>
            <c:strRef>
              <c:f>系列3</c:f>
              <c:strCache>
                <c:ptCount val="1"/>
                <c:pt idx="0">
                  <c:v>系列3</c:v>
                </c:pt>
              </c:strCache>
            </c:strRef>
          </c:tx>
          <c:spPr>
            <a:solidFill>
              <a:srgbClr val="9BBB59"/>
            </a:solidFill>
            <a:ln>
              <a:noFill/>
            </a:ln>
          </c:spPr>
          <c:explosion val="0"/>
          <c:dLbls>
            <c:delete val="1"/>
          </c:dLbls>
          <c:cat>
            <c:strRef>
              <c:f>{"公务用车购置及运行维护费支出","公务接待费支出","因公出国（境）费支出"}</c:f>
              <c:strCache>
                <c:ptCount val="3"/>
                <c:pt idx="0">
                  <c:v>公务用车购置及运行维护费支出</c:v>
                </c:pt>
                <c:pt idx="1">
                  <c:v>公务接待费支出</c:v>
                </c:pt>
                <c:pt idx="2">
                  <c:v>因公出国（境）费支出</c:v>
                </c:pt>
              </c:strCache>
            </c:strRef>
          </c:cat>
          <c:val>
            <c:numRef>
              <c:f>{}</c:f>
            </c:numRef>
          </c:val>
        </c:ser>
        <c:dLbls>
          <c:showLegendKey val="0"/>
          <c:showVal val="0"/>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1e2250af-f5c1-4049-aefe-be99b059ac02}"/>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23</Pages>
  <Words>2020</Words>
  <Characters>2221</Characters>
  <Lines>470</Lines>
  <Paragraphs>172</Paragraphs>
  <TotalTime>10867</TotalTime>
  <ScaleCrop>false</ScaleCrop>
  <LinksUpToDate>false</LinksUpToDate>
  <CharactersWithSpaces>2351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一个笨蛋</cp:lastModifiedBy>
  <cp:lastPrinted>2025-08-06T17:34:00Z</cp:lastPrinted>
  <dcterms:modified xsi:type="dcterms:W3CDTF">2026-09-20T08:37:53Z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eyJoZGlkIjoiYjllZGNkZWEzYjg0NDNmNTQ5MjkzNjk0ODlhNmVkYzAiLCJ1c2VySWQiOiI0MTAxMDQ4MDkifQ==</vt:lpwstr>
  </property>
</Properties>
</file>