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8"/>
        <w:rPr>
          <w:rFonts w:ascii="Times New Roman" w:eastAsia="方正小标宋简体" w:hAnsi="Times New Roman"/>
          <w:color w:val="auto"/>
          <w:kern w:val="2"/>
          <w:sz w:val="72"/>
          <w:szCs w:val="72"/>
          <w:lang w:val="en-US" w:eastAsia="zh-CN" w:bidi="ar-SA"/>
          <w:highlight w:val="auto"/>
        </w:rPr>
      </w:pPr>
      <w:bookmarkStart w:id="0" w:name="_Toc15396597"/>
      <w:bookmarkStart w:id="1" w:name="_Toc15306267"/>
      <w:bookmarkStart w:id="2" w:name="_Toc15377193"/>
      <w:bookmarkStart w:id="3" w:name="_Toc15377425"/>
      <w:bookmarkStart w:id="4" w:name="_Toc15378441"/>
      <w:bookmarkStart w:id="5" w:name="_Toc15396475"/>
    </w:p>
    <w:p>
      <w:pPr>
        <w:pStyle w:val="18"/>
        <w:rPr>
          <w:rFonts w:ascii="Times New Roman" w:eastAsia="方正小标宋简体" w:hAnsi="Times New Roman"/>
          <w:color w:val="auto"/>
          <w:kern w:val="2"/>
          <w:sz w:val="72"/>
          <w:szCs w:val="72"/>
          <w:lang w:val="en-US" w:eastAsia="zh-CN" w:bidi="ar-SA"/>
          <w:highlight w:val="auto"/>
        </w:rPr>
      </w:pPr>
    </w:p>
    <w:p>
      <w:pPr>
        <w:pStyle w:val="18"/>
        <w:rPr>
          <w:rFonts w:ascii="Times New Roman" w:eastAsia="方正小标宋简体" w:hAnsi="Times New Roman"/>
          <w:color w:val="auto"/>
          <w:kern w:val="2"/>
          <w:sz w:val="72"/>
          <w:szCs w:val="72"/>
          <w:lang w:val="en-US" w:eastAsia="zh-CN" w:bidi="ar-SA"/>
          <w:highlight w:val="auto"/>
        </w:rPr>
      </w:pPr>
    </w:p>
    <w:p>
      <w:pPr>
        <w:pStyle w:val="18"/>
        <w:jc w:val="center"/>
        <w:rPr>
          <w:rFonts w:ascii="Times New Roman" w:eastAsia="方正小标宋简体" w:hAnsi="Times New Roman"/>
          <w:color w:val="auto"/>
          <w:kern w:val="2"/>
          <w:sz w:val="44"/>
          <w:szCs w:val="44"/>
          <w:lang w:val="en-US" w:eastAsia="zh-CN" w:bidi="ar-SA"/>
          <w:highlight w:val="auto"/>
        </w:rPr>
      </w:pPr>
      <w:r>
        <w:rPr>
          <w:rFonts w:ascii="Times New Roman" w:eastAsia="方正小标宋简体" w:hAnsi="Times New Roman"/>
          <w:color w:val="auto"/>
          <w:kern w:val="2"/>
          <w:sz w:val="44"/>
          <w:szCs w:val="44"/>
          <w:lang w:val="en-US" w:eastAsia="zh-CN" w:bidi="ar-SA"/>
        </w:rPr>
        <w:t>2025</w:t>
      </w:r>
      <w:r>
        <w:rPr>
          <w:rFonts w:ascii="Times New Roman" w:eastAsia="方正小标宋简体" w:hAnsi="Times New Roman"/>
          <w:color w:val="auto"/>
          <w:kern w:val="2"/>
          <w:sz w:val="44"/>
          <w:szCs w:val="44"/>
          <w:lang w:val="en-US" w:eastAsia="zh-CN" w:bidi="ar-SA"/>
          <w:highlight w:val="auto"/>
        </w:rPr>
        <w:t>年度州专用通信中心决算</w:t>
      </w:r>
    </w:p>
    <w:p>
      <w:pPr>
        <w:pStyle w:val="18"/>
        <w:jc w:val="center"/>
        <w:rPr>
          <w:rFonts w:ascii="Times New Roman" w:eastAsia="方正小标宋简体" w:hAnsi="Times New Roman"/>
          <w:color w:val="auto"/>
          <w:kern w:val="2"/>
          <w:sz w:val="44"/>
          <w:szCs w:val="44"/>
          <w:lang w:val="en-US" w:eastAsia="zh-CN" w:bidi="ar-SA"/>
          <w:highlight w:val="auto"/>
        </w:rPr>
      </w:pPr>
      <w:r>
        <w:rPr>
          <w:rFonts w:ascii="Times New Roman" w:eastAsia="方正小标宋简体" w:hAnsi="Times New Roman"/>
          <w:color w:val="auto"/>
          <w:kern w:val="2"/>
          <w:sz w:val="44"/>
          <w:szCs w:val="44"/>
          <w:lang w:val="en-US" w:eastAsia="zh-CN" w:bidi="ar-SA"/>
          <w:highlight w:val="auto"/>
        </w:rPr>
        <w:t>公开说明</w:t>
      </w:r>
    </w:p>
    <w:p>
      <w:pPr>
        <w:pStyle w:val="18"/>
        <w:jc w:val="center"/>
        <w:rPr>
          <w:rFonts w:ascii="Times New Roman" w:eastAsia="方正小标宋简体" w:hAnsi="Times New Roman"/>
          <w:color w:val="auto"/>
          <w:kern w:val="2"/>
          <w:sz w:val="44"/>
          <w:szCs w:val="44"/>
          <w:lang w:val="en-US" w:eastAsia="zh-CN" w:bidi="ar-SA"/>
          <w:highlight w:val="auto"/>
        </w:rPr>
      </w:pPr>
    </w:p>
    <w:p>
      <w:pPr>
        <w:pStyle w:val="18"/>
        <w:jc w:val="center"/>
        <w:rPr>
          <w:rFonts w:ascii="Times New Roman" w:eastAsia="方正小标宋简体" w:hAnsi="Times New Roman"/>
          <w:color w:val="auto"/>
          <w:kern w:val="2"/>
          <w:sz w:val="44"/>
          <w:szCs w:val="44"/>
          <w:lang w:val="en-US" w:eastAsia="zh-CN" w:bidi="ar-SA"/>
          <w:highlight w:val="auto"/>
        </w:rPr>
      </w:pPr>
    </w:p>
    <w:p>
      <w:pPr>
        <w:pStyle w:val="18"/>
        <w:jc w:val="center"/>
        <w:rPr>
          <w:rFonts w:ascii="Times New Roman" w:eastAsia="方正小标宋简体" w:hAnsi="Times New Roman"/>
          <w:color w:val="auto"/>
          <w:kern w:val="2"/>
          <w:sz w:val="44"/>
          <w:szCs w:val="44"/>
          <w:lang w:val="en-US" w:eastAsia="zh-CN" w:bidi="ar-SA"/>
          <w:highlight w:val="auto"/>
        </w:rPr>
      </w:pPr>
    </w:p>
    <w:p>
      <w:pPr>
        <w:pStyle w:val="18"/>
        <w:jc w:val="center"/>
        <w:rPr>
          <w:rFonts w:ascii="Times New Roman" w:eastAsia="方正小标宋简体" w:hAnsi="Times New Roman"/>
          <w:color w:val="auto"/>
          <w:kern w:val="2"/>
          <w:sz w:val="44"/>
          <w:szCs w:val="44"/>
          <w:lang w:val="en-US" w:eastAsia="zh-CN" w:bidi="ar-SA"/>
          <w:highlight w:val="auto"/>
        </w:rPr>
      </w:pPr>
    </w:p>
    <w:p>
      <w:pPr>
        <w:pStyle w:val="18"/>
        <w:jc w:val="center"/>
        <w:rPr>
          <w:rFonts w:ascii="Times New Roman" w:eastAsia="方正小标宋简体" w:hAnsi="Times New Roman"/>
          <w:color w:val="auto"/>
          <w:kern w:val="2"/>
          <w:sz w:val="44"/>
          <w:szCs w:val="44"/>
          <w:lang w:val="en-US" w:eastAsia="zh-CN" w:bidi="ar-SA"/>
          <w:highlight w:val="auto"/>
        </w:rPr>
      </w:pPr>
    </w:p>
    <w:p>
      <w:pPr>
        <w:pStyle w:val="18"/>
        <w:jc w:val="center"/>
        <w:rPr>
          <w:rFonts w:ascii="Times New Roman" w:eastAsia="方正小标宋简体" w:hAnsi="Times New Roman"/>
          <w:color w:val="auto"/>
          <w:kern w:val="2"/>
          <w:sz w:val="44"/>
          <w:szCs w:val="44"/>
          <w:lang w:val="en-US" w:eastAsia="zh-CN" w:bidi="ar-SA"/>
          <w:highlight w:val="auto"/>
        </w:rPr>
      </w:pPr>
    </w:p>
    <w:p>
      <w:pPr>
        <w:pStyle w:val="18"/>
        <w:jc w:val="center"/>
        <w:rPr>
          <w:rFonts w:ascii="Times New Roman" w:eastAsia="方正小标宋简体" w:hAnsi="Times New Roman"/>
          <w:color w:val="auto"/>
          <w:kern w:val="2"/>
          <w:sz w:val="44"/>
          <w:szCs w:val="44"/>
          <w:lang w:val="en-US" w:eastAsia="zh-CN" w:bidi="ar-SA"/>
          <w:highlight w:val="auto"/>
        </w:rPr>
      </w:pPr>
    </w:p>
    <w:p>
      <w:pPr>
        <w:pStyle w:val="18"/>
        <w:jc w:val="center"/>
        <w:rPr>
          <w:rFonts w:ascii="Times New Roman" w:eastAsia="方正小标宋简体" w:hAnsi="Times New Roman"/>
          <w:color w:val="auto"/>
          <w:kern w:val="2"/>
          <w:sz w:val="44"/>
          <w:szCs w:val="44"/>
          <w:lang w:val="en-US" w:eastAsia="zh-CN" w:bidi="ar-SA"/>
          <w:highlight w:val="auto"/>
        </w:rPr>
      </w:pPr>
    </w:p>
    <w:p>
      <w:pPr>
        <w:pStyle w:val="18"/>
        <w:jc w:val="center"/>
        <w:rPr>
          <w:rFonts w:ascii="Times New Roman" w:eastAsia="方正小标宋简体" w:hAnsi="Times New Roman"/>
          <w:color w:val="auto"/>
          <w:kern w:val="2"/>
          <w:sz w:val="44"/>
          <w:szCs w:val="44"/>
          <w:lang w:val="en-US" w:eastAsia="zh-CN" w:bidi="ar-SA"/>
          <w:highlight w:val="auto"/>
        </w:rPr>
      </w:pPr>
    </w:p>
    <w:p>
      <w:pPr>
        <w:widowControl/>
        <w:jc w:val="center"/>
        <w:rPr>
          <w:rFonts w:eastAsia="黑体"/>
          <w:color w:val="auto"/>
          <w:sz w:val="48"/>
          <w:szCs w:val="48"/>
          <w:highlight w:val="auto"/>
        </w:rPr>
      </w:pPr>
      <w:bookmarkEnd w:id="0"/>
      <w:bookmarkEnd w:id="1"/>
      <w:bookmarkEnd w:id="2"/>
      <w:bookmarkEnd w:id="3"/>
      <w:bookmarkEnd w:id="4"/>
      <w:bookmarkEnd w:id="5"/>
      <w:r>
        <w:rPr>
          <w:rFonts w:eastAsia="仿宋_GB2312" w:hint="eastAsia"/>
          <w:b w:val="0"/>
          <w:sz w:val="32"/>
        </w:rPr>
        <w:t>已经保密审查、内容审定，同意对外公开。</w:t>
      </w:r>
      <w:r>
        <w:rPr>
          <w:rFonts w:eastAsia="方正小标宋简体"/>
          <w:color w:val="auto"/>
          <w:sz w:val="36"/>
          <w:szCs w:val="36"/>
          <w:highlight w:val="auto"/>
        </w:rPr>
        <w:br w:type="page"/>
      </w:r>
      <w:r>
        <w:rPr>
          <w:rFonts w:eastAsia="黑体"/>
          <w:color w:val="auto"/>
          <w:sz w:val="48"/>
          <w:szCs w:val="48"/>
          <w:highlight w:val="auto"/>
        </w:rPr>
        <w:t>目录</w:t>
      </w:r>
    </w:p>
    <w:p>
      <w:pPr>
        <w:widowControl/>
        <w:jc w:val="center"/>
        <w:rPr>
          <w:rFonts w:eastAsia="黑体"/>
          <w:color w:val="auto"/>
          <w:sz w:val="28"/>
          <w:szCs w:val="28"/>
          <w:highlight w:val="auto"/>
        </w:rPr>
      </w:pPr>
    </w:p>
    <w:p>
      <w:pPr>
        <w:pStyle w:val="23"/>
        <w:tabs>
          <w:tab w:val="right" w:leader="dot" w:pos="8296"/>
        </w:tabs>
        <w:spacing w:line="300" w:lineRule="exact"/>
        <w:rPr>
          <w:rFonts w:ascii="Times New Roman" w:eastAsia="仿宋_GB2312" w:hAnsi="Times New Roman"/>
          <w:color w:val="auto"/>
          <w:sz w:val="32"/>
          <w:szCs w:val="32"/>
          <w:highlight w:val="auto"/>
        </w:rPr>
      </w:pPr>
      <w:r>
        <w:rPr>
          <w:rFonts w:ascii="Times New Roman" w:eastAsia="仿宋_GB2312" w:hAnsi="Times New Roman"/>
          <w:color w:val="auto"/>
          <w:sz w:val="32"/>
          <w:szCs w:val="32"/>
          <w:highlight w:val="auto"/>
        </w:rPr>
        <w:t>公开时间：</w:t>
      </w:r>
      <w:r>
        <w:rPr>
          <w:rFonts w:ascii="Times New Roman" w:eastAsia="仿宋_GB2312" w:hAnsi="Times New Roman"/>
          <w:color w:val="auto"/>
          <w:sz w:val="32"/>
          <w:szCs w:val="32"/>
        </w:rPr>
        <w:t>2025</w:t>
      </w:r>
      <w:r>
        <w:rPr>
          <w:rFonts w:ascii="Times New Roman" w:eastAsia="仿宋_GB2312" w:hAnsi="Times New Roman"/>
          <w:color w:val="auto"/>
          <w:sz w:val="32"/>
          <w:szCs w:val="32"/>
          <w:highlight w:val="auto"/>
        </w:rPr>
        <w:t>年</w:t>
      </w:r>
      <w:r>
        <w:rPr>
          <w:rFonts w:ascii="Times New Roman" w:eastAsia="仿宋_GB2312" w:hAnsi="Times New Roman"/>
          <w:color w:val="auto"/>
          <w:sz w:val="32"/>
          <w:szCs w:val="32"/>
          <w:lang w:val="en-US" w:eastAsia="zh-CN"/>
          <w:highlight w:val="auto"/>
        </w:rPr>
        <w:t xml:space="preserve"> 9 </w:t>
      </w:r>
      <w:r>
        <w:rPr>
          <w:rFonts w:ascii="Times New Roman" w:eastAsia="仿宋_GB2312" w:hAnsi="Times New Roman"/>
          <w:color w:val="auto"/>
          <w:sz w:val="32"/>
          <w:szCs w:val="32"/>
          <w:highlight w:val="auto"/>
        </w:rPr>
        <w:t>月</w:t>
      </w:r>
      <w:r>
        <w:rPr>
          <w:rFonts w:ascii="Times New Roman" w:eastAsia="仿宋_GB2312" w:hAnsi="Times New Roman"/>
          <w:color w:val="auto"/>
          <w:sz w:val="32"/>
          <w:szCs w:val="32"/>
          <w:lang w:val="en-US" w:eastAsia="zh-CN"/>
          <w:highlight w:val="auto"/>
        </w:rPr>
        <w:t xml:space="preserve"> 18 </w:t>
      </w:r>
      <w:r>
        <w:rPr>
          <w:rFonts w:ascii="Times New Roman" w:eastAsia="仿宋_GB2312" w:hAnsi="Times New Roman"/>
          <w:color w:val="auto"/>
          <w:sz w:val="32"/>
          <w:szCs w:val="32"/>
          <w:highlight w:val="auto"/>
        </w:rPr>
        <w:t>日</w:t>
      </w:r>
    </w:p>
    <w:p>
      <w:pPr>
        <w:pStyle w:val="23"/>
        <w:tabs>
          <w:tab w:val="right" w:leader="dot" w:pos="8296"/>
          <w:tab w:val="right" w:leader="dot" w:pos="8306"/>
        </w:tabs>
        <w:spacing w:line="300" w:lineRule="exact"/>
      </w:pPr>
      <w:bookmarkStart w:id="6" w:name="_Toc15377196"/>
      <w:bookmarkStart w:id="7" w:name="_Toc15396599"/>
      <w:r>
        <w:rPr>
          <w:rFonts w:eastAsia="方正小标宋简体"/>
          <w:b w:val="0"/>
          <w:color w:val="auto"/>
          <w:highlight w:val="auto"/>
        </w:rPr>
        <w:fldChar w:fldCharType="begin"/>
      </w:r>
      <w:r>
        <w:rPr>
          <w:rFonts w:eastAsia="方正小标宋简体"/>
          <w:b w:val="0"/>
          <w:color w:val="auto"/>
          <w:highlight w:val="auto"/>
        </w:rPr>
        <w:instrText xml:space="preserve"> TOC \o "1-3" \h \u </w:instrText>
      </w:r>
      <w:r>
        <w:rPr>
          <w:rFonts w:eastAsia="方正小标宋简体"/>
          <w:b w:val="0"/>
          <w:color w:val="auto"/>
          <w:highlight w:val="auto"/>
        </w:rPr>
        <w:fldChar w:fldCharType="separate"/>
      </w:r>
      <w:r>
        <w:fldChar w:fldCharType="begin"/>
      </w:r>
      <w:r>
        <w:instrText>Hyperlink \l "_Toc23102382"</w:instrText>
      </w:r>
      <w:r>
        <w:fldChar w:fldCharType="separate"/>
      </w:r>
      <w:r>
        <w:rPr>
          <w:rFonts w:eastAsia="方正小标宋简体"/>
          <w:highlight w:val="auto"/>
        </w:rPr>
        <w:t>第一部分</w:t>
      </w:r>
      <w:r>
        <w:rPr>
          <w:rFonts w:eastAsia="方正小标宋简体"/>
          <w:lang w:val="en-US" w:eastAsia="zh-CN"/>
          <w:highlight w:val="auto"/>
        </w:rPr>
        <w:t xml:space="preserve"> </w:t>
      </w:r>
      <w:r>
        <w:rPr>
          <w:rFonts w:eastAsia="方正小标宋简体"/>
          <w:highlight w:val="auto"/>
        </w:rPr>
        <w:t xml:space="preserve"> </w:t>
      </w:r>
      <w:r>
        <w:rPr>
          <w:rFonts w:ascii="Times New Roman" w:eastAsia="方正小标宋简体" w:cs="Times New Roman" w:hAnsi="Times New Roman"/>
          <w:bCs w:val="0"/>
          <w:kern w:val="44"/>
          <w:szCs w:val="44"/>
          <w:lang w:val="en-US" w:eastAsia="zh-CN" w:bidi="ar-SA"/>
        </w:rPr>
        <w:t>部门概况</w:t>
      </w:r>
      <w:r>
        <w:tab/>
      </w:r>
      <w:r>
        <w:fldChar w:fldCharType="begin"/>
      </w:r>
      <w:r>
        <w:instrText>PageRef _Toc23102382 \h</w:instrText>
      </w:r>
      <w:r>
        <w:fldChar w:fldCharType="separate"/>
      </w:r>
      <w:r>
        <w:t>- 3 -</w:t>
      </w:r>
      <w:r>
        <w:fldChar w:fldCharType="end"/>
      </w:r>
      <w:r>
        <w:fldChar w:fldCharType="end"/>
      </w:r>
    </w:p>
    <w:p>
      <w:pPr>
        <w:pStyle w:val="24"/>
        <w:tabs>
          <w:tab w:val="right" w:leader="dot" w:pos="8296"/>
          <w:tab w:val="right" w:leader="dot" w:pos="8306"/>
        </w:tabs>
        <w:spacing w:line="300" w:lineRule="exact"/>
      </w:pPr>
      <w:r>
        <w:fldChar w:fldCharType="begin"/>
      </w:r>
      <w:r>
        <w:instrText>Hyperlink \l "_Toc23102383"</w:instrText>
      </w:r>
      <w:r>
        <w:fldChar w:fldCharType="separate"/>
      </w:r>
      <w:r>
        <w:rPr>
          <w:rFonts w:ascii="Times New Roman" w:eastAsia="黑体" w:hAnsi="Times New Roman" w:hint="eastAsia"/>
          <w:u w:color="auto"/>
          <w:shd w:val="clear" w:color="auto" w:fill="auto"/>
          <w:lang w:eastAsia="zh-CN"/>
          <w:highlight w:val="auto"/>
        </w:rPr>
        <w:t>一、</w:t>
      </w:r>
      <w:r>
        <w:rPr>
          <w:rFonts w:ascii="Times New Roman" w:eastAsia="黑体" w:hAnsi="Times New Roman"/>
          <w:lang w:eastAsia="zh-CN"/>
          <w:highlight w:val="auto"/>
        </w:rPr>
        <w:t>部门职责</w:t>
      </w:r>
      <w:r>
        <w:tab/>
      </w:r>
      <w:r>
        <w:fldChar w:fldCharType="begin"/>
      </w:r>
      <w:r>
        <w:instrText>PageRef _Toc23102383 \h</w:instrText>
      </w:r>
      <w:r>
        <w:fldChar w:fldCharType="separate"/>
      </w:r>
      <w:r>
        <w:t>- 3 -</w:t>
      </w:r>
      <w:r>
        <w:fldChar w:fldCharType="end"/>
      </w:r>
      <w:r>
        <w:fldChar w:fldCharType="end"/>
      </w:r>
    </w:p>
    <w:p>
      <w:pPr>
        <w:pStyle w:val="24"/>
        <w:tabs>
          <w:tab w:val="right" w:leader="dot" w:pos="8296"/>
          <w:tab w:val="right" w:leader="dot" w:pos="8306"/>
        </w:tabs>
        <w:spacing w:line="300" w:lineRule="exact"/>
      </w:pPr>
      <w:r>
        <w:fldChar w:fldCharType="begin"/>
      </w:r>
      <w:r>
        <w:instrText>Hyperlink \l "_Toc23102385"</w:instrText>
      </w:r>
      <w:r>
        <w:fldChar w:fldCharType="separate"/>
      </w:r>
      <w:r>
        <w:rPr>
          <w:rFonts w:ascii="Times New Roman" w:eastAsia="黑体" w:hAnsi="Times New Roman"/>
          <w:highlight w:val="auto"/>
        </w:rPr>
        <w:t>二、机</w:t>
      </w:r>
      <w:r>
        <w:rPr>
          <w:rFonts w:ascii="Times New Roman" w:eastAsia="黑体" w:cs="Times New Roman" w:hAnsi="Times New Roman"/>
          <w:bCs w:val="0"/>
          <w:kern w:val="2"/>
          <w:szCs w:val="32"/>
          <w:lang w:val="en-US" w:eastAsia="zh-CN" w:bidi="ar-SA"/>
        </w:rPr>
        <w:t>构设置</w:t>
      </w:r>
      <w:r>
        <w:tab/>
      </w:r>
      <w:r>
        <w:fldChar w:fldCharType="begin"/>
      </w:r>
      <w:r>
        <w:instrText>PageRef _Toc23102385 \h</w:instrText>
      </w:r>
      <w:r>
        <w:fldChar w:fldCharType="separate"/>
      </w:r>
      <w:r>
        <w:t>- 3 -</w:t>
      </w:r>
      <w:r>
        <w:fldChar w:fldCharType="end"/>
      </w:r>
      <w:r>
        <w:fldChar w:fldCharType="end"/>
      </w:r>
    </w:p>
    <w:p>
      <w:pPr>
        <w:pStyle w:val="23"/>
        <w:tabs>
          <w:tab w:val="right" w:leader="dot" w:pos="8296"/>
          <w:tab w:val="right" w:leader="dot" w:pos="8306"/>
        </w:tabs>
        <w:spacing w:line="300" w:lineRule="exact"/>
      </w:pPr>
      <w:r>
        <w:fldChar w:fldCharType="begin"/>
      </w:r>
      <w:r>
        <w:instrText>Hyperlink \l "_Toc23102387"</w:instrText>
      </w:r>
      <w:r>
        <w:fldChar w:fldCharType="separate"/>
      </w:r>
      <w:r>
        <w:rPr>
          <w:rFonts w:eastAsia="方正小标宋简体"/>
          <w:highlight w:val="auto"/>
        </w:rPr>
        <w:t>第二部分</w:t>
      </w:r>
      <w:r>
        <w:rPr>
          <w:rFonts w:eastAsia="方正小标宋简体"/>
          <w:lang w:val="en-US" w:eastAsia="zh-CN"/>
          <w:highlight w:val="auto"/>
        </w:rPr>
        <w:t xml:space="preserve"> </w:t>
      </w:r>
      <w:r>
        <w:rPr>
          <w:rFonts w:eastAsia="方正小标宋简体"/>
          <w:highlight w:val="auto"/>
        </w:rPr>
        <w:t xml:space="preserve"> </w:t>
      </w:r>
      <w:r>
        <w:rPr>
          <w:rFonts w:eastAsia="方正小标宋简体"/>
          <w:lang w:val="en-US" w:eastAsia="zh-CN"/>
        </w:rPr>
        <w:t>2025</w:t>
      </w:r>
      <w:r>
        <w:rPr>
          <w:rFonts w:eastAsia="方正小标宋简体"/>
          <w:lang w:val="en-US" w:eastAsia="zh-CN"/>
          <w:highlight w:val="auto"/>
        </w:rPr>
        <w:t>年度</w:t>
      </w:r>
      <w:r>
        <w:rPr>
          <w:rFonts w:eastAsia="方正小标宋简体"/>
          <w:highlight w:val="auto"/>
        </w:rPr>
        <w:t>部门决算情况说明</w:t>
      </w:r>
      <w:r>
        <w:tab/>
      </w:r>
      <w:r>
        <w:fldChar w:fldCharType="begin"/>
      </w:r>
      <w:r>
        <w:instrText>PageRef _Toc23102387 \h</w:instrText>
      </w:r>
      <w:r>
        <w:fldChar w:fldCharType="separate"/>
      </w:r>
      <w:r>
        <w:t>- 4 -</w:t>
      </w:r>
      <w:r>
        <w:fldChar w:fldCharType="end"/>
      </w:r>
      <w:r>
        <w:fldChar w:fldCharType="end"/>
      </w:r>
    </w:p>
    <w:p>
      <w:pPr>
        <w:pStyle w:val="24"/>
        <w:tabs>
          <w:tab w:val="right" w:leader="dot" w:pos="8296"/>
          <w:tab w:val="right" w:leader="dot" w:pos="8306"/>
        </w:tabs>
        <w:spacing w:line="300" w:lineRule="exact"/>
      </w:pPr>
      <w:r>
        <w:fldChar w:fldCharType="begin"/>
      </w:r>
      <w:r>
        <w:instrText>Hyperlink \l "_Toc23102388"</w:instrText>
      </w:r>
      <w:r>
        <w:fldChar w:fldCharType="separate"/>
      </w:r>
      <w:r>
        <w:rPr>
          <w:rFonts w:eastAsia="黑体"/>
          <w:szCs w:val="32"/>
          <w:lang w:eastAsia="zh-CN"/>
          <w:highlight w:val="auto"/>
        </w:rPr>
        <w:t>一、</w:t>
      </w:r>
      <w:r>
        <w:rPr>
          <w:rFonts w:eastAsia="黑体"/>
          <w:szCs w:val="32"/>
          <w:highlight w:val="auto"/>
        </w:rPr>
        <w:t>收</w:t>
      </w:r>
      <w:r>
        <w:rPr>
          <w:rFonts w:ascii="Times New Roman" w:eastAsia="黑体" w:cs="Times New Roman" w:hAnsi="Times New Roman"/>
          <w:bCs/>
          <w:kern w:val="2"/>
          <w:szCs w:val="32"/>
          <w:lang w:val="en-US" w:eastAsia="zh-CN" w:bidi="ar-SA"/>
        </w:rPr>
        <w:t>入支出决算总体情况说明</w:t>
      </w:r>
      <w:r>
        <w:tab/>
      </w:r>
      <w:r>
        <w:fldChar w:fldCharType="begin"/>
      </w:r>
      <w:r>
        <w:instrText>PageRef _Toc23102388 \h</w:instrText>
      </w:r>
      <w:r>
        <w:fldChar w:fldCharType="separate"/>
      </w:r>
      <w:r>
        <w:t>- 4 -</w:t>
      </w:r>
      <w:r>
        <w:fldChar w:fldCharType="end"/>
      </w:r>
      <w:r>
        <w:fldChar w:fldCharType="end"/>
      </w:r>
    </w:p>
    <w:p>
      <w:pPr>
        <w:pStyle w:val="24"/>
        <w:tabs>
          <w:tab w:val="right" w:leader="dot" w:pos="8296"/>
          <w:tab w:val="right" w:leader="dot" w:pos="8306"/>
        </w:tabs>
        <w:spacing w:line="300" w:lineRule="exact"/>
      </w:pPr>
      <w:r>
        <w:fldChar w:fldCharType="begin"/>
      </w:r>
      <w:r>
        <w:instrText>Hyperlink \l "_Toc23102390"</w:instrText>
      </w:r>
      <w:r>
        <w:fldChar w:fldCharType="separate"/>
      </w:r>
      <w:r>
        <w:rPr>
          <w:rFonts w:eastAsia="黑体"/>
          <w:szCs w:val="32"/>
          <w:lang w:eastAsia="zh-CN"/>
          <w:highlight w:val="auto"/>
        </w:rPr>
        <w:t>二、收入决算情况说明</w:t>
      </w:r>
      <w:r>
        <w:tab/>
      </w:r>
      <w:r>
        <w:fldChar w:fldCharType="begin"/>
      </w:r>
      <w:r>
        <w:instrText>PageRef _Toc23102390 \h</w:instrText>
      </w:r>
      <w:r>
        <w:fldChar w:fldCharType="separate"/>
      </w:r>
      <w:r>
        <w:t>- 4 -</w:t>
      </w:r>
      <w:r>
        <w:fldChar w:fldCharType="end"/>
      </w:r>
      <w:r>
        <w:fldChar w:fldCharType="end"/>
      </w:r>
    </w:p>
    <w:p>
      <w:pPr>
        <w:pStyle w:val="24"/>
        <w:tabs>
          <w:tab w:val="right" w:leader="dot" w:pos="8296"/>
          <w:tab w:val="right" w:leader="dot" w:pos="8306"/>
        </w:tabs>
        <w:spacing w:line="300" w:lineRule="exact"/>
      </w:pPr>
      <w:r>
        <w:fldChar w:fldCharType="begin"/>
      </w:r>
      <w:r>
        <w:instrText>Hyperlink \l "_Toc23102392"</w:instrText>
      </w:r>
      <w:r>
        <w:fldChar w:fldCharType="separate"/>
      </w:r>
      <w:r>
        <w:rPr>
          <w:rFonts w:eastAsia="黑体"/>
          <w:szCs w:val="32"/>
          <w:lang w:eastAsia="zh-CN"/>
          <w:highlight w:val="auto"/>
        </w:rPr>
        <w:t>三、</w:t>
      </w:r>
      <w:r>
        <w:rPr>
          <w:rFonts w:eastAsia="黑体"/>
          <w:szCs w:val="32"/>
          <w:highlight w:val="auto"/>
        </w:rPr>
        <w:t>支</w:t>
      </w:r>
      <w:r>
        <w:rPr>
          <w:rFonts w:ascii="Times New Roman" w:eastAsia="黑体" w:cs="Times New Roman" w:hAnsi="Times New Roman"/>
          <w:bCs/>
          <w:kern w:val="2"/>
          <w:szCs w:val="32"/>
          <w:lang w:val="en-US" w:eastAsia="zh-CN" w:bidi="ar-SA"/>
        </w:rPr>
        <w:t>出决算情况说明</w:t>
      </w:r>
      <w:r>
        <w:tab/>
      </w:r>
      <w:r>
        <w:fldChar w:fldCharType="begin"/>
      </w:r>
      <w:r>
        <w:instrText>PageRef _Toc23102392 \h</w:instrText>
      </w:r>
      <w:r>
        <w:fldChar w:fldCharType="separate"/>
      </w:r>
      <w:r>
        <w:t>- 4 -</w:t>
      </w:r>
      <w:r>
        <w:fldChar w:fldCharType="end"/>
      </w:r>
      <w:r>
        <w:fldChar w:fldCharType="end"/>
      </w:r>
    </w:p>
    <w:p>
      <w:pPr>
        <w:pStyle w:val="24"/>
        <w:tabs>
          <w:tab w:val="right" w:leader="dot" w:pos="8296"/>
          <w:tab w:val="right" w:leader="dot" w:pos="8306"/>
        </w:tabs>
        <w:spacing w:line="300" w:lineRule="exact"/>
      </w:pPr>
      <w:r>
        <w:fldChar w:fldCharType="begin"/>
      </w:r>
      <w:r>
        <w:instrText>Hyperlink \l "_Toc23102394"</w:instrText>
      </w:r>
      <w:r>
        <w:fldChar w:fldCharType="separate"/>
      </w:r>
      <w:r>
        <w:rPr>
          <w:rFonts w:eastAsia="黑体"/>
          <w:szCs w:val="32"/>
          <w:highlight w:val="auto"/>
        </w:rPr>
        <w:t>四、财</w:t>
      </w:r>
      <w:r>
        <w:rPr>
          <w:rFonts w:ascii="Times New Roman" w:eastAsia="黑体" w:cs="Times New Roman" w:hAnsi="Times New Roman"/>
          <w:bCs/>
          <w:kern w:val="2"/>
          <w:szCs w:val="32"/>
          <w:lang w:val="en-US" w:eastAsia="zh-CN" w:bidi="ar-SA"/>
        </w:rPr>
        <w:t>政拨款收入支出决算总体情况说明</w:t>
      </w:r>
      <w:r>
        <w:tab/>
      </w:r>
      <w:r>
        <w:fldChar w:fldCharType="begin"/>
      </w:r>
      <w:r>
        <w:instrText>PageRef _Toc23102394 \h</w:instrText>
      </w:r>
      <w:r>
        <w:fldChar w:fldCharType="separate"/>
      </w:r>
      <w:r>
        <w:t>- 5 -</w:t>
      </w:r>
      <w:r>
        <w:fldChar w:fldCharType="end"/>
      </w:r>
      <w:r>
        <w:fldChar w:fldCharType="end"/>
      </w:r>
    </w:p>
    <w:p>
      <w:pPr>
        <w:pStyle w:val="24"/>
        <w:tabs>
          <w:tab w:val="right" w:leader="dot" w:pos="8296"/>
          <w:tab w:val="right" w:leader="dot" w:pos="8306"/>
        </w:tabs>
        <w:spacing w:line="300" w:lineRule="exact"/>
      </w:pPr>
      <w:r>
        <w:fldChar w:fldCharType="begin"/>
      </w:r>
      <w:r>
        <w:instrText>Hyperlink \l "_Toc23102395"</w:instrText>
      </w:r>
      <w:r>
        <w:fldChar w:fldCharType="separate"/>
      </w:r>
      <w:r>
        <w:rPr>
          <w:rFonts w:eastAsia="黑体"/>
          <w:szCs w:val="32"/>
          <w:highlight w:val="auto"/>
        </w:rPr>
        <w:t>五、一</w:t>
      </w:r>
      <w:r>
        <w:rPr>
          <w:rFonts w:ascii="Times New Roman" w:eastAsia="黑体" w:cs="Times New Roman" w:hAnsi="Times New Roman"/>
          <w:bCs/>
          <w:kern w:val="2"/>
          <w:szCs w:val="32"/>
          <w:lang w:val="en-US" w:eastAsia="zh-CN" w:bidi="ar-SA"/>
        </w:rPr>
        <w:t>般公共预算财政拨款支出决算情况说明</w:t>
      </w:r>
      <w:r>
        <w:tab/>
      </w:r>
      <w:r>
        <w:fldChar w:fldCharType="begin"/>
      </w:r>
      <w:r>
        <w:instrText>PageRef _Toc23102395 \h</w:instrText>
      </w:r>
      <w:r>
        <w:fldChar w:fldCharType="separate"/>
      </w:r>
      <w:r>
        <w:t>- 5 -</w:t>
      </w:r>
      <w:r>
        <w:fldChar w:fldCharType="end"/>
      </w:r>
      <w:r>
        <w:fldChar w:fldCharType="end"/>
      </w:r>
    </w:p>
    <w:p>
      <w:pPr>
        <w:pStyle w:val="19"/>
        <w:tabs>
          <w:tab w:val="right" w:leader="dot" w:pos="8296"/>
          <w:tab w:val="right" w:leader="dot" w:pos="8306"/>
        </w:tabs>
        <w:spacing w:line="300" w:lineRule="exact"/>
      </w:pPr>
      <w:r>
        <w:fldChar w:fldCharType="begin"/>
      </w:r>
      <w:r>
        <w:instrText>Hyperlink \l "_Toc23102396"</w:instrText>
      </w:r>
      <w:r>
        <w:fldChar w:fldCharType="separate"/>
      </w:r>
      <w:r>
        <w:rPr>
          <w:rFonts w:eastAsia="楷体_GB2312"/>
          <w:szCs w:val="32"/>
          <w:highlight w:val="auto"/>
        </w:rPr>
        <w:t>（一）一般公共预算财政拨款支出决算总体情况</w:t>
      </w:r>
      <w:r>
        <w:tab/>
      </w:r>
      <w:r>
        <w:fldChar w:fldCharType="begin"/>
      </w:r>
      <w:r>
        <w:instrText>PageRef _Toc23102396 \h</w:instrText>
      </w:r>
      <w:r>
        <w:fldChar w:fldCharType="separate"/>
      </w:r>
      <w:r>
        <w:t>- 5 -</w:t>
      </w:r>
      <w:r>
        <w:fldChar w:fldCharType="end"/>
      </w:r>
      <w:r>
        <w:fldChar w:fldCharType="end"/>
      </w:r>
    </w:p>
    <w:p>
      <w:pPr>
        <w:pStyle w:val="19"/>
        <w:tabs>
          <w:tab w:val="right" w:leader="dot" w:pos="8296"/>
          <w:tab w:val="right" w:leader="dot" w:pos="8306"/>
        </w:tabs>
        <w:spacing w:line="300" w:lineRule="exact"/>
      </w:pPr>
      <w:r>
        <w:fldChar w:fldCharType="begin"/>
      </w:r>
      <w:r>
        <w:instrText>Hyperlink \l "_Toc23102397"</w:instrText>
      </w:r>
      <w:r>
        <w:fldChar w:fldCharType="separate"/>
      </w:r>
      <w:r>
        <w:rPr>
          <w:rFonts w:eastAsia="楷体_GB2312"/>
          <w:szCs w:val="32"/>
          <w:highlight w:val="auto"/>
        </w:rPr>
        <w:t>（二）一般公共预算财政拨款支出决算结构情况</w:t>
      </w:r>
      <w:r>
        <w:tab/>
      </w:r>
      <w:r>
        <w:fldChar w:fldCharType="begin"/>
      </w:r>
      <w:r>
        <w:instrText>PageRef _Toc23102397 \h</w:instrText>
      </w:r>
      <w:r>
        <w:fldChar w:fldCharType="separate"/>
      </w:r>
      <w:r>
        <w:t>- 6 -</w:t>
      </w:r>
      <w:r>
        <w:fldChar w:fldCharType="end"/>
      </w:r>
      <w:r>
        <w:fldChar w:fldCharType="end"/>
      </w:r>
    </w:p>
    <w:p>
      <w:pPr>
        <w:pStyle w:val="19"/>
        <w:tabs>
          <w:tab w:val="right" w:leader="dot" w:pos="8296"/>
          <w:tab w:val="right" w:leader="dot" w:pos="8306"/>
        </w:tabs>
        <w:spacing w:line="300" w:lineRule="exact"/>
      </w:pPr>
      <w:r>
        <w:fldChar w:fldCharType="begin"/>
      </w:r>
      <w:r>
        <w:instrText>Hyperlink \l "_Toc23102398"</w:instrText>
      </w:r>
      <w:r>
        <w:fldChar w:fldCharType="separate"/>
      </w:r>
      <w:r>
        <w:rPr>
          <w:rFonts w:eastAsia="楷体_GB2312"/>
          <w:szCs w:val="32"/>
          <w:highlight w:val="auto"/>
        </w:rPr>
        <w:t>（三）一般公共预算财政拨款支出决算具体情况</w:t>
      </w:r>
      <w:r>
        <w:tab/>
      </w:r>
      <w:r>
        <w:fldChar w:fldCharType="begin"/>
      </w:r>
      <w:r>
        <w:instrText>PageRef _Toc23102398 \h</w:instrText>
      </w:r>
      <w:r>
        <w:fldChar w:fldCharType="separate"/>
      </w:r>
      <w:r>
        <w:t>- 6 -</w:t>
      </w:r>
      <w:r>
        <w:fldChar w:fldCharType="end"/>
      </w:r>
      <w:r>
        <w:fldChar w:fldCharType="end"/>
      </w:r>
    </w:p>
    <w:p>
      <w:pPr>
        <w:pStyle w:val="24"/>
        <w:tabs>
          <w:tab w:val="right" w:leader="dot" w:pos="8296"/>
          <w:tab w:val="right" w:leader="dot" w:pos="8306"/>
        </w:tabs>
        <w:spacing w:line="300" w:lineRule="exact"/>
      </w:pPr>
      <w:r>
        <w:fldChar w:fldCharType="begin"/>
      </w:r>
      <w:r>
        <w:instrText>Hyperlink \l "_Toc23102399"</w:instrText>
      </w:r>
      <w:r>
        <w:fldChar w:fldCharType="separate"/>
      </w:r>
      <w:r>
        <w:rPr>
          <w:rFonts w:eastAsia="黑体"/>
          <w:szCs w:val="32"/>
          <w:highlight w:val="auto"/>
        </w:rPr>
        <w:t>六、一</w:t>
      </w:r>
      <w:r>
        <w:rPr>
          <w:rFonts w:ascii="Times New Roman" w:eastAsia="黑体" w:cs="Times New Roman" w:hAnsi="Times New Roman"/>
          <w:bCs/>
          <w:kern w:val="2"/>
          <w:szCs w:val="32"/>
          <w:lang w:val="en-US" w:eastAsia="zh-CN" w:bidi="ar-SA"/>
        </w:rPr>
        <w:t>般公共预算财政拨款基本支出决算情况说明</w:t>
      </w:r>
      <w:r>
        <w:tab/>
      </w:r>
      <w:r>
        <w:fldChar w:fldCharType="begin"/>
      </w:r>
      <w:r>
        <w:instrText>PageRef _Toc23102399 \h</w:instrText>
      </w:r>
      <w:r>
        <w:fldChar w:fldCharType="separate"/>
      </w:r>
      <w:r>
        <w:t>- 7 -</w:t>
      </w:r>
      <w:r>
        <w:fldChar w:fldCharType="end"/>
      </w:r>
      <w:r>
        <w:fldChar w:fldCharType="end"/>
      </w:r>
    </w:p>
    <w:p>
      <w:pPr>
        <w:pStyle w:val="24"/>
        <w:tabs>
          <w:tab w:val="right" w:leader="dot" w:pos="8296"/>
          <w:tab w:val="right" w:leader="dot" w:pos="8306"/>
        </w:tabs>
        <w:spacing w:line="300" w:lineRule="exact"/>
      </w:pPr>
      <w:r>
        <w:fldChar w:fldCharType="begin"/>
      </w:r>
      <w:r>
        <w:instrText>Hyperlink \l "_Toc23102400"</w:instrText>
      </w:r>
      <w:r>
        <w:fldChar w:fldCharType="separate"/>
      </w:r>
      <w:r>
        <w:rPr>
          <w:rFonts w:eastAsia="黑体"/>
          <w:szCs w:val="32"/>
          <w:highlight w:val="auto"/>
        </w:rPr>
        <w:t>七、</w:t>
      </w:r>
      <w:r>
        <w:rPr>
          <w:rFonts w:ascii="Times New Roman" w:eastAsia="黑体" w:cs="Times New Roman" w:hAnsi="Times New Roman"/>
          <w:bCs/>
          <w:kern w:val="2"/>
          <w:szCs w:val="32"/>
          <w:lang w:val="en-US" w:eastAsia="zh-CN" w:bidi="ar-SA"/>
        </w:rPr>
        <w:t>财政拨款“三公”经费支出决算情况说明</w:t>
      </w:r>
      <w:r>
        <w:tab/>
      </w:r>
      <w:r>
        <w:fldChar w:fldCharType="begin"/>
      </w:r>
      <w:r>
        <w:instrText>PageRef _Toc23102400 \h</w:instrText>
      </w:r>
      <w:r>
        <w:fldChar w:fldCharType="separate"/>
      </w:r>
      <w:r>
        <w:t>- 8 -</w:t>
      </w:r>
      <w:r>
        <w:fldChar w:fldCharType="end"/>
      </w:r>
      <w:r>
        <w:fldChar w:fldCharType="end"/>
      </w:r>
    </w:p>
    <w:p>
      <w:pPr>
        <w:pStyle w:val="19"/>
        <w:tabs>
          <w:tab w:val="right" w:leader="dot" w:pos="8296"/>
          <w:tab w:val="right" w:leader="dot" w:pos="8306"/>
        </w:tabs>
        <w:spacing w:line="300" w:lineRule="exact"/>
      </w:pPr>
      <w:r>
        <w:fldChar w:fldCharType="begin"/>
      </w:r>
      <w:r>
        <w:instrText>Hyperlink \l "_Toc23102401"</w:instrText>
      </w:r>
      <w:r>
        <w:fldChar w:fldCharType="separate"/>
      </w:r>
      <w:r>
        <w:rPr>
          <w:rFonts w:eastAsia="楷体_GB2312"/>
          <w:szCs w:val="32"/>
          <w:highlight w:val="auto"/>
        </w:rPr>
        <w:t>（一）“三公”经费财政拨款支出决算总体情况说明</w:t>
      </w:r>
      <w:r>
        <w:tab/>
      </w:r>
      <w:r>
        <w:fldChar w:fldCharType="begin"/>
      </w:r>
      <w:r>
        <w:instrText>PageRef _Toc23102401 \h</w:instrText>
      </w:r>
      <w:r>
        <w:fldChar w:fldCharType="separate"/>
      </w:r>
      <w:r>
        <w:t>- 8 -</w:t>
      </w:r>
      <w:r>
        <w:fldChar w:fldCharType="end"/>
      </w:r>
      <w:r>
        <w:fldChar w:fldCharType="end"/>
      </w:r>
    </w:p>
    <w:p>
      <w:pPr>
        <w:pStyle w:val="19"/>
        <w:tabs>
          <w:tab w:val="right" w:leader="dot" w:pos="8296"/>
          <w:tab w:val="right" w:leader="dot" w:pos="8306"/>
        </w:tabs>
        <w:spacing w:line="300" w:lineRule="exact"/>
      </w:pPr>
      <w:r>
        <w:fldChar w:fldCharType="begin"/>
      </w:r>
      <w:r>
        <w:instrText>Hyperlink \l "_Toc23102402"</w:instrText>
      </w:r>
      <w:r>
        <w:fldChar w:fldCharType="separate"/>
      </w:r>
      <w:r>
        <w:rPr>
          <w:rFonts w:eastAsia="楷体_GB2312"/>
          <w:szCs w:val="32"/>
          <w:highlight w:val="auto"/>
        </w:rPr>
        <w:t>（二）“三公”经费财政拨款支出决算具体情况说明</w:t>
      </w:r>
      <w:r>
        <w:tab/>
      </w:r>
      <w:r>
        <w:fldChar w:fldCharType="begin"/>
      </w:r>
      <w:r>
        <w:instrText>PageRef _Toc23102402 \h</w:instrText>
      </w:r>
      <w:r>
        <w:fldChar w:fldCharType="separate"/>
      </w:r>
      <w:r>
        <w:t>- 8 -</w:t>
      </w:r>
      <w:r>
        <w:fldChar w:fldCharType="end"/>
      </w:r>
      <w:r>
        <w:fldChar w:fldCharType="end"/>
      </w:r>
    </w:p>
    <w:p>
      <w:pPr>
        <w:pStyle w:val="24"/>
        <w:tabs>
          <w:tab w:val="right" w:leader="dot" w:pos="8296"/>
          <w:tab w:val="right" w:leader="dot" w:pos="8306"/>
        </w:tabs>
        <w:spacing w:line="300" w:lineRule="exact"/>
      </w:pPr>
      <w:r>
        <w:fldChar w:fldCharType="begin"/>
      </w:r>
      <w:r>
        <w:instrText>Hyperlink \l "_Toc23102403"</w:instrText>
      </w:r>
      <w:r>
        <w:fldChar w:fldCharType="separate"/>
      </w:r>
      <w:r>
        <w:rPr>
          <w:rFonts w:eastAsia="黑体"/>
          <w:szCs w:val="32"/>
          <w:highlight w:val="auto"/>
        </w:rPr>
        <w:t>八、</w:t>
      </w:r>
      <w:r>
        <w:rPr>
          <w:rFonts w:ascii="Times New Roman" w:eastAsia="黑体" w:cs="Times New Roman" w:hAnsi="Times New Roman"/>
          <w:bCs/>
          <w:kern w:val="2"/>
          <w:szCs w:val="32"/>
          <w:lang w:val="en-US" w:eastAsia="zh-CN" w:bidi="ar-SA"/>
        </w:rPr>
        <w:t>政府性基金预算支出决算情况说明</w:t>
      </w:r>
      <w:r>
        <w:tab/>
      </w:r>
      <w:r>
        <w:fldChar w:fldCharType="begin"/>
      </w:r>
      <w:r>
        <w:instrText>PageRef _Toc23102403 \h</w:instrText>
      </w:r>
      <w:r>
        <w:fldChar w:fldCharType="separate"/>
      </w:r>
      <w:r>
        <w:t>- 9 -</w:t>
      </w:r>
      <w:r>
        <w:fldChar w:fldCharType="end"/>
      </w:r>
      <w:r>
        <w:fldChar w:fldCharType="end"/>
      </w:r>
    </w:p>
    <w:p>
      <w:pPr>
        <w:pStyle w:val="24"/>
        <w:tabs>
          <w:tab w:val="right" w:leader="dot" w:pos="8296"/>
          <w:tab w:val="right" w:leader="dot" w:pos="8306"/>
        </w:tabs>
        <w:spacing w:line="300" w:lineRule="exact"/>
      </w:pPr>
      <w:r>
        <w:fldChar w:fldCharType="begin"/>
      </w:r>
      <w:r>
        <w:instrText>Hyperlink \l "_Toc23102404"</w:instrText>
      </w:r>
      <w:r>
        <w:fldChar w:fldCharType="separate"/>
      </w:r>
      <w:r>
        <w:rPr>
          <w:rFonts w:ascii="Times New Roman" w:eastAsia="黑体" w:cs="Times New Roman" w:hAnsi="Times New Roman"/>
          <w:bCs/>
          <w:kern w:val="2"/>
          <w:szCs w:val="32"/>
          <w:lang w:val="en-US" w:eastAsia="zh-CN" w:bidi="ar-SA"/>
        </w:rPr>
        <w:t>九、国有资本经营预算支出决算情况说明</w:t>
      </w:r>
      <w:r>
        <w:tab/>
      </w:r>
      <w:r>
        <w:fldChar w:fldCharType="begin"/>
      </w:r>
      <w:r>
        <w:instrText>PageRef _Toc23102404 \h</w:instrText>
      </w:r>
      <w:r>
        <w:fldChar w:fldCharType="separate"/>
      </w:r>
      <w:r>
        <w:t>- 9 -</w:t>
      </w:r>
      <w:r>
        <w:fldChar w:fldCharType="end"/>
      </w:r>
      <w:r>
        <w:fldChar w:fldCharType="end"/>
      </w:r>
    </w:p>
    <w:p>
      <w:pPr>
        <w:pStyle w:val="24"/>
        <w:tabs>
          <w:tab w:val="right" w:leader="dot" w:pos="8296"/>
          <w:tab w:val="right" w:leader="dot" w:pos="8306"/>
        </w:tabs>
        <w:spacing w:line="300" w:lineRule="exact"/>
      </w:pPr>
      <w:r>
        <w:fldChar w:fldCharType="begin"/>
      </w:r>
      <w:r>
        <w:instrText>Hyperlink \l "_Toc23102405"</w:instrText>
      </w:r>
      <w:r>
        <w:fldChar w:fldCharType="separate"/>
      </w:r>
      <w:r>
        <w:rPr>
          <w:rFonts w:ascii="Times New Roman" w:eastAsia="黑体" w:cs="Times New Roman" w:hAnsi="Times New Roman"/>
          <w:bCs/>
          <w:kern w:val="2"/>
          <w:szCs w:val="32"/>
          <w:lang w:val="en-US" w:eastAsia="zh-CN" w:bidi="ar-SA"/>
        </w:rPr>
        <w:t>十、其他重要事项的情况说明</w:t>
      </w:r>
      <w:r>
        <w:tab/>
      </w:r>
      <w:r>
        <w:fldChar w:fldCharType="begin"/>
      </w:r>
      <w:r>
        <w:instrText>PageRef _Toc23102405 \h</w:instrText>
      </w:r>
      <w:r>
        <w:fldChar w:fldCharType="separate"/>
      </w:r>
      <w:r>
        <w:t>- 9 -</w:t>
      </w:r>
      <w:r>
        <w:fldChar w:fldCharType="end"/>
      </w:r>
      <w:r>
        <w:fldChar w:fldCharType="end"/>
      </w:r>
    </w:p>
    <w:p>
      <w:pPr>
        <w:pStyle w:val="19"/>
        <w:tabs>
          <w:tab w:val="right" w:leader="dot" w:pos="8296"/>
          <w:tab w:val="right" w:leader="dot" w:pos="8306"/>
        </w:tabs>
        <w:spacing w:line="300" w:lineRule="exact"/>
      </w:pPr>
      <w:r>
        <w:fldChar w:fldCharType="begin"/>
      </w:r>
      <w:r>
        <w:instrText>Hyperlink \l "_Toc23102406"</w:instrText>
      </w:r>
      <w:r>
        <w:fldChar w:fldCharType="separate"/>
      </w:r>
      <w:r>
        <w:rPr>
          <w:rFonts w:eastAsia="楷体_GB2312"/>
          <w:szCs w:val="32"/>
          <w:highlight w:val="auto"/>
        </w:rPr>
        <w:t>（一）机关运行经费支出情况</w:t>
      </w:r>
      <w:r>
        <w:tab/>
      </w:r>
      <w:r>
        <w:fldChar w:fldCharType="begin"/>
      </w:r>
      <w:r>
        <w:instrText>PageRef _Toc23102406 \h</w:instrText>
      </w:r>
      <w:r>
        <w:fldChar w:fldCharType="separate"/>
      </w:r>
      <w:r>
        <w:t>- 9 -</w:t>
      </w:r>
      <w:r>
        <w:fldChar w:fldCharType="end"/>
      </w:r>
      <w:r>
        <w:fldChar w:fldCharType="end"/>
      </w:r>
    </w:p>
    <w:p>
      <w:pPr>
        <w:pStyle w:val="19"/>
        <w:tabs>
          <w:tab w:val="right" w:leader="dot" w:pos="8296"/>
          <w:tab w:val="right" w:leader="dot" w:pos="8306"/>
        </w:tabs>
        <w:spacing w:line="300" w:lineRule="exact"/>
      </w:pPr>
      <w:r>
        <w:fldChar w:fldCharType="begin"/>
      </w:r>
      <w:r>
        <w:instrText>Hyperlink \l "_Toc23102407"</w:instrText>
      </w:r>
      <w:r>
        <w:fldChar w:fldCharType="separate"/>
      </w:r>
      <w:r>
        <w:rPr>
          <w:rFonts w:eastAsia="楷体_GB2312"/>
          <w:szCs w:val="32"/>
          <w:highlight w:val="auto"/>
        </w:rPr>
        <w:t>（二）政府采购支出情况</w:t>
      </w:r>
      <w:r>
        <w:tab/>
      </w:r>
      <w:r>
        <w:fldChar w:fldCharType="begin"/>
      </w:r>
      <w:r>
        <w:instrText>PageRef _Toc23102407 \h</w:instrText>
      </w:r>
      <w:r>
        <w:fldChar w:fldCharType="separate"/>
      </w:r>
      <w:r>
        <w:t>- 9 -</w:t>
      </w:r>
      <w:r>
        <w:fldChar w:fldCharType="end"/>
      </w:r>
      <w:r>
        <w:fldChar w:fldCharType="end"/>
      </w:r>
    </w:p>
    <w:p>
      <w:pPr>
        <w:pStyle w:val="19"/>
        <w:tabs>
          <w:tab w:val="right" w:leader="dot" w:pos="8296"/>
          <w:tab w:val="right" w:leader="dot" w:pos="8306"/>
        </w:tabs>
        <w:spacing w:line="300" w:lineRule="exact"/>
      </w:pPr>
      <w:r>
        <w:fldChar w:fldCharType="begin"/>
      </w:r>
      <w:r>
        <w:instrText>Hyperlink \l "_Toc23102408"</w:instrText>
      </w:r>
      <w:r>
        <w:fldChar w:fldCharType="separate"/>
      </w:r>
      <w:r>
        <w:rPr>
          <w:rFonts w:eastAsia="楷体_GB2312"/>
          <w:szCs w:val="32"/>
          <w:highlight w:val="auto"/>
        </w:rPr>
        <w:t>（三）国有资产占有使用情况</w:t>
      </w:r>
      <w:r>
        <w:tab/>
      </w:r>
      <w:r>
        <w:fldChar w:fldCharType="begin"/>
      </w:r>
      <w:r>
        <w:instrText>PageRef _Toc23102408 \h</w:instrText>
      </w:r>
      <w:r>
        <w:fldChar w:fldCharType="separate"/>
      </w:r>
      <w:r>
        <w:t>- 9 -</w:t>
      </w:r>
      <w:r>
        <w:fldChar w:fldCharType="end"/>
      </w:r>
      <w:r>
        <w:fldChar w:fldCharType="end"/>
      </w:r>
    </w:p>
    <w:p>
      <w:pPr>
        <w:pStyle w:val="23"/>
        <w:tabs>
          <w:tab w:val="right" w:leader="dot" w:pos="8296"/>
          <w:tab w:val="right" w:leader="dot" w:pos="8306"/>
        </w:tabs>
        <w:spacing w:line="300" w:lineRule="exact"/>
        <w:jc w:val="center"/>
      </w:pPr>
      <w:r>
        <w:fldChar w:fldCharType="begin"/>
      </w:r>
      <w:r>
        <w:instrText>Hyperlink \l "_Toc23102412"</w:instrText>
      </w:r>
      <w:r>
        <w:fldChar w:fldCharType="separate"/>
      </w:r>
      <w:r>
        <w:fldChar w:fldCharType="end"/>
      </w:r>
      <w:r>
        <w:rPr>
          <w:rFonts w:eastAsia="方正小标宋简体"/>
          <w:b w:val="0"/>
          <w:color w:val="auto"/>
          <w:highlight w:val="auto"/>
        </w:rPr>
        <w:fldChar w:fldCharType="end"/>
      </w:r>
      <w:r>
        <w:rPr>
          <w:rFonts w:eastAsia="黑体" w:hint="eastAsia"/>
          <w:szCs w:val="44"/>
        </w:rPr>
        <w:fldChar w:fldCharType="begin"/>
      </w:r>
      <w:r>
        <w:instrText>HYPERLINK  \l "_Toc23788768"</w:instrText>
      </w:r>
      <w:r>
        <w:rPr>
          <w:rFonts w:eastAsia="黑体" w:hint="eastAsia"/>
          <w:szCs w:val="44"/>
        </w:rPr>
        <w:fldChar w:fldCharType="separate"/>
      </w:r>
      <w:r>
        <w:rPr>
          <w:rFonts w:eastAsia="黑体" w:hint="eastAsia"/>
          <w:szCs w:val="44"/>
        </w:rPr>
        <w:t>第三部分  名词解释</w:t>
      </w:r>
      <w:r>
        <w:tab/>
      </w:r>
      <w:r>
        <w:fldChar w:fldCharType="begin"/>
      </w:r>
      <w:r>
        <w:instrText>PageRef _Toc23788768 \h</w:instrText>
      </w:r>
      <w:r>
        <w:fldChar w:fldCharType="separate"/>
      </w:r>
      <w:r>
        <w:t>- 12 -</w:t>
      </w:r>
      <w:r>
        <w:fldChar w:fldCharType="end"/>
      </w:r>
      <w:r>
        <w:rPr>
          <w:rFonts w:eastAsia="黑体" w:hint="eastAsia"/>
          <w:szCs w:val="44"/>
        </w:rPr>
        <w:fldChar w:fldCharType="end"/>
      </w:r>
    </w:p>
    <w:p>
      <w:pPr>
        <w:pStyle w:val="23"/>
        <w:tabs>
          <w:tab w:val="right" w:leader="dot" w:pos="8296"/>
        </w:tabs>
        <w:adjustRightInd w:val="0"/>
        <w:snapToGrid w:val="0"/>
        <w:spacing w:before="0" w:line="300" w:lineRule="exact"/>
        <w:jc w:val="left"/>
        <w:rPr>
          <w:rFonts w:ascii="Times New Roman" w:eastAsia="黑体" w:cs="黑体" w:hAnsi="Times New Roman"/>
          <w:sz w:val="32"/>
          <w:szCs w:val="32"/>
        </w:rPr>
      </w:pPr>
      <w:r>
        <w:rPr>
          <w:rFonts w:ascii="Times New Roman" w:eastAsia="黑体" w:cs="黑体" w:hAnsi="Times New Roman" w:hint="eastAsia"/>
          <w:sz w:val="32"/>
          <w:szCs w:val="32"/>
        </w:rPr>
        <w:t xml:space="preserve">第四部分 </w:t>
      </w:r>
      <w:r>
        <w:rPr>
          <w:rFonts w:ascii="Times New Roman" w:eastAsia="黑体" w:cs="黑体" w:hAnsi="Times New Roman"/>
          <w:sz w:val="32"/>
          <w:szCs w:val="32"/>
        </w:rPr>
        <w:t>附件</w:t>
      </w:r>
      <w:r>
        <w:fldChar w:fldCharType="begin"/>
      </w:r>
      <w:r>
        <w:instrText>HYPERLINK  \l "_Toc23788746"</w:instrText>
      </w:r>
      <w:r>
        <w:fldChar w:fldCharType="separate"/>
      </w:r>
      <w:r>
        <w:tab/>
      </w:r>
      <w:r>
        <w:fldChar w:fldCharType="begin"/>
      </w:r>
      <w:r>
        <w:instrText>PageRef _Toc23788746 \h</w:instrText>
      </w:r>
      <w:r>
        <w:fldChar w:fldCharType="separate"/>
      </w:r>
      <w:r>
        <w:t>- 14 -</w:t>
      </w:r>
      <w:r>
        <w:fldChar w:fldCharType="end"/>
      </w:r>
      <w:r>
        <w:fldChar w:fldCharType="end"/>
      </w:r>
    </w:p>
    <w:p>
      <w:pPr>
        <w:pStyle w:val="23"/>
        <w:tabs>
          <w:tab w:val="right" w:leader="dot" w:pos="8296"/>
        </w:tabs>
        <w:adjustRightInd w:val="0"/>
        <w:snapToGrid w:val="0"/>
        <w:spacing w:before="0" w:line="300" w:lineRule="exact"/>
        <w:jc w:val="left"/>
        <w:rPr>
          <w:rFonts w:ascii="Times New Roman" w:eastAsia="黑体" w:cs="黑体" w:hAnsi="Times New Roman"/>
          <w:sz w:val="32"/>
          <w:szCs w:val="32"/>
        </w:rPr>
      </w:pPr>
      <w:r>
        <w:rPr>
          <w:rFonts w:ascii="Times New Roman" w:eastAsia="黑体" w:cs="黑体" w:hAnsi="Times New Roman" w:hint="eastAsia"/>
          <w:sz w:val="32"/>
          <w:szCs w:val="32"/>
        </w:rPr>
        <w:t>第五部分 附表</w:t>
      </w:r>
      <w:r>
        <w:fldChar w:fldCharType="begin"/>
      </w:r>
      <w:r>
        <w:instrText>HYPERLINK  \l "_Toc23788746"</w:instrText>
      </w:r>
      <w:r>
        <w:fldChar w:fldCharType="separate"/>
      </w:r>
      <w:r>
        <w:tab/>
      </w:r>
      <w:r>
        <w:fldChar w:fldCharType="begin"/>
      </w:r>
      <w:r>
        <w:instrText>PageRef _Toc23788746 \h</w:instrText>
      </w:r>
      <w:r>
        <w:fldChar w:fldCharType="separate"/>
      </w:r>
      <w:r>
        <w:t>- 19 -</w:t>
      </w:r>
      <w:r>
        <w:fldChar w:fldCharType="end"/>
      </w:r>
      <w:r>
        <w:fldChar w:fldCharType="end"/>
      </w:r>
    </w:p>
    <w:p>
      <w:pPr>
        <w:pStyle w:val="24"/>
        <w:tabs>
          <w:tab w:val="right" w:leader="dot" w:pos="8296"/>
          <w:tab w:val="right" w:leader="dot" w:pos="8306"/>
        </w:tabs>
        <w:spacing w:line="300" w:lineRule="exact"/>
        <w:rPr>
          <w:rFonts w:eastAsia="黑体" w:hint="eastAsia"/>
          <w:bCs/>
          <w:szCs w:val="32"/>
        </w:rPr>
      </w:pPr>
      <w:r>
        <w:rPr>
          <w:rFonts w:eastAsia="黑体" w:hint="eastAsia"/>
          <w:bCs/>
          <w:szCs w:val="32"/>
        </w:rPr>
        <w:t>一、收入支出决算总表</w:t>
      </w:r>
      <w:r>
        <w:fldChar w:fldCharType="begin"/>
      </w:r>
      <w:r>
        <w:instrText>HYPERLINK  \l "_Toc23788749"</w:instrText>
      </w:r>
      <w:r>
        <w:fldChar w:fldCharType="separate"/>
      </w:r>
      <w:r>
        <w:tab/>
      </w:r>
      <w:r>
        <w:fldChar w:fldCharType="begin"/>
      </w:r>
      <w:r>
        <w:instrText>PageRef _Toc23788749 \h</w:instrText>
      </w:r>
      <w:r>
        <w:fldChar w:fldCharType="separate"/>
      </w:r>
      <w:r>
        <w:t>- 19 -</w:t>
      </w:r>
      <w:r>
        <w:fldChar w:fldCharType="end"/>
      </w:r>
      <w:r>
        <w:fldChar w:fldCharType="end"/>
      </w:r>
    </w:p>
    <w:p>
      <w:pPr>
        <w:pStyle w:val="24"/>
        <w:tabs>
          <w:tab w:val="right" w:leader="dot" w:pos="8296"/>
          <w:tab w:val="right" w:leader="dot" w:pos="8306"/>
        </w:tabs>
        <w:spacing w:line="300" w:lineRule="exact"/>
        <w:rPr>
          <w:rFonts w:eastAsia="黑体" w:hint="eastAsia"/>
          <w:bCs/>
          <w:szCs w:val="32"/>
        </w:rPr>
      </w:pPr>
      <w:r>
        <w:rPr>
          <w:rFonts w:eastAsia="黑体" w:hint="eastAsia"/>
          <w:bCs/>
          <w:szCs w:val="32"/>
        </w:rPr>
        <w:t>二、收入决算表</w:t>
      </w:r>
      <w:r>
        <w:fldChar w:fldCharType="begin"/>
      </w:r>
      <w:r>
        <w:instrText>HYPERLINK  \l "_Toc23788749"</w:instrText>
      </w:r>
      <w:r>
        <w:fldChar w:fldCharType="separate"/>
      </w:r>
      <w:r>
        <w:tab/>
      </w:r>
      <w:r>
        <w:fldChar w:fldCharType="begin"/>
      </w:r>
      <w:r>
        <w:instrText>PageRef _Toc23788749 \h</w:instrText>
      </w:r>
      <w:r>
        <w:fldChar w:fldCharType="separate"/>
      </w:r>
      <w:r>
        <w:t>- 19 -</w:t>
      </w:r>
      <w:r>
        <w:fldChar w:fldCharType="end"/>
      </w:r>
      <w:r>
        <w:fldChar w:fldCharType="end"/>
      </w:r>
    </w:p>
    <w:p>
      <w:pPr>
        <w:pStyle w:val="24"/>
        <w:tabs>
          <w:tab w:val="right" w:leader="dot" w:pos="8296"/>
          <w:tab w:val="right" w:leader="dot" w:pos="8306"/>
        </w:tabs>
        <w:spacing w:line="300" w:lineRule="exact"/>
        <w:rPr>
          <w:rFonts w:eastAsia="黑体" w:hint="eastAsia"/>
          <w:bCs/>
          <w:szCs w:val="32"/>
        </w:rPr>
      </w:pPr>
      <w:r>
        <w:rPr>
          <w:rFonts w:eastAsia="黑体" w:hint="eastAsia"/>
          <w:bCs/>
          <w:szCs w:val="32"/>
        </w:rPr>
        <w:t>三、支出决算表</w:t>
      </w:r>
      <w:r>
        <w:fldChar w:fldCharType="begin"/>
      </w:r>
      <w:r>
        <w:instrText>HYPERLINK  \l "_Toc23788749"</w:instrText>
      </w:r>
      <w:r>
        <w:fldChar w:fldCharType="separate"/>
      </w:r>
      <w:r>
        <w:tab/>
      </w:r>
      <w:r>
        <w:fldChar w:fldCharType="begin"/>
      </w:r>
      <w:r>
        <w:instrText>PageRef _Toc23788749 \h</w:instrText>
      </w:r>
      <w:r>
        <w:fldChar w:fldCharType="separate"/>
      </w:r>
      <w:r>
        <w:t>- 19 -</w:t>
      </w:r>
      <w:r>
        <w:fldChar w:fldCharType="end"/>
      </w:r>
      <w:r>
        <w:fldChar w:fldCharType="end"/>
      </w:r>
    </w:p>
    <w:p>
      <w:pPr>
        <w:pStyle w:val="24"/>
        <w:tabs>
          <w:tab w:val="right" w:leader="dot" w:pos="8296"/>
          <w:tab w:val="right" w:leader="dot" w:pos="8306"/>
        </w:tabs>
        <w:spacing w:line="300" w:lineRule="exact"/>
        <w:rPr>
          <w:rFonts w:eastAsia="黑体" w:hint="eastAsia"/>
          <w:bCs/>
          <w:szCs w:val="32"/>
        </w:rPr>
      </w:pPr>
      <w:r>
        <w:rPr>
          <w:rFonts w:eastAsia="黑体" w:hint="eastAsia"/>
          <w:bCs/>
          <w:szCs w:val="32"/>
        </w:rPr>
        <w:t>四、财政拨款收入支出决算总表</w:t>
      </w:r>
      <w:r>
        <w:fldChar w:fldCharType="begin"/>
      </w:r>
      <w:r>
        <w:instrText>HYPERLINK  \l "_Toc23788749"</w:instrText>
      </w:r>
      <w:r>
        <w:fldChar w:fldCharType="separate"/>
      </w:r>
      <w:r>
        <w:tab/>
      </w:r>
      <w:r>
        <w:fldChar w:fldCharType="begin"/>
      </w:r>
      <w:r>
        <w:instrText>PageRef _Toc23788749 \h</w:instrText>
      </w:r>
      <w:r>
        <w:fldChar w:fldCharType="separate"/>
      </w:r>
      <w:r>
        <w:t>- 19 -</w:t>
      </w:r>
      <w:r>
        <w:fldChar w:fldCharType="end"/>
      </w:r>
      <w:r>
        <w:fldChar w:fldCharType="end"/>
      </w:r>
    </w:p>
    <w:p>
      <w:pPr>
        <w:pStyle w:val="24"/>
        <w:tabs>
          <w:tab w:val="right" w:leader="dot" w:pos="8296"/>
          <w:tab w:val="right" w:leader="dot" w:pos="8306"/>
        </w:tabs>
        <w:spacing w:line="300" w:lineRule="exact"/>
        <w:rPr>
          <w:rFonts w:eastAsia="黑体" w:hint="eastAsia"/>
          <w:bCs/>
          <w:szCs w:val="32"/>
        </w:rPr>
      </w:pPr>
      <w:r>
        <w:rPr>
          <w:rFonts w:eastAsia="黑体" w:hint="eastAsia"/>
          <w:bCs/>
          <w:szCs w:val="32"/>
        </w:rPr>
        <w:t>五、财政拨款支出决算明细表</w:t>
      </w:r>
      <w:r>
        <w:fldChar w:fldCharType="begin"/>
      </w:r>
      <w:r>
        <w:instrText>HYPERLINK  \l "_Toc23788749"</w:instrText>
      </w:r>
      <w:r>
        <w:fldChar w:fldCharType="separate"/>
      </w:r>
      <w:r>
        <w:tab/>
      </w:r>
      <w:r>
        <w:fldChar w:fldCharType="begin"/>
      </w:r>
      <w:r>
        <w:instrText>PageRef _Toc23788749 \h</w:instrText>
      </w:r>
      <w:r>
        <w:fldChar w:fldCharType="separate"/>
      </w:r>
      <w:r>
        <w:t>- 19 -</w:t>
      </w:r>
      <w:r>
        <w:fldChar w:fldCharType="end"/>
      </w:r>
      <w:r>
        <w:fldChar w:fldCharType="end"/>
      </w:r>
    </w:p>
    <w:p>
      <w:pPr>
        <w:pStyle w:val="24"/>
        <w:tabs>
          <w:tab w:val="right" w:leader="dot" w:pos="8296"/>
          <w:tab w:val="right" w:leader="dot" w:pos="8306"/>
        </w:tabs>
        <w:spacing w:line="300" w:lineRule="exact"/>
        <w:rPr>
          <w:rFonts w:eastAsia="黑体" w:hint="eastAsia"/>
          <w:bCs/>
          <w:szCs w:val="32"/>
        </w:rPr>
      </w:pPr>
      <w:r>
        <w:rPr>
          <w:rFonts w:eastAsia="黑体" w:hint="eastAsia"/>
          <w:bCs/>
          <w:szCs w:val="32"/>
        </w:rPr>
        <w:t>六、一般公共预算财政拨款支出决算表</w:t>
      </w:r>
      <w:r>
        <w:fldChar w:fldCharType="begin"/>
      </w:r>
      <w:r>
        <w:instrText>HYPERLINK  \l "_Toc23788749"</w:instrText>
      </w:r>
      <w:r>
        <w:fldChar w:fldCharType="separate"/>
      </w:r>
      <w:r>
        <w:tab/>
      </w:r>
      <w:r>
        <w:fldChar w:fldCharType="begin"/>
      </w:r>
      <w:r>
        <w:instrText>PageRef _Toc23788749 \h</w:instrText>
      </w:r>
      <w:r>
        <w:fldChar w:fldCharType="separate"/>
      </w:r>
      <w:r>
        <w:t>- 19 -</w:t>
      </w:r>
      <w:r>
        <w:fldChar w:fldCharType="end"/>
      </w:r>
      <w:r>
        <w:fldChar w:fldCharType="end"/>
      </w:r>
    </w:p>
    <w:p>
      <w:pPr>
        <w:pStyle w:val="24"/>
        <w:tabs>
          <w:tab w:val="right" w:leader="dot" w:pos="8296"/>
          <w:tab w:val="right" w:leader="dot" w:pos="8306"/>
        </w:tabs>
        <w:spacing w:line="300" w:lineRule="exact"/>
        <w:rPr>
          <w:rFonts w:eastAsia="黑体" w:cs="仿宋_GB2312" w:hint="eastAsia"/>
          <w:bCs/>
          <w:szCs w:val="32"/>
        </w:rPr>
      </w:pPr>
      <w:r>
        <w:rPr>
          <w:rFonts w:eastAsia="黑体" w:cs="仿宋_GB2312" w:hint="eastAsia"/>
          <w:bCs/>
          <w:szCs w:val="32"/>
        </w:rPr>
        <w:t>七、一般公共预算财政拨款支出决算明细表</w:t>
      </w:r>
      <w:r>
        <w:fldChar w:fldCharType="begin"/>
      </w:r>
      <w:r>
        <w:instrText>HYPERLINK  \l "_Toc23788749"</w:instrText>
      </w:r>
      <w:r>
        <w:fldChar w:fldCharType="separate"/>
      </w:r>
      <w:r>
        <w:tab/>
      </w:r>
      <w:r>
        <w:fldChar w:fldCharType="begin"/>
      </w:r>
      <w:r>
        <w:instrText>PageRef _Toc23788749 \h</w:instrText>
      </w:r>
      <w:r>
        <w:fldChar w:fldCharType="separate"/>
      </w:r>
      <w:r>
        <w:t>- 19 -</w:t>
      </w:r>
      <w:r>
        <w:fldChar w:fldCharType="end"/>
      </w:r>
      <w:r>
        <w:fldChar w:fldCharType="end"/>
      </w:r>
    </w:p>
    <w:p>
      <w:pPr>
        <w:pStyle w:val="24"/>
        <w:tabs>
          <w:tab w:val="right" w:leader="dot" w:pos="8296"/>
          <w:tab w:val="right" w:leader="dot" w:pos="8306"/>
        </w:tabs>
        <w:spacing w:line="300" w:lineRule="exact"/>
        <w:rPr>
          <w:rFonts w:eastAsia="黑体" w:cs="仿宋_GB2312" w:hint="eastAsia"/>
          <w:bCs/>
          <w:szCs w:val="32"/>
        </w:rPr>
      </w:pPr>
      <w:r>
        <w:rPr>
          <w:rFonts w:eastAsia="黑体" w:cs="仿宋_GB2312" w:hint="eastAsia"/>
          <w:bCs/>
          <w:szCs w:val="32"/>
        </w:rPr>
        <w:t>八、一般公共预算财政拨款基本支出决算明细表</w:t>
      </w:r>
      <w:r>
        <w:fldChar w:fldCharType="begin"/>
      </w:r>
      <w:r>
        <w:instrText>HYPERLINK  \l "_Toc23788749"</w:instrText>
      </w:r>
      <w:r>
        <w:fldChar w:fldCharType="separate"/>
      </w:r>
      <w:r>
        <w:tab/>
      </w:r>
      <w:r>
        <w:fldChar w:fldCharType="begin"/>
      </w:r>
      <w:r>
        <w:instrText>PageRef _Toc23788749 \h</w:instrText>
      </w:r>
      <w:r>
        <w:fldChar w:fldCharType="separate"/>
      </w:r>
      <w:r>
        <w:t>- 19 -</w:t>
      </w:r>
      <w:r>
        <w:fldChar w:fldCharType="end"/>
      </w:r>
      <w:r>
        <w:fldChar w:fldCharType="end"/>
      </w:r>
    </w:p>
    <w:p>
      <w:pPr>
        <w:pStyle w:val="24"/>
        <w:tabs>
          <w:tab w:val="right" w:leader="dot" w:pos="8296"/>
          <w:tab w:val="right" w:leader="dot" w:pos="8306"/>
        </w:tabs>
        <w:spacing w:line="300" w:lineRule="exact"/>
        <w:rPr>
          <w:rFonts w:eastAsia="黑体" w:cs="仿宋_GB2312" w:hint="eastAsia"/>
          <w:bCs/>
          <w:szCs w:val="32"/>
        </w:rPr>
      </w:pPr>
      <w:r>
        <w:rPr>
          <w:rFonts w:eastAsia="黑体" w:cs="仿宋_GB2312" w:hint="eastAsia"/>
          <w:bCs/>
          <w:szCs w:val="32"/>
        </w:rPr>
        <w:t>九、一般公共预算财政拨款项目支出决算表</w:t>
      </w:r>
      <w:r>
        <w:fldChar w:fldCharType="begin"/>
      </w:r>
      <w:r>
        <w:instrText>HYPERLINK  \l "_Toc23788749"</w:instrText>
      </w:r>
      <w:r>
        <w:fldChar w:fldCharType="separate"/>
      </w:r>
      <w:r>
        <w:tab/>
      </w:r>
      <w:r>
        <w:fldChar w:fldCharType="begin"/>
      </w:r>
      <w:r>
        <w:instrText>PageRef _Toc23788749 \h</w:instrText>
      </w:r>
      <w:r>
        <w:fldChar w:fldCharType="separate"/>
      </w:r>
      <w:r>
        <w:t>- 19 -</w:t>
      </w:r>
      <w:r>
        <w:fldChar w:fldCharType="end"/>
      </w:r>
      <w:r>
        <w:fldChar w:fldCharType="end"/>
      </w:r>
    </w:p>
    <w:p>
      <w:pPr>
        <w:pStyle w:val="24"/>
        <w:tabs>
          <w:tab w:val="right" w:leader="dot" w:pos="8296"/>
          <w:tab w:val="right" w:leader="dot" w:pos="8306"/>
        </w:tabs>
        <w:spacing w:line="300" w:lineRule="exact"/>
        <w:rPr>
          <w:rFonts w:eastAsia="黑体" w:cs="仿宋_GB2312" w:hint="eastAsia"/>
          <w:bCs/>
          <w:szCs w:val="32"/>
        </w:rPr>
      </w:pPr>
      <w:r>
        <w:rPr>
          <w:rFonts w:eastAsia="黑体" w:cs="仿宋_GB2312" w:hint="eastAsia"/>
          <w:bCs/>
          <w:szCs w:val="32"/>
        </w:rPr>
        <w:t>十、政府性基金预算财政拨款收入支出决算表</w:t>
      </w:r>
      <w:r>
        <w:fldChar w:fldCharType="begin"/>
      </w:r>
      <w:r>
        <w:instrText>HYPERLINK  \l "_Toc23788749"</w:instrText>
      </w:r>
      <w:r>
        <w:fldChar w:fldCharType="separate"/>
      </w:r>
      <w:r>
        <w:tab/>
      </w:r>
      <w:r>
        <w:fldChar w:fldCharType="begin"/>
      </w:r>
      <w:r>
        <w:instrText>PageRef _Toc23788749 \h</w:instrText>
      </w:r>
      <w:r>
        <w:fldChar w:fldCharType="separate"/>
      </w:r>
      <w:r>
        <w:t>- 19 -</w:t>
      </w:r>
      <w:r>
        <w:fldChar w:fldCharType="end"/>
      </w:r>
      <w:r>
        <w:fldChar w:fldCharType="end"/>
      </w:r>
    </w:p>
    <w:p>
      <w:pPr>
        <w:pStyle w:val="24"/>
        <w:tabs>
          <w:tab w:val="right" w:leader="dot" w:pos="8296"/>
          <w:tab w:val="right" w:leader="dot" w:pos="8306"/>
        </w:tabs>
        <w:spacing w:line="300" w:lineRule="exact"/>
        <w:rPr>
          <w:rFonts w:eastAsia="黑体" w:cs="仿宋_GB2312" w:hint="eastAsia"/>
          <w:bCs/>
          <w:szCs w:val="32"/>
        </w:rPr>
      </w:pPr>
      <w:r>
        <w:rPr>
          <w:rFonts w:eastAsia="黑体" w:cs="仿宋_GB2312" w:hint="eastAsia"/>
          <w:bCs/>
          <w:szCs w:val="32"/>
        </w:rPr>
        <w:t>十一、国有资本经营预算财政拨款收入支出决算表</w:t>
      </w:r>
      <w:r>
        <w:fldChar w:fldCharType="begin"/>
      </w:r>
      <w:r>
        <w:instrText>HYPERLINK  \l "_Toc23788749"</w:instrText>
      </w:r>
      <w:r>
        <w:fldChar w:fldCharType="separate"/>
      </w:r>
      <w:r>
        <w:tab/>
      </w:r>
      <w:r>
        <w:fldChar w:fldCharType="begin"/>
      </w:r>
      <w:r>
        <w:instrText>PageRef _Toc23788749 \h</w:instrText>
      </w:r>
      <w:r>
        <w:fldChar w:fldCharType="separate"/>
      </w:r>
      <w:r>
        <w:t>- 19 -</w:t>
      </w:r>
      <w:r>
        <w:fldChar w:fldCharType="end"/>
      </w:r>
      <w:r>
        <w:fldChar w:fldCharType="end"/>
      </w:r>
    </w:p>
    <w:p>
      <w:pPr>
        <w:pStyle w:val="19"/>
        <w:tabs>
          <w:tab w:val="right" w:leader="dot" w:pos="8296"/>
          <w:tab w:val="right" w:leader="dot" w:pos="8306"/>
        </w:tabs>
        <w:spacing w:line="300" w:lineRule="exact"/>
        <w:ind w:leftChars="0" w:left="-16" w:firstLine="436"/>
      </w:pPr>
      <w:r>
        <w:rPr>
          <w:rFonts w:eastAsia="黑体" w:cs="仿宋_GB2312" w:hint="eastAsia"/>
          <w:bCs/>
          <w:szCs w:val="32"/>
        </w:rPr>
        <w:t>十二、国有资本经营预算财政拨款支出决算表</w:t>
      </w:r>
      <w:r>
        <w:fldChar w:fldCharType="begin"/>
      </w:r>
      <w:r>
        <w:instrText>HYPERLINK  \l "_Toc23788749"</w:instrText>
      </w:r>
      <w:r>
        <w:fldChar w:fldCharType="separate"/>
      </w:r>
      <w:r>
        <w:tab/>
      </w:r>
      <w:r>
        <w:fldChar w:fldCharType="begin"/>
      </w:r>
      <w:r>
        <w:instrText>PageRef _Toc23788749 \h</w:instrText>
      </w:r>
      <w:r>
        <w:fldChar w:fldCharType="separate"/>
      </w:r>
      <w:r>
        <w:t>- 19-</w:t>
      </w:r>
      <w:r>
        <w:fldChar w:fldCharType="end"/>
      </w:r>
      <w:r>
        <w:fldChar w:fldCharType="end"/>
      </w:r>
    </w:p>
    <w:p>
      <w:pPr>
        <w:rPr>
          <w:rFonts w:eastAsia="方正小标宋简体"/>
          <w:b w:val="0"/>
          <w:color w:val="auto"/>
          <w:highlight w:val="auto"/>
        </w:rPr>
      </w:pPr>
      <w:bookmarkStart w:id="8" w:name="_Toc23102360"/>
      <w:bookmarkStart w:id="9" w:name="_Toc23102382"/>
      <w:r>
        <w:rPr>
          <w:rFonts w:eastAsia="方正小标宋简体"/>
          <w:b w:val="0"/>
          <w:color w:val="auto"/>
          <w:highlight w:val="auto"/>
        </w:rPr>
        <w:br w:type="page"/>
      </w:r>
    </w:p>
    <w:p>
      <w:pPr>
        <w:pStyle w:val="1"/>
        <w:spacing w:line="576" w:lineRule="exact"/>
        <w:jc w:val="center"/>
        <w:rPr>
          <w:rStyle w:val="1Char"/>
          <w:rFonts w:eastAsia="方正小标宋简体"/>
          <w:b/>
          <w:bCs w:val="0"/>
          <w:color w:val="auto"/>
          <w:highlight w:val="auto"/>
        </w:rPr>
      </w:pPr>
      <w:r>
        <w:rPr>
          <w:rFonts w:eastAsia="方正小标宋简体"/>
          <w:b w:val="0"/>
          <w:color w:val="auto"/>
          <w:highlight w:val="auto"/>
        </w:rPr>
        <w:t>第一部分</w:t>
      </w:r>
      <w:r>
        <w:rPr>
          <w:rFonts w:eastAsia="方正小标宋简体"/>
          <w:b w:val="0"/>
          <w:color w:val="auto"/>
          <w:lang w:val="en-US" w:eastAsia="zh-CN"/>
          <w:highlight w:val="auto"/>
        </w:rPr>
        <w:t xml:space="preserve"> </w:t>
      </w:r>
      <w:r>
        <w:rPr>
          <w:rFonts w:eastAsia="方正小标宋简体"/>
          <w:b w:val="0"/>
          <w:color w:val="auto"/>
          <w:highlight w:val="auto"/>
        </w:rPr>
        <w:t xml:space="preserve"> </w:t>
      </w:r>
      <w:r>
        <w:rPr>
          <w:rStyle w:val="1Char"/>
          <w:rFonts w:eastAsia="方正小标宋简体"/>
          <w:b w:val="0"/>
          <w:bCs w:val="0"/>
          <w:color w:val="auto"/>
          <w:highlight w:val="auto"/>
        </w:rPr>
        <w:t>部门概况</w:t>
      </w:r>
      <w:bookmarkEnd w:id="6"/>
      <w:bookmarkEnd w:id="7"/>
      <w:bookmarkEnd w:id="8"/>
      <w:bookmarkEnd w:id="9"/>
    </w:p>
    <w:p>
      <w:pPr>
        <w:widowControl/>
        <w:spacing w:line="576" w:lineRule="exact"/>
        <w:jc w:val="left"/>
        <w:rPr>
          <w:rFonts w:eastAsia="黑体"/>
          <w:color w:val="auto"/>
          <w:sz w:val="32"/>
          <w:szCs w:val="32"/>
          <w:highlight w:val="auto"/>
        </w:rPr>
      </w:pPr>
    </w:p>
    <w:p>
      <w:pPr>
        <w:pStyle w:val="2"/>
        <w:numPr>
          <w:ilvl w:val="0"/>
          <w:numId w:val="1"/>
        </w:numPr>
        <w:spacing w:line="576" w:lineRule="exact"/>
        <w:rPr>
          <w:rFonts w:ascii="Times New Roman" w:eastAsia="黑体" w:hAnsi="Times New Roman"/>
          <w:b w:val="0"/>
          <w:color w:val="auto"/>
          <w:lang w:eastAsia="zh-CN"/>
          <w:highlight w:val="auto"/>
        </w:rPr>
      </w:pPr>
      <w:bookmarkStart w:id="10" w:name="_Toc15396600"/>
      <w:bookmarkStart w:id="11" w:name="_Toc15377197"/>
      <w:bookmarkStart w:id="12" w:name="_Toc23102361"/>
      <w:bookmarkStart w:id="13" w:name="_Toc23102383"/>
      <w:bookmarkEnd w:id="10"/>
      <w:bookmarkEnd w:id="11"/>
      <w:r>
        <w:rPr>
          <w:rFonts w:ascii="Times New Roman" w:eastAsia="黑体" w:hAnsi="Times New Roman"/>
          <w:b w:val="0"/>
          <w:color w:val="auto"/>
          <w:lang w:eastAsia="zh-CN"/>
          <w:highlight w:val="auto"/>
        </w:rPr>
        <w:t>部门职责</w:t>
      </w:r>
      <w:bookmarkEnd w:id="12"/>
      <w:bookmarkEnd w:id="13"/>
    </w:p>
    <w:p>
      <w:pPr>
        <w:pStyle w:val="32"/>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eastAsia="仿宋_GB2312"/>
          <w:bCs/>
          <w:sz w:val="32"/>
          <w:szCs w:val="32"/>
        </w:rPr>
      </w:pPr>
      <w:bookmarkStart w:id="14" w:name="_Toc23102362"/>
      <w:bookmarkStart w:id="15" w:name="_Toc23102384"/>
      <w:r>
        <w:rPr>
          <w:rFonts w:eastAsia="仿宋_GB2312"/>
          <w:bCs/>
          <w:sz w:val="32"/>
          <w:szCs w:val="32"/>
        </w:rPr>
        <w:t>内容涉密，不作表述。</w:t>
      </w:r>
      <w:bookmarkEnd w:id="14"/>
      <w:bookmarkEnd w:id="15"/>
    </w:p>
    <w:p>
      <w:pPr>
        <w:pStyle w:val="2"/>
        <w:spacing w:line="576" w:lineRule="exact"/>
        <w:rPr>
          <w:rStyle w:val="2Char"/>
          <w:rFonts w:ascii="Times New Roman" w:hAnsi="Times New Roman"/>
          <w:b w:val="0"/>
          <w:bCs w:val="0"/>
          <w:color w:val="auto"/>
          <w:highlight w:val="auto"/>
        </w:rPr>
      </w:pPr>
      <w:bookmarkStart w:id="16" w:name="_Toc23102385"/>
      <w:bookmarkStart w:id="17" w:name="_Toc15377200"/>
      <w:bookmarkStart w:id="18" w:name="_Toc23102363"/>
      <w:bookmarkStart w:id="19" w:name="_Toc15396601"/>
      <w:r>
        <w:rPr>
          <w:rFonts w:ascii="Times New Roman" w:eastAsia="黑体" w:hAnsi="Times New Roman"/>
          <w:b w:val="0"/>
          <w:color w:val="auto"/>
          <w:highlight w:val="auto"/>
        </w:rPr>
        <w:t>二、机</w:t>
      </w:r>
      <w:r>
        <w:rPr>
          <w:rStyle w:val="2Char"/>
          <w:rFonts w:ascii="Times New Roman" w:eastAsia="黑体" w:hAnsi="Times New Roman"/>
          <w:b w:val="0"/>
          <w:bCs w:val="0"/>
          <w:color w:val="auto"/>
          <w:highlight w:val="auto"/>
        </w:rPr>
        <w:t>构设置</w:t>
      </w:r>
      <w:bookmarkEnd w:id="16"/>
      <w:bookmarkEnd w:id="17"/>
      <w:bookmarkEnd w:id="18"/>
      <w:bookmarkEnd w:id="19"/>
    </w:p>
    <w:p>
      <w:pPr>
        <w:pStyle w:val="32"/>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eastAsia="仿宋_GB2312"/>
          <w:bCs/>
          <w:sz w:val="32"/>
          <w:szCs w:val="32"/>
          <w:highlight w:val="auto"/>
        </w:rPr>
      </w:pPr>
      <w:bookmarkStart w:id="20" w:name="_Toc15377432"/>
      <w:bookmarkStart w:id="21" w:name="_Toc31994324"/>
      <w:bookmarkStart w:id="22" w:name="_Toc15378448"/>
      <w:bookmarkStart w:id="23" w:name="_Toc15377201"/>
      <w:bookmarkStart w:id="24" w:name="_Toc15306275"/>
      <w:bookmarkStart w:id="25" w:name="_Toc23102364"/>
      <w:bookmarkStart w:id="26" w:name="_Toc23102386"/>
      <w:r>
        <w:rPr>
          <w:rFonts w:eastAsia="仿宋_GB2312"/>
          <w:bCs/>
          <w:sz w:val="32"/>
          <w:szCs w:val="32"/>
        </w:rPr>
        <w:t>内容涉密，不作表述。</w:t>
      </w:r>
      <w:bookmarkEnd w:id="20"/>
      <w:bookmarkEnd w:id="21"/>
      <w:bookmarkEnd w:id="22"/>
      <w:bookmarkEnd w:id="23"/>
      <w:bookmarkEnd w:id="24"/>
      <w:r>
        <w:rPr>
          <w:rFonts w:eastAsia="仿宋_GB2312"/>
          <w:bCs/>
          <w:sz w:val="32"/>
          <w:szCs w:val="32"/>
        </w:rPr>
        <w:t>项目支出涉密，不作表述。</w:t>
      </w:r>
      <w:bookmarkEnd w:id="25"/>
      <w:bookmarkEnd w:id="26"/>
    </w:p>
    <w:p>
      <w:pPr>
        <w:widowControl/>
        <w:spacing w:line="576" w:lineRule="exact"/>
        <w:jc w:val="left"/>
        <w:rPr>
          <w:rFonts w:eastAsia="仿宋"/>
          <w:color w:val="auto"/>
          <w:kern w:val="0"/>
          <w:sz w:val="32"/>
          <w:szCs w:val="32"/>
          <w:highlight w:val="auto"/>
        </w:rPr>
      </w:pPr>
      <w:r>
        <w:rPr>
          <w:rFonts w:eastAsia="仿宋"/>
          <w:color w:val="auto"/>
          <w:sz w:val="32"/>
          <w:szCs w:val="32"/>
          <w:highlight w:val="auto"/>
        </w:rPr>
        <w:br w:type="page"/>
      </w:r>
    </w:p>
    <w:p>
      <w:pPr>
        <w:pStyle w:val="1"/>
        <w:spacing w:line="576" w:lineRule="exact"/>
        <w:jc w:val="center"/>
        <w:rPr>
          <w:rFonts w:eastAsia="方正小标宋简体"/>
          <w:b w:val="0"/>
          <w:color w:val="auto"/>
          <w:highlight w:val="auto"/>
        </w:rPr>
      </w:pPr>
      <w:bookmarkStart w:id="27" w:name="_Toc23102387"/>
      <w:bookmarkStart w:id="28" w:name="_Toc15377204"/>
      <w:bookmarkStart w:id="29" w:name="_Toc15396602"/>
      <w:bookmarkStart w:id="30" w:name="_Toc23102365"/>
      <w:r>
        <w:rPr>
          <w:rFonts w:eastAsia="方正小标宋简体"/>
          <w:b w:val="0"/>
          <w:color w:val="auto"/>
          <w:highlight w:val="auto"/>
        </w:rPr>
        <w:t>第二部分</w:t>
      </w:r>
      <w:r>
        <w:rPr>
          <w:rFonts w:eastAsia="方正小标宋简体"/>
          <w:b w:val="0"/>
          <w:color w:val="auto"/>
          <w:lang w:val="en-US" w:eastAsia="zh-CN"/>
          <w:highlight w:val="auto"/>
        </w:rPr>
        <w:t xml:space="preserve"> </w:t>
      </w:r>
      <w:r>
        <w:rPr>
          <w:rFonts w:eastAsia="方正小标宋简体"/>
          <w:b w:val="0"/>
          <w:color w:val="auto"/>
          <w:highlight w:val="auto"/>
        </w:rPr>
        <w:t xml:space="preserve"> </w:t>
      </w:r>
      <w:r>
        <w:rPr>
          <w:rFonts w:eastAsia="方正小标宋简体"/>
          <w:b w:val="0"/>
          <w:color w:val="auto"/>
          <w:lang w:val="en-US" w:eastAsia="zh-CN"/>
        </w:rPr>
        <w:t>2025</w:t>
      </w:r>
      <w:r>
        <w:rPr>
          <w:rFonts w:eastAsia="方正小标宋简体"/>
          <w:b w:val="0"/>
          <w:color w:val="auto"/>
          <w:lang w:val="en-US" w:eastAsia="zh-CN"/>
          <w:highlight w:val="auto"/>
        </w:rPr>
        <w:t>年度</w:t>
      </w:r>
      <w:r>
        <w:rPr>
          <w:rFonts w:eastAsia="方正小标宋简体"/>
          <w:b w:val="0"/>
          <w:color w:val="auto"/>
          <w:highlight w:val="auto"/>
        </w:rPr>
        <w:t>部门决算情况说明</w:t>
      </w:r>
      <w:bookmarkEnd w:id="27"/>
      <w:bookmarkEnd w:id="28"/>
      <w:bookmarkEnd w:id="29"/>
      <w:bookmarkEnd w:id="30"/>
    </w:p>
    <w:p>
      <w:pPr>
        <w:spacing w:line="576" w:lineRule="exact"/>
        <w:rPr>
          <w:color w:val="auto"/>
          <w:highlight w:val="auto"/>
        </w:rPr>
      </w:pPr>
    </w:p>
    <w:p>
      <w:pPr>
        <w:pStyle w:val="32"/>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1"/>
        <w:rPr>
          <w:rStyle w:val="2Char"/>
          <w:rFonts w:ascii="Times New Roman" w:eastAsia="黑体" w:hAnsi="Times New Roman"/>
          <w:b w:val="0"/>
          <w:color w:val="auto"/>
          <w:highlight w:val="auto"/>
        </w:rPr>
      </w:pPr>
      <w:bookmarkStart w:id="31" w:name="_Toc15377205"/>
      <w:bookmarkStart w:id="32" w:name="_Toc23102366"/>
      <w:bookmarkStart w:id="33" w:name="_Toc15396603"/>
      <w:bookmarkStart w:id="34" w:name="_Toc23102388"/>
      <w:r>
        <w:rPr>
          <w:rFonts w:eastAsia="黑体"/>
          <w:color w:val="auto"/>
          <w:sz w:val="32"/>
          <w:szCs w:val="32"/>
          <w:lang w:eastAsia="zh-CN"/>
          <w:highlight w:val="auto"/>
        </w:rPr>
        <w:t>一、</w:t>
      </w:r>
      <w:r>
        <w:rPr>
          <w:rFonts w:eastAsia="黑体"/>
          <w:color w:val="auto"/>
          <w:sz w:val="32"/>
          <w:szCs w:val="32"/>
          <w:highlight w:val="auto"/>
        </w:rPr>
        <w:t>收</w:t>
      </w:r>
      <w:r>
        <w:rPr>
          <w:rStyle w:val="2Char"/>
          <w:rFonts w:ascii="Times New Roman" w:eastAsia="黑体" w:hAnsi="Times New Roman"/>
          <w:b w:val="0"/>
          <w:color w:val="auto"/>
          <w:highlight w:val="auto"/>
        </w:rPr>
        <w:t>入支出决算总体情况说明</w:t>
      </w:r>
      <w:bookmarkEnd w:id="31"/>
      <w:bookmarkEnd w:id="32"/>
      <w:bookmarkEnd w:id="33"/>
      <w:bookmarkEnd w:id="34"/>
    </w:p>
    <w:p>
      <w:pPr>
        <w:pStyle w:val="32"/>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1"/>
        <w:rPr>
          <w:rFonts w:eastAsia="仿宋_GB2312"/>
          <w:color w:val="auto"/>
          <w:sz w:val="32"/>
          <w:szCs w:val="32"/>
          <w:lang w:eastAsia="zh-CN"/>
          <w:highlight w:val="auto"/>
        </w:rPr>
      </w:pPr>
      <w:bookmarkStart w:id="35" w:name="_Toc31994327"/>
      <w:bookmarkStart w:id="36" w:name="_Toc23102389"/>
      <w:bookmarkStart w:id="37" w:name="_Toc23102367"/>
      <w:r>
        <w:rPr>
          <w:rFonts w:eastAsia="仿宋_GB2312"/>
          <w:color w:val="auto"/>
          <w:sz w:val="32"/>
          <w:szCs w:val="32"/>
          <w:lang w:eastAsia="zh-CN"/>
        </w:rPr>
        <w:t>2025</w:t>
      </w:r>
      <w:r>
        <w:rPr>
          <w:rFonts w:eastAsia="仿宋_GB2312"/>
          <w:color w:val="auto"/>
          <w:sz w:val="32"/>
          <w:szCs w:val="32"/>
          <w:lang w:eastAsia="zh-CN"/>
          <w:highlight w:val="auto"/>
        </w:rPr>
        <w:t>年度收入</w:t>
      </w:r>
      <w:r>
        <w:rPr>
          <w:rFonts w:eastAsia="仿宋_GB2312"/>
          <w:color w:val="auto"/>
          <w:sz w:val="32"/>
          <w:szCs w:val="32"/>
          <w:highlight w:val="auto"/>
        </w:rPr>
        <w:t>、</w:t>
      </w:r>
      <w:r>
        <w:rPr>
          <w:rFonts w:eastAsia="仿宋_GB2312"/>
          <w:color w:val="auto"/>
          <w:sz w:val="32"/>
          <w:szCs w:val="32"/>
          <w:lang w:eastAsia="zh-CN"/>
          <w:highlight w:val="auto"/>
        </w:rPr>
        <w:t>支出</w:t>
      </w:r>
      <w:r>
        <w:rPr>
          <w:rFonts w:eastAsia="仿宋_GB2312"/>
          <w:color w:val="auto"/>
          <w:sz w:val="32"/>
          <w:szCs w:val="32"/>
          <w:highlight w:val="auto"/>
        </w:rPr>
        <w:t>总计</w:t>
      </w:r>
      <w:r>
        <w:rPr>
          <w:rFonts w:eastAsia="仿宋_GB2312"/>
          <w:color w:val="auto"/>
          <w:sz w:val="32"/>
          <w:szCs w:val="32"/>
          <w:lang w:eastAsia="zh-CN"/>
          <w:highlight w:val="auto"/>
        </w:rPr>
        <w:t>均为</w:t>
      </w:r>
      <w:r>
        <w:rPr>
          <w:rFonts w:eastAsia="仿宋_GB2312"/>
          <w:sz w:val="32"/>
          <w:szCs w:val="32"/>
        </w:rPr>
        <w:t>495.03</w:t>
      </w:r>
      <w:r>
        <w:rPr>
          <w:rFonts w:eastAsia="仿宋_GB2312"/>
          <w:color w:val="auto"/>
          <w:sz w:val="32"/>
          <w:szCs w:val="32"/>
          <w:highlight w:val="auto"/>
        </w:rPr>
        <w:t>万元。与</w:t>
      </w:r>
      <w:r>
        <w:rPr>
          <w:rFonts w:eastAsia="仿宋_GB2312"/>
          <w:color w:val="auto"/>
          <w:sz w:val="32"/>
          <w:szCs w:val="32"/>
          <w:lang w:eastAsia="zh-CN"/>
        </w:rPr>
        <w:t>2024</w:t>
      </w:r>
      <w:r>
        <w:rPr>
          <w:rFonts w:eastAsia="仿宋_GB2312"/>
          <w:color w:val="auto"/>
          <w:sz w:val="32"/>
          <w:szCs w:val="32"/>
          <w:highlight w:val="auto"/>
        </w:rPr>
        <w:t>年</w:t>
      </w:r>
      <w:r>
        <w:rPr>
          <w:rFonts w:eastAsia="仿宋_GB2312"/>
          <w:color w:val="auto"/>
          <w:sz w:val="32"/>
          <w:szCs w:val="32"/>
          <w:lang w:eastAsia="zh-CN"/>
          <w:highlight w:val="auto"/>
        </w:rPr>
        <w:t>度</w:t>
      </w:r>
      <w:r>
        <w:rPr>
          <w:rFonts w:eastAsia="仿宋_GB2312"/>
          <w:color w:val="auto"/>
          <w:sz w:val="32"/>
          <w:szCs w:val="32"/>
          <w:highlight w:val="auto"/>
        </w:rPr>
        <w:t>相比，</w:t>
      </w:r>
      <w:r>
        <w:rPr>
          <w:rFonts w:eastAsia="仿宋_GB2312"/>
          <w:color w:val="auto"/>
          <w:sz w:val="32"/>
          <w:szCs w:val="32"/>
          <w:lang w:eastAsia="zh-CN"/>
          <w:highlight w:val="auto"/>
        </w:rPr>
        <w:t>收入</w:t>
      </w:r>
      <w:r>
        <w:rPr>
          <w:rFonts w:eastAsia="仿宋_GB2312"/>
          <w:color w:val="auto"/>
          <w:sz w:val="32"/>
          <w:szCs w:val="32"/>
          <w:highlight w:val="auto"/>
        </w:rPr>
        <w:t>、</w:t>
      </w:r>
      <w:r>
        <w:rPr>
          <w:rFonts w:eastAsia="仿宋_GB2312"/>
          <w:color w:val="auto"/>
          <w:sz w:val="32"/>
          <w:szCs w:val="32"/>
          <w:lang w:eastAsia="zh-CN"/>
          <w:highlight w:val="auto"/>
        </w:rPr>
        <w:t>支出</w:t>
      </w:r>
      <w:r>
        <w:rPr>
          <w:rFonts w:eastAsia="仿宋_GB2312"/>
          <w:color w:val="auto"/>
          <w:sz w:val="32"/>
          <w:szCs w:val="32"/>
          <w:highlight w:val="auto"/>
        </w:rPr>
        <w:t>总计各增加26万元，增长5.55%。主要变动原因是</w:t>
      </w:r>
      <w:r>
        <w:rPr>
          <w:rFonts w:eastAsia="仿宋_GB2312"/>
          <w:color w:val="auto"/>
          <w:sz w:val="32"/>
          <w:szCs w:val="32"/>
        </w:rPr>
        <w:t>2025</w:t>
      </w:r>
      <w:r>
        <w:rPr>
          <w:rFonts w:eastAsia="仿宋_GB2312"/>
          <w:color w:val="auto"/>
          <w:sz w:val="32"/>
          <w:szCs w:val="32"/>
          <w:highlight w:val="auto"/>
        </w:rPr>
        <w:t>年度人员增加及职务职级变动。</w:t>
      </w:r>
      <w:bookmarkEnd w:id="35"/>
      <w:bookmarkEnd w:id="36"/>
      <w:bookmarkEnd w:id="37"/>
    </w:p>
    <w:p>
      <w:pPr>
        <w:keepNext w:val="0"/>
        <w:keepLines w:val="0"/>
        <w:pageBreakBefore w:val="0"/>
        <w:widowControl w:val="0"/>
        <w:kinsoku/>
        <w:wordWrap/>
        <w:overflowPunct/>
        <w:topLinePunct w:val="0"/>
        <w:autoSpaceDE/>
        <w:autoSpaceDN/>
        <w:adjustRightInd/>
        <w:snapToGrid/>
        <w:spacing w:line="576" w:lineRule="exact"/>
        <w:ind w:firstLineChars="200" w:firstLine="420"/>
        <w:jc w:val="center"/>
      </w:pPr>
      <w:r>
        <w:drawing>
          <wp:anchor distT="0" distB="0" distL="85088" distR="85088" simplePos="0" relativeHeight="18" behindDoc="0" locked="0" layoutInCell="1" hidden="0" allowOverlap="1">
            <wp:simplePos x="0" y="0"/>
            <wp:positionH relativeFrom="column">
              <wp:posOffset>536535</wp:posOffset>
            </wp:positionH>
            <wp:positionV relativeFrom="paragraph">
              <wp:posOffset>79342</wp:posOffset>
            </wp:positionV>
            <wp:extent cx="4124323" cy="1809750"/>
            <wp:effectExtent l="0" t="0" r="0" b="0"/>
            <wp:wrapNone/>
            <wp:docPr id="1" name="对象"/>
            <wp:cNvGraphicFramePr>
              <a:graphicFrameLocks noChangeAspect="1"/>
            </wp:cNvGraphicFramePr>
            <a:graphic>
              <a:graphicData uri="http://schemas.openxmlformats.org/drawingml/2006/chart">
                <c:chart xmlns:c="http://schemas.openxmlformats.org/drawingml/2006/chart" r:id="rId4"/>
              </a:graphicData>
            </a:graphic>
          </wp:anchor>
        </w:drawing>
      </w:r>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jc w:val="center"/>
        <w:textAlignment w:val="auto"/>
        <w:rPr>
          <w:rFonts w:eastAsia="仿宋_GB2312"/>
          <w:color w:val="auto"/>
          <w:sz w:val="32"/>
          <w:szCs w:val="32"/>
          <w:highlight w:val="auto"/>
        </w:rPr>
      </w:pPr>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jc w:val="center"/>
        <w:textAlignment w:val="auto"/>
        <w:rPr>
          <w:rFonts w:eastAsia="仿宋_GB2312"/>
          <w:color w:val="auto"/>
          <w:sz w:val="32"/>
          <w:szCs w:val="32"/>
          <w:highlight w:val="auto"/>
        </w:rPr>
      </w:pPr>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jc w:val="center"/>
        <w:textAlignment w:val="auto"/>
        <w:rPr>
          <w:rFonts w:eastAsia="仿宋_GB2312"/>
          <w:color w:val="auto"/>
          <w:sz w:val="32"/>
          <w:szCs w:val="32"/>
          <w:highlight w:val="auto"/>
        </w:rPr>
      </w:pPr>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jc w:val="center"/>
        <w:textAlignment w:val="auto"/>
        <w:rPr>
          <w:rFonts w:eastAsia="仿宋_GB2312"/>
          <w:color w:val="auto"/>
          <w:sz w:val="32"/>
          <w:szCs w:val="32"/>
          <w:highlight w:val="auto"/>
        </w:rPr>
      </w:pPr>
    </w:p>
    <w:p>
      <w:pPr>
        <w:keepNext w:val="0"/>
        <w:keepLines w:val="0"/>
        <w:pageBreakBefore w:val="0"/>
        <w:widowControl w:val="0"/>
        <w:kinsoku/>
        <w:wordWrap/>
        <w:overflowPunct/>
        <w:topLinePunct w:val="0"/>
        <w:autoSpaceDE/>
        <w:autoSpaceDN/>
        <w:adjustRightInd/>
        <w:snapToGrid/>
        <w:spacing w:line="576" w:lineRule="exact"/>
        <w:ind w:firstLineChars="200" w:firstLine="640"/>
        <w:jc w:val="center"/>
        <w:rPr>
          <w:rFonts w:eastAsia="仿宋_GB2312"/>
          <w:color w:val="auto"/>
          <w:sz w:val="32"/>
          <w:szCs w:val="32"/>
          <w:highlight w:val="auto"/>
        </w:rPr>
      </w:pPr>
      <w:r>
        <w:rPr>
          <w:rFonts w:eastAsia="仿宋_GB2312"/>
          <w:color w:val="auto"/>
          <w:sz w:val="32"/>
          <w:szCs w:val="32"/>
          <w:highlight w:val="auto"/>
        </w:rPr>
        <w:t>（图1：</w:t>
      </w:r>
      <w:r>
        <w:rPr>
          <w:rFonts w:eastAsia="仿宋_GB2312"/>
          <w:color w:val="auto"/>
          <w:sz w:val="32"/>
          <w:szCs w:val="32"/>
          <w:lang w:eastAsia="zh-CN"/>
          <w:highlight w:val="auto"/>
        </w:rPr>
        <w:t>收入</w:t>
      </w:r>
      <w:r>
        <w:rPr>
          <w:rFonts w:eastAsia="仿宋_GB2312"/>
          <w:color w:val="auto"/>
          <w:sz w:val="32"/>
          <w:szCs w:val="32"/>
          <w:highlight w:val="auto"/>
        </w:rPr>
        <w:t>、</w:t>
      </w:r>
      <w:r>
        <w:rPr>
          <w:rFonts w:eastAsia="仿宋_GB2312"/>
          <w:color w:val="auto"/>
          <w:sz w:val="32"/>
          <w:szCs w:val="32"/>
          <w:lang w:eastAsia="zh-CN"/>
          <w:highlight w:val="auto"/>
        </w:rPr>
        <w:t>支出</w:t>
      </w:r>
      <w:r>
        <w:rPr>
          <w:rFonts w:eastAsia="仿宋_GB2312"/>
          <w:color w:val="auto"/>
          <w:sz w:val="32"/>
          <w:szCs w:val="32"/>
          <w:highlight w:val="auto"/>
        </w:rPr>
        <w:t>决算总计变动情况图）</w:t>
      </w:r>
    </w:p>
    <w:p>
      <w:pPr>
        <w:pStyle w:val="32"/>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1"/>
        <w:rPr>
          <w:rFonts w:eastAsia="黑体"/>
          <w:color w:val="auto"/>
          <w:sz w:val="32"/>
          <w:szCs w:val="32"/>
          <w:lang w:eastAsia="zh-CN"/>
          <w:highlight w:val="auto"/>
        </w:rPr>
      </w:pPr>
      <w:bookmarkStart w:id="38" w:name="_Toc23102390"/>
      <w:bookmarkStart w:id="39" w:name="_Toc15396604"/>
      <w:bookmarkStart w:id="40" w:name="_Toc23102368"/>
      <w:bookmarkStart w:id="41" w:name="_Toc15377206"/>
      <w:r>
        <w:rPr>
          <w:rFonts w:eastAsia="黑体"/>
          <w:color w:val="auto"/>
          <w:sz w:val="32"/>
          <w:szCs w:val="32"/>
          <w:lang w:eastAsia="zh-CN"/>
          <w:highlight w:val="auto"/>
        </w:rPr>
        <w:t>二、收入决算情况说明</w:t>
      </w:r>
      <w:bookmarkEnd w:id="38"/>
      <w:bookmarkEnd w:id="39"/>
      <w:bookmarkEnd w:id="40"/>
      <w:bookmarkEnd w:id="41"/>
    </w:p>
    <w:p>
      <w:pPr>
        <w:pStyle w:val="32"/>
        <w:keepNext w:val="0"/>
        <w:keepLines w:val="0"/>
        <w:pageBreakBefore w:val="0"/>
        <w:widowControl w:val="0"/>
        <w:kinsoku/>
        <w:wordWrap/>
        <w:overflowPunct/>
        <w:topLinePunct w:val="0"/>
        <w:autoSpaceDE/>
        <w:autoSpaceDN/>
        <w:bidi w:val="0"/>
        <w:adjustRightInd/>
        <w:snapToGrid/>
        <w:spacing w:line="576" w:lineRule="exact"/>
        <w:ind w:left="0" w:firstLineChars="200" w:firstLine="640"/>
        <w:jc w:val="left"/>
        <w:textAlignment w:val="auto"/>
        <w:outlineLvl w:val="1"/>
        <w:rPr>
          <w:rFonts w:eastAsia="仿宋_GB2312"/>
          <w:color w:val="auto"/>
          <w:sz w:val="32"/>
          <w:szCs w:val="32"/>
          <w:lang w:eastAsia="zh-CN"/>
          <w:highlight w:val="auto"/>
        </w:rPr>
      </w:pPr>
      <w:bookmarkStart w:id="42" w:name="_Toc31994329"/>
      <w:bookmarkStart w:id="43" w:name="_Toc23102391"/>
      <w:bookmarkStart w:id="44" w:name="_Toc23102369"/>
      <w:r>
        <w:rPr>
          <w:rFonts w:eastAsia="仿宋_GB2312"/>
          <w:color w:val="auto"/>
          <w:sz w:val="32"/>
          <w:szCs w:val="32"/>
          <w:lang w:eastAsia="zh-CN"/>
        </w:rPr>
        <w:t>2025</w:t>
      </w:r>
      <w:r>
        <w:rPr>
          <w:rFonts w:eastAsia="仿宋_GB2312"/>
          <w:color w:val="auto"/>
          <w:sz w:val="32"/>
          <w:szCs w:val="32"/>
          <w:lang w:eastAsia="zh-CN"/>
          <w:highlight w:val="auto"/>
        </w:rPr>
        <w:t>年度收入合计</w:t>
      </w:r>
      <w:r>
        <w:rPr>
          <w:rFonts w:eastAsia="仿宋_GB2312"/>
          <w:sz w:val="32"/>
          <w:szCs w:val="32"/>
        </w:rPr>
        <w:t>495.03万元，其中：一般公共预算财政拨款收入495.03</w:t>
      </w:r>
      <w:r>
        <w:rPr>
          <w:rFonts w:eastAsia="仿宋_GB2312"/>
          <w:color w:val="auto"/>
          <w:sz w:val="32"/>
          <w:szCs w:val="32"/>
          <w:lang w:eastAsia="zh-CN"/>
          <w:highlight w:val="auto"/>
        </w:rPr>
        <w:t>万元，占</w:t>
      </w:r>
      <w:r>
        <w:rPr>
          <w:rFonts w:eastAsia="仿宋_GB2312"/>
          <w:sz w:val="32"/>
          <w:szCs w:val="32"/>
        </w:rPr>
        <w:t>100</w:t>
      </w:r>
      <w:r>
        <w:rPr>
          <w:rFonts w:eastAsia="仿宋_GB2312"/>
          <w:color w:val="auto"/>
          <w:sz w:val="32"/>
          <w:szCs w:val="32"/>
          <w:lang w:eastAsia="zh-CN"/>
          <w:highlight w:val="auto"/>
        </w:rPr>
        <w:t>%。</w:t>
      </w:r>
      <w:bookmarkEnd w:id="42"/>
      <w:bookmarkEnd w:id="43"/>
      <w:bookmarkEnd w:id="44"/>
    </w:p>
    <w:p>
      <w:pPr>
        <w:pStyle w:val="32"/>
        <w:keepNext w:val="0"/>
        <w:keepLines w:val="0"/>
        <w:pageBreakBefore w:val="0"/>
        <w:widowControl w:val="0"/>
        <w:kinsoku/>
        <w:wordWrap/>
        <w:overflowPunct/>
        <w:topLinePunct w:val="0"/>
        <w:autoSpaceDE/>
        <w:autoSpaceDN/>
        <w:adjustRightInd/>
        <w:snapToGrid/>
        <w:spacing w:line="576" w:lineRule="exact"/>
        <w:ind w:firstLineChars="200" w:firstLine="420"/>
        <w:jc w:val="center"/>
        <w:outlineLvl w:val="1"/>
      </w:pPr>
      <w:r>
        <w:drawing>
          <wp:anchor distT="0" distB="0" distL="85088" distR="85088" simplePos="0" relativeHeight="20" behindDoc="0" locked="0" layoutInCell="1" hidden="0" allowOverlap="1">
            <wp:simplePos x="0" y="0"/>
            <wp:positionH relativeFrom="column">
              <wp:posOffset>688931</wp:posOffset>
            </wp:positionH>
            <wp:positionV relativeFrom="paragraph">
              <wp:posOffset>22193</wp:posOffset>
            </wp:positionV>
            <wp:extent cx="4124322" cy="1809750"/>
            <wp:effectExtent l="0" t="0" r="0" b="0"/>
            <wp:wrapNone/>
            <wp:docPr id="2" name="对象"/>
            <wp:cNvGraphicFramePr>
              <a:graphicFrameLocks noChangeAspect="1"/>
            </wp:cNvGraphicFramePr>
            <a:graphic>
              <a:graphicData uri="http://schemas.openxmlformats.org/drawingml/2006/chart">
                <c:chart xmlns:c="http://schemas.openxmlformats.org/drawingml/2006/chart" r:id="rId5"/>
              </a:graphicData>
            </a:graphic>
          </wp:anchor>
        </w:drawing>
      </w:r>
    </w:p>
    <w:p>
      <w:pPr>
        <w:spacing w:line="576" w:lineRule="exact"/>
        <w:ind w:firstLineChars="250" w:firstLine="800"/>
        <w:jc w:val="center"/>
        <w:rPr>
          <w:rFonts w:eastAsia="仿宋_GB2312"/>
          <w:color w:val="auto"/>
          <w:sz w:val="32"/>
          <w:szCs w:val="32"/>
          <w:lang w:eastAsia="zh-CN"/>
          <w:highlight w:val="auto"/>
        </w:rPr>
      </w:pPr>
    </w:p>
    <w:p>
      <w:pPr>
        <w:spacing w:line="576" w:lineRule="exact"/>
        <w:ind w:firstLineChars="250" w:firstLine="800"/>
        <w:jc w:val="center"/>
        <w:rPr>
          <w:rFonts w:eastAsia="仿宋_GB2312"/>
          <w:color w:val="auto"/>
          <w:sz w:val="32"/>
          <w:szCs w:val="32"/>
          <w:lang w:eastAsia="zh-CN"/>
          <w:highlight w:val="auto"/>
        </w:rPr>
      </w:pPr>
    </w:p>
    <w:p>
      <w:pPr>
        <w:spacing w:line="576" w:lineRule="exact"/>
        <w:ind w:firstLineChars="250" w:firstLine="800"/>
        <w:jc w:val="center"/>
        <w:rPr>
          <w:rFonts w:eastAsia="仿宋_GB2312"/>
          <w:color w:val="auto"/>
          <w:sz w:val="32"/>
          <w:szCs w:val="32"/>
          <w:lang w:eastAsia="zh-CN"/>
          <w:highlight w:val="auto"/>
        </w:rPr>
      </w:pPr>
    </w:p>
    <w:p>
      <w:pPr>
        <w:spacing w:line="576" w:lineRule="exact"/>
        <w:ind w:firstLineChars="250" w:firstLine="800"/>
        <w:jc w:val="center"/>
        <w:rPr>
          <w:rFonts w:eastAsia="仿宋_GB2312"/>
          <w:color w:val="auto"/>
          <w:sz w:val="32"/>
          <w:szCs w:val="32"/>
          <w:lang w:eastAsia="zh-CN"/>
          <w:highlight w:val="auto"/>
        </w:rPr>
      </w:pPr>
    </w:p>
    <w:p>
      <w:pPr>
        <w:spacing w:line="576" w:lineRule="exact"/>
        <w:ind w:firstLineChars="250" w:firstLine="800"/>
        <w:jc w:val="center"/>
        <w:rPr>
          <w:rFonts w:eastAsia="仿宋_GB2312"/>
          <w:color w:val="auto"/>
          <w:sz w:val="32"/>
          <w:szCs w:val="32"/>
          <w:lang w:eastAsia="zh-CN"/>
          <w:highlight w:val="auto"/>
        </w:rPr>
      </w:pPr>
      <w:r>
        <w:rPr>
          <w:rFonts w:eastAsia="仿宋_GB2312"/>
          <w:color w:val="auto"/>
          <w:sz w:val="32"/>
          <w:szCs w:val="32"/>
          <w:lang w:eastAsia="zh-CN"/>
          <w:highlight w:val="auto"/>
        </w:rPr>
        <w:t>（图2：收入决算结构图）</w:t>
      </w:r>
    </w:p>
    <w:p>
      <w:pPr>
        <w:pStyle w:val="32"/>
        <w:keepNext w:val="0"/>
        <w:keepLines w:val="0"/>
        <w:pageBreakBefore w:val="0"/>
        <w:widowControl w:val="0"/>
        <w:kinsoku/>
        <w:wordWrap/>
        <w:overflowPunct/>
        <w:topLinePunct w:val="0"/>
        <w:autoSpaceDE/>
        <w:autoSpaceDN/>
        <w:bidi w:val="0"/>
        <w:adjustRightInd/>
        <w:snapToGrid/>
        <w:spacing w:line="576" w:lineRule="exact"/>
        <w:ind w:left="0" w:firstLineChars="200" w:firstLine="640"/>
        <w:textAlignment w:val="auto"/>
        <w:outlineLvl w:val="1"/>
        <w:rPr>
          <w:rStyle w:val="2Char"/>
          <w:rFonts w:ascii="Times New Roman" w:eastAsia="黑体" w:hAnsi="Times New Roman"/>
          <w:b w:val="0"/>
          <w:color w:val="auto"/>
          <w:highlight w:val="auto"/>
        </w:rPr>
      </w:pPr>
      <w:bookmarkStart w:id="45" w:name="_Toc15396605"/>
      <w:bookmarkStart w:id="46" w:name="_Toc15377207"/>
      <w:bookmarkStart w:id="47" w:name="_Toc23102370"/>
      <w:bookmarkStart w:id="48" w:name="_Toc23102392"/>
      <w:r>
        <w:rPr>
          <w:rFonts w:eastAsia="黑体"/>
          <w:color w:val="auto"/>
          <w:sz w:val="32"/>
          <w:szCs w:val="32"/>
          <w:lang w:eastAsia="zh-CN"/>
          <w:highlight w:val="auto"/>
        </w:rPr>
        <w:t>三、</w:t>
      </w:r>
      <w:r>
        <w:rPr>
          <w:rFonts w:eastAsia="黑体"/>
          <w:color w:val="auto"/>
          <w:sz w:val="32"/>
          <w:szCs w:val="32"/>
          <w:highlight w:val="auto"/>
        </w:rPr>
        <w:t>支</w:t>
      </w:r>
      <w:r>
        <w:rPr>
          <w:rStyle w:val="2Char"/>
          <w:rFonts w:ascii="Times New Roman" w:eastAsia="黑体" w:hAnsi="Times New Roman"/>
          <w:b w:val="0"/>
          <w:color w:val="auto"/>
          <w:highlight w:val="auto"/>
        </w:rPr>
        <w:t>出决算情况说明</w:t>
      </w:r>
      <w:bookmarkEnd w:id="45"/>
      <w:bookmarkEnd w:id="46"/>
      <w:bookmarkEnd w:id="47"/>
      <w:bookmarkEnd w:id="48"/>
    </w:p>
    <w:p>
      <w:pPr>
        <w:pStyle w:val="32"/>
        <w:keepNext w:val="0"/>
        <w:keepLines w:val="0"/>
        <w:pageBreakBefore w:val="0"/>
        <w:widowControl w:val="0"/>
        <w:kinsoku/>
        <w:wordWrap/>
        <w:overflowPunct/>
        <w:topLinePunct w:val="0"/>
        <w:autoSpaceDE/>
        <w:autoSpaceDN/>
        <w:bidi w:val="0"/>
        <w:adjustRightInd/>
        <w:snapToGrid/>
        <w:spacing w:line="480" w:lineRule="auto"/>
        <w:ind w:left="0" w:firstLineChars="200" w:firstLine="640"/>
        <w:jc w:val="left"/>
        <w:textAlignment w:val="auto"/>
        <w:outlineLvl w:val="1"/>
        <w:rPr>
          <w:rFonts w:eastAsia="仿宋_GB2312"/>
          <w:color w:val="auto"/>
          <w:sz w:val="32"/>
          <w:szCs w:val="32"/>
          <w:lang w:eastAsia="zh-CN"/>
          <w:highlight w:val="auto"/>
        </w:rPr>
      </w:pPr>
      <w:bookmarkStart w:id="49" w:name="_Toc23102371"/>
      <w:bookmarkStart w:id="50" w:name="_Toc31994331"/>
      <w:bookmarkStart w:id="51" w:name="_Toc23102393"/>
      <w:r>
        <w:rPr>
          <w:rFonts w:eastAsia="仿宋_GB2312"/>
          <w:color w:val="auto"/>
          <w:sz w:val="32"/>
          <w:szCs w:val="32"/>
          <w:lang w:eastAsia="zh-CN"/>
        </w:rPr>
        <w:t>2025</w:t>
      </w:r>
      <w:r>
        <w:rPr>
          <w:rFonts w:eastAsia="仿宋_GB2312"/>
          <w:color w:val="auto"/>
          <w:sz w:val="32"/>
          <w:szCs w:val="32"/>
          <w:lang w:eastAsia="zh-CN"/>
          <w:highlight w:val="auto"/>
        </w:rPr>
        <w:t>年度 支出合计</w:t>
      </w:r>
      <w:r>
        <w:rPr>
          <w:rFonts w:eastAsia="仿宋_GB2312"/>
          <w:sz w:val="32"/>
          <w:szCs w:val="32"/>
        </w:rPr>
        <w:t>495.03</w:t>
      </w:r>
      <w:r>
        <w:rPr>
          <w:rFonts w:eastAsia="仿宋_GB2312"/>
          <w:color w:val="auto"/>
          <w:sz w:val="32"/>
          <w:szCs w:val="32"/>
          <w:lang w:eastAsia="zh-CN"/>
          <w:highlight w:val="auto"/>
        </w:rPr>
        <w:t>万元，其中：基本支出</w:t>
      </w:r>
      <w:r>
        <w:rPr>
          <w:rFonts w:eastAsia="仿宋_GB2312"/>
          <w:sz w:val="32"/>
          <w:szCs w:val="32"/>
        </w:rPr>
        <w:t>296.57</w:t>
      </w:r>
      <w:r>
        <w:rPr>
          <w:rFonts w:eastAsia="仿宋_GB2312"/>
          <w:color w:val="auto"/>
          <w:sz w:val="32"/>
          <w:szCs w:val="32"/>
          <w:lang w:eastAsia="zh-CN"/>
          <w:highlight w:val="auto"/>
        </w:rPr>
        <w:t>万元，占</w:t>
      </w:r>
      <w:r>
        <w:rPr>
          <w:rFonts w:eastAsia="仿宋_GB2312"/>
          <w:sz w:val="32"/>
          <w:szCs w:val="32"/>
        </w:rPr>
        <w:t>59.91</w:t>
      </w:r>
      <w:r>
        <w:rPr>
          <w:rFonts w:eastAsia="仿宋_GB2312"/>
          <w:color w:val="auto"/>
          <w:sz w:val="32"/>
          <w:szCs w:val="32"/>
          <w:lang w:eastAsia="zh-CN"/>
          <w:highlight w:val="auto"/>
        </w:rPr>
        <w:t>%</w:t>
      </w:r>
      <w:bookmarkEnd w:id="49"/>
      <w:bookmarkEnd w:id="50"/>
      <w:bookmarkEnd w:id="51"/>
      <w:r>
        <w:rPr>
          <w:rFonts w:eastAsia="仿宋_GB2312"/>
          <w:color w:val="auto"/>
          <w:sz w:val="32"/>
          <w:szCs w:val="32"/>
          <w:lang w:eastAsia="zh-CN"/>
          <w:highlight w:val="auto"/>
        </w:rPr>
        <w:t>，项目支出198.46万元，占40.09%。</w:t>
      </w:r>
    </w:p>
    <w:p>
      <w:pPr>
        <w:pStyle w:val="32"/>
        <w:keepNext w:val="0"/>
        <w:keepLines w:val="0"/>
        <w:pageBreakBefore w:val="0"/>
        <w:widowControl w:val="0"/>
        <w:kinsoku/>
        <w:wordWrap/>
        <w:overflowPunct/>
        <w:topLinePunct w:val="0"/>
        <w:autoSpaceDE/>
        <w:autoSpaceDN/>
        <w:adjustRightInd/>
        <w:snapToGrid/>
        <w:spacing w:line="576" w:lineRule="exact"/>
        <w:ind w:firstLineChars="200" w:firstLine="420"/>
        <w:jc w:val="center"/>
        <w:outlineLvl w:val="1"/>
      </w:pPr>
      <w:r>
        <w:drawing>
          <wp:anchor distT="0" distB="0" distL="85088" distR="85088" simplePos="0" relativeHeight="30" behindDoc="0" locked="0" layoutInCell="1" hidden="0" allowOverlap="1">
            <wp:simplePos x="0" y="0"/>
            <wp:positionH relativeFrom="column">
              <wp:posOffset>606352</wp:posOffset>
            </wp:positionH>
            <wp:positionV relativeFrom="paragraph">
              <wp:posOffset>29812</wp:posOffset>
            </wp:positionV>
            <wp:extent cx="4124323" cy="1809750"/>
            <wp:effectExtent l="0" t="0" r="0" b="0"/>
            <wp:wrapNone/>
            <wp:docPr id="3" name="对象"/>
            <wp:cNvGraphicFramePr>
              <a:graphicFrameLocks noChangeAspect="1"/>
            </wp:cNvGraphicFramePr>
            <a:graphic>
              <a:graphicData uri="http://schemas.openxmlformats.org/drawingml/2006/chart">
                <c:chart xmlns:c="http://schemas.openxmlformats.org/drawingml/2006/chart" r:id="rId6"/>
              </a:graphicData>
            </a:graphic>
          </wp:anchor>
        </w:drawing>
      </w:r>
    </w:p>
    <w:p>
      <w:pPr>
        <w:spacing w:line="576" w:lineRule="exact"/>
        <w:ind w:firstLineChars="250" w:firstLine="800"/>
        <w:jc w:val="center"/>
        <w:rPr>
          <w:rFonts w:eastAsia="仿宋_GB2312"/>
          <w:color w:val="auto"/>
          <w:sz w:val="32"/>
          <w:szCs w:val="32"/>
          <w:lang w:eastAsia="zh-CN"/>
          <w:highlight w:val="auto"/>
        </w:rPr>
      </w:pPr>
    </w:p>
    <w:p>
      <w:pPr>
        <w:spacing w:line="576" w:lineRule="exact"/>
        <w:ind w:firstLineChars="250" w:firstLine="800"/>
        <w:jc w:val="center"/>
        <w:rPr>
          <w:rFonts w:eastAsia="仿宋_GB2312"/>
          <w:color w:val="auto"/>
          <w:sz w:val="32"/>
          <w:szCs w:val="32"/>
          <w:lang w:eastAsia="zh-CN"/>
          <w:highlight w:val="auto"/>
        </w:rPr>
      </w:pPr>
    </w:p>
    <w:p>
      <w:pPr>
        <w:spacing w:line="576" w:lineRule="exact"/>
        <w:ind w:firstLineChars="250" w:firstLine="800"/>
        <w:jc w:val="center"/>
        <w:rPr>
          <w:rFonts w:eastAsia="仿宋_GB2312"/>
          <w:color w:val="auto"/>
          <w:sz w:val="32"/>
          <w:szCs w:val="32"/>
          <w:lang w:eastAsia="zh-CN"/>
          <w:highlight w:val="auto"/>
        </w:rPr>
      </w:pPr>
    </w:p>
    <w:p>
      <w:pPr>
        <w:spacing w:line="576" w:lineRule="exact"/>
        <w:ind w:firstLineChars="250" w:firstLine="800"/>
        <w:jc w:val="center"/>
        <w:rPr>
          <w:rFonts w:eastAsia="仿宋_GB2312"/>
          <w:color w:val="auto"/>
          <w:sz w:val="32"/>
          <w:szCs w:val="32"/>
          <w:lang w:eastAsia="zh-CN"/>
          <w:highlight w:val="auto"/>
        </w:rPr>
      </w:pPr>
    </w:p>
    <w:p>
      <w:pPr>
        <w:spacing w:line="576" w:lineRule="exact"/>
        <w:ind w:firstLineChars="250" w:firstLine="800"/>
        <w:jc w:val="center"/>
        <w:rPr>
          <w:rFonts w:eastAsia="仿宋_GB2312"/>
          <w:color w:val="auto"/>
          <w:sz w:val="32"/>
          <w:szCs w:val="32"/>
          <w:lang w:eastAsia="zh-CN"/>
          <w:highlight w:val="auto"/>
        </w:rPr>
      </w:pPr>
      <w:r>
        <w:rPr>
          <w:rFonts w:eastAsia="仿宋_GB2312"/>
          <w:color w:val="auto"/>
          <w:sz w:val="32"/>
          <w:szCs w:val="32"/>
          <w:lang w:eastAsia="zh-CN"/>
          <w:highlight w:val="auto"/>
        </w:rPr>
        <w:t>（图3：支出决算结构图）</w:t>
      </w:r>
    </w:p>
    <w:p>
      <w:pPr>
        <w:spacing w:line="576" w:lineRule="exact"/>
        <w:ind w:firstLineChars="200" w:firstLine="640"/>
        <w:outlineLvl w:val="1"/>
        <w:rPr>
          <w:rStyle w:val="2Char"/>
          <w:rFonts w:ascii="Times New Roman" w:eastAsia="黑体" w:hAnsi="Times New Roman"/>
          <w:b w:val="0"/>
          <w:color w:val="auto"/>
          <w:highlight w:val="auto"/>
        </w:rPr>
      </w:pPr>
      <w:bookmarkStart w:id="52" w:name="_Toc15396606"/>
      <w:bookmarkStart w:id="53" w:name="_Toc23102394"/>
      <w:bookmarkStart w:id="54" w:name="_Toc15377208"/>
      <w:bookmarkStart w:id="55" w:name="_Toc23102372"/>
      <w:r>
        <w:rPr>
          <w:rFonts w:eastAsia="黑体"/>
          <w:color w:val="auto"/>
          <w:sz w:val="32"/>
          <w:szCs w:val="32"/>
          <w:highlight w:val="auto"/>
        </w:rPr>
        <w:t>四、财</w:t>
      </w:r>
      <w:r>
        <w:rPr>
          <w:rStyle w:val="2Char"/>
          <w:rFonts w:ascii="Times New Roman" w:eastAsia="黑体" w:hAnsi="Times New Roman"/>
          <w:b w:val="0"/>
          <w:color w:val="auto"/>
          <w:highlight w:val="auto"/>
        </w:rPr>
        <w:t>政拨款收入支出决算总体情况说明</w:t>
      </w:r>
      <w:bookmarkEnd w:id="52"/>
      <w:bookmarkEnd w:id="53"/>
      <w:bookmarkEnd w:id="54"/>
      <w:bookmarkEnd w:id="55"/>
    </w:p>
    <w:p>
      <w:pPr>
        <w:spacing w:line="576" w:lineRule="exact"/>
        <w:ind w:firstLine="640"/>
        <w:rPr>
          <w:rFonts w:eastAsia="仿宋_GB2312"/>
          <w:color w:val="auto"/>
          <w:sz w:val="32"/>
          <w:szCs w:val="32"/>
          <w:highlight w:val="auto"/>
        </w:rPr>
      </w:pPr>
      <w:r>
        <w:drawing>
          <wp:anchor distT="0" distB="0" distL="85088" distR="85088" simplePos="0" relativeHeight="22" behindDoc="0" locked="0" layoutInCell="1" hidden="0" allowOverlap="1">
            <wp:simplePos x="0" y="0"/>
            <wp:positionH relativeFrom="column">
              <wp:posOffset>827327</wp:posOffset>
            </wp:positionH>
            <wp:positionV relativeFrom="paragraph">
              <wp:posOffset>1456731</wp:posOffset>
            </wp:positionV>
            <wp:extent cx="4114800" cy="1885950"/>
            <wp:effectExtent l="0" t="0" r="0" b="0"/>
            <wp:wrapNone/>
            <wp:docPr id="4" name="对象"/>
            <wp:cNvGraphicFramePr>
              <a:graphicFrameLocks noChangeAspect="1"/>
            </wp:cNvGraphicFramePr>
            <a:graphic>
              <a:graphicData uri="http://schemas.openxmlformats.org/drawingml/2006/chart">
                <c:chart xmlns:c="http://schemas.openxmlformats.org/drawingml/2006/chart" r:id="rId7"/>
              </a:graphicData>
            </a:graphic>
          </wp:anchor>
        </w:drawing>
      </w:r>
      <w:r>
        <w:rPr>
          <w:rFonts w:eastAsia="仿宋_GB2312"/>
          <w:color w:val="auto"/>
          <w:kern w:val="2"/>
          <w:sz w:val="32"/>
          <w:szCs w:val="32"/>
          <w:lang w:val="en-US" w:eastAsia="zh-CN" w:bidi="ar-SA"/>
        </w:rPr>
        <w:t>2025</w:t>
      </w:r>
      <w:r>
        <w:rPr>
          <w:rFonts w:eastAsia="仿宋_GB2312"/>
          <w:color w:val="auto"/>
          <w:kern w:val="2"/>
          <w:sz w:val="32"/>
          <w:szCs w:val="32"/>
          <w:lang w:val="en-US" w:eastAsia="zh-CN" w:bidi="ar-SA"/>
          <w:highlight w:val="auto"/>
        </w:rPr>
        <w:t>年度财政拨款收入、支出总计均为</w:t>
      </w:r>
      <w:r>
        <w:rPr>
          <w:rFonts w:eastAsia="仿宋_GB2312"/>
          <w:sz w:val="32"/>
          <w:szCs w:val="32"/>
        </w:rPr>
        <w:t>495.03</w:t>
      </w:r>
      <w:r>
        <w:rPr>
          <w:rFonts w:eastAsia="仿宋_GB2312"/>
          <w:color w:val="auto"/>
          <w:kern w:val="2"/>
          <w:sz w:val="32"/>
          <w:szCs w:val="32"/>
          <w:lang w:val="en-US" w:eastAsia="zh-CN" w:bidi="ar-SA"/>
          <w:highlight w:val="auto"/>
        </w:rPr>
        <w:t>万元。与</w:t>
      </w:r>
      <w:r>
        <w:rPr>
          <w:rFonts w:eastAsia="仿宋_GB2312"/>
          <w:color w:val="auto"/>
          <w:kern w:val="2"/>
          <w:sz w:val="32"/>
          <w:szCs w:val="32"/>
          <w:lang w:val="en-US" w:eastAsia="zh-CN" w:bidi="ar-SA"/>
        </w:rPr>
        <w:t>2024</w:t>
      </w:r>
      <w:r>
        <w:rPr>
          <w:rFonts w:eastAsia="仿宋_GB2312"/>
          <w:color w:val="auto"/>
          <w:kern w:val="2"/>
          <w:sz w:val="32"/>
          <w:szCs w:val="32"/>
          <w:lang w:val="en-US" w:eastAsia="zh-CN" w:bidi="ar-SA"/>
          <w:highlight w:val="auto"/>
        </w:rPr>
        <w:t>年度相比，财政拨款收入总计、支出总计各增加26万元，</w:t>
      </w:r>
      <w:r>
        <w:rPr>
          <w:rFonts w:eastAsia="仿宋_GB2312"/>
          <w:color w:val="auto"/>
          <w:sz w:val="32"/>
          <w:szCs w:val="32"/>
          <w:highlight w:val="auto"/>
        </w:rPr>
        <w:t>增长5.55%。主要变动原因是</w:t>
      </w:r>
      <w:r>
        <w:rPr>
          <w:rFonts w:eastAsia="仿宋_GB2312"/>
          <w:color w:val="auto"/>
          <w:sz w:val="32"/>
          <w:szCs w:val="32"/>
        </w:rPr>
        <w:t>2025</w:t>
      </w:r>
      <w:r>
        <w:rPr>
          <w:rFonts w:eastAsia="仿宋_GB2312"/>
          <w:color w:val="auto"/>
          <w:sz w:val="32"/>
          <w:szCs w:val="32"/>
          <w:highlight w:val="auto"/>
        </w:rPr>
        <w:t>年度人员增加及职务职级变动。</w:t>
      </w:r>
    </w:p>
    <w:p>
      <w:pPr>
        <w:keepNext w:val="0"/>
        <w:keepLines w:val="0"/>
        <w:pageBreakBefore w:val="0"/>
        <w:widowControl w:val="0"/>
        <w:kinsoku/>
        <w:wordWrap/>
        <w:overflowPunct/>
        <w:topLinePunct w:val="0"/>
        <w:autoSpaceDE/>
        <w:autoSpaceDN/>
        <w:adjustRightInd/>
        <w:snapToGrid/>
        <w:spacing w:line="576" w:lineRule="exact"/>
        <w:ind w:firstLineChars="200" w:firstLine="420"/>
        <w:jc w:val="center"/>
      </w:pPr>
    </w:p>
    <w:p>
      <w:pPr>
        <w:spacing w:line="576" w:lineRule="exact"/>
        <w:ind w:firstLineChars="200" w:firstLine="640"/>
        <w:jc w:val="center"/>
        <w:rPr>
          <w:rFonts w:eastAsia="仿宋_GB2312"/>
          <w:color w:val="auto"/>
          <w:kern w:val="2"/>
          <w:sz w:val="32"/>
          <w:szCs w:val="32"/>
          <w:lang w:val="en-US" w:eastAsia="zh-CN" w:bidi="ar-SA"/>
          <w:highlight w:val="auto"/>
        </w:rPr>
      </w:pPr>
    </w:p>
    <w:p>
      <w:pPr>
        <w:spacing w:line="576" w:lineRule="exact"/>
        <w:ind w:firstLineChars="200" w:firstLine="640"/>
        <w:jc w:val="center"/>
        <w:rPr>
          <w:rFonts w:eastAsia="仿宋_GB2312"/>
          <w:color w:val="auto"/>
          <w:kern w:val="2"/>
          <w:sz w:val="32"/>
          <w:szCs w:val="32"/>
          <w:lang w:val="en-US" w:eastAsia="zh-CN" w:bidi="ar-SA"/>
          <w:highlight w:val="auto"/>
        </w:rPr>
      </w:pPr>
    </w:p>
    <w:p>
      <w:pPr>
        <w:spacing w:line="576" w:lineRule="exact"/>
        <w:ind w:firstLineChars="200" w:firstLine="640"/>
        <w:jc w:val="center"/>
        <w:rPr>
          <w:rFonts w:eastAsia="仿宋_GB2312"/>
          <w:color w:val="auto"/>
          <w:kern w:val="2"/>
          <w:sz w:val="32"/>
          <w:szCs w:val="32"/>
          <w:lang w:val="en-US" w:eastAsia="zh-CN" w:bidi="ar-SA"/>
          <w:highlight w:val="auto"/>
        </w:rPr>
      </w:pPr>
    </w:p>
    <w:p>
      <w:pPr>
        <w:spacing w:line="576" w:lineRule="exact"/>
        <w:ind w:firstLineChars="200" w:firstLine="640"/>
        <w:jc w:val="center"/>
        <w:rPr>
          <w:rFonts w:eastAsia="仿宋_GB2312"/>
          <w:color w:val="auto"/>
          <w:kern w:val="2"/>
          <w:sz w:val="32"/>
          <w:szCs w:val="32"/>
          <w:lang w:val="en-US" w:eastAsia="zh-CN" w:bidi="ar-SA"/>
          <w:highlight w:val="auto"/>
        </w:rPr>
      </w:pPr>
    </w:p>
    <w:p>
      <w:pPr>
        <w:spacing w:line="576" w:lineRule="exact"/>
        <w:ind w:firstLineChars="200" w:firstLine="640"/>
        <w:jc w:val="center"/>
        <w:rPr>
          <w:rFonts w:eastAsia="仿宋_GB2312"/>
          <w:color w:val="auto"/>
          <w:kern w:val="2"/>
          <w:sz w:val="32"/>
          <w:szCs w:val="32"/>
          <w:lang w:val="en-US" w:eastAsia="zh-CN" w:bidi="ar-SA"/>
          <w:highlight w:val="auto"/>
        </w:rPr>
      </w:pPr>
      <w:r>
        <w:rPr>
          <w:rFonts w:eastAsia="仿宋_GB2312"/>
          <w:color w:val="auto"/>
          <w:kern w:val="2"/>
          <w:sz w:val="32"/>
          <w:szCs w:val="32"/>
          <w:lang w:val="en-US" w:eastAsia="zh-CN" w:bidi="ar-SA"/>
          <w:highlight w:val="auto"/>
        </w:rPr>
        <w:t>（图4：财政拨款收、支决算总计变动情况）</w:t>
      </w:r>
    </w:p>
    <w:p>
      <w:pPr>
        <w:spacing w:line="576" w:lineRule="exact"/>
        <w:ind w:firstLineChars="200" w:firstLine="640"/>
        <w:outlineLvl w:val="1"/>
        <w:rPr>
          <w:rStyle w:val="2Char"/>
          <w:rFonts w:ascii="Times New Roman" w:eastAsia="黑体" w:hAnsi="Times New Roman"/>
          <w:b w:val="0"/>
          <w:color w:val="auto"/>
          <w:highlight w:val="auto"/>
        </w:rPr>
      </w:pPr>
      <w:bookmarkStart w:id="56" w:name="_Toc15377209"/>
      <w:bookmarkStart w:id="57" w:name="_Toc15396607"/>
      <w:bookmarkStart w:id="58" w:name="_Toc23102373"/>
      <w:bookmarkStart w:id="59" w:name="_Toc23102395"/>
      <w:r>
        <w:rPr>
          <w:rFonts w:eastAsia="黑体"/>
          <w:color w:val="auto"/>
          <w:sz w:val="32"/>
          <w:szCs w:val="32"/>
          <w:highlight w:val="auto"/>
        </w:rPr>
        <w:t>五、</w:t>
      </w:r>
      <w:r>
        <w:rPr>
          <w:rFonts w:eastAsia="黑体"/>
          <w:b/>
          <w:color w:val="auto"/>
          <w:sz w:val="32"/>
          <w:szCs w:val="32"/>
          <w:highlight w:val="auto"/>
        </w:rPr>
        <w:t>一</w:t>
      </w:r>
      <w:r>
        <w:rPr>
          <w:rStyle w:val="2Char"/>
          <w:rFonts w:ascii="Times New Roman" w:eastAsia="黑体" w:hAnsi="Times New Roman"/>
          <w:b w:val="0"/>
          <w:color w:val="auto"/>
          <w:highlight w:val="auto"/>
        </w:rPr>
        <w:t>般公共预算财政拨款支出决算情况说明</w:t>
      </w:r>
      <w:bookmarkEnd w:id="56"/>
      <w:bookmarkEnd w:id="57"/>
      <w:bookmarkEnd w:id="58"/>
      <w:bookmarkEnd w:id="59"/>
    </w:p>
    <w:p>
      <w:pPr>
        <w:spacing w:line="576" w:lineRule="exact"/>
        <w:ind w:firstLineChars="200" w:firstLine="640"/>
        <w:outlineLvl w:val="2"/>
        <w:rPr>
          <w:rFonts w:eastAsia="楷体_GB2312"/>
          <w:b/>
          <w:color w:val="auto"/>
          <w:sz w:val="32"/>
          <w:szCs w:val="32"/>
          <w:highlight w:val="auto"/>
        </w:rPr>
      </w:pPr>
      <w:bookmarkStart w:id="60" w:name="_Toc15377210"/>
      <w:bookmarkStart w:id="61" w:name="_Toc23102396"/>
      <w:r>
        <w:rPr>
          <w:rFonts w:eastAsia="楷体_GB2312"/>
          <w:b/>
          <w:color w:val="auto"/>
          <w:sz w:val="32"/>
          <w:szCs w:val="32"/>
          <w:highlight w:val="auto"/>
        </w:rPr>
        <w:t>（一）一般公共预算财政拨款支出决算总体情况</w:t>
      </w:r>
      <w:bookmarkEnd w:id="60"/>
      <w:bookmarkEnd w:id="61"/>
    </w:p>
    <w:p>
      <w:pPr>
        <w:spacing w:line="576" w:lineRule="exact"/>
        <w:ind w:firstLine="640"/>
        <w:rPr>
          <w:rFonts w:eastAsia="仿宋_GB2312"/>
          <w:color w:val="auto"/>
          <w:sz w:val="32"/>
          <w:szCs w:val="32"/>
          <w:highlight w:val="auto"/>
        </w:rPr>
      </w:pPr>
      <w:r>
        <w:rPr>
          <w:rFonts w:eastAsia="仿宋_GB2312"/>
          <w:color w:val="auto"/>
          <w:kern w:val="2"/>
          <w:sz w:val="32"/>
          <w:szCs w:val="32"/>
          <w:lang w:val="en-US" w:eastAsia="zh-CN" w:bidi="ar-SA"/>
        </w:rPr>
        <w:t>2025</w:t>
      </w:r>
      <w:r>
        <w:rPr>
          <w:rFonts w:eastAsia="仿宋_GB2312"/>
          <w:color w:val="auto"/>
          <w:kern w:val="2"/>
          <w:sz w:val="32"/>
          <w:szCs w:val="32"/>
          <w:lang w:val="en-US" w:eastAsia="zh-CN" w:bidi="ar-SA"/>
          <w:highlight w:val="auto"/>
        </w:rPr>
        <w:t>年度一般公共预算财政拨款支出</w:t>
      </w:r>
      <w:r>
        <w:rPr>
          <w:rFonts w:eastAsia="仿宋_GB2312"/>
          <w:sz w:val="32"/>
          <w:szCs w:val="32"/>
        </w:rPr>
        <w:t>495.03</w:t>
      </w:r>
      <w:r>
        <w:rPr>
          <w:rFonts w:eastAsia="仿宋_GB2312"/>
          <w:color w:val="auto"/>
          <w:kern w:val="2"/>
          <w:sz w:val="32"/>
          <w:szCs w:val="32"/>
          <w:lang w:val="en-US" w:eastAsia="zh-CN" w:bidi="ar-SA"/>
          <w:highlight w:val="auto"/>
        </w:rPr>
        <w:t>万元，占本年支出合计的</w:t>
      </w:r>
      <w:r>
        <w:rPr>
          <w:rFonts w:eastAsia="仿宋_GB2312"/>
          <w:sz w:val="32"/>
          <w:szCs w:val="32"/>
        </w:rPr>
        <w:t>100</w:t>
      </w:r>
      <w:r>
        <w:rPr>
          <w:rFonts w:eastAsia="仿宋_GB2312"/>
          <w:color w:val="auto"/>
          <w:kern w:val="2"/>
          <w:sz w:val="32"/>
          <w:szCs w:val="32"/>
          <w:lang w:val="en-US" w:eastAsia="zh-CN" w:bidi="ar-SA"/>
          <w:highlight w:val="auto"/>
        </w:rPr>
        <w:t>%。与</w:t>
      </w:r>
      <w:r>
        <w:rPr>
          <w:rFonts w:eastAsia="仿宋_GB2312"/>
          <w:color w:val="auto"/>
          <w:kern w:val="2"/>
          <w:sz w:val="32"/>
          <w:szCs w:val="32"/>
          <w:lang w:val="en-US" w:eastAsia="zh-CN" w:bidi="ar-SA"/>
        </w:rPr>
        <w:t>2024</w:t>
      </w:r>
      <w:r>
        <w:rPr>
          <w:rFonts w:eastAsia="仿宋_GB2312"/>
          <w:color w:val="auto"/>
          <w:kern w:val="2"/>
          <w:sz w:val="32"/>
          <w:szCs w:val="32"/>
          <w:lang w:val="en-US" w:eastAsia="zh-CN" w:bidi="ar-SA"/>
          <w:highlight w:val="auto"/>
        </w:rPr>
        <w:t>年度相比，一般公共预算财政拨款支出增加26万元，</w:t>
      </w:r>
      <w:r>
        <w:rPr>
          <w:rFonts w:eastAsia="仿宋_GB2312"/>
          <w:color w:val="auto"/>
          <w:sz w:val="32"/>
          <w:szCs w:val="32"/>
          <w:highlight w:val="auto"/>
        </w:rPr>
        <w:t>增长5.55%。主要变动原因是</w:t>
      </w:r>
      <w:r>
        <w:rPr>
          <w:rFonts w:eastAsia="仿宋_GB2312"/>
          <w:color w:val="auto"/>
          <w:sz w:val="32"/>
          <w:szCs w:val="32"/>
        </w:rPr>
        <w:t>2025</w:t>
      </w:r>
      <w:r>
        <w:rPr>
          <w:rFonts w:eastAsia="仿宋_GB2312"/>
          <w:color w:val="auto"/>
          <w:sz w:val="32"/>
          <w:szCs w:val="32"/>
          <w:highlight w:val="auto"/>
        </w:rPr>
        <w:t>年度人员增加及职务职级变动。</w:t>
      </w:r>
    </w:p>
    <w:p>
      <w:pPr>
        <w:keepNext w:val="0"/>
        <w:keepLines w:val="0"/>
        <w:pageBreakBefore w:val="0"/>
        <w:widowControl w:val="0"/>
        <w:kinsoku/>
        <w:wordWrap/>
        <w:overflowPunct/>
        <w:topLinePunct w:val="0"/>
        <w:autoSpaceDE/>
        <w:autoSpaceDN/>
        <w:adjustRightInd/>
        <w:snapToGrid/>
        <w:spacing w:line="576" w:lineRule="exact"/>
        <w:ind w:firstLineChars="200" w:firstLine="420"/>
        <w:jc w:val="center"/>
      </w:pPr>
      <w:r>
        <w:drawing>
          <wp:anchor distT="0" distB="0" distL="85088" distR="85088" simplePos="0" relativeHeight="24" behindDoc="0" locked="0" layoutInCell="1" hidden="0" allowOverlap="1">
            <wp:simplePos x="0" y="0"/>
            <wp:positionH relativeFrom="column">
              <wp:posOffset>631783</wp:posOffset>
            </wp:positionH>
            <wp:positionV relativeFrom="paragraph">
              <wp:posOffset>155539</wp:posOffset>
            </wp:positionV>
            <wp:extent cx="4105275" cy="1962150"/>
            <wp:effectExtent l="0" t="0" r="0" b="0"/>
            <wp:wrapNone/>
            <wp:docPr id="5" name="对象"/>
            <wp:cNvGraphicFramePr>
              <a:graphicFrameLocks noChangeAspect="1"/>
            </wp:cNvGraphicFramePr>
            <a:graphic>
              <a:graphicData uri="http://schemas.openxmlformats.org/drawingml/2006/chart">
                <c:chart xmlns:c="http://schemas.openxmlformats.org/drawingml/2006/chart" r:id="rId8"/>
              </a:graphicData>
            </a:graphic>
          </wp:anchor>
        </w:drawing>
      </w:r>
    </w:p>
    <w:p>
      <w:pPr>
        <w:spacing w:line="576" w:lineRule="exact"/>
        <w:ind w:firstLine="640"/>
        <w:rPr>
          <w:rFonts w:eastAsia="仿宋_GB2312"/>
          <w:color w:val="auto"/>
          <w:kern w:val="2"/>
          <w:sz w:val="32"/>
          <w:szCs w:val="32"/>
          <w:lang w:val="en-US" w:eastAsia="zh-CN" w:bidi="ar-SA"/>
          <w:highlight w:val="auto"/>
        </w:rPr>
      </w:pPr>
    </w:p>
    <w:p>
      <w:pPr>
        <w:spacing w:line="576" w:lineRule="exact"/>
        <w:ind w:firstLine="640"/>
        <w:rPr>
          <w:rFonts w:eastAsia="仿宋_GB2312"/>
          <w:color w:val="auto"/>
          <w:kern w:val="2"/>
          <w:sz w:val="32"/>
          <w:szCs w:val="32"/>
          <w:lang w:val="en-US" w:eastAsia="zh-CN" w:bidi="ar-SA"/>
          <w:highlight w:val="auto"/>
        </w:rPr>
      </w:pPr>
    </w:p>
    <w:p>
      <w:pPr>
        <w:spacing w:line="576" w:lineRule="exact"/>
        <w:ind w:firstLine="640"/>
        <w:rPr>
          <w:rFonts w:eastAsia="仿宋_GB2312"/>
          <w:color w:val="auto"/>
          <w:kern w:val="2"/>
          <w:sz w:val="32"/>
          <w:szCs w:val="32"/>
          <w:lang w:val="en-US" w:eastAsia="zh-CN" w:bidi="ar-SA"/>
          <w:highlight w:val="auto"/>
        </w:rPr>
      </w:pPr>
    </w:p>
    <w:p>
      <w:pPr>
        <w:spacing w:line="576" w:lineRule="exact"/>
        <w:ind w:firstLine="640"/>
        <w:rPr>
          <w:rFonts w:eastAsia="仿宋_GB2312"/>
          <w:color w:val="auto"/>
          <w:kern w:val="2"/>
          <w:sz w:val="32"/>
          <w:szCs w:val="32"/>
          <w:lang w:val="en-US" w:eastAsia="zh-CN" w:bidi="ar-SA"/>
          <w:highlight w:val="auto"/>
        </w:rPr>
      </w:pPr>
    </w:p>
    <w:p>
      <w:pPr>
        <w:spacing w:line="576" w:lineRule="exact"/>
        <w:ind w:firstLine="640"/>
        <w:rPr>
          <w:rFonts w:eastAsia="仿宋_GB2312"/>
          <w:color w:val="auto"/>
          <w:kern w:val="2"/>
          <w:sz w:val="32"/>
          <w:szCs w:val="32"/>
          <w:lang w:val="en-US" w:eastAsia="zh-CN" w:bidi="ar-SA"/>
          <w:highlight w:val="auto"/>
        </w:rPr>
      </w:pPr>
    </w:p>
    <w:p>
      <w:pPr>
        <w:spacing w:line="576" w:lineRule="exact"/>
        <w:ind w:firstLine="640"/>
        <w:rPr>
          <w:rFonts w:eastAsia="仿宋_GB2312"/>
          <w:color w:val="auto"/>
          <w:kern w:val="2"/>
          <w:sz w:val="32"/>
          <w:szCs w:val="32"/>
          <w:lang w:val="en-US" w:eastAsia="zh-CN" w:bidi="ar-SA"/>
          <w:highlight w:val="auto"/>
        </w:rPr>
      </w:pPr>
      <w:r>
        <w:rPr>
          <w:rFonts w:eastAsia="仿宋_GB2312"/>
          <w:color w:val="auto"/>
          <w:kern w:val="2"/>
          <w:sz w:val="32"/>
          <w:szCs w:val="32"/>
          <w:lang w:val="en-US" w:eastAsia="zh-CN" w:bidi="ar-SA"/>
          <w:highlight w:val="auto"/>
        </w:rPr>
        <w:t>（图5：一般公共预算财政拨款支出决算变动情况）</w:t>
      </w:r>
    </w:p>
    <w:p>
      <w:pPr>
        <w:spacing w:line="576" w:lineRule="exact"/>
        <w:ind w:firstLineChars="200" w:firstLine="640"/>
        <w:outlineLvl w:val="2"/>
        <w:rPr>
          <w:rFonts w:eastAsia="楷体_GB2312"/>
          <w:b/>
          <w:color w:val="auto"/>
          <w:sz w:val="32"/>
          <w:szCs w:val="32"/>
          <w:highlight w:val="auto"/>
        </w:rPr>
      </w:pPr>
      <w:bookmarkStart w:id="62" w:name="_Toc15377211"/>
      <w:bookmarkStart w:id="63" w:name="_Toc23102397"/>
      <w:r>
        <w:rPr>
          <w:rFonts w:eastAsia="楷体_GB2312"/>
          <w:b/>
          <w:color w:val="auto"/>
          <w:sz w:val="32"/>
          <w:szCs w:val="32"/>
          <w:highlight w:val="auto"/>
        </w:rPr>
        <w:t>（二）一般公共预算财政拨款支出决算结构情况</w:t>
      </w:r>
      <w:bookmarkEnd w:id="62"/>
      <w:bookmarkEnd w:id="63"/>
    </w:p>
    <w:p>
      <w:pPr>
        <w:spacing w:line="576" w:lineRule="exact"/>
        <w:ind w:firstLine="640"/>
        <w:rPr>
          <w:rFonts w:eastAsia="仿宋_GB2312"/>
          <w:b/>
          <w:bCs/>
          <w:color w:val="auto"/>
          <w:kern w:val="2"/>
          <w:sz w:val="32"/>
          <w:szCs w:val="32"/>
          <w:lang w:val="en-US" w:eastAsia="zh-CN" w:bidi="ar-SA"/>
          <w:highlight w:val="auto"/>
        </w:rPr>
      </w:pPr>
      <w:r>
        <w:rPr>
          <w:rFonts w:eastAsia="仿宋_GB2312"/>
          <w:color w:val="auto"/>
          <w:kern w:val="2"/>
          <w:sz w:val="32"/>
          <w:szCs w:val="32"/>
          <w:lang w:val="en-US" w:eastAsia="zh-CN" w:bidi="ar-SA"/>
        </w:rPr>
        <w:t>2025</w:t>
      </w:r>
      <w:r>
        <w:rPr>
          <w:rFonts w:eastAsia="仿宋_GB2312"/>
          <w:color w:val="auto"/>
          <w:kern w:val="2"/>
          <w:sz w:val="32"/>
          <w:szCs w:val="32"/>
          <w:lang w:val="en-US" w:eastAsia="zh-CN" w:bidi="ar-SA"/>
          <w:highlight w:val="auto"/>
        </w:rPr>
        <w:t>年度一般公共预算财政拨款支出</w:t>
      </w:r>
      <w:r>
        <w:rPr>
          <w:rFonts w:eastAsia="仿宋_GB2312"/>
          <w:sz w:val="32"/>
          <w:szCs w:val="32"/>
        </w:rPr>
        <w:t>495.03</w:t>
      </w:r>
      <w:r>
        <w:rPr>
          <w:rFonts w:eastAsia="仿宋_GB2312"/>
          <w:color w:val="auto"/>
          <w:kern w:val="2"/>
          <w:sz w:val="32"/>
          <w:szCs w:val="32"/>
          <w:lang w:val="en-US" w:eastAsia="zh-CN" w:bidi="ar-SA"/>
          <w:highlight w:val="auto"/>
        </w:rPr>
        <w:t>万元，主要用于以下方面：一般公共服务支出418.68万元，占84.58%；社会保障和就业支出39.22万元，占7.92%；卫生健康支出15.08万元，占3.05%；住房保障支出22.06万元，占4.45%。</w:t>
      </w:r>
    </w:p>
    <w:p>
      <w:pPr>
        <w:spacing w:line="576" w:lineRule="exact"/>
        <w:ind w:firstLine="640"/>
      </w:pPr>
      <w:r>
        <w:drawing>
          <wp:anchor distT="0" distB="0" distL="85088" distR="85088" simplePos="0" relativeHeight="26" behindDoc="0" locked="0" layoutInCell="1" hidden="0" allowOverlap="1">
            <wp:simplePos x="0" y="0"/>
            <wp:positionH relativeFrom="column">
              <wp:posOffset>481957</wp:posOffset>
            </wp:positionH>
            <wp:positionV relativeFrom="paragraph">
              <wp:posOffset>69912</wp:posOffset>
            </wp:positionV>
            <wp:extent cx="4124323" cy="1809750"/>
            <wp:effectExtent l="0" t="0" r="0" b="0"/>
            <wp:wrapNone/>
            <wp:docPr id="6" name="对象"/>
            <wp:cNvGraphicFramePr>
              <a:graphicFrameLocks noChangeAspect="1"/>
            </wp:cNvGraphicFramePr>
            <a:graphic>
              <a:graphicData uri="http://schemas.openxmlformats.org/drawingml/2006/chart">
                <c:chart xmlns:c="http://schemas.openxmlformats.org/drawingml/2006/chart" r:id="rId9"/>
              </a:graphicData>
            </a:graphic>
          </wp:anchor>
        </w:drawing>
      </w:r>
    </w:p>
    <w:p>
      <w:pPr>
        <w:spacing w:line="576" w:lineRule="exact"/>
        <w:ind w:firstLine="640"/>
        <w:rPr>
          <w:rFonts w:eastAsia="仿宋_GB2312"/>
          <w:color w:val="auto"/>
          <w:kern w:val="2"/>
          <w:sz w:val="32"/>
          <w:szCs w:val="32"/>
          <w:lang w:val="en-US" w:eastAsia="zh-CN" w:bidi="ar-SA"/>
          <w:highlight w:val="auto"/>
        </w:rPr>
      </w:pPr>
    </w:p>
    <w:p>
      <w:pPr>
        <w:spacing w:line="576" w:lineRule="exact"/>
        <w:ind w:firstLine="640"/>
        <w:rPr>
          <w:rFonts w:eastAsia="仿宋_GB2312"/>
          <w:color w:val="auto"/>
          <w:kern w:val="2"/>
          <w:sz w:val="32"/>
          <w:szCs w:val="32"/>
          <w:lang w:val="en-US" w:eastAsia="zh-CN" w:bidi="ar-SA"/>
          <w:highlight w:val="auto"/>
        </w:rPr>
      </w:pPr>
    </w:p>
    <w:p>
      <w:pPr>
        <w:spacing w:line="576" w:lineRule="exact"/>
        <w:ind w:firstLine="640"/>
        <w:rPr>
          <w:rFonts w:eastAsia="仿宋_GB2312"/>
          <w:color w:val="auto"/>
          <w:kern w:val="2"/>
          <w:sz w:val="32"/>
          <w:szCs w:val="32"/>
          <w:lang w:val="en-US" w:eastAsia="zh-CN" w:bidi="ar-SA"/>
          <w:highlight w:val="auto"/>
        </w:rPr>
      </w:pPr>
    </w:p>
    <w:p>
      <w:pPr>
        <w:spacing w:line="576" w:lineRule="exact"/>
        <w:ind w:firstLine="640"/>
        <w:rPr>
          <w:rFonts w:eastAsia="仿宋_GB2312"/>
          <w:color w:val="auto"/>
          <w:kern w:val="2"/>
          <w:sz w:val="32"/>
          <w:szCs w:val="32"/>
          <w:lang w:val="en-US" w:eastAsia="zh-CN" w:bidi="ar-SA"/>
          <w:highlight w:val="auto"/>
        </w:rPr>
      </w:pPr>
    </w:p>
    <w:p>
      <w:pPr>
        <w:spacing w:line="576" w:lineRule="exact"/>
        <w:ind w:firstLine="640"/>
        <w:rPr>
          <w:rFonts w:eastAsia="仿宋_GB2312"/>
          <w:color w:val="auto"/>
          <w:kern w:val="2"/>
          <w:sz w:val="32"/>
          <w:szCs w:val="32"/>
          <w:lang w:val="en-US" w:eastAsia="zh-CN" w:bidi="ar-SA"/>
          <w:highlight w:val="auto"/>
        </w:rPr>
      </w:pPr>
      <w:r>
        <w:rPr>
          <w:rFonts w:eastAsia="仿宋_GB2312"/>
          <w:color w:val="auto"/>
          <w:kern w:val="2"/>
          <w:sz w:val="32"/>
          <w:szCs w:val="32"/>
          <w:lang w:val="en-US" w:eastAsia="zh-CN" w:bidi="ar-SA"/>
          <w:highlight w:val="auto"/>
        </w:rPr>
        <w:t>（图6：一般公共预算财政拨款支出决算结构）</w:t>
      </w:r>
    </w:p>
    <w:p>
      <w:pPr>
        <w:spacing w:line="576" w:lineRule="exact"/>
        <w:ind w:firstLineChars="200" w:firstLine="640"/>
        <w:outlineLvl w:val="2"/>
        <w:rPr>
          <w:rFonts w:eastAsia="楷体_GB2312"/>
          <w:b/>
          <w:color w:val="auto"/>
          <w:sz w:val="32"/>
          <w:szCs w:val="32"/>
          <w:highlight w:val="auto"/>
        </w:rPr>
      </w:pPr>
      <w:bookmarkStart w:id="64" w:name="_Toc15377212"/>
      <w:bookmarkStart w:id="65" w:name="_Toc23102398"/>
      <w:r>
        <w:rPr>
          <w:rFonts w:eastAsia="楷体_GB2312"/>
          <w:b/>
          <w:color w:val="auto"/>
          <w:sz w:val="32"/>
          <w:szCs w:val="32"/>
          <w:highlight w:val="auto"/>
        </w:rPr>
        <w:t>（三）一般公共预算财政拨款支出决算具体情况</w:t>
      </w:r>
      <w:bookmarkEnd w:id="64"/>
      <w:bookmarkEnd w:id="65"/>
    </w:p>
    <w:p>
      <w:pPr>
        <w:spacing w:line="576" w:lineRule="exact"/>
        <w:ind w:firstLine="640"/>
        <w:rPr>
          <w:rFonts w:eastAsia="仿宋_GB2312"/>
          <w:color w:val="auto"/>
          <w:kern w:val="2"/>
          <w:sz w:val="32"/>
          <w:szCs w:val="32"/>
          <w:lang w:val="en-US" w:eastAsia="zh-CN" w:bidi="ar-SA"/>
          <w:highlight w:val="auto"/>
        </w:rPr>
      </w:pPr>
      <w:bookmarkStart w:id="66" w:name="_Toc15377444"/>
      <w:bookmarkStart w:id="67" w:name="_Toc15377213"/>
      <w:bookmarkStart w:id="68" w:name="_Toc15378460"/>
      <w:r>
        <w:rPr>
          <w:rFonts w:eastAsia="仿宋_GB2312"/>
          <w:color w:val="auto"/>
          <w:kern w:val="2"/>
          <w:sz w:val="32"/>
          <w:szCs w:val="32"/>
          <w:lang w:val="en-US" w:eastAsia="zh-CN" w:bidi="ar-SA"/>
        </w:rPr>
        <w:t>2025</w:t>
      </w:r>
      <w:r>
        <w:rPr>
          <w:rFonts w:eastAsia="仿宋_GB2312"/>
          <w:color w:val="auto"/>
          <w:kern w:val="2"/>
          <w:sz w:val="32"/>
          <w:szCs w:val="32"/>
          <w:lang w:val="en-US" w:eastAsia="zh-CN" w:bidi="ar-SA"/>
          <w:highlight w:val="auto"/>
        </w:rPr>
        <w:t>年度一般公共预算财政拨款支出决算数为</w:t>
      </w:r>
      <w:r>
        <w:rPr>
          <w:rFonts w:eastAsia="仿宋_GB2312"/>
          <w:sz w:val="32"/>
          <w:szCs w:val="32"/>
        </w:rPr>
        <w:t>495.03万元</w:t>
      </w:r>
      <w:r>
        <w:rPr>
          <w:rFonts w:eastAsia="仿宋_GB2312"/>
          <w:color w:val="auto"/>
          <w:kern w:val="2"/>
          <w:sz w:val="32"/>
          <w:szCs w:val="32"/>
          <w:lang w:val="en-US" w:eastAsia="zh-CN" w:bidi="ar-SA"/>
          <w:highlight w:val="auto"/>
        </w:rPr>
        <w:t>，完成预算100%。其中：</w:t>
      </w:r>
      <w:bookmarkEnd w:id="66"/>
      <w:bookmarkEnd w:id="67"/>
      <w:bookmarkEnd w:id="68"/>
    </w:p>
    <w:p>
      <w:pPr>
        <w:spacing w:line="576" w:lineRule="exact"/>
        <w:ind w:firstLine="640"/>
        <w:rPr>
          <w:rFonts w:eastAsia="仿宋_GB2312"/>
          <w:color w:val="auto"/>
          <w:kern w:val="2"/>
          <w:sz w:val="32"/>
          <w:szCs w:val="32"/>
          <w:lang w:val="en-US" w:eastAsia="zh-CN" w:bidi="ar-SA"/>
          <w:highlight w:val="auto"/>
        </w:rPr>
      </w:pPr>
      <w:r>
        <w:rPr>
          <w:rFonts w:eastAsia="仿宋_GB2312"/>
          <w:b/>
          <w:bCs/>
          <w:color w:val="auto"/>
          <w:kern w:val="2"/>
          <w:sz w:val="32"/>
          <w:szCs w:val="32"/>
          <w:lang w:val="en-US" w:eastAsia="zh-CN" w:bidi="ar-SA"/>
          <w:highlight w:val="auto"/>
        </w:rPr>
        <w:t>1.一般公共服务（201）</w:t>
      </w:r>
      <w:r>
        <w:rPr>
          <w:rFonts w:eastAsia="仿宋_GB2312"/>
          <w:b/>
          <w:bCs/>
          <w:color w:val="auto"/>
          <w:kern w:val="2"/>
          <w:sz w:val="32"/>
          <w:szCs w:val="32"/>
          <w:lang w:val="en-US" w:eastAsia="zh-CN" w:bidi="ar-SA"/>
        </w:rPr>
        <w:t>党委办公厅（室）及相关机构事务</w:t>
      </w:r>
      <w:r>
        <w:rPr>
          <w:rFonts w:eastAsia="仿宋_GB2312"/>
          <w:b/>
          <w:bCs/>
          <w:color w:val="auto"/>
          <w:kern w:val="2"/>
          <w:sz w:val="32"/>
          <w:szCs w:val="32"/>
          <w:lang w:val="en-US" w:eastAsia="zh-CN" w:bidi="ar-SA"/>
          <w:highlight w:val="auto"/>
        </w:rPr>
        <w:t>（31）</w:t>
      </w:r>
      <w:r>
        <w:rPr>
          <w:rFonts w:eastAsia="仿宋_GB2312"/>
          <w:b/>
          <w:bCs/>
          <w:color w:val="auto"/>
          <w:kern w:val="2"/>
          <w:sz w:val="32"/>
          <w:szCs w:val="32"/>
          <w:lang w:val="en-US" w:eastAsia="zh-CN" w:bidi="ar-SA"/>
        </w:rPr>
        <w:t>事业运行</w:t>
      </w:r>
      <w:r>
        <w:rPr>
          <w:rFonts w:eastAsia="仿宋_GB2312"/>
          <w:b/>
          <w:bCs/>
          <w:color w:val="auto"/>
          <w:kern w:val="2"/>
          <w:sz w:val="32"/>
          <w:szCs w:val="32"/>
          <w:lang w:val="en-US" w:eastAsia="zh-CN" w:bidi="ar-SA"/>
          <w:highlight w:val="auto"/>
        </w:rPr>
        <w:t>（50）：</w:t>
      </w:r>
      <w:r>
        <w:rPr>
          <w:rFonts w:eastAsia="仿宋_GB2312"/>
          <w:color w:val="auto"/>
          <w:kern w:val="2"/>
          <w:sz w:val="32"/>
          <w:szCs w:val="32"/>
          <w:lang w:val="en-US" w:eastAsia="zh-CN" w:bidi="ar-SA"/>
          <w:highlight w:val="auto"/>
        </w:rPr>
        <w:t>支出决算为220.22万元，完成预算100%，决算数等于预算数。</w:t>
      </w:r>
    </w:p>
    <w:p>
      <w:pPr>
        <w:spacing w:line="576" w:lineRule="exact"/>
        <w:ind w:firstLine="640"/>
        <w:rPr>
          <w:rFonts w:eastAsia="仿宋_GB2312"/>
          <w:color w:val="auto"/>
          <w:kern w:val="2"/>
          <w:sz w:val="32"/>
          <w:szCs w:val="32"/>
          <w:lang w:val="en-US" w:eastAsia="zh-CN" w:bidi="ar-SA"/>
          <w:highlight w:val="auto"/>
        </w:rPr>
      </w:pPr>
      <w:r>
        <w:rPr>
          <w:rFonts w:eastAsia="仿宋_GB2312"/>
          <w:b/>
          <w:bCs/>
          <w:color w:val="auto"/>
          <w:kern w:val="2"/>
          <w:sz w:val="32"/>
          <w:szCs w:val="32"/>
          <w:lang w:val="en-US" w:eastAsia="zh-CN" w:bidi="ar-SA"/>
          <w:highlight w:val="auto"/>
        </w:rPr>
        <w:t>2.社会保障和就业（208）</w:t>
      </w:r>
      <w:r>
        <w:rPr>
          <w:rFonts w:eastAsia="仿宋_GB2312"/>
          <w:b/>
          <w:bCs/>
          <w:color w:val="auto"/>
          <w:kern w:val="2"/>
          <w:sz w:val="32"/>
          <w:szCs w:val="32"/>
          <w:lang w:val="en-US" w:eastAsia="zh-CN" w:bidi="ar-SA"/>
        </w:rPr>
        <w:t>行政事业单位养老支出</w:t>
      </w:r>
      <w:r>
        <w:rPr>
          <w:rFonts w:eastAsia="仿宋_GB2312"/>
          <w:b/>
          <w:bCs/>
          <w:color w:val="auto"/>
          <w:kern w:val="2"/>
          <w:sz w:val="32"/>
          <w:szCs w:val="32"/>
          <w:lang w:val="en-US" w:eastAsia="zh-CN" w:bidi="ar-SA"/>
          <w:highlight w:val="auto"/>
        </w:rPr>
        <w:t>（05）</w:t>
      </w:r>
      <w:r>
        <w:rPr>
          <w:rFonts w:eastAsia="仿宋_GB2312"/>
          <w:b/>
          <w:bCs/>
          <w:color w:val="auto"/>
          <w:kern w:val="2"/>
          <w:sz w:val="32"/>
          <w:szCs w:val="32"/>
          <w:lang w:val="en-US" w:eastAsia="zh-CN" w:bidi="ar-SA"/>
        </w:rPr>
        <w:t>机关事业单位基本养老保险缴费支出</w:t>
      </w:r>
      <w:r>
        <w:rPr>
          <w:rFonts w:eastAsia="仿宋_GB2312"/>
          <w:b/>
          <w:bCs/>
          <w:color w:val="auto"/>
          <w:kern w:val="2"/>
          <w:sz w:val="32"/>
          <w:szCs w:val="32"/>
          <w:lang w:val="en-US" w:eastAsia="zh-CN" w:bidi="ar-SA"/>
          <w:highlight w:val="auto"/>
        </w:rPr>
        <w:t>（05）：</w:t>
      </w:r>
      <w:r>
        <w:rPr>
          <w:rFonts w:eastAsia="仿宋_GB2312"/>
          <w:color w:val="auto"/>
          <w:kern w:val="2"/>
          <w:sz w:val="32"/>
          <w:szCs w:val="32"/>
          <w:lang w:val="en-US" w:eastAsia="zh-CN" w:bidi="ar-SA"/>
          <w:highlight w:val="auto"/>
        </w:rPr>
        <w:t>支出决算为26.08万元，完成预算100%，决算数等于预算数。</w:t>
      </w:r>
    </w:p>
    <w:p>
      <w:pPr>
        <w:spacing w:line="576" w:lineRule="exact"/>
        <w:ind w:firstLine="640"/>
        <w:rPr>
          <w:rFonts w:eastAsia="仿宋_GB2312"/>
          <w:sz w:val="32"/>
          <w:szCs w:val="32"/>
        </w:rPr>
      </w:pPr>
      <w:r>
        <w:rPr>
          <w:rFonts w:eastAsia="仿宋_GB2312"/>
          <w:b/>
          <w:bCs/>
          <w:color w:val="auto"/>
          <w:kern w:val="2"/>
          <w:sz w:val="32"/>
          <w:szCs w:val="32"/>
          <w:lang w:val="en-US" w:eastAsia="zh-CN" w:bidi="ar-SA"/>
          <w:highlight w:val="auto"/>
        </w:rPr>
        <w:t>3.社会保障和就业（208）</w:t>
      </w:r>
      <w:r>
        <w:rPr>
          <w:rFonts w:eastAsia="仿宋_GB2312"/>
          <w:b/>
          <w:bCs/>
          <w:color w:val="auto"/>
          <w:kern w:val="2"/>
          <w:sz w:val="32"/>
          <w:szCs w:val="32"/>
          <w:lang w:val="en-US" w:eastAsia="zh-CN" w:bidi="ar-SA"/>
        </w:rPr>
        <w:t>行政事业单位养老支出</w:t>
      </w:r>
      <w:r>
        <w:rPr>
          <w:rFonts w:eastAsia="仿宋_GB2312"/>
          <w:b/>
          <w:bCs/>
          <w:color w:val="auto"/>
          <w:kern w:val="2"/>
          <w:sz w:val="32"/>
          <w:szCs w:val="32"/>
          <w:lang w:val="en-US" w:eastAsia="zh-CN" w:bidi="ar-SA"/>
          <w:highlight w:val="auto"/>
        </w:rPr>
        <w:t>（05）</w:t>
      </w:r>
      <w:r>
        <w:rPr>
          <w:rFonts w:eastAsia="仿宋_GB2312"/>
          <w:b/>
          <w:bCs/>
          <w:color w:val="auto"/>
          <w:kern w:val="2"/>
          <w:sz w:val="32"/>
          <w:szCs w:val="32"/>
          <w:lang w:val="en-US" w:eastAsia="zh-CN" w:bidi="ar-SA"/>
        </w:rPr>
        <w:t>机关事业单位职业年金缴费支出</w:t>
      </w:r>
      <w:r>
        <w:rPr>
          <w:rFonts w:eastAsia="仿宋_GB2312"/>
          <w:b/>
          <w:bCs/>
          <w:color w:val="auto"/>
          <w:kern w:val="2"/>
          <w:sz w:val="32"/>
          <w:szCs w:val="32"/>
          <w:lang w:val="en-US" w:eastAsia="zh-CN" w:bidi="ar-SA"/>
          <w:highlight w:val="auto"/>
        </w:rPr>
        <w:t>（06）：</w:t>
      </w:r>
      <w:r>
        <w:rPr>
          <w:rFonts w:eastAsia="仿宋_GB2312"/>
          <w:color w:val="auto"/>
          <w:kern w:val="2"/>
          <w:sz w:val="32"/>
          <w:szCs w:val="32"/>
          <w:lang w:val="en-US" w:eastAsia="zh-CN" w:bidi="ar-SA"/>
          <w:highlight w:val="auto"/>
        </w:rPr>
        <w:t>支出决算为13.14万元，完成预算100%，决算数等于预算数。</w:t>
      </w:r>
    </w:p>
    <w:p>
      <w:pPr>
        <w:spacing w:line="576" w:lineRule="exact"/>
        <w:ind w:firstLine="640"/>
        <w:rPr>
          <w:rFonts w:eastAsia="仿宋_GB2312"/>
          <w:color w:val="auto"/>
          <w:kern w:val="2"/>
          <w:sz w:val="32"/>
          <w:szCs w:val="32"/>
          <w:lang w:val="en-US" w:eastAsia="zh-CN" w:bidi="ar-SA"/>
          <w:highlight w:val="auto"/>
        </w:rPr>
      </w:pPr>
      <w:r>
        <w:rPr>
          <w:rFonts w:eastAsia="仿宋_GB2312"/>
          <w:b/>
          <w:bCs/>
          <w:color w:val="auto"/>
          <w:kern w:val="2"/>
          <w:sz w:val="32"/>
          <w:szCs w:val="32"/>
          <w:lang w:val="en-US" w:eastAsia="zh-CN" w:bidi="ar-SA"/>
          <w:highlight w:val="auto"/>
        </w:rPr>
        <w:t>4.卫生健康（210）</w:t>
      </w:r>
      <w:r>
        <w:rPr>
          <w:rFonts w:eastAsia="仿宋_GB2312"/>
          <w:b/>
          <w:bCs/>
          <w:color w:val="auto"/>
          <w:kern w:val="2"/>
          <w:sz w:val="32"/>
          <w:szCs w:val="32"/>
          <w:lang w:val="en-US" w:eastAsia="zh-CN" w:bidi="ar-SA"/>
        </w:rPr>
        <w:t>行政事业单位医疗</w:t>
      </w:r>
      <w:r>
        <w:rPr>
          <w:rFonts w:eastAsia="仿宋_GB2312"/>
          <w:b/>
          <w:bCs/>
          <w:color w:val="auto"/>
          <w:kern w:val="2"/>
          <w:sz w:val="32"/>
          <w:szCs w:val="32"/>
          <w:lang w:val="en-US" w:eastAsia="zh-CN" w:bidi="ar-SA"/>
          <w:highlight w:val="auto"/>
        </w:rPr>
        <w:t>（11）</w:t>
      </w:r>
      <w:r>
        <w:rPr>
          <w:rFonts w:eastAsia="仿宋_GB2312"/>
          <w:b/>
          <w:bCs/>
          <w:color w:val="auto"/>
          <w:kern w:val="2"/>
          <w:sz w:val="32"/>
          <w:szCs w:val="32"/>
          <w:lang w:val="en-US" w:eastAsia="zh-CN" w:bidi="ar-SA"/>
        </w:rPr>
        <w:t>事业单位医疗</w:t>
      </w:r>
      <w:r>
        <w:rPr>
          <w:rFonts w:eastAsia="仿宋_GB2312"/>
          <w:b/>
          <w:bCs/>
          <w:color w:val="auto"/>
          <w:kern w:val="2"/>
          <w:sz w:val="32"/>
          <w:szCs w:val="32"/>
          <w:lang w:val="en-US" w:eastAsia="zh-CN" w:bidi="ar-SA"/>
          <w:highlight w:val="auto"/>
        </w:rPr>
        <w:t>（02）：</w:t>
      </w:r>
      <w:r>
        <w:rPr>
          <w:rFonts w:eastAsia="仿宋_GB2312"/>
          <w:color w:val="auto"/>
          <w:kern w:val="2"/>
          <w:sz w:val="32"/>
          <w:szCs w:val="32"/>
          <w:lang w:val="en-US" w:eastAsia="zh-CN" w:bidi="ar-SA"/>
          <w:highlight w:val="auto"/>
        </w:rPr>
        <w:t>支出决算为12.85万元，完成预算100%，决算数等于预算数。</w:t>
      </w:r>
    </w:p>
    <w:p>
      <w:pPr>
        <w:spacing w:line="576" w:lineRule="exact"/>
        <w:ind w:firstLine="640"/>
        <w:rPr>
          <w:rFonts w:eastAsia="仿宋_GB2312"/>
          <w:color w:val="auto"/>
          <w:kern w:val="2"/>
          <w:sz w:val="32"/>
          <w:szCs w:val="32"/>
          <w:lang w:val="en-US" w:eastAsia="zh-CN" w:bidi="ar-SA"/>
          <w:highlight w:val="auto"/>
        </w:rPr>
      </w:pPr>
      <w:r>
        <w:rPr>
          <w:rFonts w:eastAsia="仿宋_GB2312"/>
          <w:b/>
          <w:bCs/>
          <w:sz w:val="32"/>
          <w:szCs w:val="32"/>
          <w:highlight w:val="auto"/>
        </w:rPr>
        <w:t>5.</w:t>
      </w:r>
      <w:r>
        <w:rPr>
          <w:rFonts w:eastAsia="仿宋_GB2312"/>
          <w:b/>
          <w:bCs/>
          <w:color w:val="auto"/>
          <w:kern w:val="2"/>
          <w:sz w:val="32"/>
          <w:szCs w:val="32"/>
          <w:lang w:val="en-US" w:eastAsia="zh-CN" w:bidi="ar-SA"/>
          <w:highlight w:val="auto"/>
        </w:rPr>
        <w:t>卫生健康（210）</w:t>
      </w:r>
      <w:r>
        <w:rPr>
          <w:rFonts w:eastAsia="仿宋_GB2312"/>
          <w:b/>
          <w:bCs/>
          <w:color w:val="auto"/>
          <w:kern w:val="2"/>
          <w:sz w:val="32"/>
          <w:szCs w:val="32"/>
          <w:lang w:val="en-US" w:eastAsia="zh-CN" w:bidi="ar-SA"/>
        </w:rPr>
        <w:t>行政事业单位医疗</w:t>
      </w:r>
      <w:r>
        <w:rPr>
          <w:rFonts w:eastAsia="仿宋_GB2312"/>
          <w:b/>
          <w:bCs/>
          <w:color w:val="auto"/>
          <w:kern w:val="2"/>
          <w:sz w:val="32"/>
          <w:szCs w:val="32"/>
          <w:lang w:val="en-US" w:eastAsia="zh-CN" w:bidi="ar-SA"/>
          <w:highlight w:val="auto"/>
        </w:rPr>
        <w:t>（11）</w:t>
      </w:r>
      <w:r>
        <w:rPr>
          <w:rFonts w:eastAsia="仿宋_GB2312"/>
          <w:b/>
          <w:bCs/>
          <w:color w:val="auto"/>
          <w:kern w:val="2"/>
          <w:sz w:val="32"/>
          <w:szCs w:val="32"/>
          <w:lang w:val="en-US" w:eastAsia="zh-CN" w:bidi="ar-SA"/>
        </w:rPr>
        <w:t>其他行政事业单位医疗支出</w:t>
      </w:r>
      <w:r>
        <w:rPr>
          <w:rFonts w:eastAsia="仿宋_GB2312"/>
          <w:b/>
          <w:bCs/>
          <w:color w:val="auto"/>
          <w:kern w:val="2"/>
          <w:sz w:val="32"/>
          <w:szCs w:val="32"/>
          <w:lang w:val="en-US" w:eastAsia="zh-CN" w:bidi="ar-SA"/>
          <w:highlight w:val="auto"/>
        </w:rPr>
        <w:t>（99）：</w:t>
      </w:r>
      <w:r>
        <w:rPr>
          <w:rFonts w:eastAsia="仿宋_GB2312"/>
          <w:color w:val="auto"/>
          <w:kern w:val="2"/>
          <w:sz w:val="32"/>
          <w:szCs w:val="32"/>
          <w:lang w:val="en-US" w:eastAsia="zh-CN" w:bidi="ar-SA"/>
          <w:highlight w:val="auto"/>
        </w:rPr>
        <w:t>支出决算为2.23万元，完成预算100%，决算数等于预算数。</w:t>
      </w:r>
    </w:p>
    <w:p>
      <w:pPr>
        <w:spacing w:line="576" w:lineRule="exact"/>
        <w:ind w:firstLine="640"/>
        <w:rPr>
          <w:rFonts w:eastAsia="仿宋_GB2312"/>
          <w:sz w:val="32"/>
          <w:szCs w:val="32"/>
        </w:rPr>
      </w:pPr>
      <w:r>
        <w:rPr>
          <w:rFonts w:eastAsia="仿宋_GB2312"/>
          <w:b/>
          <w:bCs/>
          <w:color w:val="auto"/>
          <w:kern w:val="2"/>
          <w:sz w:val="32"/>
          <w:szCs w:val="32"/>
          <w:lang w:val="en-US" w:eastAsia="zh-CN" w:bidi="ar-SA"/>
          <w:highlight w:val="auto"/>
        </w:rPr>
        <w:t>6.</w:t>
      </w:r>
      <w:r>
        <w:rPr>
          <w:rFonts w:eastAsia="仿宋_GB2312"/>
          <w:b/>
          <w:bCs/>
          <w:color w:val="auto"/>
          <w:kern w:val="2"/>
          <w:sz w:val="32"/>
          <w:szCs w:val="32"/>
          <w:lang w:val="en-US" w:eastAsia="zh-CN" w:bidi="ar-SA"/>
        </w:rPr>
        <w:t>住房保障支出</w:t>
      </w:r>
      <w:r>
        <w:rPr>
          <w:rFonts w:eastAsia="仿宋_GB2312"/>
          <w:b/>
          <w:bCs/>
          <w:color w:val="auto"/>
          <w:kern w:val="2"/>
          <w:sz w:val="32"/>
          <w:szCs w:val="32"/>
          <w:lang w:val="en-US" w:eastAsia="zh-CN" w:bidi="ar-SA"/>
          <w:highlight w:val="auto"/>
        </w:rPr>
        <w:t>（221）</w:t>
      </w:r>
      <w:r>
        <w:rPr>
          <w:rFonts w:eastAsia="仿宋_GB2312"/>
          <w:b/>
          <w:bCs/>
          <w:color w:val="auto"/>
          <w:kern w:val="2"/>
          <w:sz w:val="32"/>
          <w:szCs w:val="32"/>
          <w:lang w:val="en-US" w:eastAsia="zh-CN" w:bidi="ar-SA"/>
        </w:rPr>
        <w:t>住房改革支出</w:t>
      </w:r>
      <w:r>
        <w:rPr>
          <w:rFonts w:eastAsia="仿宋_GB2312"/>
          <w:b/>
          <w:bCs/>
          <w:color w:val="auto"/>
          <w:kern w:val="2"/>
          <w:sz w:val="32"/>
          <w:szCs w:val="32"/>
          <w:lang w:val="en-US" w:eastAsia="zh-CN" w:bidi="ar-SA"/>
          <w:highlight w:val="auto"/>
        </w:rPr>
        <w:t>（02）</w:t>
      </w:r>
      <w:r>
        <w:rPr>
          <w:rFonts w:eastAsia="仿宋_GB2312"/>
          <w:b/>
          <w:bCs/>
          <w:color w:val="auto"/>
          <w:kern w:val="2"/>
          <w:sz w:val="32"/>
          <w:szCs w:val="32"/>
          <w:lang w:val="en-US" w:eastAsia="zh-CN" w:bidi="ar-SA"/>
        </w:rPr>
        <w:t>住房公积金</w:t>
      </w:r>
      <w:r>
        <w:rPr>
          <w:rFonts w:eastAsia="仿宋_GB2312"/>
          <w:b/>
          <w:bCs/>
          <w:color w:val="auto"/>
          <w:kern w:val="2"/>
          <w:sz w:val="32"/>
          <w:szCs w:val="32"/>
          <w:lang w:val="en-US" w:eastAsia="zh-CN" w:bidi="ar-SA"/>
          <w:highlight w:val="auto"/>
        </w:rPr>
        <w:t>（01）：</w:t>
      </w:r>
      <w:r>
        <w:rPr>
          <w:rFonts w:eastAsia="仿宋_GB2312"/>
          <w:color w:val="auto"/>
          <w:kern w:val="2"/>
          <w:sz w:val="32"/>
          <w:szCs w:val="32"/>
          <w:lang w:val="en-US" w:eastAsia="zh-CN" w:bidi="ar-SA"/>
          <w:highlight w:val="auto"/>
        </w:rPr>
        <w:t>支出决算为22.06万元，完成预算100%，决算数等于预算数。</w:t>
      </w:r>
    </w:p>
    <w:p>
      <w:pPr>
        <w:tabs>
          <w:tab w:val="right" w:pos="8306"/>
        </w:tabs>
        <w:spacing w:line="576" w:lineRule="exact"/>
        <w:ind w:firstLine="640"/>
        <w:outlineLvl w:val="1"/>
        <w:rPr>
          <w:rStyle w:val="2Char"/>
          <w:rFonts w:ascii="Times New Roman" w:hAnsi="Times New Roman"/>
          <w:color w:val="auto"/>
          <w:highlight w:val="auto"/>
        </w:rPr>
      </w:pPr>
      <w:bookmarkStart w:id="69" w:name="_Toc15377214"/>
      <w:bookmarkStart w:id="70" w:name="_Toc23102374"/>
      <w:bookmarkStart w:id="71" w:name="_Toc23102399"/>
      <w:bookmarkStart w:id="72" w:name="_Toc15396608"/>
      <w:r>
        <w:rPr>
          <w:rFonts w:eastAsia="黑体"/>
          <w:color w:val="auto"/>
          <w:sz w:val="32"/>
          <w:szCs w:val="32"/>
          <w:highlight w:val="auto"/>
        </w:rPr>
        <w:t>六</w:t>
      </w:r>
      <w:r>
        <w:rPr>
          <w:rFonts w:eastAsia="黑体"/>
          <w:b/>
          <w:color w:val="auto"/>
          <w:sz w:val="32"/>
          <w:szCs w:val="32"/>
          <w:highlight w:val="auto"/>
        </w:rPr>
        <w:t>、一</w:t>
      </w:r>
      <w:r>
        <w:rPr>
          <w:rStyle w:val="2Char"/>
          <w:rFonts w:ascii="Times New Roman" w:eastAsia="黑体" w:hAnsi="Times New Roman"/>
          <w:b w:val="0"/>
          <w:color w:val="auto"/>
          <w:highlight w:val="auto"/>
        </w:rPr>
        <w:t>般公共预算财政拨款基本支出决算情况说明</w:t>
      </w:r>
      <w:bookmarkEnd w:id="69"/>
      <w:bookmarkEnd w:id="70"/>
      <w:bookmarkEnd w:id="71"/>
      <w:bookmarkEnd w:id="72"/>
    </w:p>
    <w:p>
      <w:pPr>
        <w:spacing w:line="576" w:lineRule="exact"/>
        <w:ind w:firstLine="640"/>
        <w:rPr>
          <w:rFonts w:eastAsia="仿宋_GB2312"/>
          <w:sz w:val="32"/>
          <w:szCs w:val="32"/>
          <w:highlight w:val="auto"/>
        </w:rPr>
      </w:pPr>
      <w:r>
        <w:rPr>
          <w:rFonts w:eastAsia="仿宋_GB2312"/>
          <w:sz w:val="32"/>
          <w:szCs w:val="32"/>
        </w:rPr>
        <w:t>2025</w:t>
      </w:r>
      <w:r>
        <w:rPr>
          <w:rFonts w:eastAsia="仿宋_GB2312"/>
          <w:sz w:val="32"/>
          <w:szCs w:val="32"/>
          <w:highlight w:val="auto"/>
        </w:rPr>
        <w:t>年度一般公共预算财政拨款基本支出</w:t>
      </w:r>
      <w:r>
        <w:rPr>
          <w:rFonts w:eastAsia="仿宋_GB2312"/>
          <w:sz w:val="32"/>
          <w:szCs w:val="32"/>
        </w:rPr>
        <w:t>296.57</w:t>
      </w:r>
      <w:r>
        <w:rPr>
          <w:rFonts w:eastAsia="仿宋_GB2312"/>
          <w:sz w:val="32"/>
          <w:szCs w:val="32"/>
          <w:highlight w:val="auto"/>
        </w:rPr>
        <w:t>万元，其中：</w:t>
      </w:r>
    </w:p>
    <w:p>
      <w:pPr>
        <w:spacing w:line="576" w:lineRule="exact"/>
        <w:ind w:firstLine="640"/>
        <w:rPr>
          <w:rFonts w:eastAsia="仿宋_GB2312"/>
          <w:sz w:val="32"/>
          <w:szCs w:val="32"/>
          <w:lang w:val="en-US" w:eastAsia="zh-CN" w:bidi="ar-SA"/>
          <w:highlight w:val="auto"/>
        </w:rPr>
      </w:pPr>
      <w:r>
        <w:rPr>
          <w:rFonts w:eastAsia="仿宋_GB2312"/>
          <w:sz w:val="32"/>
          <w:szCs w:val="32"/>
          <w:highlight w:val="auto"/>
        </w:rPr>
        <w:t>人员经费</w:t>
      </w:r>
      <w:r>
        <w:rPr>
          <w:rFonts w:eastAsia="仿宋_GB2312"/>
          <w:sz w:val="32"/>
          <w:szCs w:val="32"/>
        </w:rPr>
        <w:t>282.96</w:t>
      </w:r>
      <w:r>
        <w:rPr>
          <w:rFonts w:eastAsia="仿宋_GB2312"/>
          <w:sz w:val="32"/>
          <w:szCs w:val="32"/>
          <w:highlight w:val="auto"/>
        </w:rPr>
        <w:t>万元，主要包括：基本工资61.59万元、津贴补贴24.86万元、奖金69.22万元、伙食补助费6.07万元、绩效工资43.59万元、</w:t>
      </w:r>
      <w:r>
        <w:rPr>
          <w:rFonts w:eastAsia="仿宋_GB2312"/>
          <w:sz w:val="32"/>
          <w:szCs w:val="32"/>
          <w:lang w:val="en-US" w:eastAsia="zh-CN" w:bidi="ar-SA"/>
          <w:highlight w:val="auto"/>
        </w:rPr>
        <w:t>机关事业单位基本养老保险缴费26.08万元、职业年金缴费13.14万元、</w:t>
      </w:r>
      <w:r>
        <w:rPr>
          <w:rFonts w:eastAsia="仿宋_GB2312"/>
          <w:sz w:val="32"/>
          <w:szCs w:val="32"/>
          <w:lang w:val="en-US" w:eastAsia="zh-CN" w:bidi="ar-SA"/>
        </w:rPr>
        <w:t>职工基本医疗保险缴费12.85万元，</w:t>
      </w:r>
      <w:r>
        <w:rPr>
          <w:rFonts w:eastAsia="仿宋_GB2312"/>
          <w:sz w:val="32"/>
          <w:szCs w:val="32"/>
          <w:lang w:val="en-US" w:eastAsia="zh-CN" w:bidi="ar-SA"/>
          <w:highlight w:val="auto"/>
        </w:rPr>
        <w:t>其他社会保障缴费3.52万元、住房公积金22.06万元，生活补助0.64万元。</w:t>
        <w:br/>
        <w:t>　　公用经费</w:t>
      </w:r>
      <w:r>
        <w:rPr>
          <w:rFonts w:eastAsia="仿宋_GB2312"/>
          <w:sz w:val="32"/>
          <w:szCs w:val="32"/>
        </w:rPr>
        <w:t>12.98</w:t>
      </w:r>
      <w:r>
        <w:rPr>
          <w:rFonts w:eastAsia="仿宋_GB2312"/>
          <w:sz w:val="32"/>
          <w:szCs w:val="32"/>
          <w:lang w:val="en-US" w:eastAsia="zh-CN" w:bidi="ar-SA"/>
          <w:highlight w:val="auto"/>
        </w:rPr>
        <w:t>万元，主要包括：办公费1.09万元、差旅费8.48万元、培训费0.6万元、劳务费1.11万元、福利费1.7万元。</w:t>
      </w:r>
    </w:p>
    <w:p>
      <w:pPr>
        <w:spacing w:line="576" w:lineRule="exact"/>
        <w:ind w:firstLine="640"/>
        <w:outlineLvl w:val="1"/>
        <w:rPr>
          <w:rStyle w:val="2Char"/>
          <w:rFonts w:ascii="Times New Roman" w:eastAsia="黑体" w:hAnsi="Times New Roman"/>
          <w:b w:val="0"/>
          <w:color w:val="auto"/>
          <w:highlight w:val="auto"/>
        </w:rPr>
      </w:pPr>
      <w:bookmarkStart w:id="73" w:name="_Toc15377215"/>
      <w:bookmarkStart w:id="74" w:name="_Toc15396609"/>
      <w:bookmarkStart w:id="75" w:name="_Toc23102400"/>
      <w:bookmarkStart w:id="76" w:name="_Toc23102375"/>
      <w:r>
        <w:rPr>
          <w:rFonts w:eastAsia="黑体"/>
          <w:color w:val="auto"/>
          <w:sz w:val="32"/>
          <w:szCs w:val="32"/>
          <w:highlight w:val="auto"/>
        </w:rPr>
        <w:t>七、</w:t>
      </w:r>
      <w:r>
        <w:rPr>
          <w:rStyle w:val="2Char"/>
          <w:rFonts w:ascii="Times New Roman" w:eastAsia="黑体" w:hAnsi="Times New Roman"/>
          <w:b w:val="0"/>
          <w:color w:val="auto"/>
          <w:highlight w:val="auto"/>
        </w:rPr>
        <w:t>财政拨款</w:t>
      </w:r>
      <w:r>
        <w:rPr>
          <w:rStyle w:val="2Char"/>
          <w:rFonts w:ascii="Times New Roman" w:eastAsia="黑体" w:hAnsi="Times New Roman"/>
          <w:color w:val="auto"/>
          <w:highlight w:val="auto"/>
        </w:rPr>
        <w:t>“</w:t>
      </w:r>
      <w:r>
        <w:rPr>
          <w:rStyle w:val="2Char"/>
          <w:rFonts w:ascii="Times New Roman" w:eastAsia="黑体" w:hAnsi="Times New Roman"/>
          <w:b w:val="0"/>
          <w:color w:val="auto"/>
          <w:highlight w:val="auto"/>
        </w:rPr>
        <w:t>三公”经费支出决算情况说明</w:t>
      </w:r>
      <w:bookmarkEnd w:id="73"/>
      <w:bookmarkEnd w:id="74"/>
      <w:bookmarkEnd w:id="75"/>
      <w:bookmarkEnd w:id="76"/>
    </w:p>
    <w:p>
      <w:pPr>
        <w:spacing w:line="576" w:lineRule="exact"/>
        <w:ind w:firstLineChars="200" w:firstLine="640"/>
        <w:outlineLvl w:val="2"/>
        <w:rPr>
          <w:rFonts w:eastAsia="楷体_GB2312"/>
          <w:b/>
          <w:color w:val="auto"/>
          <w:sz w:val="32"/>
          <w:szCs w:val="32"/>
          <w:highlight w:val="auto"/>
        </w:rPr>
      </w:pPr>
      <w:bookmarkStart w:id="77" w:name="_Toc23102401"/>
      <w:bookmarkStart w:id="78" w:name="_Toc15377216"/>
      <w:r>
        <w:rPr>
          <w:rFonts w:eastAsia="楷体_GB2312"/>
          <w:b/>
          <w:color w:val="auto"/>
          <w:sz w:val="32"/>
          <w:szCs w:val="32"/>
          <w:highlight w:val="auto"/>
        </w:rPr>
        <w:t>（一）“三公”经费财政拨款支出决算总体情况说明</w:t>
      </w:r>
      <w:bookmarkEnd w:id="77"/>
      <w:bookmarkEnd w:id="78"/>
    </w:p>
    <w:p>
      <w:pPr>
        <w:spacing w:line="576" w:lineRule="exact"/>
        <w:ind w:firstLine="640"/>
        <w:rPr>
          <w:rFonts w:eastAsia="仿宋_GB2312"/>
          <w:color w:val="auto"/>
          <w:kern w:val="2"/>
          <w:sz w:val="32"/>
          <w:szCs w:val="32"/>
          <w:lang w:val="en-US" w:eastAsia="zh-CN" w:bidi="ar-SA"/>
          <w:highlight w:val="auto"/>
        </w:rPr>
      </w:pPr>
      <w:r>
        <w:rPr>
          <w:rFonts w:eastAsia="仿宋_GB2312"/>
          <w:color w:val="auto"/>
          <w:kern w:val="2"/>
          <w:sz w:val="32"/>
          <w:szCs w:val="32"/>
          <w:lang w:val="en-US" w:eastAsia="zh-CN" w:bidi="ar-SA"/>
        </w:rPr>
        <w:t>2025</w:t>
      </w:r>
      <w:r>
        <w:rPr>
          <w:rFonts w:eastAsia="仿宋_GB2312"/>
          <w:sz w:val="32"/>
          <w:szCs w:val="32"/>
          <w:highlight w:val="auto"/>
        </w:rPr>
        <w:t>年度“三公”经费财政拨款支出决算为</w:t>
      </w:r>
      <w:r>
        <w:rPr>
          <w:rFonts w:eastAsia="仿宋_GB2312"/>
          <w:sz w:val="32"/>
          <w:szCs w:val="32"/>
        </w:rPr>
        <w:t>0</w:t>
      </w:r>
      <w:r>
        <w:rPr>
          <w:rFonts w:eastAsia="仿宋_GB2312"/>
          <w:sz w:val="32"/>
          <w:szCs w:val="32"/>
          <w:highlight w:val="auto"/>
        </w:rPr>
        <w:t>万元，</w:t>
      </w:r>
      <w:r>
        <w:rPr>
          <w:rFonts w:eastAsia="仿宋_GB2312"/>
          <w:sz w:val="32"/>
          <w:szCs w:val="32"/>
        </w:rPr>
        <w:t>主要原因是2025年度无三公经费支出。</w:t>
      </w:r>
    </w:p>
    <w:p>
      <w:pPr>
        <w:spacing w:line="576" w:lineRule="exact"/>
        <w:ind w:firstLineChars="200" w:firstLine="640"/>
        <w:outlineLvl w:val="2"/>
        <w:rPr>
          <w:rFonts w:eastAsia="楷体_GB2312"/>
          <w:b/>
          <w:color w:val="auto"/>
          <w:sz w:val="32"/>
          <w:szCs w:val="32"/>
          <w:highlight w:val="auto"/>
        </w:rPr>
      </w:pPr>
      <w:bookmarkStart w:id="79" w:name="_Toc15377217"/>
      <w:bookmarkStart w:id="80" w:name="_Toc23102402"/>
      <w:r>
        <w:rPr>
          <w:rFonts w:eastAsia="楷体_GB2312"/>
          <w:b/>
          <w:color w:val="auto"/>
          <w:sz w:val="32"/>
          <w:szCs w:val="32"/>
          <w:highlight w:val="auto"/>
        </w:rPr>
        <w:t>（二）“三公”经费财政拨款支出决算具体情况说明</w:t>
      </w:r>
      <w:bookmarkEnd w:id="79"/>
      <w:bookmarkEnd w:id="80"/>
    </w:p>
    <w:p>
      <w:pPr>
        <w:keepNext w:val="0"/>
        <w:keepLines w:val="0"/>
        <w:pageBreakBefore w:val="0"/>
        <w:widowControl w:val="0"/>
        <w:kinsoku/>
        <w:wordWrap/>
        <w:overflowPunct/>
        <w:topLinePunct w:val="0"/>
        <w:autoSpaceDE/>
        <w:autoSpaceDN/>
        <w:bidi w:val="0"/>
        <w:adjustRightInd/>
        <w:snapToGrid/>
        <w:spacing w:line="480" w:lineRule="auto"/>
        <w:ind w:firstLine="641"/>
        <w:textAlignment w:val="auto"/>
        <w:rPr>
          <w:rFonts w:eastAsia="仿宋_GB2312"/>
          <w:sz w:val="32"/>
          <w:szCs w:val="32"/>
        </w:rPr>
      </w:pPr>
      <w:r>
        <w:rPr>
          <w:rFonts w:eastAsia="仿宋_GB2312"/>
          <w:sz w:val="32"/>
          <w:szCs w:val="32"/>
          <w:lang w:val="en-US" w:eastAsia="zh-CN" w:bidi="ar-SA"/>
        </w:rPr>
        <w:t>2025</w:t>
      </w:r>
      <w:r>
        <w:rPr>
          <w:rFonts w:eastAsia="仿宋_GB2312"/>
          <w:sz w:val="32"/>
          <w:szCs w:val="32"/>
          <w:lang w:val="en-US" w:eastAsia="zh-CN" w:bidi="ar-SA"/>
          <w:highlight w:val="auto"/>
        </w:rPr>
        <w:t>年度</w:t>
      </w:r>
      <w:r>
        <w:rPr>
          <w:rFonts w:eastAsia="仿宋_GB2312"/>
          <w:sz w:val="32"/>
          <w:szCs w:val="32"/>
        </w:rPr>
        <w:t>“三公”经费财政拨款支出决算中，因公出国（境）费支出决算0万元；公务用车购置及运行维护费支出决算0万元；公务接待费支出决算0万元。具体情况如下：</w:t>
      </w:r>
    </w:p>
    <w:p>
      <w:pPr>
        <w:spacing w:line="576" w:lineRule="exact"/>
        <w:ind w:firstLine="640"/>
        <w:jc w:val="center"/>
      </w:pPr>
      <w:r>
        <w:drawing>
          <wp:anchor distT="0" distB="0" distL="85088" distR="85088" simplePos="0" relativeHeight="28" behindDoc="0" locked="0" layoutInCell="1" hidden="0" allowOverlap="1">
            <wp:simplePos x="0" y="0"/>
            <wp:positionH relativeFrom="column">
              <wp:posOffset>796849</wp:posOffset>
            </wp:positionH>
            <wp:positionV relativeFrom="paragraph">
              <wp:posOffset>60291</wp:posOffset>
            </wp:positionV>
            <wp:extent cx="4124323" cy="1809750"/>
            <wp:effectExtent l="0" t="0" r="0" b="0"/>
            <wp:wrapNone/>
            <wp:docPr id="7" name="对象"/>
            <wp:cNvGraphicFramePr>
              <a:graphicFrameLocks noChangeAspect="1"/>
            </wp:cNvGraphicFramePr>
            <a:graphic>
              <a:graphicData uri="http://schemas.openxmlformats.org/drawingml/2006/chart">
                <c:chart xmlns:c="http://schemas.openxmlformats.org/drawingml/2006/chart" r:id="rId10"/>
              </a:graphicData>
            </a:graphic>
          </wp:anchor>
        </w:drawing>
      </w:r>
    </w:p>
    <w:p>
      <w:pPr>
        <w:spacing w:line="576" w:lineRule="exact"/>
        <w:ind w:firstLine="640"/>
        <w:jc w:val="center"/>
        <w:rPr>
          <w:rFonts w:eastAsia="仿宋_GB2312"/>
          <w:sz w:val="32"/>
          <w:szCs w:val="32"/>
          <w:lang w:val="en-US" w:eastAsia="zh-CN" w:bidi="ar-SA"/>
          <w:highlight w:val="auto"/>
        </w:rPr>
      </w:pPr>
    </w:p>
    <w:p>
      <w:pPr>
        <w:spacing w:line="576" w:lineRule="exact"/>
        <w:ind w:firstLine="640"/>
        <w:jc w:val="center"/>
        <w:rPr>
          <w:rFonts w:eastAsia="仿宋_GB2312"/>
          <w:sz w:val="32"/>
          <w:szCs w:val="32"/>
          <w:lang w:val="en-US" w:eastAsia="zh-CN" w:bidi="ar-SA"/>
          <w:highlight w:val="auto"/>
        </w:rPr>
      </w:pPr>
    </w:p>
    <w:p>
      <w:pPr>
        <w:spacing w:line="576" w:lineRule="exact"/>
        <w:ind w:firstLine="640"/>
        <w:jc w:val="center"/>
        <w:rPr>
          <w:rFonts w:eastAsia="仿宋_GB2312"/>
          <w:sz w:val="32"/>
          <w:szCs w:val="32"/>
          <w:lang w:val="en-US" w:eastAsia="zh-CN" w:bidi="ar-SA"/>
          <w:highlight w:val="auto"/>
        </w:rPr>
      </w:pPr>
    </w:p>
    <w:p>
      <w:pPr>
        <w:tabs>
          <w:tab w:val="left" w:pos="1060"/>
        </w:tabs>
        <w:spacing w:line="480" w:lineRule="auto"/>
        <w:ind w:firstLine="641"/>
        <w:rPr>
          <w:rFonts w:eastAsia="仿宋_GB2312"/>
          <w:sz w:val="32"/>
          <w:szCs w:val="32"/>
          <w:lang w:val="en-US" w:eastAsia="zh-CN" w:bidi="ar-SA"/>
          <w:highlight w:val="auto"/>
        </w:rPr>
      </w:pPr>
      <w:r>
        <w:rPr>
          <w:rFonts w:eastAsia="仿宋_GB2312"/>
          <w:sz w:val="32"/>
          <w:szCs w:val="32"/>
          <w:lang w:val="en-US" w:eastAsia="zh-CN" w:bidi="ar-SA"/>
          <w:highlight w:val="auto"/>
        </w:rPr>
        <w:tab/>
      </w:r>
    </w:p>
    <w:p>
      <w:pPr>
        <w:spacing w:line="576" w:lineRule="exact"/>
        <w:ind w:firstLine="640"/>
        <w:jc w:val="center"/>
        <w:rPr>
          <w:rFonts w:eastAsia="仿宋_GB2312"/>
          <w:sz w:val="32"/>
          <w:szCs w:val="32"/>
          <w:lang w:val="en-US" w:eastAsia="zh-CN" w:bidi="ar-SA"/>
          <w:highlight w:val="auto"/>
        </w:rPr>
      </w:pPr>
      <w:r>
        <w:rPr>
          <w:rFonts w:eastAsia="仿宋_GB2312"/>
          <w:sz w:val="32"/>
          <w:szCs w:val="32"/>
          <w:lang w:val="en-US" w:eastAsia="zh-CN" w:bidi="ar-SA"/>
          <w:highlight w:val="auto"/>
        </w:rPr>
        <w:t>（图7：“三公”经费财政拨款支出结构）</w:t>
      </w:r>
    </w:p>
    <w:p>
      <w:pPr>
        <w:spacing w:line="560" w:lineRule="exact"/>
        <w:ind w:firstLine="640"/>
        <w:rPr>
          <w:rFonts w:ascii="仿宋_GB2312" w:eastAsia="仿宋_GB2312" w:hint="eastAsia"/>
          <w:b/>
          <w:sz w:val="32"/>
          <w:szCs w:val="32"/>
        </w:rPr>
      </w:pPr>
      <w:bookmarkStart w:id="81" w:name="_Toc15377218"/>
      <w:bookmarkStart w:id="82" w:name="_Toc15396610"/>
      <w:r>
        <w:rPr>
          <w:rFonts w:ascii="仿宋_GB2312" w:eastAsia="仿宋_GB2312" w:hint="eastAsia"/>
          <w:b/>
          <w:sz w:val="32"/>
          <w:szCs w:val="32"/>
        </w:rPr>
        <w:t>1.因公出国（境）经费支出</w:t>
      </w:r>
      <w:r>
        <w:rPr>
          <w:rFonts w:eastAsia="仿宋_GB2312"/>
          <w:sz w:val="32"/>
          <w:szCs w:val="32"/>
        </w:rPr>
        <w:t>0万元，主要原因是2025年度无因公出国（境）活动。</w:t>
      </w:r>
    </w:p>
    <w:p>
      <w:pPr>
        <w:spacing w:line="560" w:lineRule="exact"/>
        <w:ind w:firstLine="640"/>
        <w:rPr>
          <w:rFonts w:ascii="仿宋_GB2312" w:eastAsia="仿宋_GB2312" w:hint="eastAsia"/>
          <w:sz w:val="32"/>
          <w:szCs w:val="32"/>
        </w:rPr>
      </w:pPr>
      <w:r>
        <w:rPr>
          <w:rFonts w:ascii="仿宋_GB2312" w:eastAsia="仿宋_GB2312" w:hint="eastAsia"/>
          <w:sz w:val="32"/>
          <w:szCs w:val="32"/>
        </w:rPr>
        <w:t>开支内容包括：无。</w:t>
      </w:r>
    </w:p>
    <w:p>
      <w:pPr>
        <w:spacing w:line="560" w:lineRule="exact"/>
        <w:ind w:firstLine="640"/>
        <w:rPr>
          <w:rFonts w:ascii="仿宋_GB2312" w:eastAsia="仿宋_GB2312" w:hint="eastAsia"/>
          <w:b/>
          <w:sz w:val="32"/>
          <w:szCs w:val="32"/>
        </w:rPr>
      </w:pPr>
      <w:r>
        <w:rPr>
          <w:rFonts w:ascii="仿宋_GB2312" w:eastAsia="仿宋_GB2312" w:hint="eastAsia"/>
          <w:b/>
          <w:sz w:val="32"/>
          <w:szCs w:val="32"/>
        </w:rPr>
        <w:t>2.公务用车购置及运行维护费支出</w:t>
      </w:r>
      <w:r>
        <w:rPr>
          <w:rFonts w:ascii="仿宋_GB2312" w:eastAsia="仿宋_GB2312" w:hint="eastAsia"/>
          <w:sz w:val="32"/>
          <w:szCs w:val="32"/>
        </w:rPr>
        <w:t>0万元</w:t>
      </w:r>
      <w:r>
        <w:rPr>
          <w:rStyle w:val="25"/>
          <w:rFonts w:ascii="仿宋" w:eastAsia="仿宋" w:hint="eastAsia"/>
          <w:b w:val="0"/>
          <w:bCs/>
          <w:sz w:val="32"/>
          <w:szCs w:val="32"/>
        </w:rPr>
        <w:t>。</w:t>
      </w:r>
      <w:r>
        <w:rPr>
          <w:rFonts w:ascii="仿宋_GB2312" w:eastAsia="仿宋_GB2312" w:hint="eastAsia"/>
          <w:sz w:val="32"/>
          <w:szCs w:val="32"/>
        </w:rPr>
        <w:t>主要原因是州专用通信中心无车辆编制。</w:t>
      </w:r>
    </w:p>
    <w:p>
      <w:pPr>
        <w:spacing w:line="560" w:lineRule="exact"/>
        <w:ind w:firstLineChars="200" w:firstLine="640"/>
        <w:rPr>
          <w:rFonts w:ascii="仿宋_GB2312" w:eastAsia="仿宋_GB2312" w:hint="eastAsia"/>
          <w:b/>
          <w:sz w:val="32"/>
          <w:szCs w:val="32"/>
        </w:rPr>
      </w:pPr>
      <w:r>
        <w:rPr>
          <w:rFonts w:ascii="仿宋_GB2312" w:eastAsia="仿宋_GB2312" w:hint="eastAsia"/>
          <w:sz w:val="32"/>
          <w:szCs w:val="32"/>
        </w:rPr>
        <w:t>其中：</w:t>
      </w:r>
      <w:r>
        <w:rPr>
          <w:rFonts w:ascii="仿宋_GB2312" w:eastAsia="仿宋_GB2312" w:hint="eastAsia"/>
          <w:b/>
          <w:sz w:val="32"/>
          <w:szCs w:val="32"/>
        </w:rPr>
        <w:t>公务用车购置支出</w:t>
      </w:r>
      <w:r>
        <w:rPr>
          <w:rFonts w:ascii="仿宋_GB2312" w:eastAsia="仿宋_GB2312" w:hint="eastAsia"/>
          <w:sz w:val="32"/>
          <w:szCs w:val="32"/>
        </w:rPr>
        <w:t>0万元。截至2025年12月31日，单位无公务用车。</w:t>
      </w:r>
    </w:p>
    <w:p>
      <w:pPr>
        <w:spacing w:line="560" w:lineRule="exact"/>
        <w:ind w:firstLine="640"/>
        <w:rPr>
          <w:rFonts w:ascii="仿宋_GB2312" w:eastAsia="仿宋_GB2312" w:hint="eastAsia"/>
          <w:sz w:val="32"/>
          <w:szCs w:val="32"/>
        </w:rPr>
      </w:pPr>
      <w:r>
        <w:rPr>
          <w:rFonts w:ascii="仿宋_GB2312" w:eastAsia="仿宋_GB2312" w:hint="eastAsia"/>
          <w:b/>
          <w:sz w:val="32"/>
          <w:szCs w:val="32"/>
        </w:rPr>
        <w:t>公务用车运行维护费支出</w:t>
      </w:r>
      <w:r>
        <w:rPr>
          <w:rFonts w:ascii="仿宋_GB2312" w:eastAsia="仿宋_GB2312" w:hint="eastAsia"/>
          <w:sz w:val="32"/>
          <w:szCs w:val="32"/>
        </w:rPr>
        <w:t>0万元。主要原因是单位无公务用车。</w:t>
      </w:r>
    </w:p>
    <w:p>
      <w:pPr>
        <w:spacing w:line="560" w:lineRule="exact"/>
        <w:ind w:firstLine="640"/>
        <w:rPr>
          <w:rFonts w:ascii="仿宋_GB2312" w:eastAsia="仿宋_GB2312" w:hint="eastAsia"/>
          <w:sz w:val="32"/>
          <w:szCs w:val="32"/>
        </w:rPr>
      </w:pPr>
      <w:r>
        <w:rPr>
          <w:rFonts w:ascii="仿宋_GB2312" w:eastAsia="仿宋_GB2312" w:hint="eastAsia"/>
          <w:b/>
          <w:sz w:val="32"/>
          <w:szCs w:val="32"/>
        </w:rPr>
        <w:t>3.公务接待费支出</w:t>
      </w:r>
      <w:r>
        <w:rPr>
          <w:rFonts w:ascii="仿宋_GB2312" w:eastAsia="仿宋_GB2312" w:hint="eastAsia"/>
          <w:sz w:val="32"/>
          <w:szCs w:val="32"/>
        </w:rPr>
        <w:t>0万元</w:t>
      </w:r>
      <w:r>
        <w:rPr>
          <w:rStyle w:val="25"/>
          <w:rFonts w:ascii="仿宋" w:eastAsia="仿宋" w:hint="eastAsia"/>
          <w:b w:val="0"/>
          <w:bCs/>
          <w:sz w:val="32"/>
          <w:szCs w:val="32"/>
        </w:rPr>
        <w:t>。</w:t>
      </w:r>
      <w:r>
        <w:rPr>
          <w:rFonts w:ascii="仿宋_GB2312" w:eastAsia="仿宋_GB2312" w:hint="eastAsia"/>
          <w:sz w:val="32"/>
          <w:szCs w:val="32"/>
        </w:rPr>
        <w:t>公务接待费支出决算比2024年度持平。主要原因是无公务接待支出。其中：</w:t>
      </w:r>
    </w:p>
    <w:p>
      <w:pPr>
        <w:spacing w:line="560" w:lineRule="exact"/>
        <w:ind w:firstLine="640"/>
        <w:rPr>
          <w:rFonts w:ascii="仿宋_GB2312" w:eastAsia="仿宋_GB2312" w:hint="eastAsia"/>
          <w:sz w:val="32"/>
          <w:szCs w:val="32"/>
        </w:rPr>
      </w:pPr>
      <w:r>
        <w:rPr>
          <w:rFonts w:ascii="仿宋" w:eastAsia="仿宋" w:hint="eastAsia"/>
          <w:b/>
          <w:sz w:val="32"/>
          <w:szCs w:val="32"/>
        </w:rPr>
        <w:t>国内公务接待支出</w:t>
      </w:r>
      <w:r>
        <w:rPr>
          <w:rFonts w:ascii="仿宋" w:eastAsia="仿宋" w:hint="eastAsia"/>
          <w:sz w:val="32"/>
          <w:szCs w:val="32"/>
        </w:rPr>
        <w:t>0</w:t>
      </w:r>
      <w:r>
        <w:rPr>
          <w:rFonts w:ascii="仿宋_GB2312" w:eastAsia="仿宋_GB2312" w:hint="eastAsia"/>
          <w:sz w:val="32"/>
          <w:szCs w:val="32"/>
        </w:rPr>
        <w:t>万元，主要原因是无公务接待支出。</w:t>
      </w:r>
    </w:p>
    <w:p>
      <w:pPr>
        <w:spacing w:line="576" w:lineRule="exact"/>
        <w:ind w:firstLine="640"/>
        <w:rPr>
          <w:rFonts w:eastAsia="仿宋_GB2312"/>
          <w:color w:val="auto"/>
          <w:kern w:val="2"/>
          <w:sz w:val="32"/>
          <w:szCs w:val="32"/>
          <w:lang w:val="en-US" w:eastAsia="zh-CN" w:bidi="ar-SA"/>
          <w:highlight w:val="auto"/>
        </w:rPr>
      </w:pPr>
      <w:r>
        <w:rPr>
          <w:rFonts w:ascii="仿宋" w:eastAsia="仿宋" w:hint="eastAsia"/>
          <w:b/>
          <w:sz w:val="32"/>
          <w:szCs w:val="32"/>
        </w:rPr>
        <w:t>外事接待支出</w:t>
      </w:r>
      <w:r>
        <w:rPr>
          <w:rFonts w:ascii="仿宋" w:eastAsia="仿宋" w:hint="eastAsia"/>
          <w:sz w:val="32"/>
          <w:szCs w:val="32"/>
        </w:rPr>
        <w:t>0</w:t>
      </w:r>
      <w:r>
        <w:rPr>
          <w:rFonts w:ascii="仿宋_GB2312" w:eastAsia="仿宋_GB2312" w:hint="eastAsia"/>
          <w:sz w:val="32"/>
          <w:szCs w:val="32"/>
        </w:rPr>
        <w:t>万元，主要原因是无公务接待支出。</w:t>
      </w:r>
    </w:p>
    <w:p>
      <w:pPr>
        <w:spacing w:line="576" w:lineRule="exact"/>
        <w:ind w:firstLine="640"/>
        <w:outlineLvl w:val="1"/>
        <w:rPr>
          <w:rStyle w:val="2Char"/>
          <w:rFonts w:ascii="Times New Roman" w:eastAsia="黑体" w:hAnsi="Times New Roman"/>
          <w:color w:val="auto"/>
          <w:highlight w:val="auto"/>
        </w:rPr>
      </w:pPr>
      <w:bookmarkStart w:id="83" w:name="_Toc23102376"/>
      <w:bookmarkStart w:id="84" w:name="_Toc23102403"/>
      <w:r>
        <w:rPr>
          <w:rFonts w:eastAsia="黑体"/>
          <w:color w:val="auto"/>
          <w:sz w:val="32"/>
          <w:szCs w:val="32"/>
          <w:highlight w:val="auto"/>
        </w:rPr>
        <w:t>八、</w:t>
      </w:r>
      <w:r>
        <w:rPr>
          <w:rStyle w:val="2Char"/>
          <w:rFonts w:ascii="Times New Roman" w:eastAsia="黑体" w:hAnsi="Times New Roman"/>
          <w:b w:val="0"/>
          <w:color w:val="auto"/>
          <w:highlight w:val="auto"/>
        </w:rPr>
        <w:t>政府性基金预算支出决算情况说明</w:t>
      </w:r>
      <w:bookmarkEnd w:id="81"/>
      <w:bookmarkEnd w:id="82"/>
      <w:bookmarkEnd w:id="83"/>
      <w:bookmarkEnd w:id="84"/>
    </w:p>
    <w:p>
      <w:pPr>
        <w:spacing w:line="576" w:lineRule="exact"/>
        <w:ind w:firstLine="640"/>
        <w:rPr>
          <w:rFonts w:eastAsia="仿宋_GB2312"/>
          <w:color w:val="auto"/>
          <w:kern w:val="2"/>
          <w:sz w:val="32"/>
          <w:szCs w:val="32"/>
          <w:lang w:val="en-US" w:eastAsia="zh-CN" w:bidi="ar-SA"/>
          <w:highlight w:val="auto"/>
        </w:rPr>
      </w:pPr>
      <w:r>
        <w:rPr>
          <w:rFonts w:eastAsia="仿宋_GB2312"/>
          <w:color w:val="auto"/>
          <w:kern w:val="2"/>
          <w:sz w:val="32"/>
          <w:szCs w:val="32"/>
          <w:lang w:val="en-US" w:eastAsia="zh-CN" w:bidi="ar-SA"/>
        </w:rPr>
        <w:t>2025</w:t>
      </w:r>
      <w:r>
        <w:rPr>
          <w:rFonts w:eastAsia="仿宋_GB2312"/>
          <w:color w:val="auto"/>
          <w:kern w:val="2"/>
          <w:sz w:val="32"/>
          <w:szCs w:val="32"/>
          <w:lang w:val="en-US" w:eastAsia="zh-CN" w:bidi="ar-SA"/>
          <w:highlight w:val="auto"/>
        </w:rPr>
        <w:t>年度政府性基金预算财政拨款支出</w:t>
      </w:r>
      <w:r>
        <w:rPr>
          <w:rFonts w:eastAsia="仿宋_GB2312"/>
          <w:sz w:val="32"/>
          <w:szCs w:val="32"/>
        </w:rPr>
        <w:t>0</w:t>
      </w:r>
      <w:r>
        <w:rPr>
          <w:rFonts w:eastAsia="仿宋_GB2312"/>
          <w:color w:val="auto"/>
          <w:kern w:val="2"/>
          <w:sz w:val="32"/>
          <w:szCs w:val="32"/>
          <w:lang w:val="en-US" w:eastAsia="zh-CN" w:bidi="ar-SA"/>
          <w:highlight w:val="auto"/>
        </w:rPr>
        <w:t>万元。</w:t>
      </w:r>
    </w:p>
    <w:p>
      <w:pPr>
        <w:spacing w:line="576" w:lineRule="exact"/>
        <w:ind w:left="630"/>
        <w:outlineLvl w:val="1"/>
        <w:rPr>
          <w:rStyle w:val="2Char"/>
          <w:rFonts w:ascii="Times New Roman" w:eastAsia="黑体" w:hAnsi="Times New Roman"/>
          <w:b w:val="0"/>
          <w:color w:val="auto"/>
          <w:highlight w:val="auto"/>
        </w:rPr>
      </w:pPr>
      <w:bookmarkStart w:id="85" w:name="_Toc15377219"/>
      <w:bookmarkStart w:id="86" w:name="_Toc23102404"/>
      <w:bookmarkStart w:id="87" w:name="_Toc23102377"/>
      <w:bookmarkStart w:id="88" w:name="_Toc15396611"/>
      <w:r>
        <w:rPr>
          <w:rStyle w:val="2Char"/>
          <w:rFonts w:ascii="Times New Roman" w:eastAsia="黑体" w:hAnsi="Times New Roman"/>
          <w:b w:val="0"/>
          <w:color w:val="auto"/>
          <w:lang w:eastAsia="zh-CN"/>
          <w:highlight w:val="auto"/>
        </w:rPr>
        <w:t>九、</w:t>
      </w:r>
      <w:r>
        <w:rPr>
          <w:rStyle w:val="2Char"/>
          <w:rFonts w:ascii="Times New Roman" w:eastAsia="黑体" w:hAnsi="Times New Roman"/>
          <w:b w:val="0"/>
          <w:color w:val="auto"/>
          <w:highlight w:val="auto"/>
        </w:rPr>
        <w:t>国有资本经营预算支出决算情况说明</w:t>
      </w:r>
      <w:bookmarkEnd w:id="85"/>
      <w:bookmarkEnd w:id="86"/>
      <w:bookmarkEnd w:id="87"/>
      <w:bookmarkEnd w:id="88"/>
    </w:p>
    <w:p>
      <w:pPr>
        <w:spacing w:line="576" w:lineRule="exact"/>
        <w:ind w:firstLine="640"/>
        <w:rPr>
          <w:rFonts w:eastAsia="仿宋_GB2312"/>
          <w:color w:val="auto"/>
          <w:kern w:val="2"/>
          <w:sz w:val="32"/>
          <w:szCs w:val="32"/>
          <w:lang w:val="en-US" w:eastAsia="zh-CN" w:bidi="ar-SA"/>
          <w:highlight w:val="auto"/>
        </w:rPr>
      </w:pPr>
      <w:r>
        <w:rPr>
          <w:rFonts w:eastAsia="仿宋_GB2312"/>
          <w:color w:val="auto"/>
          <w:kern w:val="2"/>
          <w:sz w:val="32"/>
          <w:szCs w:val="32"/>
          <w:lang w:val="en-US" w:eastAsia="zh-CN" w:bidi="ar-SA"/>
        </w:rPr>
        <w:t>2025</w:t>
      </w:r>
      <w:r>
        <w:rPr>
          <w:rFonts w:eastAsia="仿宋_GB2312"/>
          <w:color w:val="auto"/>
          <w:kern w:val="2"/>
          <w:sz w:val="32"/>
          <w:szCs w:val="32"/>
          <w:lang w:val="en-US" w:eastAsia="zh-CN" w:bidi="ar-SA"/>
          <w:highlight w:val="auto"/>
        </w:rPr>
        <w:t>年度国有资本经营预算财政拨款支出</w:t>
      </w:r>
      <w:r>
        <w:rPr>
          <w:rFonts w:eastAsia="仿宋_GB2312"/>
          <w:sz w:val="32"/>
          <w:szCs w:val="32"/>
        </w:rPr>
        <w:t>0</w:t>
      </w:r>
      <w:r>
        <w:rPr>
          <w:rFonts w:eastAsia="仿宋_GB2312"/>
          <w:color w:val="auto"/>
          <w:kern w:val="2"/>
          <w:sz w:val="32"/>
          <w:szCs w:val="32"/>
          <w:lang w:val="en-US" w:eastAsia="zh-CN" w:bidi="ar-SA"/>
          <w:highlight w:val="auto"/>
        </w:rPr>
        <w:t>万元。</w:t>
      </w:r>
    </w:p>
    <w:p>
      <w:pPr>
        <w:spacing w:line="576" w:lineRule="exact"/>
        <w:ind w:left="630"/>
        <w:outlineLvl w:val="1"/>
        <w:rPr>
          <w:rStyle w:val="2Char"/>
          <w:rFonts w:ascii="Times New Roman" w:eastAsia="黑体" w:hAnsi="Times New Roman"/>
          <w:b w:val="0"/>
          <w:color w:val="auto"/>
          <w:highlight w:val="auto"/>
        </w:rPr>
      </w:pPr>
      <w:bookmarkStart w:id="89" w:name="_Toc15396612"/>
      <w:bookmarkStart w:id="90" w:name="_Toc15377221"/>
      <w:bookmarkStart w:id="91" w:name="_Toc23102378"/>
      <w:bookmarkStart w:id="92" w:name="_Toc23102405"/>
      <w:r>
        <w:rPr>
          <w:rStyle w:val="2Char"/>
          <w:rFonts w:ascii="Times New Roman" w:eastAsia="黑体" w:hAnsi="Times New Roman"/>
          <w:b w:val="0"/>
          <w:color w:val="auto"/>
          <w:lang w:eastAsia="zh-CN"/>
          <w:highlight w:val="auto"/>
        </w:rPr>
        <w:t>十、</w:t>
      </w:r>
      <w:r>
        <w:rPr>
          <w:rStyle w:val="2Char"/>
          <w:rFonts w:ascii="Times New Roman" w:eastAsia="黑体" w:hAnsi="Times New Roman"/>
          <w:b w:val="0"/>
          <w:color w:val="auto"/>
          <w:highlight w:val="auto"/>
        </w:rPr>
        <w:t>其他重要事项的情况说明</w:t>
      </w:r>
      <w:bookmarkEnd w:id="89"/>
      <w:bookmarkEnd w:id="90"/>
      <w:bookmarkEnd w:id="91"/>
      <w:bookmarkEnd w:id="92"/>
    </w:p>
    <w:p>
      <w:pPr>
        <w:spacing w:line="576" w:lineRule="exact"/>
        <w:ind w:firstLineChars="200" w:firstLine="640"/>
        <w:outlineLvl w:val="2"/>
        <w:rPr>
          <w:rFonts w:eastAsia="楷体_GB2312"/>
          <w:b/>
          <w:color w:val="auto"/>
          <w:sz w:val="32"/>
          <w:szCs w:val="32"/>
          <w:highlight w:val="auto"/>
        </w:rPr>
      </w:pPr>
      <w:bookmarkStart w:id="93" w:name="_Toc23102406"/>
      <w:bookmarkStart w:id="94" w:name="_Toc15377222"/>
      <w:r>
        <w:rPr>
          <w:rFonts w:eastAsia="楷体_GB2312"/>
          <w:b/>
          <w:color w:val="auto"/>
          <w:sz w:val="32"/>
          <w:szCs w:val="32"/>
          <w:highlight w:val="auto"/>
        </w:rPr>
        <w:t>（一）机关运行经费支出情况</w:t>
      </w:r>
      <w:bookmarkEnd w:id="93"/>
      <w:bookmarkEnd w:id="94"/>
    </w:p>
    <w:p>
      <w:pPr>
        <w:spacing w:line="576" w:lineRule="exact"/>
        <w:ind w:firstLine="640"/>
        <w:rPr>
          <w:rFonts w:eastAsia="仿宋_GB2312"/>
          <w:color w:val="auto"/>
          <w:kern w:val="2"/>
          <w:sz w:val="32"/>
          <w:szCs w:val="32"/>
          <w:lang w:val="en-US" w:eastAsia="zh-CN" w:bidi="ar-SA"/>
          <w:highlight w:val="auto"/>
        </w:rPr>
      </w:pPr>
      <w:r>
        <w:rPr>
          <w:rFonts w:eastAsia="仿宋_GB2312"/>
          <w:color w:val="auto"/>
          <w:kern w:val="2"/>
          <w:sz w:val="32"/>
          <w:szCs w:val="32"/>
          <w:lang w:val="en-US" w:eastAsia="zh-CN" w:bidi="ar-SA"/>
        </w:rPr>
        <w:t>2025</w:t>
      </w:r>
      <w:r>
        <w:rPr>
          <w:rFonts w:eastAsia="仿宋_GB2312"/>
          <w:color w:val="auto"/>
          <w:kern w:val="2"/>
          <w:sz w:val="32"/>
          <w:szCs w:val="32"/>
          <w:lang w:val="en-US" w:eastAsia="zh-CN" w:bidi="ar-SA"/>
          <w:highlight w:val="auto"/>
        </w:rPr>
        <w:t>年度，</w:t>
      </w:r>
      <w:r>
        <w:rPr>
          <w:rFonts w:eastAsia="仿宋_GB2312"/>
          <w:sz w:val="32"/>
          <w:szCs w:val="32"/>
        </w:rPr>
        <w:t>中共四川省阿坝州专用通信中心</w:t>
      </w:r>
      <w:r>
        <w:rPr>
          <w:rFonts w:eastAsia="仿宋_GB2312"/>
          <w:color w:val="auto"/>
          <w:kern w:val="2"/>
          <w:sz w:val="32"/>
          <w:szCs w:val="32"/>
          <w:lang w:val="en-US" w:eastAsia="zh-CN" w:bidi="ar-SA"/>
          <w:highlight w:val="auto"/>
        </w:rPr>
        <w:t>运行经费支出</w:t>
      </w:r>
      <w:r>
        <w:rPr>
          <w:rFonts w:eastAsia="仿宋_GB2312"/>
          <w:sz w:val="32"/>
          <w:szCs w:val="32"/>
        </w:rPr>
        <w:t>0</w:t>
      </w:r>
      <w:r>
        <w:rPr>
          <w:rFonts w:eastAsia="仿宋_GB2312"/>
          <w:color w:val="auto"/>
          <w:kern w:val="2"/>
          <w:sz w:val="32"/>
          <w:szCs w:val="32"/>
          <w:lang w:val="en-US" w:eastAsia="zh-CN" w:bidi="ar-SA"/>
          <w:highlight w:val="auto"/>
        </w:rPr>
        <w:t>万元。</w:t>
      </w:r>
    </w:p>
    <w:p>
      <w:pPr>
        <w:spacing w:line="576" w:lineRule="exact"/>
        <w:ind w:firstLineChars="200" w:firstLine="640"/>
        <w:outlineLvl w:val="2"/>
        <w:rPr>
          <w:rFonts w:eastAsia="楷体_GB2312"/>
          <w:b/>
          <w:color w:val="auto"/>
          <w:sz w:val="32"/>
          <w:szCs w:val="32"/>
          <w:highlight w:val="auto"/>
        </w:rPr>
      </w:pPr>
      <w:bookmarkStart w:id="95" w:name="_Toc15377223"/>
      <w:bookmarkStart w:id="96" w:name="_Toc23102407"/>
      <w:r>
        <w:rPr>
          <w:rFonts w:eastAsia="楷体_GB2312"/>
          <w:b/>
          <w:color w:val="auto"/>
          <w:sz w:val="32"/>
          <w:szCs w:val="32"/>
          <w:highlight w:val="auto"/>
        </w:rPr>
        <w:t>（二）政府采购支出情况</w:t>
      </w:r>
      <w:bookmarkEnd w:id="95"/>
      <w:bookmarkEnd w:id="96"/>
    </w:p>
    <w:p>
      <w:pPr>
        <w:spacing w:line="576" w:lineRule="exact"/>
        <w:ind w:firstLine="640"/>
        <w:rPr>
          <w:rFonts w:eastAsia="仿宋_GB2312"/>
          <w:color w:val="auto"/>
          <w:kern w:val="2"/>
          <w:sz w:val="32"/>
          <w:szCs w:val="32"/>
          <w:lang w:val="en-US" w:eastAsia="zh-CN" w:bidi="ar-SA"/>
          <w:highlight w:val="auto"/>
        </w:rPr>
      </w:pPr>
      <w:r>
        <w:rPr>
          <w:rFonts w:eastAsia="仿宋_GB2312"/>
          <w:color w:val="auto"/>
          <w:kern w:val="2"/>
          <w:sz w:val="32"/>
          <w:szCs w:val="32"/>
          <w:lang w:val="en-US" w:eastAsia="zh-CN" w:bidi="ar-SA"/>
        </w:rPr>
        <w:t>2025</w:t>
      </w:r>
      <w:r>
        <w:rPr>
          <w:rFonts w:eastAsia="仿宋_GB2312"/>
          <w:color w:val="auto"/>
          <w:kern w:val="2"/>
          <w:sz w:val="32"/>
          <w:szCs w:val="32"/>
          <w:lang w:val="en-US" w:eastAsia="zh-CN" w:bidi="ar-SA"/>
          <w:highlight w:val="auto"/>
        </w:rPr>
        <w:t>年度，</w:t>
      </w:r>
      <w:r>
        <w:rPr>
          <w:rFonts w:eastAsia="仿宋_GB2312"/>
          <w:sz w:val="32"/>
          <w:szCs w:val="32"/>
        </w:rPr>
        <w:t>中共四川省阿坝州专用通信中心</w:t>
      </w:r>
      <w:r>
        <w:rPr>
          <w:rFonts w:eastAsia="仿宋_GB2312"/>
          <w:color w:val="auto"/>
          <w:kern w:val="2"/>
          <w:sz w:val="32"/>
          <w:szCs w:val="32"/>
          <w:lang w:val="en-US" w:eastAsia="zh-CN" w:bidi="ar-SA"/>
          <w:highlight w:val="auto"/>
        </w:rPr>
        <w:t>政府采购支出总额</w:t>
      </w:r>
      <w:r>
        <w:rPr>
          <w:rFonts w:eastAsia="仿宋_GB2312"/>
          <w:sz w:val="32"/>
          <w:szCs w:val="32"/>
        </w:rPr>
        <w:t>0</w:t>
      </w:r>
      <w:r>
        <w:rPr>
          <w:rFonts w:eastAsia="仿宋_GB2312"/>
          <w:color w:val="auto"/>
          <w:kern w:val="2"/>
          <w:sz w:val="32"/>
          <w:szCs w:val="32"/>
          <w:lang w:val="en-US" w:eastAsia="zh-CN" w:bidi="ar-SA"/>
          <w:highlight w:val="auto"/>
        </w:rPr>
        <w:t>万元。</w:t>
      </w:r>
    </w:p>
    <w:p>
      <w:pPr>
        <w:spacing w:line="576" w:lineRule="exact"/>
        <w:ind w:firstLineChars="200" w:firstLine="640"/>
        <w:outlineLvl w:val="2"/>
        <w:rPr>
          <w:rFonts w:eastAsia="楷体_GB2312"/>
          <w:b/>
          <w:color w:val="auto"/>
          <w:sz w:val="32"/>
          <w:szCs w:val="32"/>
          <w:highlight w:val="auto"/>
        </w:rPr>
      </w:pPr>
      <w:bookmarkStart w:id="97" w:name="_Toc23102408"/>
      <w:bookmarkStart w:id="98" w:name="_Toc15377224"/>
      <w:r>
        <w:rPr>
          <w:rFonts w:eastAsia="楷体_GB2312"/>
          <w:b/>
          <w:color w:val="auto"/>
          <w:sz w:val="32"/>
          <w:szCs w:val="32"/>
          <w:highlight w:val="auto"/>
        </w:rPr>
        <w:t>（三）国有资产占有使用情况</w:t>
      </w:r>
      <w:bookmarkEnd w:id="97"/>
      <w:bookmarkEnd w:id="98"/>
    </w:p>
    <w:p>
      <w:pPr>
        <w:spacing w:line="576" w:lineRule="exact"/>
        <w:ind w:firstLine="640"/>
        <w:rPr>
          <w:rFonts w:eastAsia="仿宋_GB2312"/>
          <w:color w:val="auto"/>
          <w:kern w:val="2"/>
          <w:sz w:val="32"/>
          <w:szCs w:val="32"/>
          <w:lang w:val="en-US" w:eastAsia="zh-CN" w:bidi="ar-SA"/>
          <w:highlight w:val="auto"/>
        </w:rPr>
      </w:pPr>
      <w:r>
        <w:rPr>
          <w:rFonts w:eastAsia="仿宋_GB2312"/>
          <w:color w:val="auto"/>
          <w:kern w:val="2"/>
          <w:sz w:val="32"/>
          <w:szCs w:val="32"/>
          <w:lang w:val="en-US" w:eastAsia="zh-CN" w:bidi="ar-SA"/>
          <w:highlight w:val="auto"/>
        </w:rPr>
        <w:t>截至</w:t>
      </w:r>
      <w:r>
        <w:rPr>
          <w:rFonts w:eastAsia="仿宋_GB2312"/>
          <w:color w:val="auto"/>
          <w:kern w:val="2"/>
          <w:sz w:val="32"/>
          <w:szCs w:val="32"/>
          <w:lang w:val="en-US" w:eastAsia="zh-CN" w:bidi="ar-SA"/>
        </w:rPr>
        <w:t>2025</w:t>
      </w:r>
      <w:r>
        <w:rPr>
          <w:rFonts w:eastAsia="仿宋_GB2312"/>
          <w:color w:val="auto"/>
          <w:kern w:val="2"/>
          <w:sz w:val="32"/>
          <w:szCs w:val="32"/>
          <w:lang w:val="en-US" w:eastAsia="zh-CN" w:bidi="ar-SA"/>
          <w:highlight w:val="auto"/>
        </w:rPr>
        <w:t>年12月31日，</w:t>
      </w:r>
      <w:r>
        <w:rPr>
          <w:rFonts w:eastAsia="仿宋_GB2312"/>
          <w:sz w:val="32"/>
          <w:szCs w:val="32"/>
        </w:rPr>
        <w:t>中共四川省阿坝州专用通信中心</w:t>
      </w:r>
      <w:r>
        <w:rPr>
          <w:rFonts w:eastAsia="仿宋_GB2312"/>
          <w:color w:val="auto"/>
          <w:kern w:val="2"/>
          <w:sz w:val="32"/>
          <w:szCs w:val="32"/>
          <w:lang w:val="en-US" w:eastAsia="zh-CN" w:bidi="ar-SA"/>
          <w:highlight w:val="auto"/>
        </w:rPr>
        <w:t>共有车辆</w:t>
      </w:r>
      <w:r>
        <w:rPr>
          <w:rFonts w:eastAsia="仿宋_GB2312"/>
          <w:sz w:val="32"/>
          <w:szCs w:val="32"/>
        </w:rPr>
        <w:t>0</w:t>
      </w:r>
      <w:r>
        <w:rPr>
          <w:rFonts w:eastAsia="仿宋_GB2312"/>
          <w:color w:val="auto"/>
          <w:kern w:val="2"/>
          <w:sz w:val="32"/>
          <w:szCs w:val="32"/>
          <w:lang w:val="en-US" w:eastAsia="zh-CN" w:bidi="ar-SA"/>
          <w:highlight w:val="auto"/>
        </w:rPr>
        <w:t>辆。</w:t>
      </w:r>
    </w:p>
    <w:p>
      <w:pPr>
        <w:spacing w:line="576" w:lineRule="exact"/>
        <w:ind w:firstLineChars="200" w:firstLine="640"/>
        <w:outlineLvl w:val="2"/>
        <w:rPr>
          <w:rFonts w:eastAsia="楷体_GB2312"/>
          <w:b/>
          <w:color w:val="auto"/>
          <w:sz w:val="32"/>
          <w:szCs w:val="32"/>
          <w:highlight w:val="auto"/>
        </w:rPr>
      </w:pPr>
      <w:bookmarkStart w:id="99" w:name="_Toc23102409"/>
      <w:r>
        <w:rPr>
          <w:rFonts w:eastAsia="楷体_GB2312"/>
          <w:b/>
          <w:color w:val="auto"/>
          <w:sz w:val="32"/>
          <w:szCs w:val="32"/>
          <w:highlight w:val="auto"/>
        </w:rPr>
        <w:t>（四）预算绩效管理情况</w:t>
      </w:r>
      <w:bookmarkEnd w:id="99"/>
    </w:p>
    <w:p>
      <w:pPr>
        <w:spacing w:line="576" w:lineRule="exact"/>
        <w:ind w:firstLine="640"/>
        <w:rPr>
          <w:rFonts w:eastAsia="仿宋_GB2312"/>
          <w:color w:val="auto"/>
          <w:kern w:val="2"/>
          <w:sz w:val="32"/>
          <w:szCs w:val="32"/>
          <w:lang w:val="en-US" w:eastAsia="zh-CN" w:bidi="ar-SA"/>
          <w:highlight w:val="auto"/>
        </w:rPr>
      </w:pPr>
      <w:r>
        <w:rPr>
          <w:rFonts w:eastAsia="仿宋_GB2312"/>
          <w:color w:val="auto"/>
          <w:kern w:val="2"/>
          <w:sz w:val="32"/>
          <w:szCs w:val="32"/>
          <w:lang w:val="en-US" w:eastAsia="zh-CN" w:bidi="ar-SA"/>
          <w:highlight w:val="auto"/>
        </w:rPr>
        <w:t>根据预算绩效管理要求，</w:t>
      </w:r>
      <w:r>
        <w:rPr>
          <w:rFonts w:eastAsia="仿宋_GB2312"/>
          <w:sz w:val="32"/>
          <w:szCs w:val="32"/>
        </w:rPr>
        <w:t>州专用通信中心</w:t>
      </w:r>
      <w:r>
        <w:rPr>
          <w:rFonts w:eastAsia="仿宋_GB2312"/>
          <w:color w:val="auto"/>
          <w:kern w:val="2"/>
          <w:sz w:val="32"/>
          <w:szCs w:val="32"/>
          <w:lang w:val="en-US" w:eastAsia="zh-CN" w:bidi="ar-SA"/>
          <w:highlight w:val="auto"/>
        </w:rPr>
        <w:t>在</w:t>
      </w:r>
      <w:r>
        <w:rPr>
          <w:rFonts w:eastAsia="仿宋_GB2312"/>
          <w:color w:val="auto"/>
          <w:kern w:val="2"/>
          <w:sz w:val="32"/>
          <w:szCs w:val="32"/>
          <w:lang w:val="en-US" w:eastAsia="zh-CN" w:bidi="ar-SA"/>
        </w:rPr>
        <w:t>2025</w:t>
      </w:r>
      <w:r>
        <w:rPr>
          <w:rFonts w:eastAsia="仿宋_GB2312"/>
          <w:color w:val="auto"/>
          <w:kern w:val="2"/>
          <w:sz w:val="32"/>
          <w:szCs w:val="32"/>
          <w:lang w:val="en-US" w:eastAsia="zh-CN" w:bidi="ar-SA"/>
          <w:highlight w:val="auto"/>
        </w:rPr>
        <w:t>年度预算编制阶段，组织对2个项目开展了预算事前绩效评估，对2个项目编制了绩效目标，预算执行过程中，选取2个项目开展绩效监控。</w:t>
      </w:r>
      <w:bookmarkStart w:id="100" w:name="_Toc15377225"/>
      <w:bookmarkStart w:id="101" w:name="_Toc15396613"/>
    </w:p>
    <w:p>
      <w:pPr>
        <w:rPr>
          <w:rFonts w:eastAsia="黑体"/>
          <w:color w:val="auto"/>
          <w:sz w:val="44"/>
          <w:szCs w:val="44"/>
          <w:highlight w:val="auto"/>
        </w:rPr>
      </w:pPr>
      <w:r>
        <w:rPr>
          <w:rFonts w:eastAsia="黑体"/>
          <w:color w:val="auto"/>
          <w:sz w:val="44"/>
          <w:szCs w:val="44"/>
          <w:highlight w:val="auto"/>
        </w:rPr>
        <w:br w:type="page"/>
      </w:r>
    </w:p>
    <w:p>
      <w:pPr>
        <w:spacing w:line="576" w:lineRule="exact"/>
        <w:ind w:firstLine="640"/>
        <w:jc w:val="center"/>
        <w:rPr>
          <w:rFonts w:eastAsia="仿宋_GB2312"/>
          <w:sz w:val="32"/>
          <w:szCs w:val="32"/>
        </w:rPr>
      </w:pPr>
      <w:r>
        <w:rPr>
          <w:rFonts w:eastAsia="黑体"/>
          <w:color w:val="auto"/>
          <w:sz w:val="44"/>
          <w:szCs w:val="44"/>
          <w:highlight w:val="auto"/>
        </w:rPr>
        <w:t>第</w:t>
      </w:r>
      <w:r>
        <w:rPr>
          <w:rFonts w:eastAsia="黑体"/>
          <w:color w:val="auto"/>
          <w:sz w:val="44"/>
          <w:szCs w:val="44"/>
          <w:lang w:eastAsia="zh-CN"/>
          <w:highlight w:val="auto"/>
        </w:rPr>
        <w:t>三</w:t>
      </w:r>
      <w:r>
        <w:rPr>
          <w:rFonts w:eastAsia="黑体"/>
          <w:color w:val="auto"/>
          <w:sz w:val="44"/>
          <w:szCs w:val="44"/>
          <w:highlight w:val="auto"/>
        </w:rPr>
        <w:t>部分</w:t>
      </w:r>
      <w:r>
        <w:rPr>
          <w:rFonts w:eastAsia="黑体"/>
          <w:color w:val="auto"/>
          <w:sz w:val="44"/>
          <w:szCs w:val="44"/>
          <w:lang w:val="en-US" w:eastAsia="zh-CN"/>
          <w:highlight w:val="auto"/>
        </w:rPr>
        <w:t xml:space="preserve">  </w:t>
      </w:r>
      <w:r>
        <w:rPr>
          <w:rFonts w:eastAsia="黑体"/>
          <w:color w:val="auto"/>
          <w:sz w:val="44"/>
          <w:szCs w:val="44"/>
          <w:highlight w:val="auto"/>
        </w:rPr>
        <w:t>名词解释</w:t>
      </w:r>
      <w:bookmarkEnd w:id="100"/>
      <w:bookmarkEnd w:id="101"/>
    </w:p>
    <w:p>
      <w:pPr>
        <w:spacing w:line="576" w:lineRule="exact"/>
        <w:jc w:val="left"/>
        <w:rPr>
          <w:b/>
          <w:color w:val="auto"/>
          <w:sz w:val="44"/>
          <w:szCs w:val="44"/>
          <w:highlight w:val="auto"/>
        </w:rPr>
      </w:pPr>
    </w:p>
    <w:p>
      <w:pPr>
        <w:pStyle w:val="31"/>
        <w:spacing w:line="560" w:lineRule="exact"/>
        <w:ind w:firstLineChars="200" w:firstLine="640"/>
        <w:rPr>
          <w:rFonts w:ascii="Times New Roman" w:eastAsia="方正仿宋_GBK" w:cs="Times New Roman" w:hAnsi="Times New Roman"/>
          <w:sz w:val="32"/>
          <w:szCs w:val="32"/>
          <w:lang w:bidi="ar-SA"/>
        </w:rPr>
      </w:pPr>
      <w:bookmarkStart w:id="102" w:name="_Toc15377226"/>
      <w:r>
        <w:rPr>
          <w:rFonts w:ascii="Times New Roman" w:eastAsia="方正仿宋_GBK" w:cs="Times New Roman" w:hAnsi="Times New Roman"/>
          <w:sz w:val="32"/>
          <w:szCs w:val="32"/>
          <w:lang w:bidi="ar-SA"/>
        </w:rPr>
        <w:t>1.财政拨款收入：指单位从同级财政部门取得的财政预算资金。</w:t>
      </w:r>
    </w:p>
    <w:p>
      <w:pPr>
        <w:pStyle w:val="31"/>
        <w:spacing w:line="560" w:lineRule="exact"/>
        <w:ind w:firstLineChars="200" w:firstLine="640"/>
        <w:rPr>
          <w:rFonts w:ascii="Times New Roman" w:eastAsia="方正仿宋_GBK" w:cs="Times New Roman" w:hAnsi="Times New Roman"/>
          <w:sz w:val="32"/>
          <w:szCs w:val="32"/>
          <w:lang w:bidi="ar-SA"/>
        </w:rPr>
      </w:pPr>
      <w:r>
        <w:rPr>
          <w:rFonts w:ascii="Times New Roman" w:eastAsia="方正仿宋_GBK" w:cs="Times New Roman" w:hAnsi="Times New Roman"/>
          <w:sz w:val="32"/>
          <w:szCs w:val="32"/>
          <w:lang w:bidi="ar-SA"/>
        </w:rPr>
        <w:t xml:space="preserve">2.其他收入：指单位取得的除上述收入以外的各项收入。主要是利息收入。  </w:t>
      </w:r>
    </w:p>
    <w:p>
      <w:pPr>
        <w:pStyle w:val="31"/>
        <w:spacing w:line="560" w:lineRule="exact"/>
        <w:ind w:firstLineChars="200" w:firstLine="640"/>
        <w:rPr>
          <w:rFonts w:ascii="Times New Roman" w:eastAsia="方正仿宋_GBK" w:cs="Times New Roman" w:hAnsi="Times New Roman"/>
          <w:sz w:val="32"/>
          <w:szCs w:val="32"/>
          <w:lang w:bidi="ar-SA"/>
        </w:rPr>
      </w:pPr>
      <w:r>
        <w:rPr>
          <w:rFonts w:ascii="Times New Roman" w:eastAsia="方正仿宋_GBK" w:cs="Times New Roman" w:hAnsi="Times New Roman"/>
          <w:sz w:val="32"/>
          <w:szCs w:val="32"/>
          <w:lang w:bidi="ar-SA"/>
        </w:rPr>
        <w:t xml:space="preserve">3.年初结转和结余：指以前年度尚未完成、结转到本年按有关规定继续使用的资金。 </w:t>
      </w:r>
    </w:p>
    <w:p>
      <w:pPr>
        <w:pStyle w:val="31"/>
        <w:spacing w:line="560" w:lineRule="exact"/>
        <w:ind w:firstLineChars="200" w:firstLine="640"/>
        <w:rPr>
          <w:rFonts w:ascii="Times New Roman" w:eastAsia="方正仿宋_GBK" w:cs="Times New Roman" w:hAnsi="Times New Roman"/>
          <w:sz w:val="32"/>
          <w:szCs w:val="32"/>
          <w:lang w:bidi="ar-SA"/>
        </w:rPr>
      </w:pPr>
      <w:r>
        <w:rPr>
          <w:rFonts w:ascii="Times New Roman" w:eastAsia="方正仿宋_GBK" w:cs="Times New Roman" w:hAnsi="Times New Roman"/>
          <w:sz w:val="32"/>
          <w:szCs w:val="32"/>
          <w:lang w:bidi="ar-SA"/>
        </w:rPr>
        <w:t>4.年末结转和结余：指单位按有关规定结转到下年或以后年度继续使用的资金。</w:t>
      </w:r>
    </w:p>
    <w:p>
      <w:pPr>
        <w:spacing w:line="600" w:lineRule="exact"/>
        <w:ind w:firstLine="645"/>
        <w:rPr>
          <w:rFonts w:ascii="Times New Roman" w:eastAsia="方正仿宋_GBK" w:hAnsi="Times New Roman"/>
          <w:bCs/>
          <w:kern w:val="0"/>
          <w:sz w:val="32"/>
          <w:szCs w:val="32"/>
        </w:rPr>
      </w:pPr>
      <w:r>
        <w:rPr>
          <w:rFonts w:ascii="Times New Roman" w:eastAsia="方正仿宋_GBK" w:hAnsi="Times New Roman"/>
          <w:bCs/>
          <w:kern w:val="0"/>
          <w:sz w:val="32"/>
          <w:szCs w:val="32"/>
        </w:rPr>
        <w:t>5.一般公共服务：行政运行</w:t>
      </w:r>
      <w:r>
        <w:rPr>
          <w:rFonts w:eastAsia="方正仿宋_GBK" w:hint="eastAsia"/>
          <w:bCs/>
          <w:kern w:val="0"/>
          <w:sz w:val="32"/>
          <w:szCs w:val="32"/>
        </w:rPr>
        <w:t>，</w:t>
      </w:r>
      <w:r>
        <w:rPr>
          <w:rFonts w:ascii="Times New Roman" w:eastAsia="方正仿宋_GBK" w:hAnsi="Times New Roman"/>
          <w:bCs/>
          <w:kern w:val="0"/>
          <w:sz w:val="32"/>
          <w:szCs w:val="32"/>
        </w:rPr>
        <w:t>反映党委办公厅（室）及相关机构的支出；一般行政管理事务</w:t>
      </w:r>
      <w:r>
        <w:rPr>
          <w:rFonts w:eastAsia="方正仿宋_GBK" w:hint="eastAsia"/>
          <w:bCs/>
          <w:kern w:val="0"/>
          <w:sz w:val="32"/>
          <w:szCs w:val="32"/>
        </w:rPr>
        <w:t>，</w:t>
      </w:r>
      <w:r>
        <w:rPr>
          <w:rFonts w:ascii="Times New Roman" w:eastAsia="方正仿宋_GBK" w:hAnsi="Times New Roman"/>
          <w:bCs/>
          <w:kern w:val="0"/>
          <w:sz w:val="32"/>
          <w:szCs w:val="32"/>
        </w:rPr>
        <w:t>反映行政单位（包括实行公务员管理的事业单位）未单独设置项级科目的其他项目支出。</w:t>
      </w:r>
    </w:p>
    <w:p>
      <w:pPr>
        <w:spacing w:line="600" w:lineRule="exact"/>
        <w:ind w:firstLine="645"/>
        <w:rPr>
          <w:rFonts w:ascii="Times New Roman" w:eastAsia="方正仿宋_GBK" w:hAnsi="Times New Roman"/>
          <w:bCs/>
          <w:kern w:val="0"/>
          <w:sz w:val="32"/>
          <w:szCs w:val="32"/>
        </w:rPr>
      </w:pPr>
      <w:r>
        <w:rPr>
          <w:rFonts w:ascii="Times New Roman" w:eastAsia="方正仿宋_GBK" w:hAnsi="Times New Roman"/>
          <w:bCs/>
          <w:kern w:val="0"/>
          <w:sz w:val="32"/>
          <w:szCs w:val="32"/>
        </w:rPr>
        <w:t>6.社会保障和就业：反映政府在社会保障与就业方面的支出。</w:t>
      </w:r>
    </w:p>
    <w:p>
      <w:pPr>
        <w:spacing w:line="600" w:lineRule="exact"/>
        <w:ind w:firstLine="645"/>
        <w:rPr>
          <w:rFonts w:ascii="Times New Roman" w:eastAsia="方正仿宋_GBK" w:hAnsi="Times New Roman"/>
          <w:bCs/>
          <w:kern w:val="0"/>
          <w:sz w:val="32"/>
          <w:szCs w:val="32"/>
        </w:rPr>
      </w:pPr>
      <w:r>
        <w:rPr>
          <w:rFonts w:ascii="Times New Roman" w:eastAsia="方正仿宋_GBK" w:hAnsi="Times New Roman"/>
          <w:bCs/>
          <w:kern w:val="0"/>
          <w:sz w:val="32"/>
          <w:szCs w:val="32"/>
        </w:rPr>
        <w:t>7.医疗卫生与计划生育：反映政府医疗卫生计划生育管理方面的支出。</w:t>
      </w:r>
    </w:p>
    <w:p>
      <w:pPr>
        <w:spacing w:line="600" w:lineRule="exact"/>
        <w:ind w:firstLine="645"/>
        <w:rPr>
          <w:rFonts w:ascii="Times New Roman" w:eastAsia="方正仿宋_GBK" w:hAnsi="Times New Roman"/>
          <w:bCs/>
          <w:kern w:val="0"/>
          <w:sz w:val="32"/>
          <w:szCs w:val="32"/>
        </w:rPr>
      </w:pPr>
      <w:r>
        <w:rPr>
          <w:rFonts w:ascii="Times New Roman" w:eastAsia="方正仿宋_GBK" w:hAnsi="Times New Roman"/>
          <w:bCs/>
          <w:kern w:val="0"/>
          <w:sz w:val="32"/>
          <w:szCs w:val="32"/>
        </w:rPr>
        <w:t>8.住房保障：集中反映政府用于住房方面的支出。</w:t>
      </w:r>
    </w:p>
    <w:p>
      <w:pPr>
        <w:ind w:firstLineChars="200" w:firstLine="640"/>
        <w:rPr>
          <w:rFonts w:ascii="Times New Roman" w:eastAsia="方正仿宋_GBK" w:hAnsi="Times New Roman"/>
          <w:color w:val="000000"/>
          <w:sz w:val="32"/>
          <w:szCs w:val="32"/>
        </w:rPr>
      </w:pPr>
      <w:r>
        <w:rPr>
          <w:rFonts w:ascii="Times New Roman" w:eastAsia="方正仿宋_GBK" w:hAnsi="Times New Roman"/>
          <w:color w:val="000000"/>
          <w:sz w:val="32"/>
          <w:szCs w:val="32"/>
        </w:rPr>
        <w:t>9.基本支出：指为保障机构正常运转、完成日常工作任务而发生的人员支出和公用支出。</w:t>
      </w:r>
    </w:p>
    <w:p>
      <w:pPr>
        <w:rPr>
          <w:rFonts w:ascii="Times New Roman" w:eastAsia="方正仿宋_GBK" w:hAnsi="Times New Roman"/>
          <w:color w:val="000000"/>
          <w:sz w:val="32"/>
          <w:szCs w:val="32"/>
        </w:rPr>
      </w:pPr>
      <w:r>
        <w:rPr>
          <w:rFonts w:ascii="Times New Roman" w:eastAsia="方正仿宋_GBK" w:hAnsi="Times New Roman"/>
          <w:color w:val="000000"/>
          <w:sz w:val="32"/>
          <w:szCs w:val="32"/>
        </w:rPr>
        <w:t xml:space="preserve">    10.项目支出：指在基本支出之外为完成特定行政任务和事业发展目标所发生的支出。 </w:t>
      </w:r>
    </w:p>
    <w:p>
      <w:pPr>
        <w:pStyle w:val="31"/>
        <w:spacing w:line="560" w:lineRule="exact"/>
        <w:ind w:firstLineChars="200" w:firstLine="640"/>
        <w:rPr>
          <w:rFonts w:ascii="Times New Roman" w:eastAsia="方正仿宋_GBK" w:cs="Times New Roman" w:hAnsi="Times New Roman"/>
          <w:sz w:val="32"/>
          <w:szCs w:val="32"/>
          <w:lang w:bidi="ar-SA"/>
        </w:rPr>
      </w:pPr>
      <w:r>
        <w:rPr>
          <w:rFonts w:ascii="Times New Roman" w:eastAsia="方正仿宋_GBK" w:cs="Times New Roman" w:hAnsi="Times New Roman"/>
          <w:sz w:val="32"/>
          <w:szCs w:val="32"/>
          <w:lang w:bidi="ar-SA"/>
        </w:rPr>
        <w:t>11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1"/>
        <w:spacing w:line="560" w:lineRule="exact"/>
        <w:ind w:firstLineChars="200" w:firstLine="640"/>
        <w:rPr>
          <w:rFonts w:ascii="仿宋_GB2312" w:eastAsia="仿宋_GB2312" w:hint="eastAsia"/>
          <w:color w:val="auto"/>
          <w:sz w:val="32"/>
          <w:szCs w:val="32"/>
        </w:rPr>
      </w:pPr>
      <w:r>
        <w:rPr>
          <w:rFonts w:ascii="Times New Roman" w:eastAsia="方正仿宋_GBK" w:cs="Times New Roman" w:hAnsi="Times New Roman"/>
          <w:sz w:val="32"/>
          <w:szCs w:val="32"/>
          <w:lang w:bidi="ar-SA"/>
        </w:rPr>
        <w:t>12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rPr>
          <w:rFonts w:eastAsia="黑体"/>
          <w:color w:val="auto"/>
          <w:sz w:val="44"/>
          <w:szCs w:val="44"/>
          <w:highlight w:val="auto"/>
        </w:rPr>
      </w:pPr>
      <w:bookmarkStart w:id="103" w:name="_Toc15396614"/>
      <w:r>
        <w:rPr>
          <w:rFonts w:eastAsia="黑体"/>
          <w:color w:val="auto"/>
          <w:sz w:val="44"/>
          <w:szCs w:val="44"/>
          <w:highlight w:val="auto"/>
        </w:rPr>
        <w:br w:type="page"/>
      </w:r>
    </w:p>
    <w:p>
      <w:pPr>
        <w:spacing w:line="576" w:lineRule="exact"/>
        <w:jc w:val="center"/>
        <w:rPr>
          <w:rStyle w:val="1Char"/>
          <w:rFonts w:eastAsia="黑体"/>
          <w:b w:val="0"/>
          <w:color w:val="auto"/>
          <w:lang w:eastAsia="zh-CN"/>
          <w:highlight w:val="auto"/>
        </w:rPr>
      </w:pPr>
      <w:r>
        <w:rPr>
          <w:rFonts w:eastAsia="黑体"/>
          <w:color w:val="auto"/>
          <w:sz w:val="44"/>
          <w:szCs w:val="44"/>
          <w:highlight w:val="auto"/>
        </w:rPr>
        <w:t xml:space="preserve">       第四部分</w:t>
      </w:r>
      <w:r>
        <w:rPr>
          <w:rFonts w:eastAsia="黑体"/>
          <w:color w:val="auto"/>
          <w:sz w:val="44"/>
          <w:szCs w:val="44"/>
          <w:lang w:val="en-US" w:eastAsia="zh-CN"/>
          <w:highlight w:val="auto"/>
        </w:rPr>
        <w:t xml:space="preserve"> </w:t>
      </w:r>
      <w:r>
        <w:rPr>
          <w:rFonts w:eastAsia="黑体"/>
          <w:color w:val="auto"/>
          <w:sz w:val="44"/>
          <w:szCs w:val="44"/>
          <w:highlight w:val="auto"/>
        </w:rPr>
        <w:t xml:space="preserve"> 附件</w:t>
      </w:r>
      <w:bookmarkEnd w:id="103"/>
    </w:p>
    <w:p>
      <w:pPr>
        <w:keepNext w:val="0"/>
        <w:keepLines w:val="0"/>
        <w:pageBreakBefore w:val="0"/>
        <w:widowControl w:val="0"/>
        <w:kinsoku/>
        <w:wordWrap/>
        <w:overflowPunct/>
        <w:topLinePunct w:val="0"/>
        <w:autoSpaceDE/>
        <w:autoSpaceDN/>
        <w:bidi w:val="0"/>
        <w:spacing w:line="576" w:lineRule="exact"/>
        <w:jc w:val="left"/>
        <w:textAlignment w:val="auto"/>
        <w:outlineLvl w:val="0"/>
        <w:rPr>
          <w:rFonts w:eastAsia="黑体"/>
          <w:color w:val="FF0000"/>
          <w:sz w:val="32"/>
          <w:szCs w:val="32"/>
          <w:highlight w:val="auto"/>
        </w:rPr>
      </w:pPr>
    </w:p>
    <w:p>
      <w:pPr>
        <w:keepNext w:val="0"/>
        <w:keepLines w:val="0"/>
        <w:pageBreakBefore w:val="0"/>
        <w:widowControl w:val="0"/>
        <w:kinsoku/>
        <w:wordWrap/>
        <w:overflowPunct/>
        <w:topLinePunct w:val="0"/>
        <w:autoSpaceDE/>
        <w:autoSpaceDN/>
        <w:bidi w:val="0"/>
        <w:spacing w:line="576" w:lineRule="exact"/>
        <w:jc w:val="left"/>
        <w:textAlignment w:val="auto"/>
        <w:outlineLvl w:val="0"/>
        <w:rPr>
          <w:rFonts w:eastAsia="黑体"/>
          <w:color w:val="auto"/>
          <w:sz w:val="44"/>
          <w:szCs w:val="44"/>
          <w:lang w:val="en-US" w:eastAsia="zh-CN"/>
          <w:highlight w:val="auto"/>
        </w:rPr>
      </w:pPr>
      <w:bookmarkStart w:id="104" w:name="_Toc23102410"/>
      <w:bookmarkStart w:id="105" w:name="_Toc23102379"/>
      <w:r>
        <w:rPr>
          <w:rFonts w:eastAsia="黑体"/>
          <w:color w:val="auto"/>
          <w:sz w:val="32"/>
          <w:szCs w:val="32"/>
          <w:highlight w:val="auto"/>
        </w:rPr>
        <w:t>附件</w:t>
      </w:r>
      <w:r>
        <w:rPr>
          <w:rFonts w:eastAsia="黑体"/>
          <w:color w:val="auto"/>
          <w:sz w:val="32"/>
          <w:szCs w:val="32"/>
          <w:lang w:val="en-US" w:eastAsia="zh-CN"/>
          <w:highlight w:val="auto"/>
        </w:rPr>
        <w:t>1</w:t>
      </w:r>
      <w:bookmarkEnd w:id="104"/>
      <w:bookmarkEnd w:id="105"/>
    </w:p>
    <w:p>
      <w:pPr>
        <w:keepNext w:val="0"/>
        <w:keepLines w:val="0"/>
        <w:pageBreakBefore w:val="0"/>
        <w:widowControl/>
        <w:kinsoku/>
        <w:wordWrap/>
        <w:overflowPunct/>
        <w:topLinePunct w:val="0"/>
        <w:autoSpaceDE/>
        <w:autoSpaceDN/>
        <w:bidi w:val="0"/>
        <w:spacing w:line="576" w:lineRule="exact"/>
        <w:contextualSpacing/>
        <w:jc w:val="center"/>
        <w:textAlignment w:val="auto"/>
        <w:outlineLvl w:val="9"/>
        <w:rPr>
          <w:rFonts w:eastAsia="方正小标宋简体"/>
          <w:b w:val="0"/>
          <w:bCs/>
          <w:sz w:val="44"/>
          <w:szCs w:val="44"/>
          <w:shd w:val="clear" w:color="auto" w:fill="FFFFFF"/>
          <w:highlight w:val="auto"/>
        </w:rPr>
      </w:pPr>
    </w:p>
    <w:p>
      <w:pPr>
        <w:keepNext w:val="0"/>
        <w:keepLines w:val="0"/>
        <w:pageBreakBefore w:val="0"/>
        <w:widowControl/>
        <w:kinsoku/>
        <w:wordWrap/>
        <w:overflowPunct/>
        <w:topLinePunct w:val="0"/>
        <w:autoSpaceDE/>
        <w:autoSpaceDN/>
        <w:bidi w:val="0"/>
        <w:spacing w:line="576" w:lineRule="exact"/>
        <w:contextualSpacing/>
        <w:jc w:val="center"/>
        <w:textAlignment w:val="auto"/>
        <w:outlineLvl w:val="9"/>
        <w:rPr>
          <w:rFonts w:ascii="方正公文小标宋" w:eastAsia="方正公文小标宋" w:hint="eastAsia"/>
          <w:bCs/>
          <w:sz w:val="44"/>
          <w:szCs w:val="44"/>
          <w:highlight w:val="auto"/>
        </w:rPr>
      </w:pPr>
      <w:r>
        <w:rPr>
          <w:rFonts w:ascii="方正公文小标宋" w:eastAsia="方正公文小标宋" w:hint="eastAsia"/>
          <w:bCs/>
          <w:sz w:val="44"/>
          <w:szCs w:val="44"/>
          <w:highlight w:val="auto"/>
        </w:rPr>
        <w:t>部门</w:t>
      </w:r>
      <w:r>
        <w:rPr>
          <w:rFonts w:ascii="方正公文小标宋" w:eastAsia="方正公文小标宋" w:hint="eastAsia"/>
          <w:bCs/>
          <w:sz w:val="44"/>
          <w:szCs w:val="44"/>
          <w:lang w:eastAsia="zh-CN"/>
          <w:highlight w:val="auto"/>
        </w:rPr>
        <w:t>预算</w:t>
      </w:r>
      <w:r>
        <w:rPr>
          <w:rFonts w:ascii="方正公文小标宋" w:eastAsia="方正公文小标宋" w:hint="eastAsia"/>
          <w:bCs/>
          <w:sz w:val="44"/>
          <w:szCs w:val="44"/>
          <w:highlight w:val="auto"/>
        </w:rPr>
        <w:t>绩效</w:t>
      </w:r>
      <w:r>
        <w:rPr>
          <w:rFonts w:ascii="方正公文小标宋" w:eastAsia="方正公文小标宋" w:hint="eastAsia"/>
          <w:bCs/>
          <w:sz w:val="44"/>
          <w:szCs w:val="44"/>
          <w:lang w:eastAsia="zh-CN"/>
          <w:highlight w:val="auto"/>
        </w:rPr>
        <w:t>评价</w:t>
      </w:r>
      <w:r>
        <w:rPr>
          <w:rFonts w:ascii="方正公文小标宋" w:eastAsia="方正公文小标宋" w:hint="eastAsia"/>
          <w:bCs/>
          <w:sz w:val="44"/>
          <w:szCs w:val="44"/>
          <w:highlight w:val="auto"/>
        </w:rPr>
        <w:t>报告</w:t>
      </w:r>
    </w:p>
    <w:p>
      <w:pPr>
        <w:keepNext w:val="0"/>
        <w:keepLines w:val="0"/>
        <w:pageBreakBefore w:val="0"/>
        <w:widowControl/>
        <w:kinsoku/>
        <w:wordWrap/>
        <w:overflowPunct/>
        <w:topLinePunct w:val="0"/>
        <w:autoSpaceDE/>
        <w:autoSpaceDN/>
        <w:bidi w:val="0"/>
        <w:spacing w:line="576" w:lineRule="exact"/>
        <w:contextualSpacing/>
        <w:jc w:val="center"/>
        <w:textAlignment w:val="auto"/>
        <w:outlineLvl w:val="9"/>
        <w:rPr>
          <w:rFonts w:eastAsia="仿宋_GB2312"/>
          <w:bCs/>
          <w:sz w:val="32"/>
          <w:szCs w:val="32"/>
          <w:highlight w:val="auto"/>
        </w:rPr>
      </w:pPr>
      <w:r>
        <w:rPr>
          <w:rFonts w:eastAsia="仿宋_GB2312"/>
          <w:bCs/>
          <w:sz w:val="32"/>
          <w:szCs w:val="32"/>
          <w:highlight w:val="auto"/>
        </w:rPr>
        <w:t>（州专用通信中心）</w:t>
      </w:r>
    </w:p>
    <w:p>
      <w:pPr>
        <w:keepNext w:val="0"/>
        <w:keepLines w:val="0"/>
        <w:pageBreakBefore w:val="0"/>
        <w:widowControl/>
        <w:kinsoku/>
        <w:wordWrap/>
        <w:overflowPunct/>
        <w:topLinePunct w:val="0"/>
        <w:autoSpaceDE/>
        <w:autoSpaceDN/>
        <w:bidi w:val="0"/>
        <w:adjustRightInd w:val="0"/>
        <w:snapToGrid w:val="0"/>
        <w:spacing w:line="576" w:lineRule="exact"/>
        <w:ind w:firstLineChars="200" w:firstLine="640"/>
        <w:contextualSpacing/>
        <w:jc w:val="left"/>
        <w:textAlignment w:val="auto"/>
        <w:outlineLvl w:val="9"/>
        <w:rPr>
          <w:rFonts w:eastAsia="仿宋_GB2312"/>
          <w:bCs/>
          <w:sz w:val="32"/>
          <w:szCs w:val="32"/>
          <w:highlight w:val="auto"/>
        </w:rPr>
      </w:pPr>
    </w:p>
    <w:p>
      <w:pPr>
        <w:keepNext w:val="0"/>
        <w:keepLines w:val="0"/>
        <w:pageBreakBefore w:val="0"/>
        <w:widowControl/>
        <w:kinsoku/>
        <w:wordWrap/>
        <w:overflowPunct/>
        <w:topLinePunct w:val="0"/>
        <w:autoSpaceDE/>
        <w:autoSpaceDN/>
        <w:bidi w:val="0"/>
        <w:adjustRightInd w:val="0"/>
        <w:snapToGrid w:val="0"/>
        <w:spacing w:line="576" w:lineRule="exact"/>
        <w:ind w:left="0" w:firstLineChars="200" w:firstLine="640"/>
        <w:contextualSpacing/>
        <w:jc w:val="left"/>
        <w:textAlignment w:val="auto"/>
        <w:outlineLvl w:val="9"/>
        <w:rPr>
          <w:rFonts w:ascii="方正黑体_GBK" w:eastAsia="方正黑体_GBK" w:hint="eastAsia"/>
          <w:b/>
          <w:bCs/>
          <w:sz w:val="32"/>
          <w:szCs w:val="32"/>
          <w:lang w:val="zh-CN"/>
          <w:highlight w:val="auto"/>
        </w:rPr>
      </w:pPr>
      <w:r>
        <w:rPr>
          <w:rFonts w:ascii="方正黑体_GBK" w:eastAsia="方正黑体_GBK" w:hint="eastAsia"/>
          <w:b/>
          <w:bCs/>
          <w:sz w:val="32"/>
          <w:szCs w:val="32"/>
          <w:lang w:val="zh-CN"/>
          <w:highlight w:val="auto"/>
        </w:rPr>
        <w:t>一、部门（单位）基本情况</w:t>
      </w:r>
    </w:p>
    <w:p>
      <w:pPr>
        <w:pStyle w:val="32"/>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eastAsia="楷体_GB2312"/>
          <w:b/>
          <w:bCs/>
          <w:sz w:val="32"/>
          <w:szCs w:val="32"/>
          <w:lang w:val="zh-CN"/>
        </w:rPr>
      </w:pPr>
      <w:bookmarkStart w:id="106" w:name="_Toc23102411"/>
      <w:bookmarkStart w:id="107" w:name="_Toc23102380"/>
      <w:r>
        <w:rPr>
          <w:rFonts w:ascii="方正楷体_GBK" w:eastAsia="方正楷体_GBK" w:hint="eastAsia"/>
          <w:bCs/>
          <w:sz w:val="32"/>
          <w:szCs w:val="32"/>
          <w:highlight w:val="auto"/>
        </w:rPr>
        <w:t>（一）机构组成。</w:t>
      </w:r>
      <w:r>
        <w:rPr>
          <w:rFonts w:eastAsia="仿宋_GB2312"/>
          <w:bCs/>
          <w:sz w:val="32"/>
          <w:szCs w:val="32"/>
        </w:rPr>
        <w:t>内容涉密，不作表述。</w:t>
      </w:r>
      <w:bookmarkEnd w:id="106"/>
      <w:bookmarkEnd w:id="107"/>
    </w:p>
    <w:p>
      <w:pPr>
        <w:pStyle w:val="32"/>
        <w:keepNext w:val="0"/>
        <w:keepLines w:val="0"/>
        <w:pageBreakBefore w:val="0"/>
        <w:widowControl w:val="0"/>
        <w:kinsoku/>
        <w:wordWrap/>
        <w:overflowPunct/>
        <w:topLinePunct w:val="0"/>
        <w:autoSpaceDE/>
        <w:autoSpaceDN/>
        <w:adjustRightInd/>
        <w:snapToGrid/>
        <w:spacing w:line="576" w:lineRule="exact"/>
        <w:ind w:left="0" w:firstLineChars="200" w:firstLine="640"/>
        <w:outlineLvl w:val="1"/>
        <w:rPr>
          <w:rFonts w:eastAsia="楷体_GB2312"/>
          <w:b/>
          <w:bCs/>
          <w:sz w:val="32"/>
          <w:szCs w:val="32"/>
          <w:lang w:val="zh-CN"/>
        </w:rPr>
      </w:pPr>
      <w:bookmarkStart w:id="108" w:name="_Toc23102381"/>
      <w:bookmarkStart w:id="109" w:name="_Toc23102412"/>
      <w:r>
        <w:rPr>
          <w:rFonts w:ascii="方正楷体_GBK" w:eastAsia="方正楷体_GBK" w:hint="eastAsia"/>
          <w:bCs/>
          <w:sz w:val="32"/>
          <w:szCs w:val="32"/>
          <w:lang w:val="zh-CN"/>
          <w:highlight w:val="auto"/>
        </w:rPr>
        <w:t>（二）机构职能。</w:t>
      </w:r>
      <w:r>
        <w:rPr>
          <w:rFonts w:eastAsia="仿宋_GB2312"/>
          <w:bCs/>
          <w:sz w:val="32"/>
          <w:szCs w:val="32"/>
        </w:rPr>
        <w:t>内容涉密，不作表述。</w:t>
      </w:r>
      <w:bookmarkEnd w:id="108"/>
      <w:bookmarkEnd w:id="109"/>
    </w:p>
    <w:p>
      <w:pPr>
        <w:keepNext w:val="0"/>
        <w:keepLines w:val="0"/>
        <w:pageBreakBefore w:val="0"/>
        <w:widowControl w:val="0"/>
        <w:kinsoku/>
        <w:wordWrap/>
        <w:overflowPunct/>
        <w:topLinePunct w:val="0"/>
        <w:autoSpaceDE/>
        <w:autoSpaceDN/>
        <w:bidi w:val="0"/>
        <w:adjustRightInd/>
        <w:snapToGrid/>
        <w:spacing w:line="576" w:lineRule="exact"/>
        <w:ind w:firstLineChars="200" w:firstLine="640"/>
        <w:textAlignment w:val="auto"/>
        <w:rPr>
          <w:szCs w:val="32"/>
        </w:rPr>
      </w:pPr>
      <w:r>
        <w:rPr>
          <w:rFonts w:ascii="方正楷体_GBK" w:eastAsia="方正楷体_GBK" w:hint="eastAsia"/>
          <w:bCs/>
          <w:sz w:val="32"/>
          <w:szCs w:val="32"/>
          <w:lang w:val="zh-CN"/>
          <w:highlight w:val="auto"/>
        </w:rPr>
        <w:t>（三）人员概况。</w:t>
      </w:r>
      <w:r>
        <w:rPr>
          <w:rFonts w:eastAsia="仿宋_GB2312"/>
          <w:sz w:val="32"/>
          <w:szCs w:val="32"/>
        </w:rPr>
        <w:t>截至2025年末，</w:t>
      </w:r>
      <w:r>
        <w:rPr>
          <w:rFonts w:eastAsia="仿宋_GB2312"/>
          <w:color w:val="auto"/>
          <w:kern w:val="2"/>
          <w:sz w:val="32"/>
          <w:szCs w:val="32"/>
          <w:lang w:val="en-US" w:eastAsia="zh-CN" w:bidi="ar-SA"/>
          <w:highlight w:val="auto"/>
        </w:rPr>
        <w:t>州专用通信中心（含州涉密文档专管中心）</w:t>
      </w:r>
      <w:r>
        <w:rPr>
          <w:rFonts w:eastAsia="仿宋_GB2312"/>
          <w:sz w:val="32"/>
          <w:szCs w:val="32"/>
          <w:lang w:val="en-US" w:eastAsia="zh-CN"/>
        </w:rPr>
        <w:t>年末实有人数13人。</w:t>
      </w:r>
    </w:p>
    <w:p>
      <w:pPr>
        <w:keepNext w:val="0"/>
        <w:keepLines w:val="0"/>
        <w:pageBreakBefore w:val="0"/>
        <w:widowControl/>
        <w:kinsoku/>
        <w:wordWrap/>
        <w:overflowPunct/>
        <w:topLinePunct w:val="0"/>
        <w:autoSpaceDE/>
        <w:autoSpaceDN/>
        <w:adjustRightInd w:val="0"/>
        <w:snapToGrid w:val="0"/>
        <w:spacing w:line="576" w:lineRule="exact"/>
        <w:ind w:left="0" w:firstLineChars="200" w:firstLine="640"/>
        <w:contextualSpacing/>
        <w:jc w:val="left"/>
        <w:rPr>
          <w:rFonts w:ascii="方正黑体_GBK" w:eastAsia="方正黑体_GBK" w:hint="eastAsia"/>
          <w:b/>
          <w:bCs/>
          <w:sz w:val="32"/>
          <w:szCs w:val="32"/>
          <w:lang w:val="zh-CN" w:eastAsia="zh-CN"/>
          <w:highlight w:val="auto"/>
        </w:rPr>
      </w:pPr>
      <w:r>
        <w:rPr>
          <w:rFonts w:ascii="方正黑体_GBK" w:eastAsia="方正黑体_GBK" w:hint="eastAsia"/>
          <w:b/>
          <w:bCs/>
          <w:sz w:val="32"/>
          <w:szCs w:val="32"/>
          <w:lang w:val="zh-CN" w:eastAsia="zh-CN"/>
          <w:highlight w:val="auto"/>
        </w:rPr>
        <w:t>二、部门资金收支情况</w:t>
      </w:r>
    </w:p>
    <w:p>
      <w:pPr>
        <w:keepNext w:val="0"/>
        <w:keepLines w:val="0"/>
        <w:pageBreakBefore w:val="0"/>
        <w:widowControl/>
        <w:kinsoku/>
        <w:wordWrap/>
        <w:overflowPunct/>
        <w:topLinePunct w:val="0"/>
        <w:autoSpaceDE/>
        <w:autoSpaceDN/>
        <w:bidi w:val="0"/>
        <w:adjustRightInd w:val="0"/>
        <w:snapToGrid w:val="0"/>
        <w:spacing w:line="576" w:lineRule="exact"/>
        <w:ind w:firstLineChars="200" w:firstLine="640"/>
        <w:contextualSpacing/>
        <w:jc w:val="left"/>
        <w:textAlignment w:val="auto"/>
        <w:outlineLvl w:val="9"/>
        <w:rPr>
          <w:rFonts w:eastAsia="楷体_GB2312"/>
          <w:b/>
          <w:bCs/>
          <w:color w:val="000000"/>
          <w:kern w:val="0"/>
          <w:szCs w:val="32"/>
          <w:shd w:val="clear" w:color="auto" w:fill="FFFFFF"/>
          <w:lang w:val="en-US"/>
          <w:highlight w:val="auto"/>
        </w:rPr>
      </w:pPr>
      <w:r>
        <w:rPr>
          <w:rFonts w:ascii="方正楷体_GBK" w:eastAsia="方正楷体_GBK" w:hint="eastAsia"/>
          <w:bCs/>
          <w:sz w:val="32"/>
          <w:szCs w:val="32"/>
          <w:lang w:val="zh-CN"/>
          <w:highlight w:val="auto"/>
        </w:rPr>
        <w:t>（一）收入情况。</w:t>
      </w:r>
      <w:r>
        <w:rPr>
          <w:rFonts w:eastAsia="仿宋_GB2312"/>
          <w:sz w:val="32"/>
          <w:szCs w:val="32"/>
          <w:highlight w:val="auto"/>
        </w:rPr>
        <w:t>州专用通信中心</w:t>
      </w:r>
      <w:r>
        <w:rPr>
          <w:rFonts w:eastAsia="仿宋_GB2312"/>
          <w:sz w:val="32"/>
          <w:szCs w:val="32"/>
          <w:lang w:val="en-US" w:eastAsia="zh-CN"/>
        </w:rPr>
        <w:t>2025年年初预算收入</w:t>
      </w:r>
      <w:r>
        <w:rPr>
          <w:rFonts w:eastAsia="仿宋_GB2312"/>
          <w:sz w:val="32"/>
          <w:szCs w:val="32"/>
        </w:rPr>
        <w:t>495.03</w:t>
      </w:r>
      <w:r>
        <w:rPr>
          <w:rFonts w:eastAsia="仿宋_GB2312"/>
          <w:sz w:val="32"/>
          <w:szCs w:val="32"/>
          <w:lang w:val="en-US" w:eastAsia="zh-CN"/>
        </w:rPr>
        <w:t>万元，决算报表收入</w:t>
      </w:r>
      <w:r>
        <w:rPr>
          <w:rFonts w:eastAsia="仿宋_GB2312"/>
          <w:sz w:val="32"/>
          <w:szCs w:val="32"/>
        </w:rPr>
        <w:t>495.03</w:t>
      </w:r>
      <w:r>
        <w:rPr>
          <w:rFonts w:eastAsia="仿宋_GB2312"/>
          <w:sz w:val="32"/>
          <w:szCs w:val="32"/>
          <w:lang w:val="en-US" w:eastAsia="zh-CN"/>
        </w:rPr>
        <w:t>万元。</w:t>
      </w:r>
    </w:p>
    <w:p>
      <w:pPr>
        <w:keepNext w:val="0"/>
        <w:keepLines w:val="0"/>
        <w:pageBreakBefore w:val="0"/>
        <w:widowControl/>
        <w:kinsoku/>
        <w:wordWrap/>
        <w:overflowPunct/>
        <w:topLinePunct w:val="0"/>
        <w:autoSpaceDE/>
        <w:autoSpaceDN/>
        <w:bidi w:val="0"/>
        <w:adjustRightInd w:val="0"/>
        <w:snapToGrid w:val="0"/>
        <w:spacing w:line="576" w:lineRule="exact"/>
        <w:ind w:firstLineChars="200" w:firstLine="640"/>
        <w:contextualSpacing/>
        <w:jc w:val="left"/>
        <w:textAlignment w:val="auto"/>
        <w:outlineLvl w:val="9"/>
        <w:rPr>
          <w:szCs w:val="32"/>
          <w:lang w:val="zh-CN" w:eastAsia="zh-CN"/>
        </w:rPr>
      </w:pPr>
      <w:r>
        <w:rPr>
          <w:rFonts w:ascii="方正楷体_GBK" w:eastAsia="方正楷体_GBK" w:hint="eastAsia"/>
          <w:bCs/>
          <w:sz w:val="32"/>
          <w:szCs w:val="32"/>
          <w:lang w:val="zh-CN"/>
          <w:highlight w:val="auto"/>
        </w:rPr>
        <w:t>（二）支出情况。</w:t>
      </w:r>
      <w:r>
        <w:rPr>
          <w:rFonts w:eastAsia="仿宋_GB2312"/>
          <w:sz w:val="32"/>
          <w:szCs w:val="32"/>
          <w:highlight w:val="auto"/>
        </w:rPr>
        <w:t>州专用通信中心</w:t>
      </w:r>
      <w:r>
        <w:rPr>
          <w:rFonts w:eastAsia="仿宋_GB2312"/>
          <w:sz w:val="32"/>
          <w:szCs w:val="32"/>
        </w:rPr>
        <w:t>2</w:t>
      </w:r>
      <w:r>
        <w:rPr>
          <w:rFonts w:eastAsia="仿宋_GB2312"/>
          <w:sz w:val="32"/>
          <w:szCs w:val="32"/>
          <w:lang w:val="en-US" w:eastAsia="zh-CN"/>
        </w:rPr>
        <w:t>025年年初预算支出</w:t>
      </w:r>
      <w:r>
        <w:rPr>
          <w:rFonts w:eastAsia="仿宋_GB2312"/>
          <w:sz w:val="32"/>
          <w:szCs w:val="32"/>
        </w:rPr>
        <w:t>495.03</w:t>
      </w:r>
      <w:r>
        <w:rPr>
          <w:rFonts w:eastAsia="仿宋_GB2312"/>
          <w:sz w:val="32"/>
          <w:szCs w:val="32"/>
          <w:lang w:val="en-US" w:eastAsia="zh-CN"/>
        </w:rPr>
        <w:t>万元、决算报表支出</w:t>
      </w:r>
      <w:r>
        <w:rPr>
          <w:rFonts w:eastAsia="仿宋_GB2312"/>
          <w:sz w:val="32"/>
          <w:szCs w:val="32"/>
        </w:rPr>
        <w:t>495.03</w:t>
      </w:r>
      <w:r>
        <w:rPr>
          <w:rFonts w:eastAsia="仿宋_GB2312"/>
          <w:sz w:val="32"/>
          <w:szCs w:val="32"/>
          <w:lang w:val="en-US" w:eastAsia="zh-CN"/>
        </w:rPr>
        <w:t>万元。</w:t>
      </w:r>
    </w:p>
    <w:p>
      <w:pPr>
        <w:keepNext w:val="0"/>
        <w:keepLines w:val="0"/>
        <w:pageBreakBefore w:val="0"/>
        <w:widowControl/>
        <w:kinsoku/>
        <w:wordWrap/>
        <w:overflowPunct/>
        <w:topLinePunct w:val="0"/>
        <w:autoSpaceDE/>
        <w:autoSpaceDN/>
        <w:bidi w:val="0"/>
        <w:adjustRightInd w:val="0"/>
        <w:snapToGrid w:val="0"/>
        <w:spacing w:line="576" w:lineRule="exact"/>
        <w:ind w:firstLineChars="200" w:firstLine="640"/>
        <w:contextualSpacing/>
        <w:jc w:val="left"/>
        <w:textAlignment w:val="auto"/>
        <w:outlineLvl w:val="9"/>
        <w:rPr>
          <w:rFonts w:eastAsia="仿宋_GB2312"/>
          <w:b w:val="0"/>
          <w:bCs w:val="0"/>
          <w:color w:val="000000"/>
          <w:kern w:val="0"/>
          <w:szCs w:val="32"/>
          <w:shd w:val="clear" w:color="auto" w:fill="FFFFFF"/>
          <w:lang w:val="zh-CN" w:eastAsia="zh-CN"/>
          <w:highlight w:val="auto"/>
        </w:rPr>
      </w:pPr>
      <w:r>
        <w:rPr>
          <w:rFonts w:ascii="方正楷体_GBK" w:eastAsia="方正楷体_GBK" w:hint="eastAsia"/>
          <w:bCs/>
          <w:sz w:val="32"/>
          <w:szCs w:val="32"/>
          <w:lang w:val="zh-CN"/>
          <w:highlight w:val="auto"/>
        </w:rPr>
        <w:t>（三）结余分配和结转结余情况</w:t>
      </w:r>
      <w:r>
        <w:rPr>
          <w:rFonts w:ascii="方正楷体_GBK" w:eastAsia="方正楷体_GBK" w:hint="eastAsia"/>
          <w:bCs/>
          <w:sz w:val="32"/>
          <w:szCs w:val="32"/>
          <w:lang w:val="zh-CN" w:eastAsia="zh-CN"/>
          <w:highlight w:val="auto"/>
        </w:rPr>
        <w:t>。</w:t>
      </w:r>
      <w:r>
        <w:rPr>
          <w:rFonts w:eastAsia="仿宋_GB2312"/>
          <w:sz w:val="32"/>
          <w:szCs w:val="32"/>
          <w:highlight w:val="auto"/>
        </w:rPr>
        <w:t>州专用通信中心</w:t>
      </w:r>
      <w:r>
        <w:rPr>
          <w:rFonts w:eastAsia="仿宋_GB2312"/>
          <w:sz w:val="32"/>
          <w:szCs w:val="32"/>
          <w:lang w:val="en-US" w:eastAsia="zh-CN"/>
        </w:rPr>
        <w:t>2025年决算报表无结转结余。</w:t>
      </w:r>
    </w:p>
    <w:p>
      <w:pPr>
        <w:keepNext w:val="0"/>
        <w:keepLines w:val="0"/>
        <w:pageBreakBefore w:val="0"/>
        <w:widowControl/>
        <w:kinsoku/>
        <w:wordWrap/>
        <w:overflowPunct/>
        <w:topLinePunct w:val="0"/>
        <w:autoSpaceDE/>
        <w:autoSpaceDN/>
        <w:adjustRightInd w:val="0"/>
        <w:snapToGrid w:val="0"/>
        <w:spacing w:line="576" w:lineRule="exact"/>
        <w:ind w:left="0" w:firstLineChars="200" w:firstLine="640"/>
        <w:contextualSpacing/>
        <w:jc w:val="left"/>
        <w:rPr>
          <w:rFonts w:eastAsia="黑体"/>
          <w:color w:val="000000"/>
          <w:kern w:val="0"/>
          <w:sz w:val="32"/>
          <w:szCs w:val="32"/>
          <w:shd w:val="clear" w:color="auto" w:fill="FFFFFF"/>
          <w:lang w:val="zh-CN" w:eastAsia="zh-CN"/>
          <w:highlight w:val="auto"/>
        </w:rPr>
      </w:pPr>
      <w:r>
        <w:rPr>
          <w:rFonts w:ascii="方正黑体_GBK" w:eastAsia="方正黑体_GBK" w:hint="eastAsia"/>
          <w:b/>
          <w:bCs/>
          <w:sz w:val="32"/>
          <w:szCs w:val="32"/>
          <w:lang w:val="zh-CN" w:eastAsia="zh-CN"/>
          <w:highlight w:val="auto"/>
        </w:rPr>
        <w:t>三、部门预算绩效分析</w:t>
      </w:r>
    </w:p>
    <w:p>
      <w:pPr>
        <w:keepNext w:val="0"/>
        <w:keepLines w:val="0"/>
        <w:pageBreakBefore w:val="0"/>
        <w:widowControl w:val="0"/>
        <w:kinsoku/>
        <w:wordWrap/>
        <w:overflowPunct/>
        <w:topLinePunct w:val="0"/>
        <w:autoSpaceDE/>
        <w:autoSpaceDN/>
        <w:bidi w:val="0"/>
        <w:adjustRightInd w:val="0"/>
        <w:snapToGrid w:val="0"/>
        <w:spacing w:line="576" w:lineRule="exact"/>
        <w:ind w:left="0" w:firstLineChars="200" w:firstLine="640"/>
        <w:contextualSpacing/>
        <w:jc w:val="left"/>
        <w:textAlignment w:val="auto"/>
        <w:outlineLvl w:val="9"/>
        <w:rPr>
          <w:rFonts w:eastAsia="仿宋_GB2312"/>
          <w:color w:val="auto"/>
          <w:kern w:val="2"/>
          <w:sz w:val="32"/>
          <w:szCs w:val="32"/>
          <w:lang w:val="zh-CN" w:eastAsia="zh-CN" w:bidi="ar-SA"/>
          <w:highlight w:val="auto"/>
        </w:rPr>
      </w:pPr>
      <w:r>
        <w:rPr>
          <w:rFonts w:ascii="方正楷体_GBK" w:eastAsia="方正楷体_GBK" w:hint="eastAsia"/>
          <w:bCs/>
          <w:sz w:val="32"/>
          <w:szCs w:val="32"/>
          <w:lang w:val="zh-CN"/>
          <w:highlight w:val="auto"/>
        </w:rPr>
        <w:t>（一）部门预算总体绩效分析。</w:t>
      </w:r>
    </w:p>
    <w:p>
      <w:pPr>
        <w:keepNext w:val="0"/>
        <w:keepLines w:val="0"/>
        <w:pageBreakBefore w:val="0"/>
        <w:widowControl w:val="0"/>
        <w:kinsoku/>
        <w:wordWrap/>
        <w:overflowPunct/>
        <w:topLinePunct w:val="0"/>
        <w:autoSpaceDE/>
        <w:autoSpaceDN/>
        <w:bidi w:val="0"/>
        <w:adjustRightInd w:val="0"/>
        <w:snapToGrid w:val="0"/>
        <w:spacing w:line="576" w:lineRule="exact"/>
        <w:ind w:left="0" w:firstLineChars="200" w:firstLine="640"/>
        <w:contextualSpacing/>
        <w:jc w:val="left"/>
        <w:textAlignment w:val="auto"/>
        <w:outlineLvl w:val="9"/>
        <w:rPr>
          <w:rFonts w:eastAsia="仿宋_GB2312"/>
          <w:color w:val="auto"/>
          <w:kern w:val="2"/>
          <w:sz w:val="32"/>
          <w:szCs w:val="32"/>
          <w:lang w:val="zh-CN" w:eastAsia="zh-CN" w:bidi="ar-SA"/>
          <w:highlight w:val="auto"/>
        </w:rPr>
      </w:pPr>
      <w:r>
        <w:rPr>
          <w:rFonts w:eastAsia="仿宋_GB2312"/>
          <w:b/>
          <w:bCs/>
          <w:color w:val="auto"/>
          <w:kern w:val="2"/>
          <w:sz w:val="32"/>
          <w:szCs w:val="32"/>
          <w:lang w:val="en-US" w:eastAsia="zh-CN" w:bidi="ar-SA"/>
          <w:highlight w:val="auto"/>
        </w:rPr>
        <w:t>1.</w:t>
      </w:r>
      <w:r>
        <w:rPr>
          <w:rFonts w:eastAsia="仿宋_GB2312"/>
          <w:b/>
          <w:bCs/>
          <w:color w:val="auto"/>
          <w:kern w:val="2"/>
          <w:sz w:val="32"/>
          <w:szCs w:val="32"/>
          <w:lang w:val="zh-CN" w:eastAsia="zh-CN" w:bidi="ar-SA"/>
          <w:highlight w:val="auto"/>
        </w:rPr>
        <w:t>履职效能。</w:t>
      </w:r>
      <w:r>
        <w:rPr>
          <w:rFonts w:eastAsia="仿宋_GB2312"/>
          <w:bCs/>
          <w:sz w:val="32"/>
          <w:szCs w:val="32"/>
        </w:rPr>
        <w:t>内容涉密，不作表述。</w:t>
      </w:r>
    </w:p>
    <w:p>
      <w:pPr>
        <w:keepNext w:val="0"/>
        <w:keepLines w:val="0"/>
        <w:pageBreakBefore w:val="0"/>
        <w:widowControl w:val="0"/>
        <w:kinsoku/>
        <w:wordWrap/>
        <w:overflowPunct/>
        <w:topLinePunct w:val="0"/>
        <w:autoSpaceDE/>
        <w:autoSpaceDN/>
        <w:bidi w:val="0"/>
        <w:adjustRightInd w:val="0"/>
        <w:snapToGrid w:val="0"/>
        <w:spacing w:line="576" w:lineRule="exact"/>
        <w:ind w:left="0" w:firstLineChars="200" w:firstLine="640"/>
        <w:contextualSpacing/>
        <w:jc w:val="left"/>
        <w:textAlignment w:val="auto"/>
        <w:outlineLvl w:val="9"/>
        <w:rPr>
          <w:rFonts w:eastAsia="仿宋_GB2312"/>
          <w:color w:val="auto"/>
          <w:kern w:val="2"/>
          <w:sz w:val="32"/>
          <w:szCs w:val="32"/>
          <w:lang w:val="zh-CN" w:eastAsia="zh-CN" w:bidi="ar-SA"/>
          <w:highlight w:val="auto"/>
        </w:rPr>
      </w:pPr>
      <w:r>
        <w:rPr>
          <w:rFonts w:eastAsia="仿宋_GB2312"/>
          <w:b/>
          <w:bCs/>
          <w:color w:val="auto"/>
          <w:kern w:val="2"/>
          <w:sz w:val="32"/>
          <w:szCs w:val="32"/>
          <w:lang w:val="en-US" w:eastAsia="zh-CN" w:bidi="ar-SA"/>
          <w:highlight w:val="auto"/>
        </w:rPr>
        <w:t>2.</w:t>
      </w:r>
      <w:r>
        <w:rPr>
          <w:rFonts w:eastAsia="仿宋_GB2312"/>
          <w:b/>
          <w:bCs/>
          <w:color w:val="auto"/>
          <w:kern w:val="2"/>
          <w:sz w:val="32"/>
          <w:szCs w:val="32"/>
          <w:lang w:val="zh-CN" w:eastAsia="zh-CN" w:bidi="ar-SA"/>
          <w:highlight w:val="auto"/>
        </w:rPr>
        <w:t>预算管理。</w:t>
      </w:r>
      <w:r>
        <w:rPr>
          <w:rFonts w:ascii="Times New Roman" w:eastAsia="仿宋_GB2312" w:hAnsi="Times New Roman" w:hint="eastAsia"/>
          <w:sz w:val="32"/>
          <w:szCs w:val="32"/>
          <w:lang w:val="zh-CN" w:eastAsia="zh-CN"/>
        </w:rPr>
        <w:t>根据年度经济社会发展目标、国家宏观调控总体要求和跨年度预算平衡的需要，参考上一年预算执行情况、有关支出绩效评价结果和本年度收支预测，按照规定程序征求各方面意见后，进行编制。应当按照</w:t>
      </w:r>
      <w:r>
        <w:rPr>
          <w:rFonts w:ascii="Times New Roman" w:eastAsia="仿宋_GB2312" w:hAnsi="Times New Roman"/>
          <w:sz w:val="32"/>
          <w:szCs w:val="32"/>
          <w:lang w:val="zh-CN" w:eastAsia="zh-CN"/>
        </w:rPr>
        <w:t>指定</w:t>
      </w:r>
      <w:r>
        <w:rPr>
          <w:rFonts w:ascii="Times New Roman" w:eastAsia="仿宋_GB2312" w:hAnsi="Times New Roman" w:hint="eastAsia"/>
          <w:sz w:val="32"/>
          <w:szCs w:val="32"/>
          <w:lang w:val="zh-CN" w:eastAsia="zh-CN"/>
        </w:rPr>
        <w:t>的政府收支分类科目、预算支出标准和要求，以及绩效目标管理等预算编制规定，根据其依法履行职能和事业发展的需要以及存量资产情况，</w:t>
      </w:r>
      <w:r>
        <w:rPr>
          <w:rFonts w:ascii="Times New Roman" w:eastAsia="仿宋_GB2312" w:hAnsi="Times New Roman"/>
          <w:sz w:val="32"/>
          <w:szCs w:val="32"/>
          <w:lang w:val="zh-CN" w:eastAsia="zh-CN"/>
        </w:rPr>
        <w:t>我</w:t>
      </w:r>
      <w:r>
        <w:rPr>
          <w:rFonts w:ascii="Times New Roman" w:eastAsia="仿宋_GB2312" w:hAnsi="Times New Roman" w:hint="eastAsia"/>
          <w:sz w:val="32"/>
          <w:szCs w:val="32"/>
          <w:lang w:val="zh-CN" w:eastAsia="zh-CN"/>
        </w:rPr>
        <w:t>中心预算草案。政府收支分类科目，收入分为类、款、项、目；支出按其功能分类分为类、款、项，按其经济性质分类分为类、款</w:t>
      </w:r>
      <w:r>
        <w:rPr>
          <w:rFonts w:ascii="Times New Roman" w:eastAsia="仿宋_GB2312" w:hAnsi="Times New Roman"/>
          <w:sz w:val="32"/>
          <w:szCs w:val="32"/>
          <w:lang w:val="zh-CN" w:eastAsia="zh-CN"/>
        </w:rPr>
        <w:t>。</w:t>
      </w:r>
    </w:p>
    <w:p>
      <w:pPr>
        <w:keepNext w:val="0"/>
        <w:keepLines w:val="0"/>
        <w:pageBreakBefore w:val="0"/>
        <w:widowControl w:val="0"/>
        <w:kinsoku/>
        <w:wordWrap/>
        <w:overflowPunct/>
        <w:topLinePunct w:val="0"/>
        <w:autoSpaceDE/>
        <w:autoSpaceDN/>
        <w:bidi w:val="0"/>
        <w:adjustRightInd w:val="0"/>
        <w:snapToGrid w:val="0"/>
        <w:spacing w:line="576" w:lineRule="exact"/>
        <w:ind w:left="0" w:firstLineChars="200" w:firstLine="640"/>
        <w:contextualSpacing/>
        <w:jc w:val="left"/>
        <w:textAlignment w:val="auto"/>
        <w:outlineLvl w:val="9"/>
        <w:rPr>
          <w:rFonts w:eastAsia="仿宋_GB2312"/>
          <w:color w:val="auto"/>
          <w:kern w:val="2"/>
          <w:sz w:val="32"/>
          <w:szCs w:val="32"/>
          <w:lang w:val="zh-CN" w:eastAsia="zh-CN" w:bidi="ar-SA"/>
          <w:highlight w:val="auto"/>
        </w:rPr>
      </w:pPr>
      <w:r>
        <w:rPr>
          <w:rFonts w:eastAsia="仿宋_GB2312"/>
          <w:b/>
          <w:bCs/>
          <w:color w:val="auto"/>
          <w:kern w:val="2"/>
          <w:sz w:val="32"/>
          <w:szCs w:val="32"/>
          <w:lang w:val="en-US" w:eastAsia="zh-CN" w:bidi="ar-SA"/>
          <w:highlight w:val="auto"/>
        </w:rPr>
        <w:t>3.</w:t>
      </w:r>
      <w:r>
        <w:rPr>
          <w:rFonts w:eastAsia="仿宋_GB2312"/>
          <w:b/>
          <w:bCs/>
          <w:color w:val="auto"/>
          <w:kern w:val="2"/>
          <w:sz w:val="32"/>
          <w:szCs w:val="32"/>
          <w:lang w:val="zh-CN" w:eastAsia="zh-CN" w:bidi="ar-SA"/>
          <w:highlight w:val="auto"/>
        </w:rPr>
        <w:t>财务管理。</w:t>
      </w:r>
      <w:r>
        <w:rPr>
          <w:rFonts w:ascii="Times New Roman" w:eastAsia="仿宋_GB2312" w:hAnsi="Times New Roman"/>
          <w:sz w:val="32"/>
          <w:szCs w:val="32"/>
          <w:lang w:val="zh-CN" w:eastAsia="zh-CN"/>
        </w:rPr>
        <w:t>建立健全内控制度。《会计法》第二十七条规定“国家机关、社会团体和企事业单位必须建立健全内部控制制度，以确保会计信息的真实可靠，国家财产安全稳定”。对于预算管理、资金拨付和费用支出管理、报销审批程序以及对错误核算和错误支出的纠正等经济活动，确定单位内控的重点和目标，设立合理的组织结构，确认相关的管理职能和关系，划分责任权限，因事设人，视能授权，责任到位，权责对等，以增加组织的控制意识。</w:t>
      </w:r>
    </w:p>
    <w:p>
      <w:pPr>
        <w:keepNext w:val="0"/>
        <w:keepLines w:val="0"/>
        <w:pageBreakBefore w:val="0"/>
        <w:widowControl w:val="0"/>
        <w:kinsoku/>
        <w:wordWrap/>
        <w:overflowPunct/>
        <w:topLinePunct w:val="0"/>
        <w:autoSpaceDE/>
        <w:autoSpaceDN/>
        <w:bidi w:val="0"/>
        <w:adjustRightInd w:val="0"/>
        <w:snapToGrid w:val="0"/>
        <w:spacing w:line="576" w:lineRule="exact"/>
        <w:ind w:left="0" w:firstLineChars="200" w:firstLine="640"/>
        <w:contextualSpacing/>
        <w:jc w:val="left"/>
        <w:textAlignment w:val="auto"/>
        <w:outlineLvl w:val="9"/>
        <w:rPr>
          <w:rFonts w:eastAsia="仿宋_GB2312"/>
          <w:color w:val="auto"/>
          <w:kern w:val="2"/>
          <w:sz w:val="32"/>
          <w:szCs w:val="32"/>
          <w:lang w:val="zh-CN" w:eastAsia="zh-CN" w:bidi="ar-SA"/>
          <w:highlight w:val="auto"/>
        </w:rPr>
      </w:pPr>
      <w:r>
        <w:rPr>
          <w:rFonts w:eastAsia="仿宋_GB2312"/>
          <w:b/>
          <w:bCs/>
          <w:color w:val="auto"/>
          <w:kern w:val="2"/>
          <w:sz w:val="32"/>
          <w:szCs w:val="32"/>
          <w:lang w:val="en-US" w:eastAsia="zh-CN" w:bidi="ar-SA"/>
          <w:highlight w:val="auto"/>
        </w:rPr>
        <w:t>4.</w:t>
      </w:r>
      <w:r>
        <w:rPr>
          <w:rFonts w:eastAsia="仿宋_GB2312"/>
          <w:b/>
          <w:bCs/>
          <w:color w:val="auto"/>
          <w:kern w:val="2"/>
          <w:sz w:val="32"/>
          <w:szCs w:val="32"/>
          <w:lang w:val="zh-CN" w:eastAsia="zh-CN" w:bidi="ar-SA"/>
          <w:highlight w:val="auto"/>
        </w:rPr>
        <w:t>资产管理。</w:t>
      </w:r>
      <w:r>
        <w:rPr>
          <w:rFonts w:eastAsia="仿宋_GB2312"/>
          <w:color w:val="auto"/>
          <w:kern w:val="2"/>
          <w:sz w:val="32"/>
          <w:szCs w:val="32"/>
          <w:lang w:val="zh-CN" w:eastAsia="zh-CN" w:bidi="ar-SA"/>
          <w:highlight w:val="auto"/>
        </w:rPr>
        <w:t>州专用通信中心资产统一在州委办核算。</w:t>
      </w:r>
    </w:p>
    <w:p>
      <w:pPr>
        <w:snapToGrid w:val="0"/>
        <w:spacing w:line="360" w:lineRule="auto"/>
        <w:ind w:firstLineChars="200" w:firstLine="640"/>
        <w:contextualSpacing/>
        <w:rPr>
          <w:rFonts w:eastAsia="仿宋_GB2312" w:hint="eastAsia"/>
          <w:sz w:val="32"/>
          <w:szCs w:val="32"/>
          <w:lang w:val="zh-CN"/>
        </w:rPr>
      </w:pPr>
      <w:r>
        <w:rPr>
          <w:rFonts w:eastAsia="仿宋_GB2312"/>
          <w:b/>
          <w:bCs/>
          <w:color w:val="auto"/>
          <w:kern w:val="2"/>
          <w:sz w:val="32"/>
          <w:szCs w:val="32"/>
          <w:lang w:val="en-US" w:eastAsia="zh-CN" w:bidi="ar-SA"/>
          <w:highlight w:val="auto"/>
        </w:rPr>
        <w:t>5.</w:t>
      </w:r>
      <w:r>
        <w:rPr>
          <w:rFonts w:eastAsia="仿宋_GB2312"/>
          <w:b/>
          <w:bCs/>
          <w:color w:val="auto"/>
          <w:kern w:val="2"/>
          <w:sz w:val="32"/>
          <w:szCs w:val="32"/>
          <w:lang w:val="zh-CN" w:eastAsia="zh-CN" w:bidi="ar-SA"/>
          <w:highlight w:val="auto"/>
        </w:rPr>
        <w:t>采购管理。</w:t>
      </w:r>
      <w:r>
        <w:rPr>
          <w:rFonts w:eastAsia="仿宋_GB2312" w:hint="eastAsia"/>
          <w:bCs/>
          <w:sz w:val="32"/>
          <w:szCs w:val="32"/>
          <w:lang w:val="zh-CN" w:bidi="ar-SA"/>
          <w:highlight w:val="auto"/>
        </w:rPr>
        <w:t>采</w:t>
      </w:r>
      <w:r>
        <w:rPr>
          <w:rFonts w:ascii="Times New Roman" w:eastAsia="仿宋_GB2312" w:hAnsi="Times New Roman" w:hint="eastAsia"/>
          <w:sz w:val="32"/>
          <w:szCs w:val="32"/>
          <w:lang w:val="zh-CN" w:eastAsia="zh-CN"/>
        </w:rPr>
        <w:t>购管理应当遵循公开、公平、公正和诚实信用的原则，对采购过程中的分工与授权、预算与计划、采购与验收等方面加强控制；对采购预算编制、采购组织形式及采购方式、采购执行、验收、备案、监督检查等环节的全面管控。建立健全采购预算与计划管理机制，确保采购业务纳入预算管理，按照计划办理采购业务；规范招投标行为，确保招投标公开、公平、公正，确保采购结果符合预期目标，程序合规合法；加强对采购项目验收的管理，确保采购工作达到预期目标，保证</w:t>
      </w:r>
      <w:r>
        <w:rPr>
          <w:rFonts w:ascii="Times New Roman" w:eastAsia="仿宋_GB2312" w:hAnsi="Times New Roman"/>
          <w:sz w:val="32"/>
          <w:szCs w:val="32"/>
          <w:lang w:val="zh-CN" w:eastAsia="zh-CN"/>
        </w:rPr>
        <w:t>阿坝州专用通信中心工作</w:t>
      </w:r>
      <w:r>
        <w:rPr>
          <w:rFonts w:ascii="Times New Roman" w:eastAsia="仿宋_GB2312" w:hAnsi="Times New Roman" w:hint="eastAsia"/>
          <w:sz w:val="32"/>
          <w:szCs w:val="32"/>
          <w:lang w:val="zh-CN" w:eastAsia="zh-CN"/>
        </w:rPr>
        <w:t>的正常开展；严格采购信息管理，防止机密信息泄露。</w:t>
      </w:r>
    </w:p>
    <w:p>
      <w:pPr>
        <w:keepNext w:val="0"/>
        <w:keepLines w:val="0"/>
        <w:pageBreakBefore w:val="0"/>
        <w:widowControl w:val="0"/>
        <w:kinsoku/>
        <w:wordWrap/>
        <w:overflowPunct/>
        <w:topLinePunct w:val="0"/>
        <w:autoSpaceDE/>
        <w:autoSpaceDN/>
        <w:adjustRightInd w:val="0"/>
        <w:snapToGrid w:val="0"/>
        <w:spacing w:line="576" w:lineRule="exact"/>
        <w:ind w:left="0" w:firstLineChars="200" w:firstLine="640"/>
        <w:contextualSpacing/>
        <w:rPr>
          <w:rFonts w:eastAsia="仿宋_GB2312"/>
          <w:sz w:val="32"/>
          <w:szCs w:val="32"/>
        </w:rPr>
      </w:pPr>
      <w:r>
        <w:rPr>
          <w:rFonts w:ascii="方正楷体_GBK" w:eastAsia="方正楷体_GBK" w:hint="eastAsia"/>
          <w:bCs/>
          <w:sz w:val="32"/>
          <w:szCs w:val="32"/>
          <w:lang w:val="zh-CN"/>
          <w:highlight w:val="auto"/>
        </w:rPr>
        <w:t>（二）部门预算项目绩效分析。</w:t>
      </w:r>
      <w:r>
        <w:rPr>
          <w:rFonts w:eastAsia="仿宋_GB2312"/>
          <w:color w:val="auto"/>
          <w:kern w:val="2"/>
          <w:sz w:val="32"/>
          <w:szCs w:val="32"/>
          <w:lang w:val="en-US" w:eastAsia="zh-CN" w:bidi="ar-SA"/>
          <w:highlight w:val="auto"/>
        </w:rPr>
        <w:t>项目支出涉密，不作分析。</w:t>
      </w:r>
    </w:p>
    <w:p>
      <w:pPr>
        <w:snapToGrid w:val="0"/>
        <w:spacing w:line="600" w:lineRule="exact"/>
        <w:ind w:firstLineChars="200" w:firstLine="640"/>
        <w:rPr>
          <w:rFonts w:ascii="Times New Roman" w:eastAsia="仿宋_GB2312" w:hAnsi="Times New Roman" w:hint="eastAsia"/>
          <w:sz w:val="32"/>
          <w:szCs w:val="32"/>
          <w:lang w:val="zh-CN" w:eastAsia="zh-CN" w:bidi="ar-SA"/>
        </w:rPr>
      </w:pPr>
      <w:r>
        <w:rPr>
          <w:rFonts w:ascii="方正楷体_GBK" w:eastAsia="方正楷体_GBK" w:hint="eastAsia"/>
          <w:bCs/>
          <w:sz w:val="32"/>
          <w:szCs w:val="32"/>
          <w:lang w:val="zh-CN" w:eastAsia="zh-CN"/>
          <w:highlight w:val="auto"/>
        </w:rPr>
        <w:t>（</w:t>
      </w:r>
      <w:r>
        <w:rPr>
          <w:rFonts w:ascii="方正楷体_GBK" w:eastAsia="方正楷体_GBK" w:hint="eastAsia"/>
          <w:bCs/>
          <w:sz w:val="32"/>
          <w:szCs w:val="32"/>
          <w:lang w:val="en-US" w:eastAsia="zh-CN"/>
          <w:highlight w:val="auto"/>
        </w:rPr>
        <w:t>三</w:t>
      </w:r>
      <w:r>
        <w:rPr>
          <w:rFonts w:ascii="方正楷体_GBK" w:eastAsia="方正楷体_GBK" w:hint="eastAsia"/>
          <w:bCs/>
          <w:sz w:val="32"/>
          <w:szCs w:val="32"/>
          <w:lang w:val="zh-CN" w:eastAsia="zh-CN"/>
          <w:highlight w:val="auto"/>
        </w:rPr>
        <w:t>）绩效结果应用情况。</w:t>
      </w:r>
      <w:r>
        <w:rPr>
          <w:rFonts w:ascii="Times New Roman" w:eastAsia="仿宋_GB2312" w:hAnsi="Times New Roman" w:hint="eastAsia"/>
          <w:sz w:val="32"/>
          <w:szCs w:val="32"/>
          <w:lang w:val="zh-CN" w:eastAsia="zh-CN" w:bidi="ar-SA"/>
        </w:rPr>
        <w:t>单位内部控制评价的主责科室</w:t>
      </w:r>
      <w:r>
        <w:rPr>
          <w:rFonts w:ascii="Times New Roman" w:eastAsia="仿宋_GB2312" w:hAnsi="Times New Roman"/>
          <w:sz w:val="32"/>
          <w:szCs w:val="32"/>
          <w:lang w:val="zh-CN" w:eastAsia="zh-CN" w:bidi="ar-SA"/>
        </w:rPr>
        <w:t>为主管部门州委办公室</w:t>
      </w:r>
      <w:r>
        <w:rPr>
          <w:rFonts w:ascii="Times New Roman" w:eastAsia="仿宋_GB2312" w:hAnsi="Times New Roman" w:hint="eastAsia"/>
          <w:sz w:val="32"/>
          <w:szCs w:val="32"/>
          <w:lang w:val="zh-CN" w:eastAsia="zh-CN" w:bidi="ar-SA"/>
        </w:rPr>
        <w:t>人事行财科应当制订年度和专项内控检查评价工作计划（应至少每年进行一次自我评价，时间应该选择在年末。当单位内外部环境发生重大变化或</w:t>
      </w:r>
      <w:r>
        <w:rPr>
          <w:rFonts w:ascii="Times New Roman" w:eastAsia="仿宋_GB2312" w:hAnsi="Times New Roman"/>
          <w:sz w:val="32"/>
          <w:szCs w:val="32"/>
          <w:lang w:val="zh-CN" w:eastAsia="zh-CN" w:bidi="ar-SA"/>
        </w:rPr>
        <w:t>我</w:t>
      </w:r>
      <w:r>
        <w:rPr>
          <w:rFonts w:ascii="Times New Roman" w:eastAsia="仿宋_GB2312" w:hAnsi="Times New Roman" w:hint="eastAsia"/>
          <w:sz w:val="32"/>
          <w:szCs w:val="32"/>
          <w:lang w:val="zh-CN" w:eastAsia="zh-CN" w:bidi="ar-SA"/>
        </w:rPr>
        <w:t>中心职责、流程、关键岗位等发生重大变动时，应就相关控制适当增加自我评价的次数），报经室务会批准。</w:t>
      </w:r>
    </w:p>
    <w:p>
      <w:pPr>
        <w:snapToGrid w:val="0"/>
        <w:spacing w:line="600" w:lineRule="exact"/>
        <w:ind w:firstLineChars="200" w:firstLine="640"/>
        <w:rPr>
          <w:rFonts w:ascii="Times New Roman" w:eastAsia="仿宋_GB2312" w:hAnsi="Times New Roman" w:hint="eastAsia"/>
          <w:sz w:val="32"/>
          <w:szCs w:val="32"/>
          <w:lang w:val="zh-CN" w:eastAsia="zh-CN" w:bidi="ar-SA"/>
        </w:rPr>
      </w:pPr>
      <w:r>
        <w:rPr>
          <w:rFonts w:ascii="Times New Roman" w:eastAsia="仿宋_GB2312" w:hAnsi="Times New Roman"/>
          <w:sz w:val="32"/>
          <w:szCs w:val="32"/>
          <w:lang w:val="zh-CN" w:eastAsia="zh-CN" w:bidi="ar-SA"/>
        </w:rPr>
        <w:t>当</w:t>
      </w:r>
      <w:r>
        <w:rPr>
          <w:rFonts w:ascii="Times New Roman" w:eastAsia="仿宋_GB2312" w:hAnsi="Times New Roman" w:hint="eastAsia"/>
          <w:sz w:val="32"/>
          <w:szCs w:val="32"/>
          <w:lang w:val="zh-CN" w:eastAsia="zh-CN" w:bidi="ar-SA"/>
        </w:rPr>
        <w:t>单位整体控制目标，实施方案，经分管领导批准后下发，</w:t>
      </w:r>
      <w:r>
        <w:rPr>
          <w:rFonts w:ascii="Times New Roman" w:eastAsia="仿宋_GB2312" w:hAnsi="Times New Roman"/>
          <w:sz w:val="32"/>
          <w:szCs w:val="32"/>
          <w:lang w:val="zh-CN" w:eastAsia="zh-CN" w:bidi="ar-SA"/>
        </w:rPr>
        <w:t>我</w:t>
      </w:r>
      <w:r>
        <w:rPr>
          <w:rFonts w:ascii="Times New Roman" w:eastAsia="仿宋_GB2312" w:hAnsi="Times New Roman" w:hint="eastAsia"/>
          <w:sz w:val="32"/>
          <w:szCs w:val="32"/>
          <w:lang w:val="zh-CN" w:eastAsia="zh-CN" w:bidi="ar-SA"/>
        </w:rPr>
        <w:t>中心据此对职责范围内的内部控制情况进行检查评价。实施方案应明确评价目的、范围、标准、方法、进度安排和费用预算等内容，至少应包括：</w:t>
      </w:r>
    </w:p>
    <w:p>
      <w:pPr>
        <w:snapToGrid w:val="0"/>
        <w:spacing w:line="600" w:lineRule="exact"/>
        <w:ind w:firstLineChars="200" w:firstLine="640"/>
        <w:rPr>
          <w:rFonts w:ascii="Times New Roman" w:eastAsia="仿宋_GB2312" w:hAnsi="Times New Roman" w:hint="eastAsia"/>
          <w:sz w:val="32"/>
          <w:szCs w:val="32"/>
          <w:lang w:val="zh-CN" w:eastAsia="zh-CN" w:bidi="ar-SA"/>
        </w:rPr>
      </w:pPr>
      <w:r>
        <w:rPr>
          <w:rFonts w:ascii="Times New Roman" w:eastAsia="仿宋_GB2312" w:hAnsi="Times New Roman" w:hint="eastAsia"/>
          <w:sz w:val="32"/>
          <w:szCs w:val="32"/>
          <w:lang w:val="zh-CN" w:eastAsia="zh-CN" w:bidi="ar-SA"/>
        </w:rPr>
        <w:t>1、评价目的和范围（根据风险导向原则确定重要业务单元、重点业务领域或流程环节）；</w:t>
      </w:r>
    </w:p>
    <w:p>
      <w:pPr>
        <w:snapToGrid w:val="0"/>
        <w:spacing w:line="600" w:lineRule="exact"/>
        <w:ind w:firstLineChars="200" w:firstLine="640"/>
        <w:rPr>
          <w:rFonts w:ascii="Times New Roman" w:eastAsia="仿宋_GB2312" w:hAnsi="Times New Roman" w:hint="eastAsia"/>
          <w:sz w:val="32"/>
          <w:szCs w:val="32"/>
          <w:lang w:val="zh-CN" w:eastAsia="zh-CN" w:bidi="ar-SA"/>
        </w:rPr>
      </w:pPr>
      <w:r>
        <w:rPr>
          <w:rFonts w:ascii="Times New Roman" w:eastAsia="仿宋_GB2312" w:hAnsi="Times New Roman" w:hint="eastAsia"/>
          <w:sz w:val="32"/>
          <w:szCs w:val="32"/>
          <w:lang w:val="zh-CN" w:eastAsia="zh-CN" w:bidi="ar-SA"/>
        </w:rPr>
        <w:t>2、组建跨科室评价小组，各科室抽调业务骨干负责本科室的内部控制自我检查评价工作；</w:t>
      </w:r>
    </w:p>
    <w:p>
      <w:pPr>
        <w:snapToGrid w:val="0"/>
        <w:spacing w:line="600" w:lineRule="exact"/>
        <w:ind w:firstLineChars="200" w:firstLine="640"/>
        <w:rPr>
          <w:rFonts w:ascii="Times New Roman" w:eastAsia="仿宋_GB2312" w:hAnsi="Times New Roman" w:hint="eastAsia"/>
          <w:sz w:val="32"/>
          <w:szCs w:val="32"/>
          <w:lang w:val="zh-CN" w:eastAsia="zh-CN" w:bidi="ar-SA"/>
        </w:rPr>
      </w:pPr>
      <w:r>
        <w:rPr>
          <w:rFonts w:ascii="Times New Roman" w:eastAsia="仿宋_GB2312" w:hAnsi="Times New Roman" w:hint="eastAsia"/>
          <w:sz w:val="32"/>
          <w:szCs w:val="32"/>
          <w:lang w:val="zh-CN" w:eastAsia="zh-CN" w:bidi="ar-SA"/>
        </w:rPr>
        <w:t>3、各科室自我检查评价的时间安排、标准和工作底稿要求；</w:t>
      </w:r>
    </w:p>
    <w:p>
      <w:pPr>
        <w:keepNext w:val="0"/>
        <w:keepLines w:val="0"/>
        <w:pageBreakBefore w:val="0"/>
        <w:widowControl w:val="0"/>
        <w:kinsoku/>
        <w:wordWrap/>
        <w:overflowPunct/>
        <w:topLinePunct w:val="0"/>
        <w:autoSpaceDE/>
        <w:autoSpaceDN/>
        <w:bidi w:val="0"/>
        <w:snapToGrid w:val="0"/>
        <w:spacing w:line="576" w:lineRule="exact"/>
        <w:ind w:firstLineChars="200" w:firstLine="640"/>
        <w:textAlignment w:val="auto"/>
        <w:rPr>
          <w:rFonts w:eastAsia="仿宋_GB2312"/>
          <w:sz w:val="32"/>
          <w:szCs w:val="32"/>
          <w:u w:val="none"/>
          <w:highlight w:val="auto"/>
        </w:rPr>
      </w:pPr>
      <w:r>
        <w:rPr>
          <w:rFonts w:ascii="Times New Roman" w:eastAsia="仿宋_GB2312" w:hAnsi="Times New Roman" w:hint="eastAsia"/>
          <w:sz w:val="32"/>
          <w:szCs w:val="32"/>
          <w:lang w:val="zh-CN" w:eastAsia="zh-CN" w:bidi="ar-SA"/>
        </w:rPr>
        <w:t>4、抽查、复核和编制报告的安排，必要时聘请业务或管理方面的专家。</w:t>
      </w:r>
    </w:p>
    <w:p>
      <w:pPr>
        <w:keepNext w:val="0"/>
        <w:keepLines w:val="0"/>
        <w:pageBreakBefore w:val="0"/>
        <w:widowControl/>
        <w:kinsoku/>
        <w:wordWrap/>
        <w:overflowPunct/>
        <w:topLinePunct w:val="0"/>
        <w:autoSpaceDE/>
        <w:autoSpaceDN/>
        <w:adjustRightInd w:val="0"/>
        <w:snapToGrid w:val="0"/>
        <w:spacing w:line="576" w:lineRule="exact"/>
        <w:ind w:left="0" w:firstLineChars="200" w:firstLine="640"/>
        <w:contextualSpacing/>
        <w:jc w:val="left"/>
        <w:rPr>
          <w:rFonts w:eastAsia="黑体"/>
          <w:color w:val="000000"/>
          <w:kern w:val="0"/>
          <w:sz w:val="32"/>
          <w:szCs w:val="32"/>
          <w:shd w:val="clear" w:color="auto" w:fill="FFFFFF"/>
          <w:lang w:val="zh-CN"/>
          <w:highlight w:val="auto"/>
        </w:rPr>
      </w:pPr>
      <w:r>
        <w:rPr>
          <w:rFonts w:ascii="方正黑体_GBK" w:eastAsia="方正黑体_GBK" w:hint="eastAsia"/>
          <w:b/>
          <w:bCs/>
          <w:sz w:val="32"/>
          <w:szCs w:val="32"/>
          <w:lang w:val="zh-CN" w:eastAsia="zh-CN"/>
          <w:highlight w:val="auto"/>
        </w:rPr>
        <w:t>四、</w:t>
      </w:r>
      <w:r>
        <w:rPr>
          <w:rFonts w:ascii="方正黑体_GBK" w:eastAsia="方正黑体_GBK" w:hint="eastAsia"/>
          <w:b/>
          <w:bCs/>
          <w:sz w:val="32"/>
          <w:szCs w:val="32"/>
          <w:lang w:val="zh-CN"/>
          <w:highlight w:val="auto"/>
        </w:rPr>
        <w:t>评价结论及建议</w:t>
      </w:r>
    </w:p>
    <w:p>
      <w:pPr>
        <w:keepNext w:val="0"/>
        <w:keepLines w:val="0"/>
        <w:pageBreakBefore w:val="0"/>
        <w:widowControl/>
        <w:kinsoku/>
        <w:wordWrap/>
        <w:overflowPunct/>
        <w:topLinePunct w:val="0"/>
        <w:autoSpaceDE/>
        <w:autoSpaceDN/>
        <w:bidi w:val="0"/>
        <w:adjustRightInd w:val="0"/>
        <w:snapToGrid w:val="0"/>
        <w:spacing w:line="576" w:lineRule="exact"/>
        <w:ind w:firstLineChars="200" w:firstLine="640"/>
        <w:contextualSpacing/>
        <w:jc w:val="left"/>
        <w:textAlignment w:val="auto"/>
        <w:outlineLvl w:val="9"/>
        <w:rPr>
          <w:rFonts w:eastAsia="仿宋_GB2312"/>
          <w:sz w:val="32"/>
          <w:szCs w:val="32"/>
          <w:u w:val="none"/>
          <w:lang w:val="en-US" w:eastAsia="zh-CN"/>
        </w:rPr>
      </w:pPr>
      <w:r>
        <w:rPr>
          <w:rFonts w:ascii="方正楷体_GBK" w:eastAsia="方正楷体_GBK" w:hint="eastAsia"/>
          <w:bCs/>
          <w:sz w:val="32"/>
          <w:szCs w:val="32"/>
          <w:lang w:val="zh-CN"/>
          <w:highlight w:val="auto"/>
        </w:rPr>
        <w:t>（一）评价结论。</w:t>
      </w:r>
      <w:r>
        <w:rPr>
          <w:rFonts w:ascii="Times New Roman" w:eastAsia="仿宋_GB2312" w:hAnsi="Times New Roman" w:hint="eastAsia"/>
          <w:sz w:val="32"/>
          <w:szCs w:val="32"/>
          <w:lang w:val="zh-CN" w:eastAsia="zh-CN" w:bidi="ar-SA"/>
        </w:rPr>
        <w:t>建立完善的内部控制监督机制，能够对</w:t>
      </w:r>
      <w:r>
        <w:rPr>
          <w:rFonts w:ascii="Times New Roman" w:eastAsia="仿宋_GB2312" w:hAnsi="Times New Roman"/>
          <w:sz w:val="32"/>
          <w:szCs w:val="32"/>
          <w:lang w:val="zh-CN" w:eastAsia="zh-CN" w:bidi="ar-SA"/>
        </w:rPr>
        <w:t>单位</w:t>
      </w:r>
      <w:r>
        <w:rPr>
          <w:rFonts w:ascii="Times New Roman" w:eastAsia="仿宋_GB2312" w:hAnsi="Times New Roman" w:hint="eastAsia"/>
          <w:sz w:val="32"/>
          <w:szCs w:val="32"/>
          <w:lang w:val="zh-CN" w:eastAsia="zh-CN" w:bidi="ar-SA"/>
        </w:rPr>
        <w:t>的内部监控的健全性、合理性和有效性进行监督检查，形成书面报告并提出有针对性地改进建议，是实施内部控制的重要保证。对内部控制监督检查时，可以采取谈话、现场考察、财务审计、文件审计等形式进行。</w:t>
      </w:r>
    </w:p>
    <w:p>
      <w:pPr>
        <w:keepNext w:val="0"/>
        <w:keepLines w:val="0"/>
        <w:pageBreakBefore w:val="0"/>
        <w:widowControl/>
        <w:kinsoku/>
        <w:wordWrap/>
        <w:overflowPunct/>
        <w:topLinePunct w:val="0"/>
        <w:autoSpaceDE/>
        <w:autoSpaceDN/>
        <w:bidi w:val="0"/>
        <w:adjustRightInd w:val="0"/>
        <w:snapToGrid w:val="0"/>
        <w:spacing w:line="576" w:lineRule="exact"/>
        <w:ind w:firstLineChars="200" w:firstLine="640"/>
        <w:contextualSpacing/>
        <w:jc w:val="left"/>
        <w:textAlignment w:val="auto"/>
        <w:outlineLvl w:val="9"/>
        <w:rPr>
          <w:rFonts w:eastAsia="仿宋_GB2312"/>
          <w:sz w:val="32"/>
          <w:szCs w:val="32"/>
          <w:u w:val="none"/>
          <w:lang w:val="en-US" w:eastAsia="zh-CN"/>
        </w:rPr>
      </w:pPr>
      <w:r>
        <w:rPr>
          <w:rFonts w:ascii="方正楷体_GBK" w:eastAsia="方正楷体_GBK" w:hint="eastAsia"/>
          <w:bCs/>
          <w:sz w:val="32"/>
          <w:szCs w:val="32"/>
          <w:lang w:val="zh-CN"/>
          <w:highlight w:val="auto"/>
        </w:rPr>
        <w:t>（二）存在问题。</w:t>
      </w:r>
      <w:r>
        <w:rPr>
          <w:rFonts w:eastAsia="仿宋_GB2312"/>
          <w:sz w:val="32"/>
          <w:szCs w:val="32"/>
          <w:u w:val="none"/>
          <w:lang w:val="en-US" w:eastAsia="zh-CN"/>
        </w:rPr>
        <w:t>无。</w:t>
      </w:r>
    </w:p>
    <w:p>
      <w:pPr>
        <w:keepNext w:val="0"/>
        <w:keepLines w:val="0"/>
        <w:pageBreakBefore w:val="0"/>
        <w:widowControl/>
        <w:kinsoku/>
        <w:wordWrap/>
        <w:overflowPunct/>
        <w:topLinePunct w:val="0"/>
        <w:autoSpaceDE/>
        <w:autoSpaceDN/>
        <w:bidi w:val="0"/>
        <w:adjustRightInd w:val="0"/>
        <w:snapToGrid w:val="0"/>
        <w:spacing w:line="576" w:lineRule="exact"/>
        <w:ind w:firstLineChars="200" w:firstLine="640"/>
        <w:contextualSpacing/>
        <w:jc w:val="left"/>
        <w:textAlignment w:val="auto"/>
        <w:outlineLvl w:val="9"/>
        <w:rPr>
          <w:rFonts w:eastAsia="仿宋_GB2312"/>
          <w:sz w:val="32"/>
          <w:szCs w:val="32"/>
          <w:u w:val="none"/>
          <w:lang w:eastAsia="zh-CN"/>
        </w:rPr>
      </w:pPr>
      <w:r>
        <w:rPr>
          <w:rFonts w:ascii="方正楷体_GBK" w:eastAsia="方正楷体_GBK" w:hint="eastAsia"/>
          <w:bCs/>
          <w:sz w:val="32"/>
          <w:szCs w:val="32"/>
          <w:lang w:val="zh-CN" w:eastAsia="zh-CN"/>
          <w:highlight w:val="auto"/>
        </w:rPr>
        <w:t>（三）改进建议。</w:t>
      </w:r>
      <w:bookmarkStart w:id="110" w:name="_Hlk110546638"/>
      <w:r>
        <w:rPr>
          <w:rFonts w:eastAsia="仿宋_GB2312"/>
          <w:sz w:val="32"/>
          <w:szCs w:val="32"/>
          <w:u w:val="none"/>
          <w:lang w:val="en-US" w:eastAsia="zh-CN"/>
        </w:rPr>
        <w:t>无。</w:t>
      </w:r>
    </w:p>
    <w:p>
      <w:pPr>
        <w:pStyle w:val="17"/>
        <w:keepNext w:val="0"/>
        <w:keepLines w:val="0"/>
        <w:pageBreakBefore w:val="0"/>
        <w:widowControl w:val="0"/>
        <w:kinsoku/>
        <w:wordWrap/>
        <w:overflowPunct/>
        <w:topLinePunct w:val="0"/>
        <w:autoSpaceDE/>
        <w:autoSpaceDN/>
        <w:bidi w:val="0"/>
        <w:spacing w:line="576" w:lineRule="exact"/>
        <w:ind w:leftChars="0" w:left="0" w:firstLineChars="200" w:firstLine="640"/>
        <w:textAlignment w:val="auto"/>
        <w:rPr>
          <w:rFonts w:ascii="Times New Roman" w:eastAsia="仿宋_GB2312" w:hAnsi="Times New Roman"/>
          <w:kern w:val="2"/>
          <w:sz w:val="32"/>
          <w:szCs w:val="32"/>
          <w:u w:val="none"/>
          <w:lang w:val="zh-CN" w:eastAsia="zh-CN"/>
        </w:rPr>
      </w:pPr>
      <w:bookmarkEnd w:id="110"/>
    </w:p>
    <w:p>
      <w:pPr>
        <w:pStyle w:val="17"/>
        <w:keepNext w:val="0"/>
        <w:keepLines w:val="0"/>
        <w:pageBreakBefore w:val="0"/>
        <w:widowControl w:val="0"/>
        <w:kinsoku/>
        <w:wordWrap/>
        <w:overflowPunct/>
        <w:topLinePunct w:val="0"/>
        <w:autoSpaceDE/>
        <w:autoSpaceDN/>
        <w:spacing w:line="576" w:lineRule="exact"/>
        <w:ind w:leftChars="0" w:left="0" w:firstLineChars="200" w:firstLine="640"/>
        <w:rPr>
          <w:rFonts w:ascii="Times New Roman" w:eastAsia="仿宋_GB2312" w:hAnsi="Times New Roman"/>
          <w:b w:val="0"/>
          <w:bCs w:val="0"/>
          <w:kern w:val="0"/>
          <w:position w:val="0"/>
          <w:sz w:val="32"/>
          <w:szCs w:val="32"/>
          <w:lang w:val="en-US" w:eastAsia="zh-CN" w:bidi="ar-SA"/>
          <w:highlight w:val="auto"/>
        </w:rPr>
      </w:pPr>
      <w:r>
        <w:rPr>
          <w:rFonts w:ascii="Times New Roman" w:eastAsia="仿宋_GB2312" w:hAnsi="Times New Roman"/>
          <w:b w:val="0"/>
          <w:bCs w:val="0"/>
          <w:kern w:val="0"/>
          <w:position w:val="0"/>
          <w:sz w:val="32"/>
          <w:szCs w:val="32"/>
          <w:lang w:val="en-US" w:eastAsia="zh-CN" w:bidi="ar-SA"/>
          <w:highlight w:val="auto"/>
        </w:rPr>
        <w:t>（注：州专用通信中心项目支出涉密，不作附表）</w:t>
      </w:r>
    </w:p>
    <w:p>
      <w:pPr>
        <w:rPr>
          <w:rFonts w:ascii="方正楷体_GBK" w:eastAsia="方正楷体_GBK" w:hint="eastAsia"/>
          <w:bCs/>
          <w:sz w:val="32"/>
          <w:szCs w:val="32"/>
          <w:lang w:val="zh-CN"/>
          <w:highlight w:val="auto"/>
        </w:rPr>
      </w:pPr>
      <w:r>
        <w:rPr>
          <w:rFonts w:ascii="方正楷体_GBK" w:eastAsia="方正楷体_GBK" w:hint="eastAsia"/>
          <w:bCs/>
          <w:sz w:val="32"/>
          <w:szCs w:val="32"/>
          <w:lang w:val="zh-CN"/>
          <w:highlight w:val="auto"/>
        </w:rPr>
        <w:br w:type="page"/>
      </w:r>
    </w:p>
    <w:p>
      <w:pPr>
        <w:pStyle w:val="17"/>
        <w:keepNext w:val="0"/>
        <w:keepLines w:val="0"/>
        <w:pageBreakBefore w:val="0"/>
        <w:widowControl w:val="0"/>
        <w:kinsoku/>
        <w:wordWrap/>
        <w:overflowPunct/>
        <w:topLinePunct w:val="0"/>
        <w:autoSpaceDE/>
        <w:autoSpaceDN/>
        <w:spacing w:line="576" w:lineRule="exact"/>
        <w:ind w:leftChars="0" w:left="0" w:firstLineChars="200" w:firstLine="640"/>
        <w:rPr>
          <w:rFonts w:ascii="方正楷体_GBK" w:eastAsia="方正楷体_GBK" w:hint="eastAsia"/>
          <w:bCs/>
          <w:sz w:val="32"/>
          <w:szCs w:val="32"/>
          <w:lang w:val="zh-CN"/>
        </w:rPr>
      </w:pPr>
      <w:r>
        <w:rPr>
          <w:rFonts w:ascii="方正楷体_GBK" w:eastAsia="方正楷体_GBK" w:hint="eastAsia"/>
          <w:bCs/>
          <w:sz w:val="32"/>
          <w:szCs w:val="32"/>
          <w:lang w:val="zh-CN"/>
          <w:highlight w:val="auto"/>
        </w:rPr>
        <w:t>附件</w:t>
      </w:r>
      <w:r>
        <w:rPr>
          <w:rFonts w:ascii="方正楷体_GBK" w:eastAsia="方正楷体_GBK" w:hint="eastAsia"/>
          <w:bCs/>
          <w:sz w:val="32"/>
          <w:szCs w:val="32"/>
          <w:lang w:val="en-US" w:eastAsia="zh-CN"/>
          <w:highlight w:val="auto"/>
        </w:rPr>
        <w:t>2</w:t>
      </w:r>
    </w:p>
    <w:p>
      <w:pPr>
        <w:pStyle w:val="35"/>
        <w:keepNext w:val="0"/>
        <w:keepLines w:val="0"/>
        <w:pageBreakBefore w:val="0"/>
        <w:widowControl w:val="0"/>
        <w:kinsoku/>
        <w:wordWrap/>
        <w:overflowPunct/>
        <w:topLinePunct w:val="0"/>
        <w:autoSpaceDE/>
        <w:autoSpaceDN/>
        <w:bidi w:val="0"/>
        <w:spacing w:line="576" w:lineRule="exact"/>
        <w:ind w:left="0"/>
        <w:jc w:val="center"/>
        <w:textAlignment w:val="auto"/>
        <w:rPr>
          <w:rFonts w:ascii="Times New Roman" w:eastAsia="方正小标宋简体" w:hAnsi="Times New Roman"/>
          <w:color w:val="auto"/>
          <w:kern w:val="2"/>
          <w:sz w:val="44"/>
          <w:szCs w:val="44"/>
          <w:lang w:val="en-US" w:eastAsia="zh-CN"/>
          <w:highlight w:val="auto"/>
        </w:rPr>
      </w:pPr>
    </w:p>
    <w:p>
      <w:pPr>
        <w:pStyle w:val="35"/>
        <w:keepNext w:val="0"/>
        <w:keepLines w:val="0"/>
        <w:pageBreakBefore w:val="0"/>
        <w:widowControl w:val="0"/>
        <w:kinsoku/>
        <w:wordWrap/>
        <w:overflowPunct/>
        <w:topLinePunct w:val="0"/>
        <w:autoSpaceDE/>
        <w:autoSpaceDN/>
        <w:bidi w:val="0"/>
        <w:spacing w:line="576" w:lineRule="exact"/>
        <w:ind w:left="0"/>
        <w:jc w:val="center"/>
        <w:textAlignment w:val="auto"/>
        <w:rPr>
          <w:rFonts w:ascii="Times New Roman" w:eastAsia="方正小标宋简体" w:hAnsi="Times New Roman"/>
          <w:color w:val="auto"/>
          <w:kern w:val="2"/>
          <w:sz w:val="44"/>
          <w:szCs w:val="44"/>
          <w:lang w:val="en-US" w:eastAsia="zh-CN"/>
          <w:highlight w:val="auto"/>
        </w:rPr>
      </w:pPr>
      <w:r>
        <w:rPr>
          <w:rFonts w:ascii="Times New Roman" w:eastAsia="方正小标宋简体" w:hAnsi="Times New Roman"/>
          <w:color w:val="auto"/>
          <w:kern w:val="2"/>
          <w:sz w:val="44"/>
          <w:szCs w:val="44"/>
          <w:lang w:val="en-US" w:eastAsia="zh-CN"/>
          <w:highlight w:val="auto"/>
        </w:rPr>
        <w:t>专项预算项目绩效评价报告范本</w:t>
      </w:r>
    </w:p>
    <w:p>
      <w:pPr>
        <w:pStyle w:val="35"/>
        <w:keepNext w:val="0"/>
        <w:keepLines w:val="0"/>
        <w:pageBreakBefore w:val="0"/>
        <w:widowControl w:val="0"/>
        <w:kinsoku/>
        <w:wordWrap/>
        <w:overflowPunct/>
        <w:topLinePunct w:val="0"/>
        <w:autoSpaceDE/>
        <w:autoSpaceDN/>
        <w:bidi w:val="0"/>
        <w:spacing w:line="576" w:lineRule="exact"/>
        <w:ind w:left="0" w:firstLine="640"/>
        <w:jc w:val="center"/>
        <w:textAlignment w:val="auto"/>
        <w:rPr>
          <w:rFonts w:ascii="Times New Roman" w:hAnsi="Times New Roman"/>
          <w:color w:val="auto"/>
          <w:kern w:val="2"/>
          <w:sz w:val="32"/>
          <w:szCs w:val="32"/>
          <w:highlight w:val="auto"/>
        </w:rPr>
      </w:pPr>
    </w:p>
    <w:p>
      <w:pPr>
        <w:keepNext w:val="0"/>
        <w:keepLines w:val="0"/>
        <w:pageBreakBefore w:val="0"/>
        <w:widowControl/>
        <w:kinsoku/>
        <w:wordWrap/>
        <w:overflowPunct/>
        <w:topLinePunct w:val="0"/>
        <w:autoSpaceDE/>
        <w:autoSpaceDN/>
        <w:adjustRightInd w:val="0"/>
        <w:snapToGrid w:val="0"/>
        <w:spacing w:line="576" w:lineRule="exact"/>
        <w:ind w:left="0" w:firstLineChars="200" w:firstLine="640"/>
        <w:contextualSpacing/>
        <w:jc w:val="left"/>
        <w:rPr>
          <w:rFonts w:ascii="Times New Roman" w:eastAsia="仿宋_GB2312" w:hAnsi="Times New Roman"/>
          <w:b w:val="0"/>
          <w:bCs w:val="0"/>
          <w:kern w:val="0"/>
          <w:position w:val="0"/>
          <w:sz w:val="32"/>
          <w:szCs w:val="32"/>
          <w:lang w:val="en-US" w:eastAsia="zh-CN" w:bidi="ar-SA"/>
          <w:highlight w:val="auto"/>
        </w:rPr>
      </w:pPr>
      <w:r>
        <w:rPr>
          <w:rFonts w:ascii="Times New Roman" w:eastAsia="仿宋_GB2312" w:hAnsi="Times New Roman"/>
          <w:b w:val="0"/>
          <w:bCs w:val="0"/>
          <w:kern w:val="0"/>
          <w:position w:val="0"/>
          <w:sz w:val="32"/>
          <w:szCs w:val="32"/>
          <w:lang w:val="en-US" w:eastAsia="zh-CN" w:bidi="ar-SA"/>
          <w:highlight w:val="auto"/>
        </w:rPr>
        <w:t>州专用通信中心项目支出涉密，不作为附件。</w:t>
      </w:r>
      <w:bookmarkStart w:id="111" w:name="_Toc15396618"/>
    </w:p>
    <w:p>
      <w:pPr>
        <w:rPr>
          <w:rFonts w:eastAsia="黑体"/>
          <w:color w:val="auto"/>
          <w:sz w:val="44"/>
          <w:szCs w:val="44"/>
          <w:highlight w:val="auto"/>
        </w:rPr>
      </w:pPr>
      <w:r>
        <w:rPr>
          <w:rFonts w:eastAsia="黑体"/>
          <w:color w:val="auto"/>
          <w:sz w:val="44"/>
          <w:szCs w:val="44"/>
          <w:highlight w:val="auto"/>
        </w:rPr>
        <w:br w:type="page"/>
      </w:r>
      <w:bookmarkStart w:id="112" w:name="_GoBack"/>
      <w:bookmarkEnd w:id="112"/>
    </w:p>
    <w:p>
      <w:pPr>
        <w:keepNext w:val="0"/>
        <w:keepLines w:val="0"/>
        <w:pageBreakBefore w:val="0"/>
        <w:widowControl/>
        <w:kinsoku/>
        <w:wordWrap/>
        <w:overflowPunct/>
        <w:topLinePunct w:val="0"/>
        <w:autoSpaceDE/>
        <w:autoSpaceDN/>
        <w:adjustRightInd w:val="0"/>
        <w:snapToGrid w:val="0"/>
        <w:spacing w:line="576" w:lineRule="exact"/>
        <w:ind w:left="0" w:firstLineChars="200" w:firstLine="880"/>
        <w:contextualSpacing/>
        <w:jc w:val="center"/>
        <w:rPr>
          <w:rFonts w:eastAsia="仿宋_GB2312"/>
          <w:kern w:val="0"/>
          <w:sz w:val="32"/>
          <w:szCs w:val="32"/>
          <w:shd w:val="clear" w:color="auto" w:fill="FFFFFF"/>
          <w:lang w:val="zh-CN"/>
        </w:rPr>
      </w:pPr>
      <w:r>
        <w:rPr>
          <w:rFonts w:eastAsia="黑体"/>
          <w:color w:val="auto"/>
          <w:sz w:val="44"/>
          <w:szCs w:val="44"/>
          <w:highlight w:val="auto"/>
        </w:rPr>
        <w:t>第</w:t>
      </w:r>
      <w:r>
        <w:rPr>
          <w:rStyle w:val="1Char"/>
          <w:rFonts w:eastAsia="黑体"/>
          <w:b w:val="0"/>
          <w:color w:val="auto"/>
          <w:highlight w:val="auto"/>
        </w:rPr>
        <w:t>五部分 附表</w:t>
      </w:r>
      <w:bookmarkStart w:id="113" w:name="_Toc15396619"/>
      <w:bookmarkEnd w:id="102"/>
      <w:bookmarkEnd w:id="111"/>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76" w:lineRule="exact"/>
        <w:jc w:val="left"/>
        <w:textAlignment w:val="auto"/>
        <w:rPr>
          <w:rFonts w:eastAsia="仿宋_GB2312"/>
          <w:color w:val="auto"/>
          <w:sz w:val="32"/>
          <w:szCs w:val="32"/>
          <w:highlight w:val="auto"/>
        </w:rPr>
      </w:pP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76" w:lineRule="exact"/>
        <w:jc w:val="left"/>
        <w:textAlignment w:val="auto"/>
        <w:rPr>
          <w:rFonts w:eastAsia="仿宋_GB2312"/>
          <w:color w:val="auto"/>
          <w:sz w:val="32"/>
          <w:szCs w:val="32"/>
          <w:highlight w:val="auto"/>
        </w:rPr>
      </w:pPr>
      <w:r>
        <w:rPr>
          <w:rFonts w:eastAsia="仿宋_GB2312"/>
          <w:color w:val="auto"/>
          <w:sz w:val="32"/>
          <w:szCs w:val="32"/>
          <w:highlight w:val="auto"/>
        </w:rPr>
        <w:t>一、收入支出决算总表</w:t>
      </w:r>
      <w:bookmarkEnd w:id="113"/>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76" w:lineRule="exact"/>
        <w:jc w:val="left"/>
        <w:textAlignment w:val="auto"/>
        <w:rPr>
          <w:rFonts w:eastAsia="仿宋_GB2312"/>
          <w:color w:val="auto"/>
          <w:sz w:val="32"/>
          <w:szCs w:val="32"/>
          <w:highlight w:val="auto"/>
        </w:rPr>
      </w:pPr>
      <w:bookmarkStart w:id="114" w:name="_Toc15396620"/>
      <w:r>
        <w:rPr>
          <w:rFonts w:eastAsia="仿宋_GB2312"/>
          <w:color w:val="auto"/>
          <w:sz w:val="32"/>
          <w:szCs w:val="32"/>
          <w:highlight w:val="auto"/>
        </w:rPr>
        <w:t>二、收入决算表</w:t>
      </w:r>
      <w:bookmarkEnd w:id="114"/>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76" w:lineRule="exact"/>
        <w:jc w:val="left"/>
        <w:textAlignment w:val="auto"/>
        <w:rPr>
          <w:rFonts w:eastAsia="仿宋_GB2312"/>
          <w:color w:val="auto"/>
          <w:sz w:val="32"/>
          <w:szCs w:val="32"/>
          <w:highlight w:val="auto"/>
        </w:rPr>
      </w:pPr>
      <w:bookmarkStart w:id="115" w:name="_Toc15396621"/>
      <w:r>
        <w:rPr>
          <w:rFonts w:eastAsia="仿宋_GB2312"/>
          <w:color w:val="auto"/>
          <w:sz w:val="32"/>
          <w:szCs w:val="32"/>
          <w:highlight w:val="auto"/>
        </w:rPr>
        <w:t>三、支出决算表</w:t>
      </w:r>
      <w:bookmarkEnd w:id="115"/>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76" w:lineRule="exact"/>
        <w:jc w:val="left"/>
        <w:textAlignment w:val="auto"/>
        <w:rPr>
          <w:rFonts w:eastAsia="仿宋_GB2312"/>
          <w:color w:val="auto"/>
          <w:sz w:val="32"/>
          <w:szCs w:val="32"/>
          <w:highlight w:val="auto"/>
        </w:rPr>
      </w:pPr>
      <w:bookmarkStart w:id="116" w:name="_Toc15396622"/>
      <w:r>
        <w:rPr>
          <w:rFonts w:eastAsia="仿宋_GB2312"/>
          <w:color w:val="auto"/>
          <w:sz w:val="32"/>
          <w:szCs w:val="32"/>
          <w:highlight w:val="auto"/>
        </w:rPr>
        <w:t>四、财政拨款收入支出决算总表</w:t>
      </w:r>
      <w:bookmarkEnd w:id="116"/>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76" w:lineRule="exact"/>
        <w:jc w:val="left"/>
        <w:textAlignment w:val="auto"/>
        <w:rPr>
          <w:rFonts w:eastAsia="仿宋_GB2312"/>
          <w:color w:val="auto"/>
          <w:sz w:val="32"/>
          <w:szCs w:val="32"/>
          <w:highlight w:val="auto"/>
        </w:rPr>
      </w:pPr>
      <w:bookmarkStart w:id="117" w:name="_Toc15396623"/>
      <w:r>
        <w:rPr>
          <w:rFonts w:eastAsia="仿宋_GB2312"/>
          <w:color w:val="auto"/>
          <w:sz w:val="32"/>
          <w:szCs w:val="32"/>
          <w:highlight w:val="auto"/>
        </w:rPr>
        <w:t>五、财政拨款支出决算明细表</w:t>
      </w:r>
      <w:bookmarkStart w:id="118" w:name="_Toc15396624"/>
      <w:bookmarkEnd w:id="117"/>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76" w:lineRule="exact"/>
        <w:jc w:val="left"/>
        <w:textAlignment w:val="auto"/>
        <w:rPr>
          <w:rFonts w:eastAsia="仿宋_GB2312"/>
          <w:color w:val="auto"/>
          <w:sz w:val="32"/>
          <w:szCs w:val="32"/>
          <w:highlight w:val="auto"/>
        </w:rPr>
      </w:pPr>
      <w:r>
        <w:rPr>
          <w:rFonts w:eastAsia="仿宋_GB2312"/>
          <w:color w:val="auto"/>
          <w:sz w:val="32"/>
          <w:szCs w:val="32"/>
          <w:highlight w:val="auto"/>
        </w:rPr>
        <w:t>六、一般公共预算财政拨款支出决算表</w:t>
      </w:r>
      <w:bookmarkEnd w:id="118"/>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76" w:lineRule="exact"/>
        <w:jc w:val="left"/>
        <w:textAlignment w:val="auto"/>
        <w:rPr>
          <w:rFonts w:eastAsia="仿宋_GB2312"/>
          <w:color w:val="auto"/>
          <w:sz w:val="32"/>
          <w:szCs w:val="32"/>
          <w:highlight w:val="auto"/>
        </w:rPr>
      </w:pPr>
      <w:bookmarkStart w:id="119" w:name="_Toc15396625"/>
      <w:r>
        <w:rPr>
          <w:rFonts w:eastAsia="仿宋_GB2312"/>
          <w:color w:val="auto"/>
          <w:sz w:val="32"/>
          <w:szCs w:val="32"/>
          <w:highlight w:val="auto"/>
        </w:rPr>
        <w:t>七、一般公共预算财政拨款支出决算明细表</w:t>
      </w:r>
      <w:bookmarkEnd w:id="119"/>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76" w:lineRule="exact"/>
        <w:jc w:val="left"/>
        <w:textAlignment w:val="auto"/>
        <w:rPr>
          <w:rFonts w:eastAsia="仿宋_GB2312"/>
          <w:color w:val="auto"/>
          <w:sz w:val="32"/>
          <w:szCs w:val="32"/>
          <w:highlight w:val="auto"/>
        </w:rPr>
      </w:pPr>
      <w:bookmarkStart w:id="120" w:name="_Toc15396626"/>
      <w:r>
        <w:rPr>
          <w:rFonts w:eastAsia="仿宋_GB2312"/>
          <w:color w:val="auto"/>
          <w:sz w:val="32"/>
          <w:szCs w:val="32"/>
          <w:highlight w:val="auto"/>
        </w:rPr>
        <w:t>八、一般公共预算财政拨款基本支出决算表</w:t>
      </w:r>
      <w:bookmarkEnd w:id="120"/>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76" w:lineRule="exact"/>
        <w:jc w:val="left"/>
        <w:textAlignment w:val="auto"/>
        <w:rPr>
          <w:rFonts w:eastAsia="仿宋_GB2312"/>
          <w:color w:val="auto"/>
          <w:sz w:val="32"/>
          <w:szCs w:val="32"/>
          <w:highlight w:val="auto"/>
        </w:rPr>
      </w:pPr>
      <w:bookmarkStart w:id="121" w:name="_Toc15396627"/>
      <w:r>
        <w:rPr>
          <w:rFonts w:eastAsia="仿宋_GB2312"/>
          <w:color w:val="auto"/>
          <w:sz w:val="32"/>
          <w:szCs w:val="32"/>
          <w:highlight w:val="auto"/>
        </w:rPr>
        <w:t>九、一般公共预算财政拨款项目支出决算表</w:t>
      </w:r>
      <w:bookmarkEnd w:id="121"/>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76" w:lineRule="exact"/>
        <w:jc w:val="left"/>
        <w:textAlignment w:val="auto"/>
        <w:rPr>
          <w:rFonts w:eastAsia="仿宋_GB2312"/>
          <w:color w:val="auto"/>
          <w:sz w:val="32"/>
          <w:szCs w:val="32"/>
          <w:highlight w:val="auto"/>
        </w:rPr>
      </w:pPr>
      <w:bookmarkStart w:id="122" w:name="_Toc15396628"/>
      <w:r>
        <w:rPr>
          <w:rFonts w:eastAsia="仿宋_GB2312"/>
          <w:color w:val="auto"/>
          <w:sz w:val="32"/>
          <w:szCs w:val="32"/>
          <w:highlight w:val="auto"/>
        </w:rPr>
        <w:t>十、</w:t>
      </w:r>
      <w:bookmarkEnd w:id="122"/>
      <w:r>
        <w:rPr>
          <w:rFonts w:eastAsia="仿宋_GB2312"/>
          <w:color w:val="auto"/>
          <w:sz w:val="32"/>
          <w:szCs w:val="32"/>
          <w:highlight w:val="auto"/>
        </w:rPr>
        <w:t>政府性基金预算财政拨款收入支出决算表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76" w:lineRule="exact"/>
        <w:jc w:val="left"/>
        <w:textAlignment w:val="auto"/>
        <w:rPr>
          <w:rFonts w:eastAsia="仿宋_GB2312"/>
          <w:color w:val="auto"/>
          <w:sz w:val="32"/>
          <w:szCs w:val="32"/>
          <w:highlight w:val="auto"/>
        </w:rPr>
      </w:pPr>
      <w:bookmarkStart w:id="123" w:name="_Toc15396629"/>
      <w:r>
        <w:rPr>
          <w:rFonts w:eastAsia="仿宋_GB2312"/>
          <w:color w:val="auto"/>
          <w:sz w:val="32"/>
          <w:szCs w:val="32"/>
          <w:highlight w:val="auto"/>
        </w:rPr>
        <w:t>十一、</w:t>
      </w:r>
      <w:bookmarkEnd w:id="123"/>
      <w:r>
        <w:rPr>
          <w:rFonts w:eastAsia="仿宋_GB2312"/>
          <w:color w:val="auto"/>
          <w:sz w:val="32"/>
          <w:szCs w:val="32"/>
          <w:highlight w:val="auto"/>
        </w:rPr>
        <w:t>国有资本经营预算</w:t>
      </w:r>
      <w:r>
        <w:rPr>
          <w:rFonts w:eastAsia="仿宋_GB2312"/>
          <w:color w:val="auto"/>
          <w:sz w:val="32"/>
          <w:szCs w:val="32"/>
          <w:lang w:eastAsia="zh-CN"/>
          <w:highlight w:val="auto"/>
        </w:rPr>
        <w:t>财政拨款收入</w:t>
      </w:r>
      <w:r>
        <w:rPr>
          <w:rFonts w:eastAsia="仿宋_GB2312"/>
          <w:color w:val="auto"/>
          <w:sz w:val="32"/>
          <w:szCs w:val="32"/>
          <w:highlight w:val="auto"/>
        </w:rPr>
        <w:t>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76" w:lineRule="exact"/>
        <w:jc w:val="left"/>
        <w:textAlignment w:val="auto"/>
        <w:rPr>
          <w:rFonts w:eastAsia="仿宋_GB2312"/>
          <w:color w:val="auto"/>
          <w:sz w:val="32"/>
          <w:szCs w:val="32"/>
          <w:highlight w:val="auto"/>
        </w:rPr>
      </w:pPr>
      <w:bookmarkStart w:id="124" w:name="_Toc15396630"/>
      <w:r>
        <w:rPr>
          <w:rFonts w:eastAsia="仿宋_GB2312"/>
          <w:color w:val="auto"/>
          <w:sz w:val="32"/>
          <w:szCs w:val="32"/>
          <w:highlight w:val="auto"/>
        </w:rPr>
        <w:t>十二、</w:t>
      </w:r>
      <w:bookmarkEnd w:id="124"/>
      <w:r>
        <w:rPr>
          <w:rFonts w:eastAsia="仿宋_GB2312"/>
          <w:color w:val="auto"/>
          <w:sz w:val="32"/>
          <w:szCs w:val="32"/>
          <w:lang w:eastAsia="zh-CN"/>
          <w:highlight w:val="auto"/>
        </w:rPr>
        <w:t>国有资本经营预算财政拨款支出决算表</w:t>
      </w:r>
    </w:p>
    <w:p>
      <w:pPr>
        <w:pStyle w:val="24"/>
        <w:keepNext w:val="0"/>
        <w:keepLines w:val="0"/>
        <w:pageBreakBefore w:val="0"/>
        <w:widowControl w:val="0"/>
        <w:tabs>
          <w:tab w:val="right" w:leader="dot" w:pos="8296"/>
        </w:tabs>
        <w:kinsoku/>
        <w:wordWrap/>
        <w:overflowPunct/>
        <w:topLinePunct w:val="0"/>
        <w:autoSpaceDE/>
        <w:autoSpaceDN/>
        <w:bidi w:val="0"/>
        <w:adjustRightInd w:val="0"/>
        <w:snapToGrid w:val="0"/>
        <w:spacing w:line="576" w:lineRule="exact"/>
        <w:jc w:val="left"/>
        <w:textAlignment w:val="auto"/>
        <w:rPr>
          <w:rFonts w:eastAsia="仿宋_GB2312"/>
          <w:color w:val="auto"/>
          <w:sz w:val="32"/>
          <w:szCs w:val="32"/>
          <w:lang w:eastAsia="zh-CN"/>
          <w:highlight w:val="auto"/>
        </w:rPr>
      </w:pPr>
      <w:bookmarkStart w:id="125" w:name="_Toc15396631"/>
      <w:r>
        <w:rPr>
          <w:rFonts w:eastAsia="仿宋_GB2312"/>
          <w:color w:val="auto"/>
          <w:sz w:val="32"/>
          <w:szCs w:val="32"/>
          <w:highlight w:val="auto"/>
        </w:rPr>
        <w:t>十三、</w:t>
      </w:r>
      <w:bookmarkEnd w:id="125"/>
      <w:r>
        <w:rPr>
          <w:rFonts w:eastAsia="仿宋_GB2312"/>
          <w:color w:val="auto"/>
          <w:sz w:val="32"/>
          <w:szCs w:val="32"/>
          <w:lang w:eastAsia="zh-CN"/>
          <w:highlight w:val="auto"/>
        </w:rPr>
        <w:t>财政拨款“三公”经费支出决算表</w:t>
      </w:r>
    </w:p>
    <w:p>
      <w:pPr>
        <w:spacing w:line="576" w:lineRule="exact"/>
        <w:rPr>
          <w:lang w:eastAsia="zh-CN"/>
        </w:rPr>
      </w:pPr>
    </w:p>
    <w:sectPr>
      <w:footerReference w:type="default" r:id="rId2"/>
      <w:footerReference w:type="even" r:id="rId3"/>
      <w:pgSz w:w="11906" w:h="16838"/>
      <w:pgMar w:top="1440" w:right="1800" w:bottom="1440" w:left="1800" w:header="851" w:footer="992" w:gutter="0"/>
      <w:pgNumType w:fmt="numberInDash" w:start="1"/>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仿宋_GB2312">
    <w:panose1 w:val="02010609030101010101"/>
    <w:charset w:val="86"/>
    <w:family w:val="modern"/>
    <w:pitch w:val="variable"/>
    <w:sig w:usb0="00000001" w:usb1="080E0000" w:usb2="00000000" w:usb3="00000000" w:csb0="00040000" w:csb1="00000000"/>
  </w:font>
  <w:font w:name="Times New Roman">
    <w:panose1 w:val="02020603050405020304"/>
    <w:charset w:val="01"/>
    <w:family w:val="auto"/>
    <w:pitch w:val="variable"/>
    <w:sig w:usb0="E0002EFF" w:usb1="C000785B" w:usb2="00000009" w:usb3="00000000" w:csb0="400001FF" w:csb1="FFFF0000"/>
  </w:font>
  <w:font w:name="方正小标宋简体">
    <w:panose1 w:val="02010601030101010101"/>
    <w:charset w:val="86"/>
    <w:family w:val="script"/>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仿宋">
    <w:panose1 w:val="02010609060101010101"/>
    <w:charset w:val="86"/>
    <w:family w:val="modern"/>
    <w:pitch w:val="variable"/>
    <w:sig w:usb0="800002BF" w:usb1="38CF7CFA" w:usb2="00000016" w:usb3="00000000" w:csb0="00040001" w:csb1="00000000"/>
  </w:font>
  <w:font w:name="方正仿宋_GBK">
    <w:panose1 w:val="03000509000000000000"/>
    <w:charset w:val="86"/>
    <w:family w:val="script"/>
    <w:pitch w:val="variable"/>
    <w:sig w:usb0="00000001" w:usb1="080E0000" w:usb2="00000000" w:usb3="00000000" w:csb0="00040000" w:csb1="00000000"/>
  </w:font>
  <w:font w:name="方正公文小标宋">
    <w:altName w:val="宋体"/>
    <w:panose1 w:val="02000000000000000000"/>
    <w:charset w:val="86"/>
    <w:family w:val="script"/>
    <w:pitch w:val="variable"/>
    <w:sig w:usb0="00000000" w:usb1="00000000" w:usb2="00000000" w:usb3="00000000" w:csb0="00040000" w:csb1="00000000"/>
  </w:font>
  <w:font w:name="方正黑体_GBK">
    <w:panose1 w:val="03000509000000000000"/>
    <w:charset w:val="86"/>
    <w:family w:val="script"/>
    <w:pitch w:val="variable"/>
    <w:sig w:usb0="00000001" w:usb1="080E0000" w:usb2="00000000" w:usb3="00000000" w:csb0="00040000" w:csb1="00000000"/>
  </w:font>
  <w:font w:name="方正楷体_GBK">
    <w:panose1 w:val="03000509000000000000"/>
    <w:charset w:val="86"/>
    <w:family w:val="script"/>
    <w:pitch w:val="variable"/>
    <w:sig w:usb0="00000001" w:usb1="080E0000" w:usb2="00000000" w:usb3="00000000" w:csb0="00040000" w:csb1="00000000"/>
  </w:font>
  <w:font w:name="宋体">
    <w:panose1 w:val="02010600030101010101"/>
    <w:charset w:val="86"/>
    <w:family w:val="auto"/>
    <w:pitch w:val="variable"/>
    <w:sig w:usb0="00000003" w:usb1="288F0000" w:usb2="00000006" w:usb3="00000000" w:csb0="00040001" w:csb1="00000000"/>
  </w:font>
  <w:font w:name="Cambria">
    <w:altName w:val="DejaVu Sans"/>
    <w:panose1 w:val="02040503050406030204"/>
    <w:charset w:val="00"/>
    <w:family w:val="roman"/>
    <w:pitch w:val="variable"/>
    <w:sig w:usb0="E00006FF" w:usb1="420024FF" w:usb2="02000000" w:usb3="00000000" w:csb0="2000019F" w:csb1="00000000"/>
  </w:font>
  <w:font w:name="Calibri">
    <w:altName w:val="Times New Roman"/>
    <w:panose1 w:val="020F0502020204030204"/>
    <w:charset w:val="00"/>
    <w:family w:val="swiss"/>
    <w:pitch w:val="variable"/>
    <w:sig w:usb0="E4002EFF" w:usb1="C000247B" w:usb2="00000009" w:usb3="00000000" w:csb0="200001FF" w:csb1="00000000"/>
  </w:font>
  <w:font w:name="Arial">
    <w:altName w:val="DejaVu Sans"/>
    <w:panose1 w:val="020B0604020202020204"/>
    <w:charset w:val="01"/>
    <w:family w:val="swiss"/>
    <w:pitch w:val="variable"/>
    <w:sig w:usb0="E0002EFF" w:usb1="C000785B" w:usb2="00000009" w:usb3="00000000" w:csb0="400001FF" w:csb1="FFFF0000"/>
  </w:font>
  <w:font w:name="??">
    <w:altName w:val="DejaVu Sans"/>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6"/>
      </w:tabs>
      <w:rPr>
        <w:rFonts w:ascii="仿宋_GB2312" w:eastAsia="仿宋_GB2312" w:hint="eastAsia"/>
        <w:sz w:val="28"/>
        <w:szCs w:val="28"/>
      </w:rPr>
    </w:pPr>
    <w:r>
      <w:rPr>
        <w:rStyle w:val="36"/>
        <w:rFonts w:ascii="仿宋_GB2312" w:eastAsia="仿宋_GB2312" w:hint="eastAsia"/>
        <w:sz w:val="28"/>
        <w:szCs w:val="28"/>
      </w:rPr>
      <w:fldChar w:fldCharType="begin"/>
    </w:r>
    <w:r>
      <w:rPr>
        <w:rStyle w:val="36"/>
        <w:rFonts w:ascii="仿宋_GB2312" w:eastAsia="仿宋_GB2312" w:hint="eastAsia"/>
        <w:sz w:val="28"/>
        <w:szCs w:val="28"/>
      </w:rPr>
      <w:instrText>Page</w:instrText>
    </w:r>
    <w:r>
      <w:rPr>
        <w:rStyle w:val="36"/>
        <w:rFonts w:ascii="仿宋_GB2312" w:eastAsia="仿宋_GB2312" w:hint="eastAsia"/>
        <w:sz w:val="28"/>
        <w:szCs w:val="28"/>
      </w:rPr>
      <w:fldChar w:fldCharType="separate"/>
    </w:r>
    <w:r>
      <w:rPr>
        <w:rStyle w:val="36"/>
        <w:rFonts w:ascii="仿宋_GB2312" w:eastAsia="仿宋_GB2312" w:hint="eastAsia"/>
        <w:sz w:val="28"/>
        <w:szCs w:val="28"/>
      </w:rPr>
      <w:t>- 2 -</w:t>
    </w:r>
    <w:r>
      <w:rPr>
        <w:rStyle w:val="36"/>
        <w:rFonts w:ascii="仿宋_GB2312" w:eastAsia="仿宋_GB2312" w:hint="eastAsia"/>
        <w:sz w:val="28"/>
        <w:szCs w:val="28"/>
      </w:rPr>
      <w:fldChar w:fldCharType="end"/>
    </w:r>
  </w:p>
  <w:p>
    <w:pPr>
      <w:pStyle w:val="21"/>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6"/>
      </w:tabs>
    </w:pPr>
    <w:r>
      <w:rPr>
        <w:rStyle w:val="36"/>
      </w:rPr>
      <w:fldChar w:fldCharType="begin"/>
    </w:r>
    <w:r>
      <w:rPr>
        <w:rStyle w:val="36"/>
      </w:rPr>
      <w:instrText>Page</w:instrText>
    </w:r>
    <w:r>
      <w:rPr>
        <w:rStyle w:val="36"/>
      </w:rPr>
      <w:fldChar w:fldCharType="separate"/>
    </w:r>
    <w:r>
      <w:rPr>
        <w:rStyle w:val="36"/>
      </w:rPr>
      <w:t>- 1 -</w:t>
    </w:r>
    <w:r>
      <w:rPr>
        <w:rStyle w:val="36"/>
      </w:rPr>
      <w:fldChar w:fldCharType="end"/>
    </w:r>
  </w:p>
  <w:p>
    <w:pPr>
      <w:pStyle w:val="21"/>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DFB65AFD"/>
    <w:multiLevelType w:val="multilevel"/>
    <w:tmpl w:val="DFB65AFD"/>
    <w:lvl w:ilvl="0">
      <w:start w:val="1"/>
      <w:numFmt w:val="chineseCountingThousand"/>
      <w:lvlRestart w:val="0"/>
      <w:lvlText w:val="%1、"/>
      <w:lvlJc w:val="left"/>
      <w:pPr>
        <w:ind w:left="640" w:hanging="640"/>
      </w:pPr>
      <w:rPr>
        <w:rFonts w:eastAsia="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note text"/>
    <w:basedOn w:val="0"/>
    <w:next w:val="17"/>
    <w:pPr>
      <w:snapToGrid w:val="0"/>
      <w:jc w:val="left"/>
    </w:pPr>
    <w:rPr>
      <w:sz w:val="18"/>
      <w:szCs w:val="18"/>
    </w:rPr>
  </w:style>
  <w:style w:type="paragraph" w:styleId="16">
    <w:name w:val="Body Text Indent"/>
    <w:basedOn w:val="0"/>
    <w:next w:val="17"/>
    <w:pPr>
      <w:spacing w:after="120"/>
      <w:ind w:leftChars="200" w:left="200"/>
    </w:pPr>
    <w:rPr>
      <w:rFonts w:ascii="仿宋_GB2312" w:hAnsi="仿宋_GB2312"/>
      <w:szCs w:val="32"/>
    </w:rPr>
  </w:style>
  <w:style w:type="paragraph" w:styleId="17">
    <w:name w:val="Body Text First Indent 2"/>
    <w:basedOn w:val="16"/>
    <w:pPr>
      <w:ind w:firstLineChars="200" w:firstLine="200"/>
    </w:pPr>
  </w:style>
  <w:style w:type="paragraph" w:styleId="18">
    <w:name w:val="Body Text"/>
    <w:basedOn w:val="0"/>
    <w:pPr>
      <w:spacing w:beforeLines="30" w:before="30"/>
    </w:pPr>
    <w:rPr>
      <w:rFonts w:ascii="仿宋_GB2312" w:eastAsia="仿宋_GB2312"/>
      <w:kern w:val="0"/>
      <w:sz w:val="30"/>
    </w:rPr>
  </w:style>
  <w:style w:type="paragraph" w:styleId="19">
    <w:name w:val="toc 3"/>
    <w:basedOn w:val="0"/>
    <w:next w:val="0"/>
    <w:pPr>
      <w:tabs>
        <w:tab w:val="right" w:leader="dot" w:pos="8296"/>
      </w:tabs>
      <w:ind w:leftChars="400" w:left="400"/>
    </w:pPr>
  </w:style>
  <w:style w:type="paragraph" w:styleId="20">
    <w:name w:val="Balloon Text"/>
    <w:basedOn w:val="0"/>
    <w:rPr>
      <w:sz w:val="18"/>
      <w:szCs w:val="18"/>
    </w:rPr>
  </w:style>
  <w:style w:type="paragraph" w:styleId="21">
    <w:name w:val="footer"/>
    <w:basedOn w:val="0"/>
    <w:pPr>
      <w:tabs>
        <w:tab w:val="center" w:pos="4153"/>
        <w:tab w:val="right" w:pos="8306"/>
      </w:tabs>
      <w:snapToGrid w:val="0"/>
      <w:jc w:val="left"/>
    </w:pPr>
    <w:rPr>
      <w:rFonts w:ascii="Calibri" w:hAnsi="Calibri"/>
      <w:kern w:val="0"/>
      <w:sz w:val="18"/>
      <w:szCs w:val="18"/>
    </w:rPr>
  </w:style>
  <w:style w:type="paragraph" w:styleId="22">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3">
    <w:name w:val="toc 1"/>
    <w:basedOn w:val="0"/>
    <w:next w:val="0"/>
    <w:pPr>
      <w:tabs>
        <w:tab w:val="right" w:leader="dot" w:pos="8296"/>
      </w:tabs>
      <w:spacing w:before="93"/>
      <w:jc w:val="center"/>
    </w:pPr>
    <w:rPr>
      <w:rFonts w:ascii="仿宋" w:eastAsia="仿宋"/>
      <w:sz w:val="28"/>
      <w:szCs w:val="28"/>
    </w:rPr>
  </w:style>
  <w:style w:type="paragraph" w:styleId="24">
    <w:name w:val="toc 2"/>
    <w:basedOn w:val="0"/>
    <w:next w:val="0"/>
    <w:pPr>
      <w:tabs>
        <w:tab w:val="right" w:leader="dot" w:pos="8296"/>
      </w:tabs>
      <w:ind w:leftChars="200" w:left="200"/>
    </w:pPr>
  </w:style>
  <w:style w:type="character" w:styleId="25">
    <w:name w:val="Strong"/>
    <w:rPr>
      <w:b/>
    </w:rPr>
  </w:style>
  <w:style w:type="character" w:styleId="26">
    <w:name w:val="Hyperlink"/>
    <w:basedOn w:val="10"/>
    <w:rPr>
      <w:color w:val="0000FF"/>
      <w:u w:val="single"/>
    </w:rPr>
  </w:style>
  <w:style w:type="paragraph" w:customStyle="1" w:styleId="27">
    <w:name w:val="标题 5（有编号）（绿盟科技）"/>
    <w:next w:val="0"/>
    <w:pPr>
      <w:keepNext/>
      <w:keepLines/>
      <w:widowControl w:val="0"/>
      <w:spacing w:before="280" w:after="156" w:line="377" w:lineRule="auto"/>
      <w:outlineLvl w:val="4"/>
    </w:pPr>
    <w:rPr>
      <w:rFonts w:ascii="Arial" w:eastAsia="黑体" w:cs="Times New Roman" w:hAnsi="Arial"/>
      <w:b/>
      <w:kern w:val="2"/>
      <w:sz w:val="24"/>
      <w:szCs w:val="28"/>
      <w:lang w:val="en-US" w:eastAsia="zh-CN" w:bidi="ar-SA"/>
    </w:rPr>
  </w:style>
  <w:style w:type="character" w:customStyle="1" w:styleId="28">
    <w:name w:val="Header Char"/>
    <w:basedOn w:val="10"/>
    <w:rPr>
      <w:rFonts w:ascii="Times New Roman" w:hAnsi="Times New Roman"/>
      <w:sz w:val="18"/>
      <w:szCs w:val="18"/>
    </w:rPr>
  </w:style>
  <w:style w:type="character" w:customStyle="1" w:styleId="29">
    <w:name w:val="Footer Char"/>
    <w:basedOn w:val="10"/>
    <w:rPr>
      <w:rFonts w:ascii="Times New Roman" w:hAnsi="Times New Roman"/>
      <w:sz w:val="18"/>
      <w:szCs w:val="18"/>
    </w:rPr>
  </w:style>
  <w:style w:type="character" w:customStyle="1" w:styleId="30">
    <w:name w:val="Body Text Char"/>
    <w:basedOn w:val="10"/>
    <w:rPr>
      <w:rFonts w:ascii="Times New Roman" w:hAnsi="Times New Roman"/>
      <w:szCs w:val="24"/>
    </w:rPr>
  </w:style>
  <w:style w:type="paragraph" w:customStyle="1" w:styleId="31">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2">
    <w:name w:val="List Paragraph"/>
    <w:basedOn w:val="0"/>
    <w:pPr>
      <w:ind w:firstLineChars="200" w:firstLine="200"/>
    </w:pPr>
  </w:style>
  <w:style w:type="paragraph" w:customStyle="1" w:styleId="33">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4">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5">
    <w:name w:val="四号正文"/>
    <w:basedOn w:val="0"/>
    <w:pPr>
      <w:spacing w:line="360" w:lineRule="auto"/>
    </w:pPr>
    <w:rPr>
      <w:rFonts w:ascii="??" w:eastAsia="宋体" w:hAnsi="??"/>
      <w:color w:val="000000"/>
      <w:kern w:val="0"/>
      <w:sz w:val="28"/>
      <w:szCs w:val="21"/>
      <w:lang w:val="zh-CN" w:eastAsia="zh-CN"/>
    </w:rPr>
  </w:style>
  <w:style w:type="character" w:styleId="36">
    <w:name w:val="page number"/>
    <w:basedOn w:val="10"/>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chart" Target="charts/chart1.xml"/><Relationship Id="rId5" Type="http://schemas.openxmlformats.org/officeDocument/2006/relationships/chart" Target="charts/chart2.xml"/><Relationship Id="rId6" Type="http://schemas.openxmlformats.org/officeDocument/2006/relationships/chart" Target="charts/chart3.xml"/><Relationship Id="rId7" Type="http://schemas.openxmlformats.org/officeDocument/2006/relationships/chart" Target="charts/chart4.xml"/><Relationship Id="rId8" Type="http://schemas.openxmlformats.org/officeDocument/2006/relationships/chart" Target="charts/chart5.xml"/><Relationship Id="rId9" Type="http://schemas.openxmlformats.org/officeDocument/2006/relationships/chart" Target="charts/chart6.xml"/><Relationship Id="rId10" Type="http://schemas.openxmlformats.org/officeDocument/2006/relationships/chart" Target="charts/chart7.xml"/><Relationship Id="rId11" Type="http://schemas.openxmlformats.org/officeDocument/2006/relationships/styles" Target="styles.xml"/><Relationship Id="rId12" Type="http://schemas.openxmlformats.org/officeDocument/2006/relationships/numbering" Target="numbering.xml"/><Relationship Id="rId13"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char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'工作表465538'!$A$2</c:f>
              <c:strCache>
                <c:ptCount val="1"/>
                <c:pt idx="0">
                  <c:v>2024年</c:v>
                </c:pt>
              </c:strCache>
            </c:strRef>
          </c:tx>
          <c:spPr>
            <a:solidFill>
              <a:srgbClr val="5B9BD5"/>
            </a:solidFill>
            <a:ln>
              <a:noFill/>
            </a:ln>
          </c:spPr>
          <c:invertIfNegative val="0"/>
          <c:dLbls>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0"/>
          </c:dLbls>
          <c:cat>
            <c:strRef>
              <c:f>'工作表465538'!$B$1:$C$1</c:f>
              <c:strCache>
                <c:ptCount val="2"/>
                <c:pt idx="0">
                  <c:v>收入</c:v>
                </c:pt>
                <c:pt idx="1">
                  <c:v>支出</c:v>
                </c:pt>
              </c:strCache>
            </c:strRef>
          </c:cat>
          <c:val>
            <c:numRef>
              <c:f>'工作表465538'!$B$2:$C$2</c:f>
              <c:numCache>
                <c:formatCode>General</c:formatCode>
                <c:ptCount val="2"/>
                <c:pt idx="0">
                  <c:v>469.03</c:v>
                </c:pt>
                <c:pt idx="1">
                  <c:v>469.03</c:v>
                </c:pt>
              </c:numCache>
            </c:numRef>
          </c:val>
        </c:ser>
        <c:ser>
          <c:idx val="1"/>
          <c:order val="1"/>
          <c:tx>
            <c:strRef>
              <c:f>'工作表465538'!$A$3</c:f>
              <c:strCache>
                <c:ptCount val="1"/>
                <c:pt idx="0">
                  <c:v>2025年</c:v>
                </c:pt>
              </c:strCache>
            </c:strRef>
          </c:tx>
          <c:spPr>
            <a:solidFill>
              <a:srgbClr val="ED7D31"/>
            </a:solidFill>
            <a:ln>
              <a:noFill/>
            </a:ln>
          </c:spPr>
          <c:invertIfNegative val="0"/>
          <c:dLbls>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0"/>
          </c:dLbls>
          <c:cat>
            <c:strRef>
              <c:f>'工作表465538'!$B$1:$C$1</c:f>
              <c:strCache>
                <c:ptCount val="2"/>
                <c:pt idx="0">
                  <c:v>收入</c:v>
                </c:pt>
                <c:pt idx="1">
                  <c:v>支出</c:v>
                </c:pt>
              </c:strCache>
            </c:strRef>
          </c:cat>
          <c:val>
            <c:numRef>
              <c:f>'工作表465538'!$B$3:$C$3</c:f>
              <c:numCache>
                <c:formatCode>General</c:formatCode>
                <c:ptCount val="2"/>
                <c:pt idx="0">
                  <c:v>495.03</c:v>
                </c:pt>
                <c:pt idx="1">
                  <c:v>495.03</c:v>
                </c:pt>
              </c:numCache>
            </c:numRef>
          </c:val>
        </c:ser>
        <c:ser>
          <c:idx val="2"/>
          <c:order val="2"/>
          <c:tx>
            <c:v>系列3</c:v>
          </c:tx>
          <c:spPr>
            <a:solidFill>
              <a:srgbClr val="A5A5A5"/>
            </a:solidFill>
            <a:ln>
              <a:noFill/>
            </a:ln>
          </c:spPr>
          <c:invertIfNegative val="0"/>
          <c:dLbls>
            <c:showLegendKey val="0"/>
            <c:showVal val="0"/>
            <c:showCatName val="0"/>
            <c:showSerName val="0"/>
            <c:showPercent val="0"/>
            <c:showBubbleSize val="0"/>
            <c:showLeaderLines val="0"/>
          </c:dLbls>
          <c:cat>
            <c:strLit>
              <c:ptCount val="2"/>
              <c:pt idx="0">
                <c:v>收入</c:v>
              </c:pt>
              <c:pt idx="1">
                <c:v>支出</c:v>
              </c:pt>
            </c:strLit>
          </c:cat>
          <c:val>
            <c:numRef>
              <c:f/>
            </c:numRef>
          </c:val>
        </c:ser>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8D8D8"/>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8D8D8"/>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0" i="0" u="none" strike="noStrike" baseline="0">
                <a:solidFill>
                  <a:srgbClr val="000000"/>
                </a:solidFill>
                <a:latin typeface="Times New Roman"/>
                <a:ea typeface="宋体"/>
                <a:cs typeface="Lucida Sans"/>
              </a:defRPr>
            </a:pPr>
            <a:r>
              <a:rPr lang="zh-CN" sz="1400" b="0" i="0" u="none" strike="noStrike" baseline="0">
                <a:solidFill>
                  <a:srgbClr val="595959"/>
                </a:solidFill>
                <a:latin typeface="Times New Roman"/>
                <a:ea typeface="宋体"/>
                <a:cs typeface="Lucida Sans"/>
              </a:rPr>
              <a:t>202</a:t>
            </a:r>
            <a:r>
              <a:rPr lang="zh-CN" sz="1400" b="0" i="0" u="none" strike="noStrike" baseline="0">
                <a:solidFill>
                  <a:srgbClr val="595959"/>
                </a:solidFill>
                <a:latin typeface="Times New Roman"/>
                <a:ea typeface="宋体"/>
                <a:cs typeface="Lucida Sans"/>
              </a:rPr>
              <a:t>5</a:t>
            </a:r>
            <a:r>
              <a:rPr lang="zh-CN" sz="1400" b="0" i="0" u="none" strike="noStrike" baseline="0">
                <a:solidFill>
                  <a:srgbClr val="595959"/>
                </a:solidFill>
                <a:latin typeface="Times New Roman"/>
                <a:ea typeface="宋体"/>
                <a:cs typeface="Lucida Sans"/>
              </a:rPr>
              <a:t>年度收入</a:t>
            </a:r>
          </a:p>
        </c:rich>
      </c:tx>
      <c:layout/>
      <c:overlay val="0"/>
      <c:spPr>
        <a:ln>
          <a:noFill/>
        </a:ln>
      </c:spPr>
    </c:title>
    <c:autoTitleDeleted val="1"/>
    <c:view3D>
      <c:rotX val="30"/>
      <c:hPercent val="100"/>
      <c:rotY val="0"/>
      <c:depthPercent val="100"/>
      <c:rAngAx val="0"/>
      <c:perspective val="0"/>
    </c:view3D>
    <c:floor>
      <c:thickness val="0"/>
      <c:spPr>
        <a:ln>
          <a:noFill/>
        </a:ln>
      </c:spPr>
    </c:floor>
    <c:sideWall>
      <c:thickness val="0"/>
      <c:spPr>
        <a:ln>
          <a:noFill/>
        </a:ln>
      </c:spPr>
    </c:sideWall>
    <c:backWall>
      <c:thickness val="0"/>
      <c:spPr>
        <a:noFill/>
        <a:ln>
          <a:noFill/>
        </a:ln>
      </c:spPr>
    </c:backWall>
    <c:plotArea>
      <c:layout/>
      <c:pie3DChart>
        <c:varyColors val="1"/>
        <c:ser>
          <c:idx val="0"/>
          <c:order val="0"/>
          <c:tx>
            <c:strRef>
              <c:f>'工作表465539'!$A$2</c:f>
              <c:strCache>
                <c:ptCount val="1"/>
                <c:pt idx="0">
                  <c:v>2025年度收入</c:v>
                </c:pt>
              </c:strCache>
            </c:strRef>
          </c:tx>
          <c:spPr>
            <a:solidFill>
              <a:srgbClr val="4F81BD"/>
            </a:solidFill>
            <a:ln>
              <a:noFill/>
            </a:ln>
          </c:spPr>
          <c:dPt>
            <c:idx val="0"/>
            <c:bubble3D val="0"/>
            <c:spPr>
              <a:solidFill>
                <a:srgbClr val="5B9BD5"/>
              </a:solidFill>
              <a:ln>
                <a:noFill/>
              </a:ln>
            </c:spPr>
          </c:dPt>
          <c:dLbls>
            <c:dLbl>
              <c:idx val="0"/>
              <c:numFmt formatCode="General" sourceLinked="0"/>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showLegendKey val="0"/>
              <c:showVal val="1"/>
              <c:showCatName val="0"/>
              <c:showSerName val="0"/>
              <c:showPercent val="0"/>
              <c:showBubbleSize val="0"/>
            </c:dLbl>
            <c:showLegendKey val="0"/>
            <c:showVal val="0"/>
            <c:showCatName val="0"/>
            <c:showSerName val="0"/>
            <c:showPercent val="0"/>
            <c:showBubbleSize val="0"/>
            <c:showLeaderLines val="1"/>
          </c:dLbls>
          <c:cat>
            <c:strRef>
              <c:f>'工作表465539'!$B$1</c:f>
              <c:strCache>
                <c:ptCount val="1"/>
                <c:pt idx="0">
                  <c:v>一般公共预算财政拨款收入</c:v>
                </c:pt>
              </c:strCache>
            </c:strRef>
          </c:cat>
          <c:val>
            <c:numRef>
              <c:f>工作表465539!$B$2</c:f>
              <c:numCache>
                <c:formatCode>General</c:formatCode>
                <c:ptCount val="1"/>
                <c:pt idx="0">
                  <c:v>495.03</c:v>
                </c:pt>
              </c:numCache>
            </c:numRef>
          </c:val>
        </c:ser>
        <c:ser>
          <c:idx val="1"/>
          <c:order val="1"/>
          <c:tx>
            <c:strRef>
              <c:f>'工作表465539'!$C$1</c:f>
              <c:strCache>
                <c:ptCount val="1"/>
                <c:pt idx="0">
                  <c:v>其他</c:v>
                </c:pt>
              </c:strCache>
            </c:strRef>
          </c:tx>
          <c:spPr>
            <a:solidFill>
              <a:srgbClr val="C0504D"/>
            </a:solidFill>
            <a:ln>
              <a:noFill/>
            </a:ln>
          </c:spPr>
          <c:dPt>
            <c:idx val="0"/>
            <c:invertIfNegative val="0"/>
            <c:bubble3D val="0"/>
            <c:spPr>
              <a:ln>
                <a:noFill/>
              </a:ln>
            </c:spPr>
          </c:dPt>
          <c:dLbls>
            <c:dLbl>
              <c:idx val="0"/>
              <c:spPr>
                <a:noFill/>
                <a:ln>
                  <a:noFill/>
                </a:ln>
              </c:spPr>
              <c:txPr>
                <a:bodyPr vert="horz"/>
                <a:lstStyle/>
                <a:p>
                  <a:pPr>
                    <a:defRPr sz="900" b="0" i="0" u="none" strike="noStrike" baseline="0">
                      <a:solidFill>
                        <a:srgbClr val="000000"/>
                      </a:solidFill>
                      <a:latin typeface="Times New Roman"/>
                      <a:ea typeface="宋体"/>
                      <a:cs typeface="Lucida Sans"/>
                    </a:defRPr>
                  </a:pPr>
                  <a:endParaRPr lang="zh-CN"/>
                </a:p>
              </c:txPr>
              <c:delete val="1"/>
            </c:dLbl>
            <c:showLegendKey val="0"/>
            <c:showVal val="0"/>
            <c:showCatName val="0"/>
            <c:showSerName val="0"/>
            <c:showPercent val="0"/>
            <c:showBubbleSize val="0"/>
            <c:showLeaderLines val="1"/>
          </c:dLbls>
          <c:cat>
            <c:strRef>
              <c:f>'工作表465539'!$B$1</c:f>
              <c:strCache>
                <c:ptCount val="1"/>
                <c:pt idx="0">
                  <c:v>一般公共预算财政拨款收入</c:v>
                </c:pt>
              </c:strCache>
            </c:strRef>
          </c:cat>
          <c:val>
            <c:numRef>
              <c:f>工作表465539!$B$3</c:f>
              <c:numCache>
                <c:formatCode>General</c:formatCode>
                <c:ptCount val="1"/>
              </c:numCache>
            </c:numRef>
          </c:val>
        </c:ser>
        <c:ser>
          <c:idx val="2"/>
          <c:order val="2"/>
          <c:tx>
            <c:v>系列3</c:v>
          </c:tx>
          <c:spPr>
            <a:solidFill>
              <a:srgbClr val="9BBB59"/>
            </a:solidFill>
            <a:ln>
              <a:noFill/>
            </a:ln>
          </c:spPr>
          <c:dLbls>
            <c:showLegendKey val="0"/>
            <c:showVal val="0"/>
            <c:showCatName val="0"/>
            <c:showSerName val="0"/>
            <c:showPercent val="0"/>
            <c:showBubbleSize val="0"/>
            <c:showLeaderLines val="1"/>
          </c:dLbls>
          <c:cat>
            <c:strLit>
              <c:ptCount val="1"/>
              <c:pt idx="0">
                <c:v>一般公共预算财政拨款收入</c:v>
              </c:pt>
            </c:strLit>
          </c:cat>
          <c:val>
            <c:numRef>
              <c:f/>
            </c:numRef>
          </c:val>
        </c:ser>
        <c:gapDepth val="150"/>
        <c:firstSliceAng val="0"/>
      </c:pie3D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0" i="0" u="none" strike="noStrike" baseline="0">
                <a:solidFill>
                  <a:srgbClr val="000000"/>
                </a:solidFill>
                <a:latin typeface="Times New Roman"/>
                <a:ea typeface="宋体"/>
                <a:cs typeface="Lucida Sans"/>
              </a:defRPr>
            </a:pPr>
            <a:r>
              <a:rPr lang="zh-CN" sz="1400" b="0" i="0" u="none" strike="noStrike" baseline="0">
                <a:solidFill>
                  <a:srgbClr val="595959"/>
                </a:solidFill>
                <a:latin typeface="Times New Roman"/>
                <a:ea typeface="宋体"/>
                <a:cs typeface="Lucida Sans"/>
              </a:rPr>
              <a:t>202</a:t>
            </a:r>
            <a:r>
              <a:rPr lang="zh-CN" sz="1400" b="0" i="0" u="none" strike="noStrike" baseline="0">
                <a:solidFill>
                  <a:srgbClr val="595959"/>
                </a:solidFill>
                <a:latin typeface="Times New Roman"/>
                <a:ea typeface="宋体"/>
                <a:cs typeface="Lucida Sans"/>
              </a:rPr>
              <a:t>5</a:t>
            </a:r>
            <a:r>
              <a:rPr lang="zh-CN" sz="1400" b="0" i="0" u="none" strike="noStrike" baseline="0">
                <a:solidFill>
                  <a:srgbClr val="595959"/>
                </a:solidFill>
                <a:latin typeface="Times New Roman"/>
                <a:ea typeface="宋体"/>
                <a:cs typeface="Lucida Sans"/>
              </a:rPr>
              <a:t>年度支出</a:t>
            </a:r>
          </a:p>
        </c:rich>
      </c:tx>
      <c:layout/>
      <c:overlay val="0"/>
      <c:spPr>
        <a:ln>
          <a:noFill/>
        </a:ln>
      </c:spPr>
    </c:title>
    <c:autoTitleDeleted val="1"/>
    <c:plotArea>
      <c:layout/>
      <c:pieChart>
        <c:varyColors val="1"/>
        <c:ser>
          <c:idx val="0"/>
          <c:order val="0"/>
          <c:tx>
            <c:strRef>
              <c:f>'工作表465539 (2)'!$A$2</c:f>
              <c:strCache>
                <c:ptCount val="1"/>
                <c:pt idx="0">
                  <c:v>2025年度支出</c:v>
                </c:pt>
              </c:strCache>
            </c:strRef>
          </c:tx>
          <c:spPr>
            <a:solidFill>
              <a:srgbClr val="4F81BD"/>
            </a:solidFill>
            <a:ln>
              <a:noFill/>
            </a:ln>
          </c:spPr>
          <c:dPt>
            <c:idx val="0"/>
            <c:bubble3D val="0"/>
            <c:spPr>
              <a:solidFill>
                <a:srgbClr val="5B9BD5"/>
              </a:solidFill>
              <a:ln>
                <a:noFill/>
              </a:ln>
            </c:spPr>
          </c:dPt>
          <c:dPt>
            <c:idx val="1"/>
            <c:bubble3D val="0"/>
            <c:spPr>
              <a:solidFill>
                <a:srgbClr val="ED7D31"/>
              </a:solidFill>
              <a:ln>
                <a:noFill/>
              </a:ln>
            </c:spPr>
          </c:dPt>
          <c:dLbls>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numFmt formatCode="General" sourceLinked="1"/>
            <c:dLbl>
              <c:idx val="0"/>
              <c:numFmt formatCode="General" sourceLinked="0"/>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showLegendKey val="0"/>
              <c:showVal val="1"/>
              <c:showCatName val="0"/>
              <c:showSerName val="0"/>
              <c:showPercent val="0"/>
              <c:showBubbleSize val="0"/>
            </c:dLbl>
            <c:dLbl>
              <c:idx val="1"/>
              <c:numFmt formatCode="General" sourceLinked="0"/>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showLegendKey val="0"/>
              <c:showVal val="1"/>
              <c:showCatName val="0"/>
              <c:showSerName val="0"/>
              <c:showPercent val="0"/>
              <c:showBubbleSize val="0"/>
            </c:dLbl>
            <c:showLegendKey val="0"/>
            <c:showVal val="1"/>
            <c:showCatName val="0"/>
            <c:showSerName val="0"/>
            <c:showPercent val="0"/>
            <c:showBubbleSize val="0"/>
            <c:showLeaderLines val="1"/>
          </c:dLbls>
          <c:cat>
            <c:strRef>
              <c:f>'工作表465539 (2)'!$B$1:$C$1</c:f>
              <c:strCache>
                <c:ptCount val="2"/>
                <c:pt idx="0">
                  <c:v>基本支出</c:v>
                </c:pt>
                <c:pt idx="1">
                  <c:v>项目支出</c:v>
                </c:pt>
              </c:strCache>
            </c:strRef>
          </c:cat>
          <c:val>
            <c:numRef>
              <c:f>'工作表465539 (2)'!$B$2:$C$2</c:f>
              <c:numCache>
                <c:formatCode>General</c:formatCode>
                <c:ptCount val="2"/>
                <c:pt idx="0">
                  <c:v>296.57</c:v>
                </c:pt>
                <c:pt idx="1">
                  <c:v>198.46</c:v>
                </c:pt>
              </c:numCache>
            </c:numRef>
          </c:val>
        </c:ser>
        <c:ser>
          <c:idx val="1"/>
          <c:order val="1"/>
          <c:tx>
            <c:v>系列2</c:v>
          </c:tx>
          <c:spPr>
            <a:solidFill>
              <a:srgbClr val="C0504D"/>
            </a:solidFill>
            <a:ln>
              <a:noFill/>
            </a:ln>
          </c:spPr>
          <c:dLbls>
            <c:spPr>
              <a:noFill/>
              <a:ln>
                <a:noFill/>
              </a:ln>
            </c:spPr>
            <c:txPr>
              <a:bodyPr vert="horz"/>
              <a:lstStyle/>
              <a:p>
                <a:pPr>
                  <a:defRPr sz="900" b="0" i="0" u="none" strike="noStrike" baseline="0">
                    <a:solidFill>
                      <a:srgbClr val="000000"/>
                    </a:solidFill>
                    <a:latin typeface="Times New Roman"/>
                    <a:ea typeface="宋体"/>
                    <a:cs typeface="Lucida Sans"/>
                  </a:defRPr>
                </a:pPr>
                <a:endParaRPr lang="zh-CN"/>
              </a:p>
            </c:txPr>
            <c:numFmt formatCode="General" sourceLinked="1"/>
            <c:showLegendKey val="0"/>
            <c:showVal val="1"/>
            <c:showCatName val="0"/>
            <c:showSerName val="0"/>
            <c:showPercent val="0"/>
            <c:showBubbleSize val="0"/>
            <c:showLeaderLines val="1"/>
          </c:dLbls>
          <c:cat>
            <c:strLit>
              <c:ptCount val="2"/>
              <c:pt idx="0">
                <c:v>基本支出</c:v>
              </c:pt>
              <c:pt idx="1">
                <c:v>项目支出</c:v>
              </c:pt>
            </c:strLit>
          </c:cat>
          <c:val>
            <c:numRef>
              <c:f/>
            </c:numRef>
          </c:val>
        </c:ser>
        <c:ser>
          <c:idx val="2"/>
          <c:order val="2"/>
          <c:tx>
            <c:v>系列3</c:v>
          </c:tx>
          <c:spPr>
            <a:solidFill>
              <a:srgbClr val="9BBB59"/>
            </a:solidFill>
            <a:ln>
              <a:noFill/>
            </a:ln>
          </c:spPr>
          <c:dLbls>
            <c:spPr>
              <a:noFill/>
              <a:ln>
                <a:noFill/>
              </a:ln>
            </c:spPr>
            <c:txPr>
              <a:bodyPr vert="horz"/>
              <a:lstStyle/>
              <a:p>
                <a:pPr>
                  <a:defRPr sz="900" b="0" i="0" u="none" strike="noStrike" baseline="0">
                    <a:solidFill>
                      <a:srgbClr val="000000"/>
                    </a:solidFill>
                    <a:latin typeface="Times New Roman"/>
                    <a:ea typeface="宋体"/>
                    <a:cs typeface="Lucida Sans"/>
                  </a:defRPr>
                </a:pPr>
                <a:endParaRPr lang="zh-CN"/>
              </a:p>
            </c:txPr>
            <c:numFmt formatCode="General" sourceLinked="1"/>
            <c:showLegendKey val="0"/>
            <c:showVal val="1"/>
            <c:showCatName val="0"/>
            <c:showSerName val="0"/>
            <c:showPercent val="0"/>
            <c:showBubbleSize val="0"/>
            <c:showLeaderLines val="1"/>
          </c:dLbls>
          <c:cat>
            <c:strLit>
              <c:ptCount val="2"/>
              <c:pt idx="0">
                <c:v>基本支出</c:v>
              </c:pt>
              <c:pt idx="1">
                <c:v>项目支出</c:v>
              </c:pt>
            </c:strLit>
          </c:cat>
          <c:val>
            <c:numRef>
              <c:f/>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'工作表465542'!$A$2</c:f>
              <c:strCache>
                <c:ptCount val="1"/>
                <c:pt idx="0">
                  <c:v>2024年</c:v>
                </c:pt>
              </c:strCache>
            </c:strRef>
          </c:tx>
          <c:spPr>
            <a:solidFill>
              <a:srgbClr val="5B9BD5"/>
            </a:solidFill>
            <a:ln>
              <a:noFill/>
            </a:ln>
          </c:spPr>
          <c:invertIfNegative val="0"/>
          <c:dLbls>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'工作表465542'!$B$1:$C$1</c:f>
              <c:strCache>
                <c:ptCount val="2"/>
                <c:pt idx="0">
                  <c:v>财政拨款收入</c:v>
                </c:pt>
                <c:pt idx="1">
                  <c:v>财政拨款支出</c:v>
                </c:pt>
              </c:strCache>
            </c:strRef>
          </c:cat>
          <c:val>
            <c:numRef>
              <c:f>'工作表465542'!$B$2:$C$2</c:f>
              <c:numCache>
                <c:formatCode>General</c:formatCode>
                <c:ptCount val="2"/>
                <c:pt idx="0">
                  <c:v>469.03</c:v>
                </c:pt>
                <c:pt idx="1">
                  <c:v>469.03</c:v>
                </c:pt>
              </c:numCache>
            </c:numRef>
          </c:val>
        </c:ser>
        <c:ser>
          <c:idx val="1"/>
          <c:order val="1"/>
          <c:tx>
            <c:strRef>
              <c:f>'工作表465542'!$A$3</c:f>
              <c:strCache>
                <c:ptCount val="1"/>
                <c:pt idx="0">
                  <c:v>2025年</c:v>
                </c:pt>
              </c:strCache>
            </c:strRef>
          </c:tx>
          <c:spPr>
            <a:solidFill>
              <a:srgbClr val="ED7D31"/>
            </a:solidFill>
            <a:ln>
              <a:noFill/>
            </a:ln>
          </c:spPr>
          <c:invertIfNegative val="0"/>
          <c:dLbls>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'工作表465542'!$B$1:$C$1</c:f>
              <c:strCache>
                <c:ptCount val="2"/>
                <c:pt idx="0">
                  <c:v>财政拨款收入</c:v>
                </c:pt>
                <c:pt idx="1">
                  <c:v>财政拨款支出</c:v>
                </c:pt>
              </c:strCache>
            </c:strRef>
          </c:cat>
          <c:val>
            <c:numRef>
              <c:f>'工作表465542'!$B$3:$C$3</c:f>
              <c:numCache>
                <c:formatCode>General</c:formatCode>
                <c:ptCount val="2"/>
                <c:pt idx="0">
                  <c:v>495.03</c:v>
                </c:pt>
                <c:pt idx="1">
                  <c:v>495.03</c:v>
                </c:pt>
              </c:numCache>
            </c:numRef>
          </c:val>
        </c:ser>
        <c:ser>
          <c:idx val="2"/>
          <c:order val="2"/>
          <c:tx>
            <c:v>系列3</c:v>
          </c:tx>
          <c:spPr>
            <a:solidFill>
              <a:srgbClr val="A5A5A5"/>
            </a:solidFill>
            <a:ln>
              <a:noFill/>
            </a:ln>
          </c:spPr>
          <c:invertIfNegative val="0"/>
          <c:dLbls>
            <c:dLbl>
              <c:idx val="0"/>
              <c:numFmt formatCode="General" sourceLinked="0"/>
              <c:spPr>
                <a:noFill/>
                <a:ln>
                  <a:noFill/>
                </a:ln>
              </c:spPr>
              <c:txPr>
                <a:bodyPr vert="horz"/>
                <a:lstStyle/>
                <a:p>
                  <a:pPr>
                    <a:defRPr sz="900" b="0" i="0" u="none" strike="noStrike" baseline="0">
                      <a:solidFill>
                        <a:srgbClr val="000000"/>
                      </a:solidFill>
                      <a:latin typeface="Times New Roman"/>
                      <a:ea typeface="宋体"/>
                      <a:cs typeface="Lucida Sans"/>
                    </a:defRPr>
                  </a:pPr>
                  <a:endParaRPr lang="zh-CN"/>
                </a:p>
              </c:txPr>
              <c:dLblPos val="outEnd"/>
              <c:delete val="1"/>
            </c:dLbl>
            <c:dLbl>
              <c:idx val="1"/>
              <c:numFmt formatCode="General" sourceLinked="0"/>
              <c:spPr>
                <a:noFill/>
                <a:ln>
                  <a:noFill/>
                </a:ln>
              </c:spPr>
              <c:txPr>
                <a:bodyPr vert="horz"/>
                <a:lstStyle/>
                <a:p>
                  <a:pPr>
                    <a:defRPr sz="9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1"/>
            <c:extLst>
              <c:ext xmlns:c15="http://schemas.microsoft.com/office/drawing/2012/chart" uri="{CE6537A1-D6FC-4f65-9D91-7224C49458BB}">
                <c15:showLeaderLines val="1"/>
              </c:ext>
            </c:extLst>
          </c:dLbls>
          <c:cat>
            <c:strLit>
              <c:ptCount val="2"/>
              <c:pt idx="0">
                <c:v>财政拨款收入</c:v>
              </c:pt>
              <c:pt idx="1">
                <c:v>财政拨款支出</c:v>
              </c:pt>
            </c:strLit>
          </c:cat>
          <c:val>
            <c:numRef>
              <c:f/>
              <c:numCache>
                <c:formatCode>General</c:formatCode>
                <c:ptCount val="2"/>
                <c:pt idx="0">
                  <c:v>1.0</c:v>
                </c:pt>
              </c:numCache>
            </c:numRef>
          </c:val>
        </c:ser>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8D8D8"/>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8D8D8"/>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Entry>
        <c:idx val="2"/>
        <c:delete val="1"/>
      </c:legendEntry>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'工作表465543'!$A$2</c:f>
              <c:strCache>
                <c:ptCount val="1"/>
                <c:pt idx="0">
                  <c:v>2024年</c:v>
                </c:pt>
              </c:strCache>
            </c:strRef>
          </c:tx>
          <c:spPr>
            <a:solidFill>
              <a:srgbClr val="5B9BD5"/>
            </a:solidFill>
            <a:ln>
              <a:noFill/>
            </a:ln>
          </c:spPr>
          <c:invertIfNegative val="0"/>
          <c:dLbls>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'工作表465543'!$B$1</c:f>
              <c:strCache>
                <c:ptCount val="1"/>
                <c:pt idx="0">
                  <c:v>一般公共预算财政拨款支出</c:v>
                </c:pt>
              </c:strCache>
            </c:strRef>
          </c:cat>
          <c:val>
            <c:numRef>
              <c:f>工作表465543!$B$2</c:f>
              <c:numCache>
                <c:formatCode>General</c:formatCode>
                <c:ptCount val="1"/>
                <c:pt idx="0">
                  <c:v>469.03</c:v>
                </c:pt>
              </c:numCache>
            </c:numRef>
          </c:val>
        </c:ser>
        <c:ser>
          <c:idx val="1"/>
          <c:order val="1"/>
          <c:tx>
            <c:strRef>
              <c:f>'工作表465543'!$A$3</c:f>
              <c:strCache>
                <c:ptCount val="1"/>
                <c:pt idx="0">
                  <c:v>2025年</c:v>
                </c:pt>
              </c:strCache>
            </c:strRef>
          </c:tx>
          <c:spPr>
            <a:solidFill>
              <a:srgbClr val="ED7D31"/>
            </a:solidFill>
            <a:ln>
              <a:noFill/>
            </a:ln>
          </c:spPr>
          <c:invertIfNegative val="0"/>
          <c:dLbls>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'工作表465543'!$B$1</c:f>
              <c:strCache>
                <c:ptCount val="1"/>
                <c:pt idx="0">
                  <c:v>一般公共预算财政拨款支出</c:v>
                </c:pt>
              </c:strCache>
            </c:strRef>
          </c:cat>
          <c:val>
            <c:numRef>
              <c:f>工作表465543!$B$3</c:f>
              <c:numCache>
                <c:formatCode>General</c:formatCode>
                <c:ptCount val="1"/>
                <c:pt idx="0">
                  <c:v>495.03</c:v>
                </c:pt>
              </c:numCache>
            </c:numRef>
          </c:val>
        </c:ser>
        <c:ser>
          <c:idx val="2"/>
          <c:order val="2"/>
          <c:tx>
            <c:v>系列3</c:v>
          </c:tx>
          <c:spPr>
            <a:solidFill>
              <a:srgbClr val="A5A5A5"/>
            </a:solidFill>
            <a:ln>
              <a:noFill/>
            </a:ln>
          </c:spPr>
          <c:invertIfNegative val="0"/>
          <c:dLbls>
            <c:dLbl>
              <c:idx val="0"/>
              <c:numFmt formatCode="General" sourceLinked="0"/>
              <c:spPr>
                <a:noFill/>
                <a:ln>
                  <a:noFill/>
                </a:ln>
              </c:spPr>
              <c:txPr>
                <a:bodyPr vert="horz"/>
                <a:lstStyle/>
                <a:p>
                  <a:pPr>
                    <a:defRPr sz="900" b="0" i="0" u="none" strike="noStrike" baseline="0">
                      <a:solidFill>
                        <a:srgbClr val="000000"/>
                      </a:solidFill>
                      <a:latin typeface="Times New Roman"/>
                      <a:ea typeface="宋体"/>
                      <a:cs typeface="Lucida Sans"/>
                    </a:defRPr>
                  </a:pPr>
                  <a:endParaRPr lang="zh-CN"/>
                </a:p>
              </c:txPr>
              <c:dLblPos val="outEnd"/>
              <c:delete val="1"/>
            </c:dLbl>
            <c:dLblPos val="outEnd"/>
            <c:showLegendKey val="0"/>
            <c:showVal val="0"/>
            <c:showCatName val="0"/>
            <c:showSerName val="0"/>
            <c:showPercent val="0"/>
            <c:showBubbleSize val="0"/>
            <c:showLeaderLines val="1"/>
            <c:extLst>
              <c:ext xmlns:c15="http://schemas.microsoft.com/office/drawing/2012/chart" uri="{CE6537A1-D6FC-4f65-9D91-7224C49458BB}">
                <c15:showLeaderLines val="1"/>
              </c:ext>
            </c:extLst>
          </c:dLbls>
          <c:cat>
            <c:strLit>
              <c:ptCount val="1"/>
              <c:pt idx="0">
                <c:v>一般公共预算财政拨款支出</c:v>
              </c:pt>
            </c:strLit>
          </c:cat>
          <c:val>
            <c:numRef>
              <c:f/>
              <c:numCache>
                <c:formatCode>General</c:formatCode>
                <c:ptCount val="1"/>
                <c:pt idx="0">
                  <c:v>1.0</c:v>
                </c:pt>
              </c:numCache>
            </c:numRef>
          </c:val>
        </c:ser>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8D8D8"/>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D8D8D8"/>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Entry>
        <c:idx val="2"/>
        <c:delete val="1"/>
      </c:legendEntry>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0" i="0" u="none" strike="noStrike" baseline="0">
                <a:solidFill>
                  <a:srgbClr val="000000"/>
                </a:solidFill>
                <a:latin typeface="Times New Roman"/>
                <a:ea typeface="宋体"/>
                <a:cs typeface="Lucida Sans"/>
              </a:defRPr>
            </a:pPr>
            <a:r>
              <a:rPr lang="zh-CN" sz="1400" b="0" i="0" u="none" strike="noStrike" baseline="0">
                <a:solidFill>
                  <a:srgbClr val="595959"/>
                </a:solidFill>
                <a:latin typeface="Times New Roman"/>
                <a:ea typeface="宋体"/>
                <a:cs typeface="Lucida Sans"/>
              </a:rPr>
              <a:t>202</a:t>
            </a:r>
            <a:r>
              <a:rPr lang="zh-CN" sz="1400" b="0" i="0" u="none" strike="noStrike" baseline="0">
                <a:solidFill>
                  <a:srgbClr val="595959"/>
                </a:solidFill>
                <a:latin typeface="Times New Roman"/>
                <a:ea typeface="宋体"/>
                <a:cs typeface="Lucida Sans"/>
              </a:rPr>
              <a:t>5</a:t>
            </a:r>
            <a:r>
              <a:rPr lang="zh-CN" sz="1400" b="0" i="0" u="none" strike="noStrike" baseline="0">
                <a:solidFill>
                  <a:srgbClr val="595959"/>
                </a:solidFill>
                <a:latin typeface="Times New Roman"/>
                <a:ea typeface="宋体"/>
                <a:cs typeface="Lucida Sans"/>
              </a:rPr>
              <a:t>年度一般公共预算财政拨款支出</a:t>
            </a:r>
          </a:p>
        </c:rich>
      </c:tx>
      <c:layout/>
      <c:overlay val="0"/>
      <c:spPr>
        <a:ln>
          <a:noFill/>
        </a:ln>
      </c:spPr>
    </c:title>
    <c:autoTitleDeleted val="1"/>
    <c:plotArea>
      <c:layout/>
      <c:pieChart>
        <c:varyColors val="1"/>
        <c:ser>
          <c:idx val="0"/>
          <c:order val="0"/>
          <c:tx>
            <c:strRef>
              <c:f>'工作表465544'!$A$2</c:f>
              <c:strCache>
                <c:ptCount val="1"/>
                <c:pt idx="0">
                  <c:v>2025年度一般公共预算财政拨款支出</c:v>
                </c:pt>
              </c:strCache>
            </c:strRef>
          </c:tx>
          <c:spPr>
            <a:solidFill>
              <a:srgbClr val="4F81BD"/>
            </a:solidFill>
            <a:ln>
              <a:noFill/>
            </a:ln>
          </c:spPr>
          <c:dPt>
            <c:idx val="0"/>
            <c:bubble3D val="0"/>
            <c:spPr>
              <a:solidFill>
                <a:srgbClr val="5B9BD5"/>
              </a:solidFill>
              <a:ln>
                <a:noFill/>
              </a:ln>
            </c:spPr>
          </c:dPt>
          <c:dPt>
            <c:idx val="1"/>
            <c:bubble3D val="0"/>
            <c:spPr>
              <a:solidFill>
                <a:srgbClr val="ED7D31"/>
              </a:solidFill>
              <a:ln>
                <a:noFill/>
              </a:ln>
            </c:spPr>
          </c:dPt>
          <c:dPt>
            <c:idx val="2"/>
            <c:bubble3D val="0"/>
            <c:spPr>
              <a:solidFill>
                <a:srgbClr val="A5A5A5"/>
              </a:solidFill>
              <a:ln>
                <a:noFill/>
              </a:ln>
            </c:spPr>
          </c:dPt>
          <c:dPt>
            <c:idx val="3"/>
            <c:bubble3D val="0"/>
            <c:spPr>
              <a:solidFill>
                <a:srgbClr val="FFC000"/>
              </a:solidFill>
              <a:ln>
                <a:noFill/>
              </a:ln>
            </c:spPr>
          </c:dPt>
          <c:dLbls>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numFmt formatCode="General" sourceLinked="1"/>
            <c:dLbl>
              <c:idx val="0"/>
              <c:numFmt formatCode="General" sourceLinked="0"/>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showLegendKey val="0"/>
              <c:showVal val="1"/>
              <c:showCatName val="0"/>
              <c:showSerName val="0"/>
              <c:showPercent val="0"/>
              <c:showBubbleSize val="0"/>
            </c:dLbl>
            <c:dLbl>
              <c:idx val="1"/>
              <c:numFmt formatCode="General" sourceLinked="0"/>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showLegendKey val="0"/>
              <c:showVal val="1"/>
              <c:showCatName val="0"/>
              <c:showSerName val="0"/>
              <c:showPercent val="0"/>
              <c:showBubbleSize val="0"/>
            </c:dLbl>
            <c:dLbl>
              <c:idx val="2"/>
              <c:numFmt formatCode="General" sourceLinked="0"/>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showLegendKey val="0"/>
              <c:showVal val="1"/>
              <c:showCatName val="0"/>
              <c:showSerName val="0"/>
              <c:showPercent val="0"/>
              <c:showBubbleSize val="0"/>
            </c:dLbl>
            <c:dLbl>
              <c:idx val="3"/>
              <c:numFmt formatCode="General" sourceLinked="0"/>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showLegendKey val="0"/>
              <c:showVal val="1"/>
              <c:showCatName val="0"/>
              <c:showSerName val="0"/>
              <c:showPercent val="0"/>
              <c:showBubbleSize val="0"/>
            </c:dLbl>
            <c:showLegendKey val="0"/>
            <c:showVal val="1"/>
            <c:showCatName val="0"/>
            <c:showSerName val="0"/>
            <c:showPercent val="0"/>
            <c:showBubbleSize val="0"/>
            <c:showLeaderLines val="1"/>
          </c:dLbls>
          <c:cat>
            <c:strRef>
              <c:f>'工作表465544'!$B$1:$E$1</c:f>
              <c:strCache>
                <c:ptCount val="4"/>
                <c:pt idx="0">
                  <c:v>一般公共服务支出</c:v>
                </c:pt>
                <c:pt idx="1">
                  <c:v>社会保障盒就业支出</c:v>
                </c:pt>
                <c:pt idx="2">
                  <c:v>卫生健康支出</c:v>
                </c:pt>
                <c:pt idx="3">
                  <c:v>住房保障支出</c:v>
                </c:pt>
              </c:strCache>
            </c:strRef>
          </c:cat>
          <c:val>
            <c:numRef>
              <c:f>'工作表465544'!$B$2:$E$2</c:f>
              <c:numCache>
                <c:formatCode>General</c:formatCode>
                <c:ptCount val="4"/>
                <c:pt idx="0">
                  <c:v>418.68</c:v>
                </c:pt>
                <c:pt idx="1">
                  <c:v>39.22</c:v>
                </c:pt>
                <c:pt idx="2">
                  <c:v>15.08</c:v>
                </c:pt>
                <c:pt idx="3">
                  <c:v>22.06</c:v>
                </c:pt>
              </c:numCache>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0" i="0" u="none" strike="noStrike" baseline="0">
                <a:solidFill>
                  <a:srgbClr val="000000"/>
                </a:solidFill>
                <a:latin typeface="Times New Roman"/>
                <a:ea typeface="宋体"/>
                <a:cs typeface="Lucida Sans"/>
              </a:defRPr>
            </a:pPr>
            <a:r>
              <a:rPr lang="zh-CN" sz="1400" b="0" i="0" u="none" strike="noStrike" baseline="0">
                <a:solidFill>
                  <a:srgbClr val="595959"/>
                </a:solidFill>
                <a:latin typeface="Times New Roman"/>
                <a:ea typeface="宋体"/>
                <a:cs typeface="Lucida Sans"/>
              </a:rPr>
              <a:t>202</a:t>
            </a:r>
            <a:r>
              <a:rPr lang="zh-CN" sz="1400" b="0" i="0" u="none" strike="noStrike" baseline="0">
                <a:solidFill>
                  <a:srgbClr val="595959"/>
                </a:solidFill>
                <a:latin typeface="Times New Roman"/>
                <a:ea typeface="宋体"/>
                <a:cs typeface="Lucida Sans"/>
              </a:rPr>
              <a:t>5</a:t>
            </a:r>
            <a:r>
              <a:rPr lang="zh-CN" sz="1400" b="0" i="0" u="none" strike="noStrike" baseline="0">
                <a:solidFill>
                  <a:srgbClr val="595959"/>
                </a:solidFill>
                <a:latin typeface="Times New Roman"/>
                <a:ea typeface="宋体"/>
                <a:cs typeface="Lucida Sans"/>
              </a:rPr>
              <a:t>年度“三公”经费</a:t>
            </a:r>
          </a:p>
        </c:rich>
      </c:tx>
      <c:layout/>
      <c:overlay val="0"/>
      <c:spPr>
        <a:ln>
          <a:noFill/>
        </a:ln>
      </c:spPr>
    </c:title>
    <c:autoTitleDeleted val="1"/>
    <c:plotArea>
      <c:layout/>
      <c:pieChart>
        <c:varyColors val="1"/>
        <c:ser>
          <c:idx val="0"/>
          <c:order val="0"/>
          <c:tx>
            <c:strRef>
              <c:f>'工作表465546'!$A$2</c:f>
              <c:strCache>
                <c:ptCount val="1"/>
                <c:pt idx="0">
                  <c:v/>
                </c:pt>
              </c:strCache>
            </c:strRef>
          </c:tx>
          <c:spPr>
            <a:solidFill>
              <a:srgbClr val="4F81BD"/>
            </a:solidFill>
            <a:ln>
              <a:noFill/>
            </a:ln>
          </c:spPr>
          <c:dPt>
            <c:idx val="0"/>
            <c:bubble3D val="0"/>
            <c:spPr>
              <a:solidFill>
                <a:srgbClr val="5B9BD5"/>
              </a:solidFill>
              <a:ln>
                <a:noFill/>
              </a:ln>
            </c:spPr>
          </c:dPt>
          <c:dPt>
            <c:idx val="1"/>
            <c:bubble3D val="0"/>
            <c:spPr>
              <a:solidFill>
                <a:srgbClr val="ED7D31"/>
              </a:solidFill>
              <a:ln>
                <a:noFill/>
              </a:ln>
            </c:spPr>
          </c:dPt>
          <c:dPt>
            <c:idx val="2"/>
            <c:bubble3D val="0"/>
            <c:spPr>
              <a:solidFill>
                <a:srgbClr val="A5A5A5"/>
              </a:solidFill>
              <a:ln>
                <a:noFill/>
              </a:ln>
            </c:spPr>
          </c:dPt>
          <c:dLbls>
            <c:dLbl>
              <c:idx val="0"/>
              <c:numFmt formatCode="General" sourceLinked="0"/>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showLegendKey val="0"/>
              <c:showVal val="0"/>
              <c:showCatName val="0"/>
              <c:showSerName val="0"/>
              <c:showPercent val="0"/>
              <c:showBubbleSize val="0"/>
            </c:dLbl>
            <c:dLbl>
              <c:idx val="1"/>
              <c:numFmt formatCode="General" sourceLinked="0"/>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showLegendKey val="0"/>
              <c:showVal val="0"/>
              <c:showCatName val="0"/>
              <c:showSerName val="0"/>
              <c:showPercent val="0"/>
              <c:showBubbleSize val="0"/>
            </c:dLbl>
            <c:dLbl>
              <c:idx val="2"/>
              <c:numFmt formatCode="General" sourceLinked="0"/>
              <c:spPr>
                <a:noFill/>
                <a:ln>
                  <a:noFill/>
                </a:ln>
              </c:spPr>
              <c:txPr>
                <a:bodyPr vert="horz"/>
                <a:lstStyle/>
                <a:p>
                  <a:pPr>
                    <a:defRPr sz="900" b="0" i="0" u="none" strike="noStrike" baseline="0">
                      <a:solidFill>
                        <a:srgbClr val="3F3F3F"/>
                      </a:solidFill>
                      <a:latin typeface="Times New Roman"/>
                      <a:ea typeface="宋体"/>
                      <a:cs typeface="Lucida Sans"/>
                    </a:defRPr>
                  </a:pPr>
                  <a:endParaRPr lang="zh-CN"/>
                </a:p>
              </c:txPr>
              <c:showLegendKey val="0"/>
              <c:showVal val="0"/>
              <c:showCatName val="0"/>
              <c:showSerName val="0"/>
              <c:showPercent val="0"/>
              <c:showBubbleSize val="0"/>
            </c:dLbl>
            <c:showLegendKey val="0"/>
            <c:showVal val="0"/>
            <c:showCatName val="0"/>
            <c:showSerName val="0"/>
            <c:showPercent val="0"/>
            <c:showBubbleSize val="0"/>
            <c:showLeaderLines val="1"/>
          </c:dLbls>
          <c:cat>
            <c:strRef>
              <c:f>'工作表465546'!$B$1:$D$1</c:f>
              <c:strCache>
                <c:ptCount val="3"/>
                <c:pt idx="0">
                  <c:v>因公出国（境）支出</c:v>
                </c:pt>
                <c:pt idx="1">
                  <c:v>公务用车购置及运行维护支出</c:v>
                </c:pt>
                <c:pt idx="2">
                  <c:v>公务接待支出</c:v>
                </c:pt>
              </c:strCache>
            </c:strRef>
          </c:cat>
          <c:val>
            <c:numRef>
              <c:f>'工作表465546'!$B$2:$D$2</c:f>
              <c:numCache>
                <c:formatCode>General</c:formatCode>
                <c:ptCount val="3"/>
                <c:pt idx="0">
                  <c:v>0.0</c:v>
                </c:pt>
                <c:pt idx="1">
                  <c:v>0.0</c:v>
                </c:pt>
                <c:pt idx="2">
                  <c:v>0.0</c:v>
                </c:pt>
              </c:numCache>
            </c:numRef>
          </c:val>
        </c:ser>
        <c:ser>
          <c:idx val="1"/>
          <c:order val="1"/>
          <c:tx>
            <c:v>系列2</c:v>
          </c:tx>
          <c:spPr>
            <a:solidFill>
              <a:srgbClr val="C0504D"/>
            </a:solidFill>
            <a:ln>
              <a:noFill/>
            </a:ln>
          </c:spPr>
          <c:dLbls>
            <c:showLegendKey val="0"/>
            <c:showVal val="0"/>
            <c:showCatName val="0"/>
            <c:showSerName val="0"/>
            <c:showPercent val="0"/>
            <c:showBubbleSize val="0"/>
            <c:showLeaderLines val="1"/>
          </c:dLbls>
          <c:cat>
            <c:strLit>
              <c:ptCount val="3"/>
              <c:pt idx="0">
                <c:v>因公出国（境）支出</c:v>
              </c:pt>
              <c:pt idx="1">
                <c:v>公务用车购置及运行维护支出</c:v>
              </c:pt>
              <c:pt idx="2">
                <c:v>公务接待支出</c:v>
              </c:pt>
            </c:strLit>
          </c:cat>
          <c:val>
            <c:numRef>
              <c:f/>
            </c:numRef>
          </c:val>
        </c:ser>
        <c:ser>
          <c:idx val="2"/>
          <c:order val="2"/>
          <c:tx>
            <c:v>系列3</c:v>
          </c:tx>
          <c:spPr>
            <a:solidFill>
              <a:srgbClr val="9BBB59"/>
            </a:solidFill>
            <a:ln>
              <a:noFill/>
            </a:ln>
          </c:spPr>
          <c:dLbls>
            <c:showLegendKey val="0"/>
            <c:showVal val="0"/>
            <c:showCatName val="0"/>
            <c:showSerName val="0"/>
            <c:showPercent val="0"/>
            <c:showBubbleSize val="0"/>
            <c:showLeaderLines val="1"/>
          </c:dLbls>
          <c:cat>
            <c:strLit>
              <c:ptCount val="3"/>
              <c:pt idx="0">
                <c:v>因公出国（境）支出</c:v>
              </c:pt>
              <c:pt idx="1">
                <c:v>公务用车购置及运行维护支出</c:v>
              </c:pt>
              <c:pt idx="2">
                <c:v>公务接待支出</c:v>
              </c:pt>
            </c:strLit>
          </c:cat>
          <c:val>
            <c:numRef>
              <c:f/>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8D8D8"/>
      </a:solidFill>
      <a:prstDash val="solid"/>
    </a:ln>
  </c:spPr>
  <c:txPr>
    <a:bodyPr/>
    <a:lstStyle/>
    <a:p>
      <a:pPr>
        <a:defRPr sz="9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22</TotalTime>
  <Application>Yozo_Office27021597764231179</Application>
  <Pages>18</Pages>
  <Words>5228</Words>
  <Characters>5654</Characters>
  <Lines>348</Lines>
  <Paragraphs>165</Paragraphs>
  <CharactersWithSpaces>5806</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user</cp:lastModifiedBy>
  <cp:revision>32</cp:revision>
  <cp:lastPrinted>2026-09-18T02:35:40Z</cp:lastPrinted>
  <dcterms:created xsi:type="dcterms:W3CDTF">2020-08-09T09:49:00Z</dcterms:created>
  <dcterms:modified xsi:type="dcterms:W3CDTF">2026-09-18T03:48:08Z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04787F2533EB45DC91BCDE4AB213247F</vt:lpwstr>
  </property>
  <property fmtid="{D5CDD505-2E9C-101B-9397-08002B2CF9AE}" pid="4" name="KSOTemplateDocerSaveRecord">
    <vt:lpwstr>eyJoZGlkIjoiM2JkZGE4NjY1YTM4MWRkYmM1ZWM0OTVjYzM5M2Q1ZWMiLCJ1c2VySWQiOiIzMDY5NTQ3NzEifQ==</vt:lpwstr>
  </property>
</Properties>
</file>