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8"/>
        <w:spacing w:beforeLines="0" w:before="93"/>
        <w:rPr>
          <w:rFonts w:ascii="Times New Roman" w:eastAsia="方正小标宋简体" w:hAnsi="Times New Roman"/>
          <w:kern w:val="2"/>
          <w:sz w:val="72"/>
          <w:szCs w:val="72"/>
        </w:rPr>
      </w:pPr>
      <w:bookmarkStart w:id="0" w:name="_Toc15306267"/>
      <w:bookmarkStart w:id="1" w:name="_Toc15396475"/>
      <w:bookmarkStart w:id="2" w:name="_Toc15378441"/>
      <w:bookmarkStart w:id="3" w:name="_Toc15377425"/>
      <w:bookmarkStart w:id="4" w:name="_Toc15396597"/>
      <w:bookmarkStart w:id="5" w:name="_Toc15377193"/>
    </w:p>
    <w:p>
      <w:pPr>
        <w:pStyle w:val="18"/>
        <w:spacing w:beforeLines="0" w:before="93"/>
        <w:rPr>
          <w:rFonts w:ascii="Times New Roman" w:eastAsia="方正小标宋简体" w:hAnsi="Times New Roman"/>
          <w:kern w:val="2"/>
          <w:sz w:val="72"/>
          <w:szCs w:val="72"/>
        </w:rPr>
      </w:pPr>
    </w:p>
    <w:p>
      <w:pPr>
        <w:pStyle w:val="18"/>
        <w:spacing w:beforeLines="0" w:before="93"/>
        <w:rPr>
          <w:rFonts w:ascii="Times New Roman" w:eastAsia="方正小标宋简体" w:hAnsi="Times New Roman"/>
          <w:kern w:val="2"/>
          <w:sz w:val="72"/>
          <w:szCs w:val="72"/>
        </w:rPr>
      </w:pPr>
    </w:p>
    <w:p>
      <w:pPr>
        <w:pStyle w:val="18"/>
        <w:spacing w:beforeLines="0" w:before="93"/>
        <w:jc w:val="center"/>
        <w:rPr>
          <w:rFonts w:ascii="Times New Roman" w:eastAsia="方正小标宋简体" w:hAnsi="Times New Roman"/>
          <w:kern w:val="2"/>
          <w:sz w:val="44"/>
          <w:szCs w:val="44"/>
        </w:rPr>
      </w:pPr>
      <w:r>
        <w:rPr>
          <w:rFonts w:ascii="Times New Roman" w:eastAsia="方正小标宋简体" w:hAnsi="Times New Roman"/>
          <w:kern w:val="2"/>
          <w:sz w:val="44"/>
          <w:szCs w:val="44"/>
        </w:rPr>
        <w:t>2025年度中共阿坝州委办公室（部门）决算</w:t>
      </w:r>
    </w:p>
    <w:p>
      <w:pPr>
        <w:pStyle w:val="18"/>
        <w:spacing w:beforeLines="0" w:before="93"/>
        <w:jc w:val="center"/>
        <w:rPr>
          <w:rFonts w:ascii="Times New Roman" w:eastAsia="方正小标宋简体" w:hAnsi="Times New Roman"/>
          <w:kern w:val="2"/>
          <w:sz w:val="44"/>
          <w:szCs w:val="44"/>
        </w:rPr>
      </w:pPr>
      <w:r>
        <w:rPr>
          <w:rFonts w:ascii="Times New Roman" w:eastAsia="方正小标宋简体" w:hAnsi="Times New Roman"/>
          <w:kern w:val="2"/>
          <w:sz w:val="44"/>
          <w:szCs w:val="44"/>
        </w:rPr>
        <w:t>公开说明</w:t>
      </w:r>
    </w:p>
    <w:p>
      <w:pPr>
        <w:spacing w:line="600" w:lineRule="exact"/>
        <w:jc w:val="center"/>
        <w:outlineLvl w:val="0"/>
        <w:rPr>
          <w:rFonts w:eastAsia="方正小标宋简体"/>
          <w:sz w:val="72"/>
          <w:szCs w:val="72"/>
        </w:rPr>
      </w:pPr>
    </w:p>
    <w:p>
      <w:pPr>
        <w:pStyle w:val="15"/>
        <w:jc w:val="left"/>
      </w:pPr>
    </w:p>
    <w:p>
      <w:pPr>
        <w:pStyle w:val="17"/>
        <w:jc w:val="both"/>
      </w:pPr>
    </w:p>
    <w:p>
      <w:pPr>
        <w:pStyle w:val="17"/>
        <w:jc w:val="both"/>
      </w:pPr>
    </w:p>
    <w:p>
      <w:pPr>
        <w:pStyle w:val="17"/>
        <w:jc w:val="both"/>
      </w:pPr>
    </w:p>
    <w:p>
      <w:pPr>
        <w:pStyle w:val="17"/>
        <w:jc w:val="both"/>
      </w:pPr>
    </w:p>
    <w:p>
      <w:pPr>
        <w:pStyle w:val="17"/>
        <w:jc w:val="both"/>
      </w:pPr>
    </w:p>
    <w:p>
      <w:pPr>
        <w:pStyle w:val="17"/>
        <w:jc w:val="both"/>
      </w:pPr>
    </w:p>
    <w:p>
      <w:pPr>
        <w:pStyle w:val="17"/>
        <w:jc w:val="both"/>
      </w:pPr>
    </w:p>
    <w:p>
      <w:pPr>
        <w:pStyle w:val="17"/>
        <w:jc w:val="both"/>
      </w:pPr>
    </w:p>
    <w:p>
      <w:pPr>
        <w:pStyle w:val="17"/>
        <w:jc w:val="both"/>
      </w:pPr>
    </w:p>
    <w:p>
      <w:pPr>
        <w:pStyle w:val="17"/>
        <w:jc w:val="both"/>
      </w:pPr>
    </w:p>
    <w:p>
      <w:pPr>
        <w:pStyle w:val="17"/>
        <w:ind w:leftChars="0" w:left="40" w:firstLineChars="0" w:firstLine="0"/>
        <w:jc w:val="center"/>
        <w:rPr>
          <w:rFonts w:eastAsia="仿宋_GB2312" w:hint="eastAsia"/>
          <w:sz w:val="32"/>
        </w:rPr>
      </w:pPr>
      <w:r>
        <w:rPr>
          <w:rFonts w:eastAsia="仿宋_GB2312" w:hint="eastAsia"/>
          <w:sz w:val="32"/>
        </w:rPr>
        <w:t>已经保密审查、内容审定，同意对外公开。</w:t>
      </w:r>
    </w:p>
    <w:p>
      <w:pPr>
        <w:pStyle w:val="27"/>
        <w:rPr>
          <w:rFonts w:ascii="Times New Roman" w:hAnsi="Times New Roman"/>
        </w:rPr>
        <w:sectPr>
          <w:headerReference w:type="default" r:id="rId2"/>
          <w:footerReference w:type="default" r:id="rId3"/>
          <w:footerReference w:type="even" r:id="rId4"/>
          <w:pgSz w:w="11906" w:h="16838"/>
          <w:pgMar w:top="1440" w:right="1800" w:bottom="1440" w:left="1800" w:header="851" w:footer="992" w:gutter="0"/>
          <w:pgNumType w:fmt="numberInDash" w:start="1"/>
          <w:titlePg/>
          <w:docGrid w:type="lines" w:linePitch="312" w:charSpace="0"/>
        </w:sectPr>
      </w:pPr>
    </w:p>
    <w:p>
      <w:pPr>
        <w:widowControl/>
        <w:spacing w:line="560" w:lineRule="exact"/>
        <w:jc w:val="center"/>
        <w:rPr>
          <w:rFonts w:eastAsia="黑体"/>
          <w:sz w:val="48"/>
          <w:szCs w:val="48"/>
        </w:rPr>
      </w:pPr>
      <w:bookmarkEnd w:id="0"/>
      <w:bookmarkEnd w:id="1"/>
      <w:bookmarkEnd w:id="2"/>
      <w:bookmarkEnd w:id="3"/>
      <w:bookmarkEnd w:id="4"/>
      <w:bookmarkEnd w:id="5"/>
      <w:r>
        <w:rPr>
          <w:rFonts w:eastAsia="黑体"/>
          <w:sz w:val="48"/>
          <w:szCs w:val="48"/>
        </w:rPr>
        <w:t>目录</w:t>
      </w:r>
    </w:p>
    <w:p>
      <w:pPr>
        <w:widowControl/>
        <w:spacing w:line="240" w:lineRule="exact"/>
        <w:jc w:val="center"/>
        <w:rPr>
          <w:rFonts w:eastAsia="黑体"/>
          <w:sz w:val="28"/>
          <w:szCs w:val="28"/>
        </w:rPr>
      </w:pPr>
    </w:p>
    <w:p>
      <w:pPr>
        <w:pStyle w:val="23"/>
        <w:tabs>
          <w:tab w:val="right" w:leader="dot" w:pos="8296"/>
        </w:tabs>
        <w:spacing w:line="240" w:lineRule="exact"/>
      </w:pPr>
      <w:r>
        <w:rPr>
          <w:rFonts w:ascii="Times New Roman" w:eastAsia="仿宋_GB2312" w:hAnsi="Times New Roman"/>
          <w:sz w:val="32"/>
          <w:szCs w:val="32"/>
        </w:rPr>
        <w:t>公开时间：2025年 9 月 18 日</w:t>
      </w:r>
    </w:p>
    <w:p>
      <w:pPr>
        <w:pStyle w:val="23"/>
        <w:tabs>
          <w:tab w:val="right" w:leader="dot" w:pos="8296"/>
          <w:tab w:val="right" w:leader="dot" w:pos="8306"/>
        </w:tabs>
        <w:spacing w:line="320" w:lineRule="exact"/>
        <w:jc w:val="center"/>
      </w:pPr>
      <w:bookmarkStart w:id="6" w:name="_Toc15396599"/>
      <w:bookmarkStart w:id="7" w:name="_Toc15377196"/>
      <w:r>
        <w:rPr>
          <w:rFonts w:eastAsia="仿宋_GB2312"/>
          <w:b/>
          <w:sz w:val="32"/>
          <w:szCs w:val="32"/>
        </w:rPr>
        <w:fldChar w:fldCharType="begin"/>
      </w:r>
      <w:r>
        <w:rPr>
          <w:rFonts w:eastAsia="仿宋_GB2312"/>
          <w:b/>
          <w:sz w:val="32"/>
          <w:szCs w:val="32"/>
        </w:rPr>
        <w:instrText xml:space="preserve"> TOC \o "1-3" \h \u </w:instrText>
      </w:r>
      <w:r>
        <w:rPr>
          <w:rFonts w:eastAsia="仿宋_GB2312"/>
          <w:b/>
          <w:sz w:val="32"/>
          <w:szCs w:val="32"/>
        </w:rPr>
        <w:fldChar w:fldCharType="separate"/>
      </w:r>
      <w:r>
        <w:fldChar w:fldCharType="begin"/>
      </w:r>
      <w:r>
        <w:instrText>Hyperlink \l "_Toc97135346"</w:instrText>
      </w:r>
      <w:r>
        <w:fldChar w:fldCharType="separate"/>
      </w:r>
      <w:r>
        <w:rPr>
          <w:rFonts w:eastAsia="方正小标宋简体"/>
        </w:rPr>
        <w:t xml:space="preserve">第一部分  </w:t>
      </w:r>
      <w:r>
        <w:rPr>
          <w:rFonts w:ascii="Times New Roman" w:eastAsia="方正小标宋简体" w:cs="Times New Roman" w:hAnsi="Times New Roman"/>
          <w:bCs/>
          <w:kern w:val="44"/>
          <w:szCs w:val="44"/>
          <w:lang w:val="en-US" w:eastAsia="zh-CN" w:bidi="ar-SA"/>
        </w:rPr>
        <w:t>部门概况</w:t>
      </w:r>
      <w:r>
        <w:tab/>
      </w:r>
      <w:r>
        <w:fldChar w:fldCharType="begin"/>
      </w:r>
      <w:r>
        <w:instrText>PageRef _Toc97135346 \h</w:instrText>
      </w:r>
      <w:r>
        <w:fldChar w:fldCharType="separate"/>
      </w:r>
      <w:r>
        <w:t>- 2 -</w:t>
      </w:r>
      <w:r>
        <w:fldChar w:fldCharType="end"/>
      </w:r>
      <w:r>
        <w:fldChar w:fldCharType="end"/>
      </w:r>
    </w:p>
    <w:p>
      <w:pPr>
        <w:pStyle w:val="24"/>
        <w:tabs>
          <w:tab w:val="right" w:leader="dot" w:pos="8296"/>
          <w:tab w:val="right" w:leader="dot" w:pos="8306"/>
        </w:tabs>
        <w:spacing w:line="320" w:lineRule="exact"/>
      </w:pPr>
      <w:r>
        <w:fldChar w:fldCharType="begin"/>
      </w:r>
      <w:r>
        <w:instrText>Hyperlink \l "_Toc97135347"</w:instrText>
      </w:r>
      <w:r>
        <w:fldChar w:fldCharType="separate"/>
      </w:r>
      <w:r>
        <w:rPr>
          <w:rFonts w:ascii="Times New Roman" w:eastAsia="黑体" w:cs="Times New Roman" w:hAnsi="Times New Roman"/>
          <w:bCs/>
          <w:kern w:val="2"/>
          <w:szCs w:val="32"/>
          <w:lang w:val="en-US" w:eastAsia="zh-CN" w:bidi="ar-SA"/>
        </w:rPr>
        <w:t>一、部门职责</w:t>
      </w:r>
      <w:r>
        <w:tab/>
      </w:r>
      <w:r>
        <w:fldChar w:fldCharType="begin"/>
      </w:r>
      <w:r>
        <w:instrText>PageRef _Toc97135347 \h</w:instrText>
      </w:r>
      <w:r>
        <w:fldChar w:fldCharType="separate"/>
      </w:r>
      <w:r>
        <w:t>- 2 -</w:t>
      </w:r>
      <w:r>
        <w:fldChar w:fldCharType="end"/>
      </w:r>
      <w:r>
        <w:fldChar w:fldCharType="end"/>
      </w:r>
    </w:p>
    <w:p>
      <w:pPr>
        <w:pStyle w:val="24"/>
        <w:tabs>
          <w:tab w:val="right" w:leader="dot" w:pos="8296"/>
          <w:tab w:val="right" w:leader="dot" w:pos="8306"/>
        </w:tabs>
        <w:spacing w:line="320" w:lineRule="exact"/>
      </w:pPr>
      <w:r>
        <w:fldChar w:fldCharType="begin"/>
      </w:r>
      <w:r>
        <w:instrText>Hyperlink \l "_Toc97135348"</w:instrText>
      </w:r>
      <w:r>
        <w:fldChar w:fldCharType="separate"/>
      </w:r>
      <w:r>
        <w:rPr>
          <w:rFonts w:ascii="Times New Roman" w:eastAsia="黑体" w:cs="Times New Roman" w:hAnsi="Times New Roman"/>
          <w:bCs/>
          <w:kern w:val="2"/>
          <w:szCs w:val="32"/>
          <w:lang w:val="en-US" w:eastAsia="zh-CN" w:bidi="ar-SA"/>
        </w:rPr>
        <w:t>二、机构设置</w:t>
      </w:r>
      <w:r>
        <w:tab/>
      </w:r>
      <w:r>
        <w:fldChar w:fldCharType="begin"/>
      </w:r>
      <w:r>
        <w:instrText>PageRef _Toc97135348 \h</w:instrText>
      </w:r>
      <w:r>
        <w:fldChar w:fldCharType="separate"/>
      </w:r>
      <w:r>
        <w:t>- 2 -</w:t>
      </w:r>
      <w:r>
        <w:fldChar w:fldCharType="end"/>
      </w:r>
      <w:r>
        <w:fldChar w:fldCharType="end"/>
      </w:r>
    </w:p>
    <w:p>
      <w:pPr>
        <w:pStyle w:val="23"/>
        <w:tabs>
          <w:tab w:val="right" w:leader="dot" w:pos="8296"/>
          <w:tab w:val="right" w:leader="dot" w:pos="8306"/>
        </w:tabs>
        <w:spacing w:line="320" w:lineRule="exact"/>
        <w:jc w:val="center"/>
      </w:pPr>
      <w:r>
        <w:rPr>
          <w:rFonts w:eastAsia="方正小标宋简体"/>
        </w:rPr>
        <w:fldChar w:fldCharType="begin"/>
      </w:r>
      <w:r>
        <w:rPr>
          <w:rFonts w:eastAsia="方正小标宋简体"/>
        </w:rPr>
        <w:instrText>Hyperlink \l "_Toc97135349"</w:instrText>
      </w:r>
      <w:r>
        <w:rPr>
          <w:rFonts w:eastAsia="方正小标宋简体"/>
        </w:rPr>
        <w:fldChar w:fldCharType="separate"/>
      </w:r>
      <w:r>
        <w:rPr>
          <w:rFonts w:eastAsia="方正小标宋简体"/>
        </w:rPr>
        <w:t>第二部分  2025年度部门决算情况说明</w:t>
        <w:tab/>
      </w:r>
      <w:r>
        <w:rPr>
          <w:rFonts w:eastAsia="方正小标宋简体"/>
        </w:rPr>
        <w:fldChar w:fldCharType="begin"/>
      </w:r>
      <w:r>
        <w:rPr>
          <w:rFonts w:eastAsia="方正小标宋简体"/>
        </w:rPr>
        <w:instrText>PageRef _Toc97135349 \h</w:instrText>
      </w:r>
      <w:r>
        <w:rPr>
          <w:rFonts w:eastAsia="方正小标宋简体"/>
        </w:rPr>
        <w:fldChar w:fldCharType="separate"/>
      </w:r>
      <w:r>
        <w:rPr>
          <w:rFonts w:eastAsia="方正小标宋简体"/>
        </w:rPr>
        <w:t>- 4 -</w:t>
      </w:r>
      <w:r>
        <w:rPr>
          <w:rFonts w:eastAsia="方正小标宋简体"/>
        </w:rPr>
        <w:fldChar w:fldCharType="end"/>
      </w:r>
      <w:r>
        <w:rPr>
          <w:rFonts w:eastAsia="方正小标宋简体"/>
        </w:rPr>
        <w:fldChar w:fldCharType="end"/>
      </w:r>
    </w:p>
    <w:p>
      <w:pPr>
        <w:pStyle w:val="24"/>
        <w:tabs>
          <w:tab w:val="right" w:leader="dot" w:pos="8296"/>
          <w:tab w:val="right" w:leader="dot" w:pos="8306"/>
        </w:tabs>
        <w:spacing w:line="320" w:lineRule="exact"/>
      </w:pPr>
      <w:r>
        <w:fldChar w:fldCharType="begin"/>
      </w:r>
      <w:r>
        <w:instrText>Hyperlink \l "_Toc97135350"</w:instrText>
      </w:r>
      <w:r>
        <w:fldChar w:fldCharType="separate"/>
      </w:r>
      <w:r>
        <w:rPr>
          <w:rFonts w:eastAsia="黑体"/>
          <w:szCs w:val="32"/>
        </w:rPr>
        <w:t>一、收</w:t>
      </w:r>
      <w:r>
        <w:rPr>
          <w:rFonts w:ascii="Times New Roman" w:eastAsia="黑体" w:cs="Times New Roman" w:hAnsi="Times New Roman"/>
          <w:bCs/>
          <w:kern w:val="2"/>
          <w:szCs w:val="32"/>
          <w:lang w:val="en-US" w:eastAsia="zh-CN" w:bidi="ar-SA"/>
        </w:rPr>
        <w:t>入支出决算总体情况说明</w:t>
      </w:r>
      <w:r>
        <w:tab/>
      </w:r>
      <w:r>
        <w:fldChar w:fldCharType="begin"/>
      </w:r>
      <w:r>
        <w:instrText>PageRef _Toc97135350 \h</w:instrText>
      </w:r>
      <w:r>
        <w:fldChar w:fldCharType="separate"/>
      </w:r>
      <w:r>
        <w:t>- 4 -</w:t>
      </w:r>
      <w:r>
        <w:fldChar w:fldCharType="end"/>
      </w:r>
      <w:r>
        <w:fldChar w:fldCharType="end"/>
      </w:r>
    </w:p>
    <w:p>
      <w:pPr>
        <w:pStyle w:val="24"/>
        <w:tabs>
          <w:tab w:val="right" w:leader="dot" w:pos="8296"/>
          <w:tab w:val="right" w:leader="dot" w:pos="8306"/>
        </w:tabs>
        <w:spacing w:line="320" w:lineRule="exact"/>
      </w:pPr>
      <w:r>
        <w:fldChar w:fldCharType="begin"/>
      </w:r>
      <w:r>
        <w:instrText>Hyperlink \l "_Toc97135352"</w:instrText>
      </w:r>
      <w:r>
        <w:fldChar w:fldCharType="separate"/>
      </w:r>
      <w:r>
        <w:rPr>
          <w:rFonts w:eastAsia="黑体"/>
          <w:szCs w:val="32"/>
        </w:rPr>
        <w:t>二、收入决算情况说明</w:t>
      </w:r>
      <w:r>
        <w:tab/>
      </w:r>
      <w:r>
        <w:fldChar w:fldCharType="begin"/>
      </w:r>
      <w:r>
        <w:instrText>PageRef _Toc97135352 \h</w:instrText>
      </w:r>
      <w:r>
        <w:fldChar w:fldCharType="separate"/>
      </w:r>
      <w:r>
        <w:t>- 4 -</w:t>
      </w:r>
      <w:r>
        <w:fldChar w:fldCharType="end"/>
      </w:r>
      <w:r>
        <w:fldChar w:fldCharType="end"/>
      </w:r>
    </w:p>
    <w:p>
      <w:pPr>
        <w:pStyle w:val="24"/>
        <w:tabs>
          <w:tab w:val="right" w:leader="dot" w:pos="8296"/>
          <w:tab w:val="right" w:leader="dot" w:pos="8306"/>
        </w:tabs>
        <w:spacing w:line="320" w:lineRule="exact"/>
      </w:pPr>
      <w:r>
        <w:fldChar w:fldCharType="begin"/>
      </w:r>
      <w:r>
        <w:instrText>Hyperlink \l "_Toc97135354"</w:instrText>
      </w:r>
      <w:r>
        <w:fldChar w:fldCharType="separate"/>
      </w:r>
      <w:r>
        <w:rPr>
          <w:rFonts w:eastAsia="黑体"/>
          <w:szCs w:val="32"/>
        </w:rPr>
        <w:t>三、支</w:t>
      </w:r>
      <w:r>
        <w:rPr>
          <w:rFonts w:ascii="Times New Roman" w:eastAsia="黑体" w:cs="Times New Roman" w:hAnsi="Times New Roman"/>
          <w:bCs/>
          <w:kern w:val="2"/>
          <w:szCs w:val="32"/>
          <w:lang w:val="en-US" w:eastAsia="zh-CN" w:bidi="ar-SA"/>
        </w:rPr>
        <w:t>出决算情况说明</w:t>
      </w:r>
      <w:r>
        <w:tab/>
      </w:r>
      <w:r>
        <w:fldChar w:fldCharType="begin"/>
      </w:r>
      <w:r>
        <w:instrText>PageRef _Toc97135354 \h</w:instrText>
      </w:r>
      <w:r>
        <w:fldChar w:fldCharType="separate"/>
      </w:r>
      <w:r>
        <w:t>- 5 -</w:t>
      </w:r>
      <w:r>
        <w:fldChar w:fldCharType="end"/>
      </w:r>
      <w:r>
        <w:fldChar w:fldCharType="end"/>
      </w:r>
    </w:p>
    <w:p>
      <w:pPr>
        <w:pStyle w:val="24"/>
        <w:tabs>
          <w:tab w:val="right" w:leader="dot" w:pos="8296"/>
          <w:tab w:val="right" w:leader="dot" w:pos="8306"/>
        </w:tabs>
        <w:spacing w:line="320" w:lineRule="exact"/>
      </w:pPr>
      <w:r>
        <w:fldChar w:fldCharType="begin"/>
      </w:r>
      <w:r>
        <w:instrText>Hyperlink \l "_Toc97135356"</w:instrText>
      </w:r>
      <w:r>
        <w:fldChar w:fldCharType="separate"/>
      </w:r>
      <w:r>
        <w:rPr>
          <w:rFonts w:eastAsia="黑体"/>
          <w:szCs w:val="32"/>
        </w:rPr>
        <w:t>四、财</w:t>
      </w:r>
      <w:r>
        <w:rPr>
          <w:rFonts w:ascii="Times New Roman" w:eastAsia="黑体" w:cs="Times New Roman" w:hAnsi="Times New Roman"/>
          <w:bCs/>
          <w:kern w:val="2"/>
          <w:szCs w:val="32"/>
          <w:lang w:val="en-US" w:eastAsia="zh-CN" w:bidi="ar-SA"/>
        </w:rPr>
        <w:t>政拨款收入支出决算总体情况说明</w:t>
      </w:r>
      <w:r>
        <w:tab/>
      </w:r>
      <w:r>
        <w:fldChar w:fldCharType="begin"/>
      </w:r>
      <w:r>
        <w:instrText>PageRef _Toc97135356 \h</w:instrText>
      </w:r>
      <w:r>
        <w:fldChar w:fldCharType="separate"/>
      </w:r>
      <w:r>
        <w:t>- 5 -</w:t>
      </w:r>
      <w:r>
        <w:fldChar w:fldCharType="end"/>
      </w:r>
      <w:r>
        <w:fldChar w:fldCharType="end"/>
      </w:r>
    </w:p>
    <w:p>
      <w:pPr>
        <w:pStyle w:val="24"/>
        <w:tabs>
          <w:tab w:val="right" w:leader="dot" w:pos="8296"/>
          <w:tab w:val="right" w:leader="dot" w:pos="8306"/>
        </w:tabs>
        <w:spacing w:line="320" w:lineRule="exact"/>
      </w:pPr>
      <w:r>
        <w:fldChar w:fldCharType="begin"/>
      </w:r>
      <w:r>
        <w:instrText>Hyperlink \l "_Toc97135357"</w:instrText>
      </w:r>
      <w:r>
        <w:fldChar w:fldCharType="separate"/>
      </w:r>
      <w:r>
        <w:rPr>
          <w:rFonts w:eastAsia="黑体"/>
          <w:szCs w:val="32"/>
        </w:rPr>
        <w:t>五、一</w:t>
      </w:r>
      <w:r>
        <w:rPr>
          <w:rFonts w:ascii="Times New Roman" w:eastAsia="黑体" w:cs="Times New Roman" w:hAnsi="Times New Roman"/>
          <w:bCs/>
          <w:kern w:val="2"/>
          <w:szCs w:val="32"/>
          <w:lang w:val="en-US" w:eastAsia="zh-CN" w:bidi="ar-SA"/>
        </w:rPr>
        <w:t>般公共预算财政拨款支出决算情况说明</w:t>
      </w:r>
      <w:r>
        <w:tab/>
      </w:r>
      <w:r>
        <w:fldChar w:fldCharType="begin"/>
      </w:r>
      <w:r>
        <w:instrText>PageRef _Toc97135357 \h</w:instrText>
      </w:r>
      <w:r>
        <w:fldChar w:fldCharType="separate"/>
      </w:r>
      <w:r>
        <w:t>- 5 -</w:t>
      </w:r>
      <w:r>
        <w:fldChar w:fldCharType="end"/>
      </w:r>
      <w:r>
        <w:fldChar w:fldCharType="end"/>
      </w:r>
    </w:p>
    <w:p>
      <w:pPr>
        <w:pStyle w:val="19"/>
        <w:tabs>
          <w:tab w:val="right" w:leader="dot" w:pos="8296"/>
          <w:tab w:val="right" w:leader="dot" w:pos="8306"/>
        </w:tabs>
        <w:spacing w:line="320" w:lineRule="exact"/>
      </w:pPr>
      <w:r>
        <w:fldChar w:fldCharType="begin"/>
      </w:r>
      <w:r>
        <w:instrText>Hyperlink \l "_Toc97135358"</w:instrText>
      </w:r>
      <w:r>
        <w:fldChar w:fldCharType="separate"/>
      </w:r>
      <w:r>
        <w:rPr>
          <w:rFonts w:eastAsia="楷体_GB2312"/>
          <w:szCs w:val="32"/>
        </w:rPr>
        <w:t>（一）一般公共预算财政拨款支出决算总体情况</w:t>
      </w:r>
      <w:r>
        <w:tab/>
      </w:r>
      <w:r>
        <w:fldChar w:fldCharType="begin"/>
      </w:r>
      <w:r>
        <w:instrText>PageRef _Toc97135358 \h</w:instrText>
      </w:r>
      <w:r>
        <w:fldChar w:fldCharType="separate"/>
      </w:r>
      <w:r>
        <w:t>- 5 -</w:t>
      </w:r>
      <w:r>
        <w:fldChar w:fldCharType="end"/>
      </w:r>
      <w:r>
        <w:fldChar w:fldCharType="end"/>
      </w:r>
    </w:p>
    <w:p>
      <w:pPr>
        <w:pStyle w:val="19"/>
        <w:tabs>
          <w:tab w:val="right" w:leader="dot" w:pos="8296"/>
          <w:tab w:val="right" w:leader="dot" w:pos="8306"/>
        </w:tabs>
        <w:spacing w:line="320" w:lineRule="exact"/>
      </w:pPr>
      <w:r>
        <w:fldChar w:fldCharType="begin"/>
      </w:r>
      <w:r>
        <w:instrText>Hyperlink \l "_Toc97135359"</w:instrText>
      </w:r>
      <w:r>
        <w:fldChar w:fldCharType="separate"/>
      </w:r>
      <w:r>
        <w:rPr>
          <w:rFonts w:eastAsia="楷体_GB2312"/>
          <w:szCs w:val="32"/>
        </w:rPr>
        <w:t>（二）一般公共预算财政拨款支出决算结构情况</w:t>
      </w:r>
      <w:r>
        <w:tab/>
      </w:r>
      <w:r>
        <w:fldChar w:fldCharType="begin"/>
      </w:r>
      <w:r>
        <w:instrText>PageRef _Toc97135359 \h</w:instrText>
      </w:r>
      <w:r>
        <w:fldChar w:fldCharType="separate"/>
      </w:r>
      <w:r>
        <w:t>- 6 -</w:t>
      </w:r>
      <w:r>
        <w:fldChar w:fldCharType="end"/>
      </w:r>
      <w:r>
        <w:fldChar w:fldCharType="end"/>
      </w:r>
    </w:p>
    <w:p>
      <w:pPr>
        <w:pStyle w:val="19"/>
        <w:tabs>
          <w:tab w:val="right" w:leader="dot" w:pos="8296"/>
          <w:tab w:val="right" w:leader="dot" w:pos="8306"/>
        </w:tabs>
        <w:spacing w:line="320" w:lineRule="exact"/>
      </w:pPr>
      <w:r>
        <w:fldChar w:fldCharType="begin"/>
      </w:r>
      <w:r>
        <w:instrText>Hyperlink \l "_Toc97135360"</w:instrText>
      </w:r>
      <w:r>
        <w:fldChar w:fldCharType="separate"/>
      </w:r>
      <w:r>
        <w:rPr>
          <w:rFonts w:eastAsia="楷体_GB2312"/>
          <w:szCs w:val="32"/>
        </w:rPr>
        <w:t>（三）一般公共预算财政拨款支出决算具体情况</w:t>
      </w:r>
      <w:r>
        <w:tab/>
      </w:r>
      <w:r>
        <w:fldChar w:fldCharType="begin"/>
      </w:r>
      <w:r>
        <w:instrText>PageRef _Toc97135360 \h</w:instrText>
      </w:r>
      <w:r>
        <w:fldChar w:fldCharType="separate"/>
      </w:r>
      <w:r>
        <w:t>- 6 -</w:t>
      </w:r>
      <w:r>
        <w:fldChar w:fldCharType="end"/>
      </w:r>
      <w:r>
        <w:fldChar w:fldCharType="end"/>
      </w:r>
    </w:p>
    <w:p>
      <w:pPr>
        <w:pStyle w:val="24"/>
        <w:tabs>
          <w:tab w:val="right" w:leader="dot" w:pos="8296"/>
          <w:tab w:val="right" w:leader="dot" w:pos="8306"/>
        </w:tabs>
        <w:spacing w:line="320" w:lineRule="exact"/>
      </w:pPr>
      <w:r>
        <w:fldChar w:fldCharType="begin"/>
      </w:r>
      <w:r>
        <w:instrText>Hyperlink \l "_Toc97135361"</w:instrText>
      </w:r>
      <w:r>
        <w:fldChar w:fldCharType="separate"/>
      </w:r>
      <w:r>
        <w:rPr>
          <w:rFonts w:eastAsia="黑体"/>
          <w:szCs w:val="32"/>
        </w:rPr>
        <w:t>六、一</w:t>
      </w:r>
      <w:r>
        <w:rPr>
          <w:rFonts w:ascii="Times New Roman" w:eastAsia="黑体" w:cs="Times New Roman" w:hAnsi="Times New Roman"/>
          <w:bCs/>
          <w:kern w:val="2"/>
          <w:szCs w:val="32"/>
          <w:lang w:val="en-US" w:eastAsia="zh-CN" w:bidi="ar-SA"/>
        </w:rPr>
        <w:t>般公共预算财政拨款基本支出决算情况说明</w:t>
      </w:r>
      <w:r>
        <w:tab/>
      </w:r>
      <w:r>
        <w:fldChar w:fldCharType="begin"/>
      </w:r>
      <w:r>
        <w:instrText>PageRef _Toc97135361 \h</w:instrText>
      </w:r>
      <w:r>
        <w:fldChar w:fldCharType="separate"/>
      </w:r>
      <w:r>
        <w:t>- 8 -</w:t>
      </w:r>
      <w:r>
        <w:fldChar w:fldCharType="end"/>
      </w:r>
      <w:r>
        <w:fldChar w:fldCharType="end"/>
      </w:r>
    </w:p>
    <w:p>
      <w:pPr>
        <w:pStyle w:val="24"/>
        <w:tabs>
          <w:tab w:val="right" w:leader="dot" w:pos="8296"/>
          <w:tab w:val="right" w:leader="dot" w:pos="8306"/>
        </w:tabs>
        <w:spacing w:line="320" w:lineRule="exact"/>
      </w:pPr>
      <w:r>
        <w:fldChar w:fldCharType="begin"/>
      </w:r>
      <w:r>
        <w:instrText>Hyperlink \l "_Toc97135362"</w:instrText>
      </w:r>
      <w:r>
        <w:fldChar w:fldCharType="separate"/>
      </w:r>
      <w:r>
        <w:rPr>
          <w:rFonts w:eastAsia="黑体"/>
          <w:szCs w:val="32"/>
        </w:rPr>
        <w:t>七、</w:t>
      </w:r>
      <w:r>
        <w:rPr>
          <w:rFonts w:ascii="Times New Roman" w:eastAsia="黑体" w:cs="Times New Roman" w:hAnsi="Times New Roman"/>
          <w:bCs/>
          <w:kern w:val="2"/>
          <w:szCs w:val="32"/>
          <w:lang w:val="en-US" w:eastAsia="zh-CN" w:bidi="ar-SA"/>
        </w:rPr>
        <w:t>财政拨款“三公”经费支出决算情况说明</w:t>
      </w:r>
      <w:r>
        <w:tab/>
      </w:r>
      <w:r>
        <w:fldChar w:fldCharType="begin"/>
      </w:r>
      <w:r>
        <w:instrText>PageRef _Toc97135362 \h</w:instrText>
      </w:r>
      <w:r>
        <w:fldChar w:fldCharType="separate"/>
      </w:r>
      <w:r>
        <w:t>- 8 -</w:t>
      </w:r>
      <w:r>
        <w:fldChar w:fldCharType="end"/>
      </w:r>
      <w:r>
        <w:fldChar w:fldCharType="end"/>
      </w:r>
    </w:p>
    <w:p>
      <w:pPr>
        <w:pStyle w:val="19"/>
        <w:tabs>
          <w:tab w:val="right" w:leader="dot" w:pos="8296"/>
          <w:tab w:val="right" w:leader="dot" w:pos="8306"/>
        </w:tabs>
        <w:spacing w:line="320" w:lineRule="exact"/>
      </w:pPr>
      <w:r>
        <w:fldChar w:fldCharType="begin"/>
      </w:r>
      <w:r>
        <w:instrText>Hyperlink \l "_Toc97135363"</w:instrText>
      </w:r>
      <w:r>
        <w:fldChar w:fldCharType="separate"/>
      </w:r>
      <w:r>
        <w:rPr>
          <w:rFonts w:eastAsia="楷体_GB2312"/>
          <w:szCs w:val="32"/>
        </w:rPr>
        <w:t>（一）“三公”经费财政拨款支出决算总体情况说明</w:t>
      </w:r>
      <w:r>
        <w:tab/>
      </w:r>
      <w:r>
        <w:fldChar w:fldCharType="begin"/>
      </w:r>
      <w:r>
        <w:instrText>PageRef _Toc97135363 \h</w:instrText>
      </w:r>
      <w:r>
        <w:fldChar w:fldCharType="separate"/>
      </w:r>
      <w:r>
        <w:t>- 9 -</w:t>
      </w:r>
      <w:r>
        <w:fldChar w:fldCharType="end"/>
      </w:r>
      <w:r>
        <w:fldChar w:fldCharType="end"/>
      </w:r>
    </w:p>
    <w:p>
      <w:pPr>
        <w:pStyle w:val="19"/>
        <w:tabs>
          <w:tab w:val="right" w:leader="dot" w:pos="8296"/>
          <w:tab w:val="right" w:leader="dot" w:pos="8306"/>
        </w:tabs>
        <w:spacing w:line="320" w:lineRule="exact"/>
      </w:pPr>
      <w:r>
        <w:fldChar w:fldCharType="begin"/>
      </w:r>
      <w:r>
        <w:instrText>Hyperlink \l "_Toc97135364"</w:instrText>
      </w:r>
      <w:r>
        <w:fldChar w:fldCharType="separate"/>
      </w:r>
      <w:r>
        <w:rPr>
          <w:rFonts w:eastAsia="楷体_GB2312"/>
          <w:szCs w:val="32"/>
        </w:rPr>
        <w:t>（二）“三公”经费财政拨款支出决算具体情况说明</w:t>
      </w:r>
      <w:r>
        <w:tab/>
      </w:r>
      <w:r>
        <w:fldChar w:fldCharType="begin"/>
      </w:r>
      <w:r>
        <w:instrText>PageRef _Toc97135364 \h</w:instrText>
      </w:r>
      <w:r>
        <w:fldChar w:fldCharType="separate"/>
      </w:r>
      <w:r>
        <w:t>- 9 -</w:t>
      </w:r>
      <w:r>
        <w:fldChar w:fldCharType="end"/>
      </w:r>
      <w:r>
        <w:fldChar w:fldCharType="end"/>
      </w:r>
    </w:p>
    <w:p>
      <w:pPr>
        <w:pStyle w:val="24"/>
        <w:tabs>
          <w:tab w:val="right" w:leader="dot" w:pos="8296"/>
          <w:tab w:val="right" w:leader="dot" w:pos="8306"/>
        </w:tabs>
        <w:spacing w:line="320" w:lineRule="exact"/>
      </w:pPr>
      <w:r>
        <w:fldChar w:fldCharType="begin"/>
      </w:r>
      <w:r>
        <w:instrText>Hyperlink \l "_Toc97135365"</w:instrText>
      </w:r>
      <w:r>
        <w:fldChar w:fldCharType="separate"/>
      </w:r>
      <w:r>
        <w:rPr>
          <w:rFonts w:eastAsia="黑体"/>
          <w:szCs w:val="32"/>
        </w:rPr>
        <w:t>八、</w:t>
      </w:r>
      <w:r>
        <w:rPr>
          <w:rFonts w:ascii="Times New Roman" w:eastAsia="黑体" w:cs="Times New Roman" w:hAnsi="Times New Roman"/>
          <w:bCs/>
          <w:kern w:val="2"/>
          <w:szCs w:val="32"/>
          <w:lang w:val="en-US" w:eastAsia="zh-CN" w:bidi="ar-SA"/>
        </w:rPr>
        <w:t>政府性基金预算支出决算情况说明</w:t>
      </w:r>
      <w:r>
        <w:tab/>
      </w:r>
      <w:r>
        <w:fldChar w:fldCharType="begin"/>
      </w:r>
      <w:r>
        <w:instrText>PageRef _Toc97135365 \h</w:instrText>
      </w:r>
      <w:r>
        <w:fldChar w:fldCharType="separate"/>
      </w:r>
      <w:r>
        <w:t>- 10 -</w:t>
      </w:r>
      <w:r>
        <w:fldChar w:fldCharType="end"/>
      </w:r>
      <w:r>
        <w:fldChar w:fldCharType="end"/>
      </w:r>
    </w:p>
    <w:p>
      <w:pPr>
        <w:pStyle w:val="24"/>
        <w:tabs>
          <w:tab w:val="right" w:leader="dot" w:pos="8296"/>
          <w:tab w:val="right" w:leader="dot" w:pos="8306"/>
        </w:tabs>
        <w:spacing w:line="320" w:lineRule="exact"/>
      </w:pPr>
      <w:r>
        <w:fldChar w:fldCharType="begin"/>
      </w:r>
      <w:r>
        <w:instrText>Hyperlink \l "_Toc97135366"</w:instrText>
      </w:r>
      <w:r>
        <w:fldChar w:fldCharType="separate"/>
      </w:r>
      <w:r>
        <w:rPr>
          <w:rFonts w:ascii="Times New Roman" w:eastAsia="黑体" w:cs="Times New Roman" w:hAnsi="Times New Roman"/>
          <w:bCs/>
          <w:kern w:val="2"/>
          <w:szCs w:val="32"/>
          <w:lang w:val="en-US" w:eastAsia="zh-CN" w:bidi="ar-SA"/>
        </w:rPr>
        <w:t>九、国有资本经营预算支出决算情况说明</w:t>
      </w:r>
      <w:r>
        <w:tab/>
      </w:r>
      <w:r>
        <w:fldChar w:fldCharType="begin"/>
      </w:r>
      <w:r>
        <w:instrText>PageRef _Toc97135366 \h</w:instrText>
      </w:r>
      <w:r>
        <w:fldChar w:fldCharType="separate"/>
      </w:r>
      <w:r>
        <w:t>- 10 -</w:t>
      </w:r>
      <w:r>
        <w:fldChar w:fldCharType="end"/>
      </w:r>
      <w:r>
        <w:fldChar w:fldCharType="end"/>
      </w:r>
    </w:p>
    <w:p>
      <w:pPr>
        <w:pStyle w:val="24"/>
        <w:tabs>
          <w:tab w:val="right" w:leader="dot" w:pos="8296"/>
          <w:tab w:val="right" w:leader="dot" w:pos="8306"/>
        </w:tabs>
        <w:spacing w:line="320" w:lineRule="exact"/>
      </w:pPr>
      <w:r>
        <w:fldChar w:fldCharType="begin"/>
      </w:r>
      <w:r>
        <w:instrText>Hyperlink \l "_Toc97135367"</w:instrText>
      </w:r>
      <w:r>
        <w:fldChar w:fldCharType="separate"/>
      </w:r>
      <w:r>
        <w:rPr>
          <w:rFonts w:ascii="Times New Roman" w:eastAsia="黑体" w:cs="Times New Roman" w:hAnsi="Times New Roman"/>
          <w:bCs/>
          <w:kern w:val="2"/>
          <w:szCs w:val="32"/>
          <w:lang w:val="en-US" w:eastAsia="zh-CN" w:bidi="ar-SA"/>
        </w:rPr>
        <w:t>十、其他重要事项的情况说明</w:t>
      </w:r>
      <w:r>
        <w:tab/>
      </w:r>
      <w:r>
        <w:fldChar w:fldCharType="begin"/>
      </w:r>
      <w:r>
        <w:instrText>PageRef _Toc97135367 \h</w:instrText>
      </w:r>
      <w:r>
        <w:fldChar w:fldCharType="separate"/>
      </w:r>
      <w:r>
        <w:t>- 10 -</w:t>
      </w:r>
      <w:r>
        <w:fldChar w:fldCharType="end"/>
      </w:r>
      <w:r>
        <w:fldChar w:fldCharType="end"/>
      </w:r>
    </w:p>
    <w:p>
      <w:pPr>
        <w:pStyle w:val="19"/>
        <w:tabs>
          <w:tab w:val="right" w:leader="dot" w:pos="8296"/>
          <w:tab w:val="right" w:leader="dot" w:pos="8306"/>
        </w:tabs>
        <w:spacing w:line="320" w:lineRule="exact"/>
      </w:pPr>
      <w:r>
        <w:fldChar w:fldCharType="begin"/>
      </w:r>
      <w:r>
        <w:instrText>Hyperlink \l "_Toc97135368"</w:instrText>
      </w:r>
      <w:r>
        <w:fldChar w:fldCharType="separate"/>
      </w:r>
      <w:r>
        <w:rPr>
          <w:rFonts w:eastAsia="楷体_GB2312"/>
          <w:szCs w:val="32"/>
        </w:rPr>
        <w:t>（一）机关运行经费支出情况</w:t>
      </w:r>
      <w:r>
        <w:tab/>
      </w:r>
      <w:r>
        <w:fldChar w:fldCharType="begin"/>
      </w:r>
      <w:r>
        <w:instrText>PageRef _Toc97135368 \h</w:instrText>
      </w:r>
      <w:r>
        <w:fldChar w:fldCharType="separate"/>
      </w:r>
      <w:r>
        <w:t>- 10 -</w:t>
      </w:r>
      <w:r>
        <w:fldChar w:fldCharType="end"/>
      </w:r>
      <w:r>
        <w:fldChar w:fldCharType="end"/>
      </w:r>
    </w:p>
    <w:p>
      <w:pPr>
        <w:pStyle w:val="19"/>
        <w:tabs>
          <w:tab w:val="right" w:leader="dot" w:pos="8296"/>
          <w:tab w:val="right" w:leader="dot" w:pos="8306"/>
        </w:tabs>
        <w:spacing w:line="320" w:lineRule="exact"/>
      </w:pPr>
      <w:r>
        <w:fldChar w:fldCharType="begin"/>
      </w:r>
      <w:r>
        <w:instrText>Hyperlink \l "_Toc97135369"</w:instrText>
      </w:r>
      <w:r>
        <w:fldChar w:fldCharType="separate"/>
      </w:r>
      <w:r>
        <w:rPr>
          <w:rFonts w:eastAsia="楷体_GB2312"/>
          <w:szCs w:val="32"/>
        </w:rPr>
        <w:t>（二）政府采购支出情况</w:t>
      </w:r>
      <w:r>
        <w:tab/>
      </w:r>
      <w:r>
        <w:fldChar w:fldCharType="begin"/>
      </w:r>
      <w:r>
        <w:instrText>PageRef _Toc97135369 \h</w:instrText>
      </w:r>
      <w:r>
        <w:fldChar w:fldCharType="separate"/>
      </w:r>
      <w:r>
        <w:t>- 10 -</w:t>
      </w:r>
      <w:r>
        <w:fldChar w:fldCharType="end"/>
      </w:r>
      <w:r>
        <w:fldChar w:fldCharType="end"/>
      </w:r>
    </w:p>
    <w:p>
      <w:pPr>
        <w:pStyle w:val="19"/>
        <w:tabs>
          <w:tab w:val="right" w:leader="dot" w:pos="8296"/>
          <w:tab w:val="right" w:leader="dot" w:pos="8306"/>
        </w:tabs>
        <w:spacing w:line="320" w:lineRule="exact"/>
      </w:pPr>
      <w:r>
        <w:fldChar w:fldCharType="begin"/>
      </w:r>
      <w:r>
        <w:instrText>Hyperlink \l "_Toc97135370"</w:instrText>
      </w:r>
      <w:r>
        <w:fldChar w:fldCharType="separate"/>
      </w:r>
      <w:r>
        <w:rPr>
          <w:rFonts w:eastAsia="楷体_GB2312"/>
          <w:szCs w:val="32"/>
        </w:rPr>
        <w:t>（三）国有资产占有使用情况</w:t>
      </w:r>
      <w:r>
        <w:tab/>
      </w:r>
      <w:r>
        <w:fldChar w:fldCharType="begin"/>
      </w:r>
      <w:r>
        <w:instrText>PageRef _Toc97135370 \h</w:instrText>
      </w:r>
      <w:r>
        <w:fldChar w:fldCharType="separate"/>
      </w:r>
      <w:r>
        <w:t>- 11 -</w:t>
      </w:r>
      <w:r>
        <w:fldChar w:fldCharType="end"/>
      </w:r>
      <w:r>
        <w:fldChar w:fldCharType="end"/>
      </w:r>
    </w:p>
    <w:p>
      <w:pPr>
        <w:pStyle w:val="23"/>
        <w:tabs>
          <w:tab w:val="right" w:leader="dot" w:pos="8296"/>
          <w:tab w:val="right" w:leader="dot" w:pos="8306"/>
        </w:tabs>
        <w:spacing w:line="320" w:lineRule="exact"/>
        <w:jc w:val="center"/>
      </w:pPr>
      <w:r>
        <w:rPr>
          <w:rFonts w:eastAsia="方正小标宋简体"/>
        </w:rPr>
        <w:fldChar w:fldCharType="begin"/>
      </w:r>
      <w:r>
        <w:rPr>
          <w:rFonts w:eastAsia="方正小标宋简体"/>
        </w:rPr>
        <w:instrText>Hyperlink \l "_Toc97135371"</w:instrText>
      </w:r>
      <w:r>
        <w:rPr>
          <w:rFonts w:eastAsia="方正小标宋简体"/>
        </w:rPr>
        <w:fldChar w:fldCharType="separate"/>
      </w:r>
      <w:r>
        <w:rPr>
          <w:rFonts w:eastAsia="方正小标宋简体"/>
        </w:rPr>
        <w:t>第三部分  名词解释</w:t>
        <w:tab/>
      </w:r>
      <w:r>
        <w:rPr>
          <w:rFonts w:eastAsia="方正小标宋简体"/>
        </w:rPr>
        <w:fldChar w:fldCharType="begin"/>
      </w:r>
      <w:r>
        <w:rPr>
          <w:rFonts w:eastAsia="方正小标宋简体"/>
        </w:rPr>
        <w:instrText>PageRef _Toc97135371 \h</w:instrText>
      </w:r>
      <w:r>
        <w:rPr>
          <w:rFonts w:eastAsia="方正小标宋简体"/>
        </w:rPr>
        <w:fldChar w:fldCharType="separate"/>
      </w:r>
      <w:r>
        <w:rPr>
          <w:rFonts w:eastAsia="方正小标宋简体"/>
        </w:rPr>
        <w:t>- 11 -</w:t>
      </w:r>
      <w:r>
        <w:rPr>
          <w:rFonts w:eastAsia="方正小标宋简体"/>
        </w:rPr>
        <w:fldChar w:fldCharType="end"/>
      </w:r>
      <w:r>
        <w:rPr>
          <w:rFonts w:eastAsia="方正小标宋简体"/>
        </w:rPr>
        <w:fldChar w:fldCharType="end"/>
      </w:r>
    </w:p>
    <w:p>
      <w:pPr>
        <w:pStyle w:val="23"/>
        <w:tabs>
          <w:tab w:val="right" w:leader="dot" w:pos="8296"/>
        </w:tabs>
        <w:adjustRightInd w:val="0"/>
        <w:snapToGrid w:val="0"/>
        <w:spacing w:before="0" w:line="320" w:lineRule="exact"/>
        <w:jc w:val="left"/>
        <w:rPr>
          <w:rFonts w:eastAsia="方正小标宋简体"/>
        </w:rPr>
      </w:pPr>
      <w:r>
        <w:rPr>
          <w:rFonts w:eastAsia="方正小标宋简体"/>
        </w:rPr>
        <w:t xml:space="preserve">第四部分 </w:t>
        <w:tab/>
      </w:r>
      <w:r>
        <w:rPr>
          <w:rFonts w:eastAsia="方正小标宋简体"/>
        </w:rPr>
        <w:fldChar w:fldCharType="begin"/>
      </w:r>
      <w:r>
        <w:rPr>
          <w:rFonts w:eastAsia="方正小标宋简体"/>
        </w:rPr>
        <w:instrText>PageRef _Toc97135371 \h</w:instrText>
      </w:r>
      <w:r>
        <w:rPr>
          <w:rFonts w:eastAsia="方正小标宋简体"/>
        </w:rPr>
        <w:fldChar w:fldCharType="separate"/>
      </w:r>
      <w:r>
        <w:rPr>
          <w:rFonts w:eastAsia="方正小标宋简体"/>
        </w:rPr>
        <w:t>- 18 -</w:t>
      </w:r>
      <w:r>
        <w:rPr>
          <w:rFonts w:eastAsia="方正小标宋简体"/>
        </w:rPr>
        <w:fldChar w:fldCharType="end"/>
      </w:r>
    </w:p>
    <w:p>
      <w:pPr>
        <w:pStyle w:val="23"/>
        <w:tabs>
          <w:tab w:val="right" w:leader="dot" w:pos="8296"/>
        </w:tabs>
        <w:adjustRightInd w:val="0"/>
        <w:snapToGrid w:val="0"/>
        <w:spacing w:before="0" w:line="320" w:lineRule="exact"/>
        <w:jc w:val="left"/>
        <w:rPr>
          <w:rFonts w:eastAsia="方正小标宋简体"/>
        </w:rPr>
      </w:pPr>
      <w:r>
        <w:rPr>
          <w:rFonts w:eastAsia="方正小标宋简体"/>
        </w:rPr>
        <w:t>第五部分 附表</w:t>
        <w:tab/>
        <w:t>- 25 -</w:t>
      </w:r>
    </w:p>
    <w:p>
      <w:pPr>
        <w:pStyle w:val="24"/>
        <w:tabs>
          <w:tab w:val="right" w:leader="dot" w:pos="8296"/>
          <w:tab w:val="right" w:leader="dot" w:pos="8306"/>
        </w:tabs>
        <w:spacing w:line="320" w:lineRule="exact"/>
        <w:rPr>
          <w:rFonts w:eastAsia="黑体"/>
          <w:szCs w:val="32"/>
        </w:rPr>
      </w:pPr>
      <w:r>
        <w:rPr>
          <w:rFonts w:eastAsia="黑体"/>
          <w:szCs w:val="32"/>
        </w:rPr>
        <w:t>一、收入支出决算总表</w:t>
      </w:r>
      <w:r>
        <w:fldChar w:fldCharType="begin"/>
      </w:r>
      <w:r>
        <w:instrText>Hyperlink \l "_Toc97135354"</w:instrText>
      </w:r>
      <w:r>
        <w:fldChar w:fldCharType="separate"/>
      </w:r>
      <w:r>
        <w:tab/>
      </w:r>
      <w:r>
        <w:fldChar w:fldCharType="begin"/>
      </w:r>
      <w:r>
        <w:instrText>PageRef _Toc97135354 \h</w:instrText>
      </w:r>
      <w:r>
        <w:fldChar w:fldCharType="separate"/>
      </w:r>
      <w:r>
        <w:t>- 5 -</w:t>
      </w:r>
      <w:r>
        <w:fldChar w:fldCharType="end"/>
      </w:r>
      <w:r>
        <w:fldChar w:fldCharType="end"/>
      </w:r>
    </w:p>
    <w:p>
      <w:pPr>
        <w:pStyle w:val="24"/>
        <w:tabs>
          <w:tab w:val="right" w:leader="dot" w:pos="8296"/>
          <w:tab w:val="right" w:leader="dot" w:pos="8306"/>
        </w:tabs>
        <w:spacing w:line="320" w:lineRule="exact"/>
        <w:rPr>
          <w:rFonts w:eastAsia="黑体"/>
          <w:szCs w:val="32"/>
        </w:rPr>
      </w:pPr>
      <w:r>
        <w:rPr>
          <w:rFonts w:eastAsia="黑体"/>
          <w:szCs w:val="32"/>
        </w:rPr>
        <w:t>二、收入决算表</w:t>
      </w:r>
      <w:r>
        <w:tab/>
        <w:t>- 25-</w:t>
      </w:r>
    </w:p>
    <w:p>
      <w:pPr>
        <w:pStyle w:val="24"/>
        <w:tabs>
          <w:tab w:val="right" w:leader="dot" w:pos="8296"/>
          <w:tab w:val="right" w:leader="dot" w:pos="8306"/>
        </w:tabs>
        <w:spacing w:line="320" w:lineRule="exact"/>
        <w:rPr>
          <w:rFonts w:eastAsia="黑体"/>
          <w:szCs w:val="32"/>
        </w:rPr>
      </w:pPr>
      <w:r>
        <w:rPr>
          <w:rFonts w:eastAsia="黑体"/>
          <w:szCs w:val="32"/>
        </w:rPr>
        <w:t>三、支出决算表</w:t>
      </w:r>
      <w:r>
        <w:tab/>
        <w:t>- 25-</w:t>
      </w:r>
    </w:p>
    <w:p>
      <w:pPr>
        <w:pStyle w:val="24"/>
        <w:tabs>
          <w:tab w:val="right" w:leader="dot" w:pos="8296"/>
          <w:tab w:val="right" w:leader="dot" w:pos="8306"/>
        </w:tabs>
        <w:spacing w:line="320" w:lineRule="exact"/>
        <w:rPr>
          <w:rFonts w:eastAsia="黑体"/>
          <w:szCs w:val="32"/>
        </w:rPr>
      </w:pPr>
      <w:r>
        <w:rPr>
          <w:rFonts w:eastAsia="黑体"/>
          <w:szCs w:val="32"/>
        </w:rPr>
        <w:t>四、财政拨款收入支出决算总表</w:t>
      </w:r>
      <w:r>
        <w:tab/>
        <w:t>- 25-</w:t>
      </w:r>
    </w:p>
    <w:p>
      <w:pPr>
        <w:pStyle w:val="24"/>
        <w:tabs>
          <w:tab w:val="right" w:leader="dot" w:pos="8296"/>
          <w:tab w:val="right" w:leader="dot" w:pos="8306"/>
        </w:tabs>
        <w:spacing w:line="320" w:lineRule="exact"/>
        <w:rPr>
          <w:rFonts w:eastAsia="黑体"/>
          <w:szCs w:val="32"/>
        </w:rPr>
      </w:pPr>
      <w:r>
        <w:rPr>
          <w:rFonts w:eastAsia="黑体"/>
          <w:szCs w:val="32"/>
        </w:rPr>
        <w:t>五、财政拨款支出决算明细表</w:t>
      </w:r>
      <w:r>
        <w:tab/>
        <w:t>- 25-</w:t>
      </w:r>
    </w:p>
    <w:p>
      <w:pPr>
        <w:pStyle w:val="24"/>
        <w:tabs>
          <w:tab w:val="right" w:leader="dot" w:pos="8296"/>
          <w:tab w:val="right" w:leader="dot" w:pos="8306"/>
        </w:tabs>
        <w:spacing w:line="320" w:lineRule="exact"/>
        <w:rPr>
          <w:rFonts w:eastAsia="黑体"/>
          <w:szCs w:val="32"/>
        </w:rPr>
      </w:pPr>
      <w:r>
        <w:rPr>
          <w:rFonts w:eastAsia="黑体"/>
          <w:szCs w:val="32"/>
        </w:rPr>
        <w:t>六、一般公共预算财政拨款支出决算表</w:t>
      </w:r>
      <w:r>
        <w:tab/>
        <w:t>- 25-</w:t>
      </w:r>
    </w:p>
    <w:p>
      <w:pPr>
        <w:pStyle w:val="24"/>
        <w:tabs>
          <w:tab w:val="right" w:leader="dot" w:pos="8296"/>
          <w:tab w:val="right" w:leader="dot" w:pos="8306"/>
        </w:tabs>
        <w:spacing w:line="320" w:lineRule="exact"/>
        <w:rPr>
          <w:rFonts w:eastAsia="黑体"/>
          <w:szCs w:val="32"/>
        </w:rPr>
      </w:pPr>
      <w:r>
        <w:rPr>
          <w:rFonts w:eastAsia="黑体"/>
          <w:szCs w:val="32"/>
        </w:rPr>
        <w:t>七、一般公共预算财政拨款支出决算明细表</w:t>
      </w:r>
      <w:r>
        <w:tab/>
        <w:t>- 25-</w:t>
      </w:r>
    </w:p>
    <w:p>
      <w:pPr>
        <w:pStyle w:val="24"/>
        <w:tabs>
          <w:tab w:val="right" w:leader="dot" w:pos="8296"/>
          <w:tab w:val="right" w:leader="dot" w:pos="8306"/>
        </w:tabs>
        <w:spacing w:line="320" w:lineRule="exact"/>
        <w:rPr>
          <w:rFonts w:eastAsia="黑体"/>
          <w:szCs w:val="32"/>
        </w:rPr>
      </w:pPr>
      <w:r>
        <w:rPr>
          <w:rFonts w:eastAsia="黑体"/>
          <w:szCs w:val="32"/>
        </w:rPr>
        <w:t>八、一般公共预算财政拨款基本支出决算明细表</w:t>
      </w:r>
      <w:r>
        <w:tab/>
        <w:t>- 25-</w:t>
      </w:r>
    </w:p>
    <w:p>
      <w:pPr>
        <w:pStyle w:val="24"/>
        <w:tabs>
          <w:tab w:val="right" w:leader="dot" w:pos="8296"/>
          <w:tab w:val="right" w:leader="dot" w:pos="8306"/>
        </w:tabs>
        <w:spacing w:line="320" w:lineRule="exact"/>
        <w:rPr>
          <w:rFonts w:eastAsia="黑体"/>
          <w:szCs w:val="32"/>
        </w:rPr>
      </w:pPr>
      <w:r>
        <w:rPr>
          <w:rFonts w:eastAsia="黑体"/>
          <w:szCs w:val="32"/>
        </w:rPr>
        <w:t>九、一般公共预算财政拨款项目支出决算表</w:t>
      </w:r>
      <w:r>
        <w:tab/>
        <w:t>- 25-</w:t>
      </w:r>
    </w:p>
    <w:p>
      <w:pPr>
        <w:pStyle w:val="24"/>
        <w:tabs>
          <w:tab w:val="right" w:leader="dot" w:pos="8296"/>
          <w:tab w:val="right" w:leader="dot" w:pos="8306"/>
        </w:tabs>
        <w:spacing w:line="320" w:lineRule="exact"/>
        <w:rPr>
          <w:rFonts w:eastAsia="黑体"/>
          <w:szCs w:val="32"/>
        </w:rPr>
      </w:pPr>
      <w:r>
        <w:rPr>
          <w:rFonts w:eastAsia="黑体"/>
          <w:szCs w:val="32"/>
        </w:rPr>
        <w:t>十、政府性基金预算财政拨款收入支出决算表</w:t>
      </w:r>
      <w:r>
        <w:tab/>
        <w:t>- 25-</w:t>
      </w:r>
    </w:p>
    <w:p>
      <w:pPr>
        <w:pStyle w:val="24"/>
        <w:tabs>
          <w:tab w:val="right" w:leader="dot" w:pos="8296"/>
          <w:tab w:val="right" w:leader="dot" w:pos="8306"/>
        </w:tabs>
        <w:spacing w:line="320" w:lineRule="exact"/>
        <w:rPr>
          <w:rFonts w:eastAsia="黑体"/>
          <w:szCs w:val="32"/>
        </w:rPr>
      </w:pPr>
      <w:r>
        <w:rPr>
          <w:rFonts w:eastAsia="黑体"/>
          <w:szCs w:val="32"/>
        </w:rPr>
        <w:t>十一、国有资本经营预算财政拨款收入支出决算表</w:t>
      </w:r>
      <w:r>
        <w:tab/>
        <w:t>- 25-</w:t>
      </w:r>
    </w:p>
    <w:p>
      <w:pPr>
        <w:pStyle w:val="24"/>
        <w:tabs>
          <w:tab w:val="right" w:leader="dot" w:pos="8296"/>
          <w:tab w:val="right" w:leader="dot" w:pos="8306"/>
        </w:tabs>
        <w:spacing w:line="320" w:lineRule="exact"/>
        <w:rPr>
          <w:rFonts w:eastAsia="黑体"/>
          <w:szCs w:val="32"/>
        </w:rPr>
      </w:pPr>
      <w:r>
        <w:rPr>
          <w:rFonts w:eastAsia="黑体"/>
          <w:szCs w:val="32"/>
        </w:rPr>
        <w:t>十二、国有资本经营预算财政拨款支出决算表</w:t>
      </w:r>
      <w:r>
        <w:tab/>
        <w:t>- 25-</w:t>
      </w:r>
    </w:p>
    <w:p>
      <w:pPr>
        <w:pStyle w:val="24"/>
        <w:tabs>
          <w:tab w:val="right" w:leader="dot" w:pos="8296"/>
          <w:tab w:val="right" w:leader="dot" w:pos="8306"/>
        </w:tabs>
        <w:spacing w:line="320" w:lineRule="exact"/>
      </w:pPr>
      <w:r>
        <w:rPr>
          <w:rFonts w:eastAsia="黑体"/>
          <w:szCs w:val="32"/>
        </w:rPr>
        <w:t>十三、财政拨款“三公”经费支出决算表</w:t>
      </w:r>
      <w:r>
        <w:fldChar w:fldCharType="begin"/>
      </w:r>
      <w:r>
        <w:instrText>Hyperlink \l "_Toc97135372"</w:instrText>
      </w:r>
      <w:r>
        <w:fldChar w:fldCharType="separate"/>
      </w:r>
      <w:r>
        <w:fldChar w:fldCharType="end"/>
      </w:r>
      <w:r>
        <w:rPr>
          <w:rFonts w:eastAsia="仿宋_GB2312"/>
          <w:b/>
          <w:sz w:val="32"/>
          <w:szCs w:val="32"/>
        </w:rPr>
        <w:fldChar w:fldCharType="end"/>
      </w:r>
      <w:r>
        <w:tab/>
        <w:t>- 25-</w:t>
      </w:r>
    </w:p>
    <w:p>
      <w:pPr>
        <w:rPr>
          <w:rFonts w:eastAsia="仿宋_GB2312"/>
          <w:bCs/>
          <w:kern w:val="44"/>
          <w:sz w:val="32"/>
          <w:szCs w:val="32"/>
        </w:rPr>
      </w:pPr>
      <w:r>
        <w:rPr>
          <w:rFonts w:eastAsia="仿宋_GB2312"/>
          <w:bCs/>
          <w:kern w:val="44"/>
          <w:sz w:val="32"/>
          <w:szCs w:val="32"/>
        </w:rPr>
        <w:br w:type="page"/>
      </w:r>
    </w:p>
    <w:p>
      <w:pPr>
        <w:pStyle w:val="1"/>
        <w:spacing w:line="600" w:lineRule="exact"/>
        <w:jc w:val="center"/>
        <w:rPr>
          <w:rStyle w:val="1Char"/>
          <w:rFonts w:eastAsia="方正小标宋简体"/>
          <w:b/>
          <w:bCs w:val="0"/>
        </w:rPr>
      </w:pPr>
      <w:bookmarkStart w:id="8" w:name="_Toc97135346"/>
      <w:r>
        <w:rPr>
          <w:rFonts w:eastAsia="方正小标宋简体"/>
          <w:b w:val="0"/>
        </w:rPr>
        <w:t xml:space="preserve">第一部分  </w:t>
      </w:r>
      <w:r>
        <w:rPr>
          <w:rStyle w:val="1Char"/>
          <w:rFonts w:eastAsia="方正小标宋简体"/>
          <w:b w:val="0"/>
          <w:bCs w:val="0"/>
        </w:rPr>
        <w:t>部门概况</w:t>
      </w:r>
      <w:bookmarkEnd w:id="6"/>
      <w:bookmarkEnd w:id="7"/>
      <w:bookmarkEnd w:id="8"/>
    </w:p>
    <w:p>
      <w:pPr>
        <w:widowControl/>
        <w:spacing w:line="600" w:lineRule="exact"/>
        <w:jc w:val="left"/>
        <w:rPr>
          <w:rFonts w:eastAsia="黑体"/>
          <w:sz w:val="32"/>
          <w:szCs w:val="32"/>
        </w:rPr>
      </w:pPr>
    </w:p>
    <w:p>
      <w:pPr>
        <w:spacing w:line="600" w:lineRule="exact"/>
        <w:ind w:firstLineChars="200" w:firstLine="640"/>
        <w:rPr>
          <w:rStyle w:val="2Char"/>
          <w:rFonts w:ascii="Times New Roman" w:eastAsia="黑体" w:hAnsi="Times New Roman"/>
        </w:rPr>
      </w:pPr>
      <w:bookmarkStart w:id="9" w:name="_Toc15377197"/>
      <w:bookmarkStart w:id="10" w:name="_Toc15396600"/>
      <w:bookmarkStart w:id="11" w:name="_Toc97135347"/>
      <w:bookmarkEnd w:id="9"/>
      <w:bookmarkEnd w:id="10"/>
      <w:r>
        <w:rPr>
          <w:rStyle w:val="2Char"/>
          <w:rFonts w:ascii="Times New Roman" w:eastAsia="黑体" w:hAnsi="Times New Roman"/>
        </w:rPr>
        <w:t>一、部门职责</w:t>
      </w:r>
    </w:p>
    <w:p>
      <w:pPr>
        <w:spacing w:line="600" w:lineRule="exact"/>
        <w:ind w:firstLineChars="200" w:firstLine="640"/>
        <w:rPr>
          <w:rFonts w:eastAsia="方正仿宋_GBK"/>
          <w:sz w:val="32"/>
          <w:szCs w:val="32"/>
        </w:rPr>
      </w:pPr>
      <w:bookmarkEnd w:id="11"/>
      <w:r>
        <w:rPr>
          <w:rFonts w:eastAsia="方正仿宋_GBK"/>
          <w:sz w:val="32"/>
          <w:szCs w:val="32"/>
        </w:rPr>
        <w:t>一是负责中央、省委、州委重大决策部署贯彻落实的协调、督促、检查，中央、省委、州委领导同志批示的传达和督办。二是负责州委会议、重大活动的准备和实施，州委领导活动的协调安排，州委各类文稿的撰写、修改和印制。三是围绕省委和州委的工作部署，综合调研、收集信息、反映动态，为州委决策提供参考建议。四是负责上级公文的承办和州委文件的草拟、印制、分发、管理等工作。五是负责全州党内法规工作，督促指导全州党内规范性文件的制定、审查、报备等工作。六是承担州委值班工作，负责全州党委办公室系统值班指导，对突出事件紧急情况跟踪了解、协调处理。七是负责州委与民主党派中央、民主党派四川省委之间战略合作事项的协调、落实。八是负责并协调州委办公室办公区、生活区的社会治安综合治理和安全防范。九是负责党中央路线方针政策和省委重大决策部署及重要工作安排落实情况的督促检查。十是负责贯彻执行《中华人民共和国档案法》等相关法律法规。十一是承办州委交办的其他任务。</w:t>
      </w:r>
      <w:bookmarkStart w:id="12" w:name="_Toc15377200"/>
      <w:bookmarkStart w:id="13" w:name="_Toc15396601"/>
    </w:p>
    <w:p>
      <w:pPr>
        <w:spacing w:line="600" w:lineRule="exact"/>
        <w:ind w:firstLineChars="200" w:firstLine="640"/>
        <w:rPr>
          <w:rStyle w:val="2Char"/>
          <w:rFonts w:ascii="Times New Roman" w:eastAsia="黑体" w:hAnsi="Times New Roman"/>
        </w:rPr>
      </w:pPr>
      <w:bookmarkStart w:id="14" w:name="_Toc97135348"/>
      <w:r>
        <w:rPr>
          <w:rStyle w:val="2Char"/>
          <w:rFonts w:ascii="Times New Roman" w:eastAsia="黑体" w:hAnsi="Times New Roman"/>
        </w:rPr>
        <w:t>二、机构设置</w:t>
      </w:r>
      <w:bookmarkEnd w:id="12"/>
      <w:bookmarkEnd w:id="13"/>
    </w:p>
    <w:p>
      <w:pPr>
        <w:spacing w:line="600" w:lineRule="exact"/>
        <w:ind w:firstLineChars="200" w:firstLine="640"/>
        <w:rPr>
          <w:rFonts w:eastAsia="方正仿宋_GBK"/>
          <w:sz w:val="32"/>
          <w:szCs w:val="32"/>
          <w:highlight w:val="auto"/>
        </w:rPr>
      </w:pPr>
      <w:bookmarkEnd w:id="14"/>
      <w:r>
        <w:rPr>
          <w:rFonts w:eastAsia="方正仿宋_GBK"/>
          <w:sz w:val="32"/>
          <w:szCs w:val="32"/>
        </w:rPr>
        <w:t>中共阿坝州委办公室（部门）</w:t>
      </w:r>
      <w:r>
        <w:rPr>
          <w:rFonts w:eastAsia="方正仿宋_GBK"/>
          <w:sz w:val="32"/>
          <w:szCs w:val="32"/>
          <w:highlight w:val="auto"/>
        </w:rPr>
        <w:t>下属二级</w:t>
      </w:r>
      <w:r>
        <w:rPr>
          <w:rFonts w:eastAsia="方正仿宋_GBK"/>
          <w:sz w:val="32"/>
          <w:szCs w:val="32"/>
          <w:lang w:eastAsia="zh-CN"/>
          <w:highlight w:val="auto"/>
        </w:rPr>
        <w:t>预算</w:t>
      </w:r>
      <w:r>
        <w:rPr>
          <w:rFonts w:eastAsia="方正仿宋_GBK"/>
          <w:sz w:val="32"/>
          <w:szCs w:val="32"/>
          <w:highlight w:val="auto"/>
        </w:rPr>
        <w:t>单位3个，其中行政单位1个，其他事业单位2个。</w:t>
      </w:r>
    </w:p>
    <w:p>
      <w:pPr>
        <w:spacing w:line="576" w:lineRule="exact"/>
        <w:ind w:firstLineChars="200" w:firstLine="640"/>
        <w:rPr>
          <w:rFonts w:eastAsia="方正仿宋_GBK"/>
          <w:sz w:val="32"/>
          <w:szCs w:val="32"/>
          <w:highlight w:val="auto"/>
        </w:rPr>
      </w:pPr>
      <w:r>
        <w:rPr>
          <w:rFonts w:eastAsia="方正仿宋_GBK"/>
          <w:sz w:val="32"/>
          <w:szCs w:val="32"/>
          <w:highlight w:val="auto"/>
        </w:rPr>
        <w:t>纳入</w:t>
      </w:r>
      <w:r>
        <w:rPr>
          <w:rFonts w:eastAsia="方正仿宋_GBK"/>
          <w:sz w:val="32"/>
          <w:szCs w:val="32"/>
        </w:rPr>
        <w:t>中共阿坝州委办公室（部门）部门</w:t>
      </w:r>
      <w:r>
        <w:rPr>
          <w:rFonts w:eastAsia="方正仿宋_GBK"/>
          <w:sz w:val="32"/>
          <w:szCs w:val="32"/>
          <w:lang w:eastAsia="zh-CN"/>
        </w:rPr>
        <w:t>2025</w:t>
      </w:r>
      <w:r>
        <w:rPr>
          <w:rFonts w:eastAsia="方正仿宋_GBK"/>
          <w:sz w:val="32"/>
          <w:szCs w:val="32"/>
          <w:lang w:eastAsia="zh-CN"/>
          <w:highlight w:val="auto"/>
        </w:rPr>
        <w:t>年度</w:t>
      </w:r>
      <w:r>
        <w:rPr>
          <w:rFonts w:eastAsia="方正仿宋_GBK"/>
          <w:sz w:val="32"/>
          <w:szCs w:val="32"/>
          <w:highlight w:val="auto"/>
        </w:rPr>
        <w:t>部门决算编制范围的二级预算单位包括：</w:t>
      </w:r>
    </w:p>
    <w:p>
      <w:pPr>
        <w:spacing w:line="576" w:lineRule="exact"/>
        <w:ind w:firstLineChars="200" w:firstLine="640"/>
        <w:rPr>
          <w:rFonts w:eastAsia="方正仿宋_GBK"/>
          <w:sz w:val="32"/>
          <w:szCs w:val="32"/>
          <w:highlight w:val="auto"/>
        </w:rPr>
      </w:pPr>
      <w:bookmarkStart w:id="15" w:name="_Toc15378448"/>
      <w:bookmarkStart w:id="16" w:name="_Toc15306275"/>
      <w:bookmarkStart w:id="17" w:name="_Toc15377432"/>
      <w:bookmarkStart w:id="18" w:name="_Toc15377201"/>
      <w:r>
        <w:rPr>
          <w:rFonts w:eastAsia="方正仿宋_GBK"/>
          <w:sz w:val="32"/>
          <w:szCs w:val="32"/>
          <w:highlight w:val="auto"/>
        </w:rPr>
        <w:t>1.</w:t>
      </w:r>
      <w:bookmarkEnd w:id="15"/>
      <w:bookmarkEnd w:id="16"/>
      <w:bookmarkEnd w:id="17"/>
      <w:bookmarkEnd w:id="18"/>
      <w:r>
        <w:rPr>
          <w:rFonts w:eastAsia="方正仿宋_GBK"/>
          <w:sz w:val="32"/>
          <w:szCs w:val="32"/>
        </w:rPr>
        <w:t>中共阿坝州委办公室</w:t>
      </w:r>
      <w:r>
        <w:rPr>
          <w:rFonts w:eastAsia="方正仿宋_GBK"/>
          <w:sz w:val="32"/>
          <w:szCs w:val="32"/>
          <w:highlight w:val="auto"/>
        </w:rPr>
        <w:t>（本级）</w:t>
      </w:r>
    </w:p>
    <w:p>
      <w:pPr>
        <w:spacing w:line="576" w:lineRule="exact"/>
        <w:ind w:firstLineChars="200" w:firstLine="640"/>
        <w:rPr>
          <w:rFonts w:eastAsia="方正仿宋_GBK"/>
          <w:sz w:val="32"/>
          <w:szCs w:val="32"/>
        </w:rPr>
      </w:pPr>
      <w:r>
        <w:rPr>
          <w:rFonts w:eastAsia="方正仿宋_GBK"/>
          <w:sz w:val="32"/>
          <w:szCs w:val="32"/>
        </w:rPr>
        <w:t>2.州专用通信中心</w:t>
      </w:r>
    </w:p>
    <w:p>
      <w:pPr>
        <w:spacing w:line="576" w:lineRule="exact"/>
        <w:ind w:firstLineChars="200" w:firstLine="640"/>
        <w:rPr>
          <w:rFonts w:eastAsia="方正仿宋_GBK"/>
          <w:sz w:val="32"/>
          <w:szCs w:val="32"/>
          <w:highlight w:val="auto"/>
        </w:rPr>
      </w:pPr>
      <w:bookmarkStart w:id="19" w:name="_Toc15377434"/>
      <w:bookmarkStart w:id="20" w:name="_Toc15377203"/>
      <w:bookmarkStart w:id="21" w:name="_Toc15378450"/>
      <w:bookmarkStart w:id="22" w:name="_Toc15306277"/>
      <w:r>
        <w:rPr>
          <w:rFonts w:eastAsia="方正仿宋_GBK"/>
          <w:sz w:val="32"/>
          <w:szCs w:val="32"/>
          <w:highlight w:val="auto"/>
        </w:rPr>
        <w:t>3.州涉密文档专管中心</w:t>
      </w:r>
      <w:bookmarkEnd w:id="19"/>
      <w:bookmarkEnd w:id="20"/>
      <w:bookmarkEnd w:id="21"/>
      <w:bookmarkEnd w:id="22"/>
    </w:p>
    <w:p>
      <w:pPr>
        <w:spacing w:line="576" w:lineRule="exact"/>
        <w:ind w:firstLineChars="200" w:firstLine="640"/>
        <w:rPr>
          <w:rFonts w:eastAsia="仿宋"/>
          <w:kern w:val="0"/>
          <w:sz w:val="32"/>
          <w:szCs w:val="32"/>
        </w:rPr>
      </w:pPr>
      <w:r>
        <w:rPr>
          <w:rFonts w:eastAsia="方正仿宋_GBK"/>
          <w:sz w:val="32"/>
          <w:szCs w:val="32"/>
        </w:rPr>
        <w:t>部分项目支出涉密，不作公开。</w:t>
      </w:r>
      <w:r>
        <w:rPr>
          <w:rFonts w:eastAsia="仿宋"/>
          <w:sz w:val="32"/>
          <w:szCs w:val="32"/>
        </w:rPr>
        <w:br w:type="page"/>
      </w:r>
    </w:p>
    <w:p>
      <w:pPr>
        <w:pStyle w:val="1"/>
        <w:spacing w:line="576" w:lineRule="exact"/>
        <w:jc w:val="center"/>
        <w:rPr>
          <w:rFonts w:eastAsia="方正小标宋简体"/>
          <w:b w:val="0"/>
        </w:rPr>
      </w:pPr>
      <w:bookmarkStart w:id="23" w:name="_Toc15377204"/>
      <w:bookmarkStart w:id="24" w:name="_Toc97135349"/>
      <w:bookmarkStart w:id="25" w:name="_Toc15396602"/>
      <w:r>
        <w:rPr>
          <w:rFonts w:eastAsia="方正小标宋简体"/>
          <w:b w:val="0"/>
        </w:rPr>
        <w:t>第二部分  2025年度部门决算情况说明</w:t>
      </w:r>
      <w:bookmarkEnd w:id="23"/>
      <w:bookmarkEnd w:id="24"/>
      <w:bookmarkEnd w:id="25"/>
    </w:p>
    <w:p>
      <w:pPr>
        <w:spacing w:line="576" w:lineRule="exact"/>
      </w:pPr>
    </w:p>
    <w:p>
      <w:pPr>
        <w:pStyle w:val="32"/>
        <w:spacing w:line="576" w:lineRule="exact"/>
        <w:outlineLvl w:val="1"/>
        <w:rPr>
          <w:rStyle w:val="2Char"/>
          <w:rFonts w:ascii="Times New Roman" w:eastAsia="黑体" w:hAnsi="Times New Roman"/>
          <w:b w:val="0"/>
        </w:rPr>
      </w:pPr>
      <w:bookmarkStart w:id="26" w:name="_Toc97135350"/>
      <w:bookmarkStart w:id="27" w:name="_Toc15396603"/>
      <w:bookmarkStart w:id="28" w:name="_Toc15377205"/>
      <w:r>
        <w:rPr>
          <w:rFonts w:eastAsia="黑体"/>
          <w:sz w:val="32"/>
          <w:szCs w:val="32"/>
        </w:rPr>
        <w:t>一、收</w:t>
      </w:r>
      <w:r>
        <w:rPr>
          <w:rStyle w:val="2Char"/>
          <w:rFonts w:ascii="Times New Roman" w:eastAsia="黑体" w:hAnsi="Times New Roman"/>
          <w:b w:val="0"/>
        </w:rPr>
        <w:t>入支出决算总体情况说明</w:t>
      </w:r>
      <w:bookmarkEnd w:id="26"/>
      <w:bookmarkEnd w:id="27"/>
      <w:bookmarkEnd w:id="28"/>
    </w:p>
    <w:p>
      <w:pPr>
        <w:pStyle w:val="32"/>
        <w:spacing w:line="576" w:lineRule="exact"/>
        <w:outlineLvl w:val="1"/>
        <w:rPr>
          <w:rFonts w:eastAsia="仿宋_GB2312"/>
          <w:sz w:val="32"/>
          <w:szCs w:val="32"/>
        </w:rPr>
      </w:pPr>
      <w:bookmarkStart w:id="29" w:name="_Toc97135351"/>
      <w:r>
        <w:rPr>
          <w:rFonts w:eastAsia="仿宋_GB2312"/>
          <w:sz w:val="32"/>
          <w:szCs w:val="32"/>
        </w:rPr>
        <w:t>2025年度收入、支出总计均为3296.26万元。与2024年度相比，收入、支出总计各减少155.41万元，下降4.51%。</w:t>
      </w:r>
      <w:bookmarkEnd w:id="29"/>
      <w:r>
        <w:rPr>
          <w:rFonts w:eastAsia="仿宋_GB2312" w:cs="仿宋_GB2312" w:hint="eastAsia"/>
          <w:sz w:val="32"/>
          <w:szCs w:val="32"/>
        </w:rPr>
        <w:t>主要变动原因是</w:t>
      </w:r>
      <w:r>
        <w:rPr>
          <w:rFonts w:eastAsia="仿宋_GB2312" w:cs="仿宋_GB2312"/>
          <w:sz w:val="32"/>
          <w:szCs w:val="32"/>
        </w:rPr>
        <w:t>落实过紧日子要求，压减一般性公用经费，经费支出较上年减少。</w:t>
      </w:r>
    </w:p>
    <w:p>
      <w:pPr>
        <w:pStyle w:val="32"/>
        <w:spacing w:line="480" w:lineRule="auto"/>
        <w:jc w:val="center"/>
        <w:outlineLvl w:val="1"/>
      </w:pPr>
      <w:r>
        <w:drawing>
          <wp:inline distT="0" distB="0" distL="85088" distR="85088">
            <wp:extent cx="4123690" cy="1809115"/>
            <wp:effectExtent l="0" t="0" r="0" b="0"/>
            <wp:docPr id="1" name="对象"/>
            <wp:cNvGraphicFramePr>
              <a:graphicFrameLocks noChangeAspect="1"/>
            </wp:cNvGraphicFramePr>
            <a:graphic>
              <a:graphicData uri="http://schemas.openxmlformats.org/drawingml/2006/chart">
                <c:chart xmlns:c="http://schemas.openxmlformats.org/drawingml/2006/chart" r:id="rId7"/>
              </a:graphicData>
            </a:graphic>
          </wp:inline>
        </w:drawing>
      </w:r>
    </w:p>
    <w:p>
      <w:pPr>
        <w:spacing w:line="576" w:lineRule="exact"/>
        <w:ind w:firstLineChars="200" w:firstLine="640"/>
        <w:jc w:val="center"/>
        <w:rPr>
          <w:rFonts w:eastAsia="仿宋_GB2312"/>
          <w:sz w:val="32"/>
          <w:szCs w:val="32"/>
        </w:rPr>
      </w:pPr>
      <w:r>
        <w:rPr>
          <w:rFonts w:eastAsia="仿宋_GB2312"/>
          <w:sz w:val="32"/>
          <w:szCs w:val="32"/>
        </w:rPr>
        <w:t>（图1：收入、支出决算总计变动情况图）</w:t>
      </w:r>
    </w:p>
    <w:p>
      <w:pPr>
        <w:pStyle w:val="32"/>
        <w:spacing w:line="576" w:lineRule="exact"/>
        <w:outlineLvl w:val="1"/>
        <w:rPr>
          <w:rFonts w:eastAsia="黑体"/>
          <w:sz w:val="32"/>
          <w:szCs w:val="32"/>
        </w:rPr>
      </w:pPr>
      <w:bookmarkStart w:id="30" w:name="_Toc15377206"/>
      <w:bookmarkStart w:id="31" w:name="_Toc97135352"/>
      <w:bookmarkStart w:id="32" w:name="_Toc15396604"/>
      <w:r>
        <w:rPr>
          <w:rFonts w:eastAsia="黑体"/>
          <w:sz w:val="32"/>
          <w:szCs w:val="32"/>
        </w:rPr>
        <w:t>二、收入决算情况说明</w:t>
      </w:r>
      <w:bookmarkEnd w:id="30"/>
      <w:bookmarkEnd w:id="31"/>
      <w:bookmarkEnd w:id="32"/>
    </w:p>
    <w:p>
      <w:pPr>
        <w:pStyle w:val="32"/>
        <w:spacing w:line="576" w:lineRule="exact"/>
        <w:jc w:val="left"/>
        <w:outlineLvl w:val="1"/>
        <w:rPr>
          <w:rFonts w:eastAsia="仿宋_GB2312"/>
          <w:sz w:val="32"/>
          <w:szCs w:val="32"/>
        </w:rPr>
      </w:pPr>
      <w:bookmarkStart w:id="33" w:name="_Toc97135353"/>
      <w:r>
        <w:rPr>
          <w:rFonts w:eastAsia="仿宋_GB2312"/>
          <w:sz w:val="32"/>
          <w:szCs w:val="32"/>
        </w:rPr>
        <w:t>2025年度收入合计3296.26万元，其中：一般公共预算财政拨款收入3296.26万元，占100%。</w:t>
      </w:r>
      <w:bookmarkEnd w:id="33"/>
    </w:p>
    <w:p>
      <w:pPr>
        <w:pStyle w:val="32"/>
        <w:spacing w:line="480" w:lineRule="auto"/>
        <w:jc w:val="center"/>
        <w:outlineLvl w:val="1"/>
      </w:pPr>
      <w:r>
        <w:drawing>
          <wp:inline distT="0" distB="0" distL="85088" distR="85088">
            <wp:extent cx="4123690" cy="1809115"/>
            <wp:effectExtent l="0" t="0" r="0" b="0"/>
            <wp:docPr id="2" name="对象"/>
            <wp:cNvGraphicFramePr>
              <a:graphicFrameLocks noChangeAspect="1"/>
            </wp:cNvGraphicFramePr>
            <a:graphic>
              <a:graphicData uri="http://schemas.openxmlformats.org/drawingml/2006/chart">
                <c:chart xmlns:c="http://schemas.openxmlformats.org/drawingml/2006/chart" r:id="rId8"/>
              </a:graphicData>
            </a:graphic>
          </wp:inline>
        </w:drawing>
      </w:r>
    </w:p>
    <w:p>
      <w:pPr>
        <w:spacing w:line="576" w:lineRule="exact"/>
        <w:ind w:firstLineChars="250" w:firstLine="800"/>
        <w:jc w:val="center"/>
        <w:rPr>
          <w:rFonts w:eastAsia="仿宋_GB2312"/>
          <w:sz w:val="32"/>
          <w:szCs w:val="32"/>
        </w:rPr>
      </w:pPr>
      <w:r>
        <w:rPr>
          <w:rFonts w:eastAsia="仿宋_GB2312"/>
          <w:sz w:val="32"/>
          <w:szCs w:val="32"/>
        </w:rPr>
        <w:t>（图2：收入决算结构图）</w:t>
      </w:r>
    </w:p>
    <w:p>
      <w:pPr>
        <w:pStyle w:val="32"/>
        <w:spacing w:line="576" w:lineRule="exact"/>
        <w:outlineLvl w:val="1"/>
        <w:rPr>
          <w:rStyle w:val="2Char"/>
          <w:rFonts w:ascii="Times New Roman" w:eastAsia="黑体" w:hAnsi="Times New Roman"/>
          <w:b w:val="0"/>
        </w:rPr>
      </w:pPr>
      <w:bookmarkStart w:id="34" w:name="_Toc15396605"/>
      <w:bookmarkStart w:id="35" w:name="_Toc97135354"/>
      <w:bookmarkStart w:id="36" w:name="_Toc15377207"/>
      <w:r>
        <w:rPr>
          <w:rFonts w:eastAsia="黑体"/>
          <w:sz w:val="32"/>
          <w:szCs w:val="32"/>
        </w:rPr>
        <w:t>三、支</w:t>
      </w:r>
      <w:r>
        <w:rPr>
          <w:rStyle w:val="2Char"/>
          <w:rFonts w:ascii="Times New Roman" w:eastAsia="黑体" w:hAnsi="Times New Roman"/>
          <w:b w:val="0"/>
        </w:rPr>
        <w:t>出决算情况说明</w:t>
      </w:r>
      <w:bookmarkEnd w:id="34"/>
      <w:bookmarkEnd w:id="35"/>
      <w:bookmarkEnd w:id="36"/>
    </w:p>
    <w:p>
      <w:pPr>
        <w:pStyle w:val="32"/>
        <w:spacing w:line="576" w:lineRule="exact"/>
        <w:jc w:val="left"/>
        <w:outlineLvl w:val="1"/>
        <w:rPr>
          <w:rFonts w:eastAsia="仿宋_GB2312"/>
          <w:sz w:val="32"/>
          <w:szCs w:val="32"/>
        </w:rPr>
      </w:pPr>
      <w:bookmarkStart w:id="37" w:name="_Toc97135355"/>
      <w:r>
        <w:rPr>
          <w:rFonts w:eastAsia="仿宋_GB2312"/>
          <w:sz w:val="32"/>
          <w:szCs w:val="32"/>
        </w:rPr>
        <w:t>2025年度支出合计3296.26万元，其中：基本支出2,886.70万元，占87.58%；项目支出409.56万元，占12.42%。</w:t>
      </w:r>
      <w:bookmarkEnd w:id="37"/>
    </w:p>
    <w:p>
      <w:pPr>
        <w:pStyle w:val="32"/>
        <w:spacing w:line="480" w:lineRule="auto"/>
        <w:jc w:val="center"/>
        <w:outlineLvl w:val="1"/>
      </w:pPr>
      <w:r>
        <w:drawing>
          <wp:inline distT="0" distB="0" distL="85088" distR="85088">
            <wp:extent cx="4123690" cy="1809115"/>
            <wp:effectExtent l="0" t="0" r="0" b="0"/>
            <wp:docPr id="3" name="对象"/>
            <wp:cNvGraphicFramePr>
              <a:graphicFrameLocks noChangeAspect="1"/>
            </wp:cNvGraphicFramePr>
            <a:graphic>
              <a:graphicData uri="http://schemas.openxmlformats.org/drawingml/2006/chart">
                <c:chart xmlns:c="http://schemas.openxmlformats.org/drawingml/2006/chart" r:id="rId9"/>
              </a:graphicData>
            </a:graphic>
          </wp:inline>
        </w:drawing>
      </w:r>
    </w:p>
    <w:p>
      <w:pPr>
        <w:spacing w:line="576" w:lineRule="exact"/>
        <w:ind w:firstLineChars="250" w:firstLine="800"/>
        <w:jc w:val="center"/>
        <w:rPr>
          <w:rFonts w:eastAsia="仿宋_GB2312"/>
          <w:sz w:val="32"/>
          <w:szCs w:val="32"/>
        </w:rPr>
      </w:pPr>
      <w:r>
        <w:rPr>
          <w:rFonts w:eastAsia="仿宋_GB2312"/>
          <w:sz w:val="32"/>
          <w:szCs w:val="32"/>
        </w:rPr>
        <w:t>（图3：支出决算结构图）</w:t>
      </w:r>
    </w:p>
    <w:p>
      <w:pPr>
        <w:spacing w:line="576" w:lineRule="exact"/>
        <w:ind w:firstLineChars="200" w:firstLine="640"/>
        <w:outlineLvl w:val="1"/>
        <w:rPr>
          <w:rStyle w:val="2Char"/>
          <w:rFonts w:ascii="Times New Roman" w:eastAsia="黑体" w:hAnsi="Times New Roman"/>
          <w:b w:val="0"/>
        </w:rPr>
      </w:pPr>
      <w:bookmarkStart w:id="38" w:name="_Toc15377208"/>
      <w:bookmarkStart w:id="39" w:name="_Toc97135356"/>
      <w:bookmarkStart w:id="40" w:name="_Toc15396606"/>
      <w:r>
        <w:rPr>
          <w:rFonts w:eastAsia="黑体"/>
          <w:sz w:val="32"/>
          <w:szCs w:val="32"/>
        </w:rPr>
        <w:t>四、财</w:t>
      </w:r>
      <w:r>
        <w:rPr>
          <w:rStyle w:val="2Char"/>
          <w:rFonts w:ascii="Times New Roman" w:eastAsia="黑体" w:hAnsi="Times New Roman"/>
          <w:b w:val="0"/>
        </w:rPr>
        <w:t>政拨款收入支出决算总体情况说明</w:t>
      </w:r>
      <w:bookmarkEnd w:id="38"/>
      <w:bookmarkEnd w:id="39"/>
      <w:bookmarkEnd w:id="40"/>
    </w:p>
    <w:p>
      <w:pPr>
        <w:pStyle w:val="32"/>
        <w:spacing w:line="576" w:lineRule="exact"/>
        <w:outlineLvl w:val="1"/>
        <w:rPr>
          <w:rFonts w:eastAsia="仿宋_GB2312"/>
          <w:sz w:val="32"/>
          <w:szCs w:val="32"/>
        </w:rPr>
      </w:pPr>
      <w:r>
        <w:rPr>
          <w:rFonts w:eastAsia="仿宋_GB2312"/>
          <w:sz w:val="32"/>
          <w:szCs w:val="32"/>
        </w:rPr>
        <w:t>2025年度财政拨款收入、支出总计均为3296.26万元。与2024年度相比，财政拨款收入总计、支出总计各减少155.41万元，下降4.51%。</w:t>
      </w:r>
      <w:r>
        <w:rPr>
          <w:rFonts w:eastAsia="仿宋_GB2312" w:cs="仿宋_GB2312" w:hint="eastAsia"/>
          <w:sz w:val="32"/>
          <w:szCs w:val="32"/>
        </w:rPr>
        <w:t>主要变动原因是</w:t>
      </w:r>
      <w:r>
        <w:rPr>
          <w:rFonts w:eastAsia="仿宋_GB2312" w:cs="仿宋_GB2312"/>
          <w:sz w:val="32"/>
          <w:szCs w:val="32"/>
        </w:rPr>
        <w:t>落实过紧日子要求，压减一般性公用经费，经费支出较上年减少。</w:t>
      </w:r>
    </w:p>
    <w:p>
      <w:pPr>
        <w:pStyle w:val="32"/>
        <w:spacing w:line="480" w:lineRule="auto"/>
        <w:jc w:val="center"/>
        <w:outlineLvl w:val="1"/>
      </w:pPr>
      <w:r>
        <w:drawing>
          <wp:inline distT="0" distB="0" distL="85088" distR="85088">
            <wp:extent cx="4114165" cy="1809115"/>
            <wp:effectExtent l="0" t="0" r="0" b="0"/>
            <wp:docPr id="4" name="对象"/>
            <wp:cNvGraphicFramePr>
              <a:graphicFrameLocks noChangeAspect="1"/>
            </wp:cNvGraphicFramePr>
            <a:graphic>
              <a:graphicData uri="http://schemas.openxmlformats.org/drawingml/2006/chart">
                <c:chart xmlns:c="http://schemas.openxmlformats.org/drawingml/2006/chart" r:id="rId10"/>
              </a:graphicData>
            </a:graphic>
          </wp:inline>
        </w:drawing>
      </w:r>
    </w:p>
    <w:p>
      <w:pPr>
        <w:spacing w:line="576" w:lineRule="exact"/>
        <w:ind w:firstLineChars="200" w:firstLine="640"/>
        <w:jc w:val="center"/>
        <w:rPr>
          <w:rFonts w:eastAsia="仿宋_GB2312"/>
          <w:sz w:val="32"/>
          <w:szCs w:val="32"/>
        </w:rPr>
      </w:pPr>
      <w:r>
        <w:rPr>
          <w:rFonts w:eastAsia="仿宋_GB2312"/>
          <w:sz w:val="32"/>
          <w:szCs w:val="32"/>
        </w:rPr>
        <w:t>（图4：财政拨款收、支决算总计变动情况）</w:t>
      </w:r>
    </w:p>
    <w:p>
      <w:pPr>
        <w:spacing w:line="576" w:lineRule="exact"/>
        <w:ind w:firstLineChars="200" w:firstLine="640"/>
        <w:outlineLvl w:val="1"/>
        <w:rPr>
          <w:rStyle w:val="2Char"/>
          <w:rFonts w:ascii="Times New Roman" w:eastAsia="黑体" w:hAnsi="Times New Roman"/>
          <w:b w:val="0"/>
        </w:rPr>
      </w:pPr>
      <w:bookmarkStart w:id="41" w:name="_Toc15377209"/>
      <w:bookmarkStart w:id="42" w:name="_Toc97135357"/>
      <w:bookmarkStart w:id="43" w:name="_Toc15396607"/>
      <w:r>
        <w:rPr>
          <w:rFonts w:eastAsia="黑体"/>
          <w:sz w:val="32"/>
          <w:szCs w:val="32"/>
        </w:rPr>
        <w:t>五、</w:t>
      </w:r>
      <w:r>
        <w:rPr>
          <w:rFonts w:eastAsia="黑体"/>
          <w:b/>
          <w:sz w:val="32"/>
          <w:szCs w:val="32"/>
        </w:rPr>
        <w:t>一</w:t>
      </w:r>
      <w:r>
        <w:rPr>
          <w:rStyle w:val="2Char"/>
          <w:rFonts w:ascii="Times New Roman" w:eastAsia="黑体" w:hAnsi="Times New Roman"/>
          <w:b w:val="0"/>
        </w:rPr>
        <w:t>般公共预算财政拨款支出决算情况说明</w:t>
      </w:r>
      <w:bookmarkEnd w:id="41"/>
      <w:bookmarkEnd w:id="42"/>
      <w:bookmarkEnd w:id="43"/>
    </w:p>
    <w:p>
      <w:pPr>
        <w:spacing w:line="576" w:lineRule="exact"/>
        <w:ind w:firstLineChars="200" w:firstLine="640"/>
        <w:outlineLvl w:val="2"/>
        <w:rPr>
          <w:rFonts w:eastAsia="楷体_GB2312"/>
          <w:b/>
          <w:sz w:val="32"/>
          <w:szCs w:val="32"/>
        </w:rPr>
      </w:pPr>
      <w:bookmarkStart w:id="44" w:name="_Toc15377210"/>
      <w:bookmarkStart w:id="45" w:name="_Toc97135358"/>
      <w:r>
        <w:rPr>
          <w:rFonts w:eastAsia="楷体_GB2312"/>
          <w:b/>
          <w:sz w:val="32"/>
          <w:szCs w:val="32"/>
        </w:rPr>
        <w:t>（一）一般公共预算财政拨款支出决算总体情况</w:t>
      </w:r>
      <w:bookmarkEnd w:id="44"/>
      <w:bookmarkEnd w:id="45"/>
    </w:p>
    <w:p>
      <w:pPr>
        <w:pStyle w:val="32"/>
        <w:spacing w:line="576" w:lineRule="exact"/>
        <w:outlineLvl w:val="1"/>
        <w:rPr>
          <w:rFonts w:eastAsia="仿宋_GB2312"/>
          <w:sz w:val="32"/>
          <w:szCs w:val="32"/>
        </w:rPr>
      </w:pPr>
      <w:r>
        <w:rPr>
          <w:rFonts w:eastAsia="仿宋_GB2312"/>
          <w:sz w:val="32"/>
          <w:szCs w:val="32"/>
        </w:rPr>
        <w:t>2025年度一般公共预算财政拨款支出3296.26万元，占本年支出合计的100%。与2024年度相比，一般公共预算财政拨款支出减少155.41万元，下降4.51%。</w:t>
      </w:r>
      <w:r>
        <w:rPr>
          <w:rFonts w:eastAsia="仿宋_GB2312" w:cs="仿宋_GB2312" w:hint="eastAsia"/>
          <w:sz w:val="32"/>
          <w:szCs w:val="32"/>
        </w:rPr>
        <w:t>主要变动原因是</w:t>
      </w:r>
      <w:r>
        <w:rPr>
          <w:rFonts w:eastAsia="仿宋_GB2312" w:cs="仿宋_GB2312"/>
          <w:sz w:val="32"/>
          <w:szCs w:val="32"/>
        </w:rPr>
        <w:t>落实过紧日子要求，压减一般性公用经费，经费支出较上年减少。</w:t>
      </w:r>
    </w:p>
    <w:p>
      <w:pPr>
        <w:pStyle w:val="32"/>
        <w:spacing w:line="480" w:lineRule="auto"/>
        <w:jc w:val="center"/>
        <w:outlineLvl w:val="1"/>
      </w:pPr>
      <w:r>
        <w:drawing>
          <wp:inline distT="0" distB="0" distL="85088" distR="85088">
            <wp:extent cx="4104640" cy="1809115"/>
            <wp:effectExtent l="0" t="0" r="0" b="0"/>
            <wp:docPr id="5" name="对象"/>
            <wp:cNvGraphicFramePr>
              <a:graphicFrameLocks noChangeAspect="1"/>
            </wp:cNvGraphicFramePr>
            <a:graphic>
              <a:graphicData uri="http://schemas.openxmlformats.org/drawingml/2006/chart">
                <c:chart xmlns:c="http://schemas.openxmlformats.org/drawingml/2006/chart" r:id="rId11"/>
              </a:graphicData>
            </a:graphic>
          </wp:inline>
        </w:drawing>
      </w:r>
    </w:p>
    <w:p>
      <w:pPr>
        <w:spacing w:line="576" w:lineRule="exact"/>
        <w:ind w:firstLine="640"/>
        <w:jc w:val="center"/>
        <w:rPr>
          <w:rFonts w:eastAsia="仿宋_GB2312"/>
          <w:sz w:val="32"/>
          <w:szCs w:val="32"/>
        </w:rPr>
      </w:pPr>
      <w:r>
        <w:rPr>
          <w:rFonts w:eastAsia="仿宋_GB2312"/>
          <w:sz w:val="32"/>
          <w:szCs w:val="32"/>
        </w:rPr>
        <w:t>（图5：一般公共预算财政拨款支出决算变动情况）</w:t>
      </w:r>
    </w:p>
    <w:p>
      <w:pPr>
        <w:spacing w:line="576" w:lineRule="exact"/>
        <w:ind w:firstLineChars="200" w:firstLine="640"/>
        <w:outlineLvl w:val="2"/>
        <w:rPr>
          <w:rFonts w:eastAsia="楷体_GB2312"/>
          <w:b/>
          <w:sz w:val="32"/>
          <w:szCs w:val="32"/>
        </w:rPr>
      </w:pPr>
      <w:bookmarkStart w:id="46" w:name="_Toc15377211"/>
      <w:bookmarkStart w:id="47" w:name="_Toc97135359"/>
      <w:r>
        <w:rPr>
          <w:rFonts w:eastAsia="楷体_GB2312"/>
          <w:b/>
          <w:sz w:val="32"/>
          <w:szCs w:val="32"/>
        </w:rPr>
        <w:t>（二）一般公共预算财政拨款支出决算结构情况</w:t>
      </w:r>
      <w:bookmarkEnd w:id="46"/>
      <w:bookmarkEnd w:id="47"/>
    </w:p>
    <w:p>
      <w:pPr>
        <w:spacing w:line="576" w:lineRule="exact"/>
        <w:ind w:firstLine="640"/>
        <w:rPr>
          <w:rFonts w:eastAsia="仿宋_GB2312"/>
          <w:sz w:val="32"/>
          <w:szCs w:val="32"/>
        </w:rPr>
      </w:pPr>
      <w:r>
        <w:rPr>
          <w:rFonts w:eastAsia="仿宋_GB2312"/>
          <w:sz w:val="32"/>
          <w:szCs w:val="32"/>
        </w:rPr>
        <w:t>2025年度一般公共预算财政拨款支出3296.26万元，主要用于以下方面：一般公共服务支出2,765.05万元，占83.89%；社会保障和就业支出</w:t>
      </w:r>
      <w:r>
        <w:rPr>
          <w:rFonts w:eastAsia="仿宋_GB2312" w:hint="eastAsia"/>
          <w:sz w:val="32"/>
          <w:szCs w:val="32"/>
          <w:lang w:val="en-US" w:eastAsia="zh-CN"/>
        </w:rPr>
        <w:t>276.59</w:t>
      </w:r>
      <w:r>
        <w:rPr>
          <w:rFonts w:eastAsia="仿宋_GB2312"/>
          <w:sz w:val="32"/>
          <w:szCs w:val="32"/>
        </w:rPr>
        <w:t>万元，占</w:t>
      </w:r>
      <w:r>
        <w:rPr>
          <w:rFonts w:eastAsia="仿宋_GB2312" w:hint="eastAsia"/>
          <w:sz w:val="32"/>
          <w:szCs w:val="32"/>
          <w:lang w:val="en-US" w:eastAsia="zh-CN"/>
        </w:rPr>
        <w:t>8.4</w:t>
      </w:r>
      <w:r>
        <w:rPr>
          <w:rFonts w:eastAsia="仿宋_GB2312"/>
          <w:sz w:val="32"/>
          <w:szCs w:val="32"/>
        </w:rPr>
        <w:t>%；卫生健康支出105.46万元，占3.2%；住房保障支出149.16万元，占4.</w:t>
      </w:r>
      <w:r>
        <w:rPr>
          <w:rFonts w:eastAsia="仿宋_GB2312" w:hint="eastAsia"/>
          <w:sz w:val="32"/>
          <w:szCs w:val="32"/>
          <w:lang w:val="en-US" w:eastAsia="zh-CN"/>
        </w:rPr>
        <w:t>51</w:t>
      </w:r>
      <w:r>
        <w:rPr>
          <w:rFonts w:eastAsia="仿宋_GB2312"/>
          <w:sz w:val="32"/>
          <w:szCs w:val="32"/>
        </w:rPr>
        <w:t>%。</w:t>
      </w:r>
    </w:p>
    <w:p>
      <w:pPr>
        <w:pStyle w:val="15"/>
        <w:jc w:val="center"/>
      </w:pPr>
      <w:r>
        <w:drawing>
          <wp:inline distT="0" distB="0" distL="85088" distR="85088">
            <wp:extent cx="4123690" cy="1885314"/>
            <wp:effectExtent l="0" t="0" r="0" b="0"/>
            <wp:docPr id="6" name="对象"/>
            <wp:cNvGraphicFramePr>
              <a:graphicFrameLocks noChangeAspect="1"/>
            </wp:cNvGraphicFramePr>
            <a:graphic>
              <a:graphicData uri="http://schemas.openxmlformats.org/drawingml/2006/chart">
                <c:chart xmlns:c="http://schemas.openxmlformats.org/drawingml/2006/chart" r:id="rId12"/>
              </a:graphicData>
            </a:graphic>
          </wp:inline>
        </w:drawing>
      </w:r>
    </w:p>
    <w:p>
      <w:pPr>
        <w:pStyle w:val="15"/>
        <w:jc w:val="center"/>
      </w:pPr>
    </w:p>
    <w:p>
      <w:pPr>
        <w:spacing w:line="576" w:lineRule="exact"/>
        <w:ind w:firstLine="640"/>
        <w:jc w:val="center"/>
        <w:rPr>
          <w:rFonts w:eastAsia="仿宋_GB2312"/>
          <w:sz w:val="32"/>
          <w:szCs w:val="32"/>
        </w:rPr>
      </w:pPr>
      <w:r>
        <w:rPr>
          <w:rFonts w:eastAsia="仿宋_GB2312"/>
          <w:sz w:val="32"/>
          <w:szCs w:val="32"/>
        </w:rPr>
        <w:t>（图6：一般公共预算财政拨款支出决算结构）</w:t>
      </w:r>
    </w:p>
    <w:p>
      <w:pPr>
        <w:spacing w:line="576" w:lineRule="exact"/>
        <w:ind w:firstLineChars="200" w:firstLine="640"/>
        <w:outlineLvl w:val="2"/>
        <w:rPr>
          <w:rFonts w:eastAsia="楷体_GB2312"/>
          <w:b/>
          <w:sz w:val="32"/>
          <w:szCs w:val="32"/>
        </w:rPr>
      </w:pPr>
      <w:bookmarkStart w:id="48" w:name="_Toc15377212"/>
      <w:bookmarkStart w:id="49" w:name="_Toc97135360"/>
      <w:r>
        <w:rPr>
          <w:rFonts w:eastAsia="楷体_GB2312"/>
          <w:b/>
          <w:sz w:val="32"/>
          <w:szCs w:val="32"/>
        </w:rPr>
        <w:t>（三）一般公共预算财政拨款支出决算具体情况</w:t>
      </w:r>
      <w:bookmarkEnd w:id="48"/>
      <w:bookmarkEnd w:id="49"/>
    </w:p>
    <w:p>
      <w:pPr>
        <w:spacing w:line="576" w:lineRule="exact"/>
        <w:ind w:firstLine="640"/>
        <w:rPr>
          <w:rFonts w:eastAsia="仿宋_GB2312"/>
          <w:sz w:val="32"/>
          <w:szCs w:val="32"/>
        </w:rPr>
      </w:pPr>
      <w:bookmarkStart w:id="50" w:name="_Toc15377213"/>
      <w:bookmarkStart w:id="51" w:name="_Toc15377444"/>
      <w:bookmarkStart w:id="52" w:name="_Toc15378460"/>
      <w:r>
        <w:rPr>
          <w:rFonts w:eastAsia="仿宋_GB2312"/>
          <w:sz w:val="32"/>
          <w:szCs w:val="32"/>
        </w:rPr>
        <w:t>2025年度一般公共预算财政拨款支出决算数为3296.26万元，完成预算100%。其中：</w:t>
      </w:r>
      <w:bookmarkEnd w:id="50"/>
      <w:bookmarkEnd w:id="51"/>
      <w:bookmarkEnd w:id="52"/>
    </w:p>
    <w:p>
      <w:pPr>
        <w:spacing w:line="576" w:lineRule="exact"/>
        <w:ind w:firstLine="640"/>
        <w:rPr>
          <w:rFonts w:eastAsia="仿宋_GB2312"/>
          <w:sz w:val="32"/>
          <w:szCs w:val="32"/>
        </w:rPr>
      </w:pPr>
      <w:r>
        <w:rPr>
          <w:rFonts w:eastAsia="仿宋_GB2312"/>
          <w:b/>
          <w:bCs/>
          <w:sz w:val="32"/>
          <w:szCs w:val="32"/>
        </w:rPr>
        <w:t>1.一般公共服务（201）党委办公厅（室）及相关机构事务（31）行政运行（01）：</w:t>
      </w:r>
      <w:r>
        <w:rPr>
          <w:rFonts w:eastAsia="仿宋_GB2312"/>
          <w:sz w:val="32"/>
          <w:szCs w:val="32"/>
        </w:rPr>
        <w:t>支出决算为2,135.27万元，完成预算100%。</w:t>
      </w:r>
    </w:p>
    <w:p>
      <w:pPr>
        <w:spacing w:line="576" w:lineRule="exact"/>
        <w:ind w:firstLine="640"/>
        <w:rPr>
          <w:rFonts w:eastAsia="仿宋_GB2312"/>
          <w:sz w:val="32"/>
          <w:szCs w:val="32"/>
        </w:rPr>
      </w:pPr>
      <w:r>
        <w:rPr>
          <w:rFonts w:eastAsia="仿宋_GB2312"/>
          <w:b/>
          <w:bCs/>
          <w:sz w:val="32"/>
          <w:szCs w:val="32"/>
        </w:rPr>
        <w:t>2.一般公共服务（201）党委办公厅（室）及相关机构事务（31）一般行政管理事务（02）：</w:t>
      </w:r>
      <w:r>
        <w:rPr>
          <w:rFonts w:eastAsia="仿宋_GB2312"/>
          <w:sz w:val="32"/>
          <w:szCs w:val="32"/>
        </w:rPr>
        <w:t>支出决算为210.70万元，完成预算100%。</w:t>
      </w:r>
    </w:p>
    <w:p>
      <w:pPr>
        <w:spacing w:line="576" w:lineRule="exact"/>
        <w:ind w:firstLine="640"/>
        <w:rPr>
          <w:rFonts w:eastAsia="仿宋_GB2312"/>
          <w:sz w:val="32"/>
          <w:szCs w:val="32"/>
        </w:rPr>
      </w:pPr>
      <w:r>
        <w:rPr>
          <w:rFonts w:eastAsia="仿宋_GB2312"/>
          <w:b/>
          <w:bCs/>
          <w:sz w:val="32"/>
          <w:szCs w:val="32"/>
        </w:rPr>
        <w:t>3.一般公共服务（201）党委办公厅（室）及相关机构事务（31）专项业务（05）：</w:t>
      </w:r>
      <w:r>
        <w:rPr>
          <w:rFonts w:eastAsia="仿宋_GB2312"/>
          <w:sz w:val="32"/>
          <w:szCs w:val="32"/>
        </w:rPr>
        <w:t>支出决算为198.46万元，完成预算100%。</w:t>
      </w:r>
    </w:p>
    <w:p>
      <w:pPr>
        <w:spacing w:line="576" w:lineRule="exact"/>
        <w:ind w:firstLine="640"/>
      </w:pPr>
      <w:r>
        <w:rPr>
          <w:rFonts w:eastAsia="仿宋_GB2312"/>
          <w:b/>
          <w:bCs/>
          <w:sz w:val="32"/>
          <w:szCs w:val="32"/>
        </w:rPr>
        <w:t>4.一般公共服务（201）党委办公厅（室）及相关机构事务（31）事业运行（50）：</w:t>
      </w:r>
      <w:r>
        <w:rPr>
          <w:rFonts w:eastAsia="仿宋_GB2312"/>
          <w:sz w:val="32"/>
          <w:szCs w:val="32"/>
        </w:rPr>
        <w:t>支出决算为220.22万元，完成预算100%。</w:t>
      </w:r>
    </w:p>
    <w:p>
      <w:pPr>
        <w:spacing w:line="576" w:lineRule="exact"/>
        <w:ind w:firstLine="640"/>
        <w:rPr>
          <w:rFonts w:eastAsia="仿宋_GB2312"/>
          <w:sz w:val="32"/>
          <w:szCs w:val="32"/>
        </w:rPr>
      </w:pPr>
      <w:r>
        <w:rPr>
          <w:rFonts w:eastAsia="仿宋_GB2312"/>
          <w:b/>
          <w:bCs/>
          <w:sz w:val="32"/>
          <w:szCs w:val="32"/>
        </w:rPr>
        <w:t>5.社会保障和就业（208）行政事业单位养老支出（05）机关事业单位基本养老保险缴费支出（05）：</w:t>
      </w:r>
      <w:r>
        <w:rPr>
          <w:rFonts w:eastAsia="仿宋_GB2312"/>
          <w:sz w:val="32"/>
          <w:szCs w:val="32"/>
        </w:rPr>
        <w:t>支出决算为184.33万元，完成预算100%。</w:t>
      </w:r>
    </w:p>
    <w:p>
      <w:pPr>
        <w:spacing w:line="576" w:lineRule="exact"/>
        <w:ind w:firstLine="640"/>
        <w:rPr>
          <w:rFonts w:eastAsia="仿宋_GB2312"/>
          <w:sz w:val="32"/>
          <w:szCs w:val="32"/>
        </w:rPr>
      </w:pPr>
      <w:r>
        <w:rPr>
          <w:rFonts w:eastAsia="仿宋_GB2312"/>
          <w:b/>
          <w:bCs/>
          <w:sz w:val="32"/>
          <w:szCs w:val="32"/>
        </w:rPr>
        <w:t>6.社会保障和就业（208）行政事业单位养老支出（05）机关事业单位职业年金缴费支出（06）：</w:t>
      </w:r>
      <w:r>
        <w:rPr>
          <w:rFonts w:eastAsia="仿宋_GB2312"/>
          <w:sz w:val="32"/>
          <w:szCs w:val="32"/>
        </w:rPr>
        <w:t>支出决算为92.26万元，完成预算100%。</w:t>
      </w:r>
    </w:p>
    <w:p>
      <w:pPr>
        <w:spacing w:line="576" w:lineRule="exact"/>
        <w:ind w:firstLine="640"/>
        <w:rPr>
          <w:rFonts w:eastAsia="仿宋_GB2312"/>
          <w:sz w:val="32"/>
          <w:szCs w:val="32"/>
        </w:rPr>
      </w:pPr>
      <w:r>
        <w:rPr>
          <w:rFonts w:eastAsia="仿宋_GB2312"/>
          <w:b/>
          <w:bCs/>
          <w:sz w:val="32"/>
          <w:szCs w:val="32"/>
        </w:rPr>
        <w:t>7.卫生健康（210）行政事业单位医疗（11）行政单位医疗（01）：</w:t>
      </w:r>
      <w:r>
        <w:rPr>
          <w:rFonts w:eastAsia="仿宋_GB2312"/>
          <w:sz w:val="32"/>
          <w:szCs w:val="32"/>
        </w:rPr>
        <w:t>支出决算为87.32万元，完成预算100%。</w:t>
      </w:r>
    </w:p>
    <w:p>
      <w:pPr>
        <w:spacing w:line="576" w:lineRule="exact"/>
        <w:ind w:firstLine="640"/>
        <w:rPr>
          <w:rFonts w:eastAsia="仿宋_GB2312"/>
          <w:sz w:val="32"/>
          <w:szCs w:val="32"/>
        </w:rPr>
      </w:pPr>
      <w:r>
        <w:rPr>
          <w:rFonts w:eastAsia="仿宋_GB2312"/>
          <w:b/>
          <w:bCs/>
          <w:sz w:val="32"/>
          <w:szCs w:val="32"/>
        </w:rPr>
        <w:t>8.卫生健康（210）行政事业单位医疗（11）行政单位医疗（02）：</w:t>
      </w:r>
      <w:r>
        <w:rPr>
          <w:rFonts w:eastAsia="仿宋_GB2312"/>
          <w:sz w:val="32"/>
          <w:szCs w:val="32"/>
        </w:rPr>
        <w:t>支出决算为18.14万元，完成预算100%。</w:t>
      </w:r>
    </w:p>
    <w:p>
      <w:pPr>
        <w:spacing w:line="576" w:lineRule="exact"/>
        <w:ind w:firstLine="640"/>
        <w:rPr>
          <w:rFonts w:eastAsia="仿宋_GB2312"/>
          <w:sz w:val="32"/>
          <w:szCs w:val="32"/>
        </w:rPr>
      </w:pPr>
      <w:r>
        <w:rPr>
          <w:rFonts w:eastAsia="仿宋_GB2312"/>
          <w:b/>
          <w:bCs/>
          <w:sz w:val="32"/>
          <w:szCs w:val="32"/>
        </w:rPr>
        <w:t>9.卫生健康（210）行政事业单位医疗（11）行政单位医疗（03）：</w:t>
      </w:r>
      <w:r>
        <w:rPr>
          <w:rFonts w:eastAsia="仿宋_GB2312"/>
          <w:sz w:val="32"/>
          <w:szCs w:val="32"/>
        </w:rPr>
        <w:t>支出决算为15.91万元，完成预算100%。</w:t>
      </w:r>
    </w:p>
    <w:p>
      <w:pPr>
        <w:spacing w:line="576" w:lineRule="exact"/>
        <w:ind w:firstLine="640"/>
        <w:rPr>
          <w:rFonts w:eastAsia="仿宋_GB2312"/>
          <w:sz w:val="32"/>
          <w:szCs w:val="32"/>
        </w:rPr>
      </w:pPr>
      <w:r>
        <w:rPr>
          <w:rFonts w:eastAsia="仿宋_GB2312"/>
          <w:b/>
          <w:bCs/>
          <w:sz w:val="32"/>
          <w:szCs w:val="32"/>
        </w:rPr>
        <w:t>10.住房保障支出（221）住房改革支出（02）住房公积金（01）：</w:t>
      </w:r>
      <w:r>
        <w:rPr>
          <w:rFonts w:eastAsia="仿宋_GB2312"/>
          <w:sz w:val="32"/>
          <w:szCs w:val="32"/>
        </w:rPr>
        <w:t>支出决算为149.16万元，完成预算100%。</w:t>
      </w:r>
    </w:p>
    <w:p>
      <w:pPr>
        <w:tabs>
          <w:tab w:val="right" w:pos="8306"/>
        </w:tabs>
        <w:spacing w:line="576" w:lineRule="exact"/>
        <w:ind w:firstLine="640"/>
        <w:outlineLvl w:val="1"/>
        <w:rPr>
          <w:rStyle w:val="2Char"/>
          <w:rFonts w:ascii="Times New Roman" w:hAnsi="Times New Roman"/>
        </w:rPr>
      </w:pPr>
      <w:bookmarkStart w:id="53" w:name="_Toc97135361"/>
      <w:bookmarkStart w:id="54" w:name="_Toc15377214"/>
      <w:bookmarkStart w:id="55" w:name="_Toc15396608"/>
      <w:r>
        <w:rPr>
          <w:rFonts w:eastAsia="黑体"/>
          <w:sz w:val="32"/>
          <w:szCs w:val="32"/>
        </w:rPr>
        <w:t>六</w:t>
      </w:r>
      <w:r>
        <w:rPr>
          <w:rFonts w:eastAsia="黑体"/>
          <w:b/>
          <w:sz w:val="32"/>
          <w:szCs w:val="32"/>
        </w:rPr>
        <w:t>、一</w:t>
      </w:r>
      <w:r>
        <w:rPr>
          <w:rStyle w:val="2Char"/>
          <w:rFonts w:ascii="Times New Roman" w:eastAsia="黑体" w:hAnsi="Times New Roman"/>
          <w:b w:val="0"/>
        </w:rPr>
        <w:t>般公共预算财政拨款基本支出决算情况说明</w:t>
      </w:r>
      <w:bookmarkEnd w:id="53"/>
      <w:bookmarkEnd w:id="54"/>
      <w:bookmarkEnd w:id="55"/>
    </w:p>
    <w:p>
      <w:pPr>
        <w:spacing w:line="576" w:lineRule="exact"/>
        <w:ind w:firstLine="640"/>
        <w:rPr>
          <w:rFonts w:eastAsia="仿宋_GB2312"/>
          <w:sz w:val="32"/>
          <w:szCs w:val="32"/>
        </w:rPr>
      </w:pPr>
      <w:r>
        <w:rPr>
          <w:rFonts w:eastAsia="仿宋_GB2312"/>
          <w:sz w:val="32"/>
          <w:szCs w:val="32"/>
        </w:rPr>
        <w:t>2025年度一般公共预算财政拨款基本支出2,886.70万元，其中：</w:t>
      </w:r>
    </w:p>
    <w:p>
      <w:pPr>
        <w:spacing w:line="576" w:lineRule="exact"/>
        <w:ind w:firstLine="640"/>
        <w:rPr>
          <w:rFonts w:eastAsia="仿宋_GB2312"/>
          <w:sz w:val="32"/>
          <w:szCs w:val="32"/>
        </w:rPr>
      </w:pPr>
      <w:r>
        <w:rPr>
          <w:rFonts w:eastAsia="仿宋_GB2312"/>
          <w:sz w:val="32"/>
          <w:szCs w:val="32"/>
        </w:rPr>
        <w:t>人员经费2229.02万元，主要包括：基本工资422.45万元、津贴补贴380.2万元、奖金511.74万元、伙食补助费54.73万元、绩效工资43.59万元、机关事业单位基本养老保险缴费184.33万元、职业年金缴费92.26万元、职工基本医疗保险缴费87.32万元、公务员医疗补助缴费15.91万元、其他社会保障缴费6.88万元、住房公积金149.16万元、其他工资福利支出111.56万元、抚恤金45.91万元、生活补助122.95万元、奖励金0.03万元。</w:t>
        <w:br/>
        <w:t>　　公用经费657.68万元，主要包括：办公费63.59万元、印刷费22.6万元、水费2.29万元、电费72.63万元、邮电费48.1万元、物业管理费38.16万元、差旅费169.51万元、维修（护）费30.21万元、租赁费10.52万元、会议费19.41万元、培训费1.45万元、公务接待费0.22万元、劳务费2.89万元、委托业务费5.7万元、工会经费5.76万元、福利费10.65万元、公务用车运行维护费150.61万元、其他商品和服务支出3.36万元。</w:t>
      </w:r>
    </w:p>
    <w:p>
      <w:pPr>
        <w:spacing w:line="576" w:lineRule="exact"/>
        <w:ind w:firstLine="640"/>
        <w:outlineLvl w:val="1"/>
        <w:rPr>
          <w:rStyle w:val="2Char"/>
          <w:rFonts w:ascii="Times New Roman" w:eastAsia="黑体" w:hAnsi="Times New Roman"/>
          <w:b w:val="0"/>
        </w:rPr>
      </w:pPr>
      <w:bookmarkStart w:id="56" w:name="_Toc97135362"/>
      <w:bookmarkStart w:id="57" w:name="_Toc15377215"/>
      <w:bookmarkStart w:id="58" w:name="_Toc15396609"/>
      <w:r>
        <w:rPr>
          <w:rFonts w:eastAsia="黑体"/>
          <w:sz w:val="32"/>
          <w:szCs w:val="32"/>
        </w:rPr>
        <w:t>七、</w:t>
      </w:r>
      <w:r>
        <w:rPr>
          <w:rStyle w:val="2Char"/>
          <w:rFonts w:ascii="Times New Roman" w:eastAsia="黑体" w:hAnsi="Times New Roman"/>
          <w:b w:val="0"/>
        </w:rPr>
        <w:t>财政拨款</w:t>
      </w:r>
      <w:r>
        <w:rPr>
          <w:rStyle w:val="2Char"/>
          <w:rFonts w:ascii="Times New Roman" w:eastAsia="黑体" w:hAnsi="Times New Roman"/>
        </w:rPr>
        <w:t>“</w:t>
      </w:r>
      <w:r>
        <w:rPr>
          <w:rStyle w:val="2Char"/>
          <w:rFonts w:ascii="Times New Roman" w:eastAsia="黑体" w:hAnsi="Times New Roman"/>
          <w:b w:val="0"/>
        </w:rPr>
        <w:t>三公”经费支出决算情况说明</w:t>
      </w:r>
      <w:bookmarkEnd w:id="56"/>
      <w:bookmarkEnd w:id="57"/>
      <w:bookmarkEnd w:id="58"/>
    </w:p>
    <w:p>
      <w:pPr>
        <w:spacing w:line="576" w:lineRule="exact"/>
        <w:ind w:firstLineChars="200" w:firstLine="640"/>
        <w:outlineLvl w:val="2"/>
        <w:rPr>
          <w:rFonts w:eastAsia="楷体_GB2312"/>
          <w:b/>
          <w:sz w:val="32"/>
          <w:szCs w:val="32"/>
        </w:rPr>
      </w:pPr>
      <w:bookmarkStart w:id="59" w:name="_Toc15377216"/>
      <w:bookmarkStart w:id="60" w:name="_Toc97135363"/>
      <w:r>
        <w:rPr>
          <w:rFonts w:eastAsia="楷体_GB2312"/>
          <w:b/>
          <w:sz w:val="32"/>
          <w:szCs w:val="32"/>
        </w:rPr>
        <w:t>（一）“三公”经费财政拨款支出决算总体情况说明</w:t>
      </w:r>
      <w:bookmarkEnd w:id="59"/>
      <w:bookmarkEnd w:id="60"/>
    </w:p>
    <w:p>
      <w:pPr>
        <w:spacing w:line="576" w:lineRule="exact"/>
        <w:ind w:firstLine="640"/>
        <w:rPr>
          <w:rFonts w:eastAsia="仿宋_GB2312"/>
          <w:sz w:val="32"/>
          <w:szCs w:val="32"/>
        </w:rPr>
      </w:pPr>
      <w:r>
        <w:rPr>
          <w:rFonts w:eastAsia="仿宋_GB2312"/>
          <w:sz w:val="32"/>
          <w:szCs w:val="32"/>
        </w:rPr>
        <w:t>2025年度“三公”经费财政拨款支出决算为150.83万元，完成预算100%，</w:t>
      </w:r>
      <w:r>
        <w:rPr>
          <w:rFonts w:eastAsia="仿宋_GB2312" w:cs="仿宋_GB2312" w:hint="eastAsia"/>
          <w:sz w:val="32"/>
          <w:szCs w:val="32"/>
        </w:rPr>
        <w:t>较上年度</w:t>
      </w:r>
      <w:r>
        <w:rPr>
          <w:rFonts w:eastAsia="仿宋_GB2312" w:cs="仿宋_GB2312"/>
          <w:sz w:val="32"/>
          <w:szCs w:val="32"/>
        </w:rPr>
        <w:t>减少210.28</w:t>
      </w:r>
      <w:r>
        <w:rPr>
          <w:rFonts w:eastAsia="仿宋_GB2312" w:cs="仿宋_GB2312" w:hint="eastAsia"/>
          <w:sz w:val="32"/>
          <w:szCs w:val="32"/>
        </w:rPr>
        <w:t>万元，</w:t>
      </w:r>
      <w:r>
        <w:rPr>
          <w:rFonts w:eastAsia="仿宋_GB2312" w:cs="仿宋_GB2312"/>
          <w:sz w:val="32"/>
          <w:szCs w:val="32"/>
        </w:rPr>
        <w:t>下降58.24</w:t>
      </w:r>
      <w:r>
        <w:rPr>
          <w:rFonts w:eastAsia="仿宋_GB2312" w:cs="仿宋_GB2312" w:hint="eastAsia"/>
          <w:sz w:val="32"/>
          <w:szCs w:val="32"/>
        </w:rPr>
        <w:t>%。</w:t>
      </w:r>
      <w:r>
        <w:rPr>
          <w:rFonts w:ascii="仿宋" w:eastAsia="仿宋" w:hint="eastAsia"/>
          <w:sz w:val="32"/>
          <w:szCs w:val="32"/>
        </w:rPr>
        <w:t>决算数与预算数持平。</w:t>
      </w:r>
    </w:p>
    <w:p>
      <w:pPr>
        <w:spacing w:line="576" w:lineRule="exact"/>
        <w:ind w:firstLineChars="200" w:firstLine="640"/>
        <w:outlineLvl w:val="2"/>
        <w:rPr>
          <w:rFonts w:eastAsia="楷体_GB2312"/>
          <w:b/>
          <w:sz w:val="32"/>
          <w:szCs w:val="32"/>
        </w:rPr>
      </w:pPr>
      <w:bookmarkStart w:id="61" w:name="_Toc15377217"/>
      <w:bookmarkStart w:id="62" w:name="_Toc97135364"/>
      <w:r>
        <w:rPr>
          <w:rFonts w:eastAsia="楷体_GB2312"/>
          <w:b/>
          <w:sz w:val="32"/>
          <w:szCs w:val="32"/>
        </w:rPr>
        <w:t>（二）“三公”经费财政拨款支出决算具体情况说明</w:t>
      </w:r>
      <w:bookmarkEnd w:id="61"/>
      <w:bookmarkEnd w:id="62"/>
    </w:p>
    <w:p>
      <w:pPr>
        <w:pStyle w:val="15"/>
        <w:spacing w:line="576" w:lineRule="exact"/>
        <w:ind w:firstLineChars="200" w:firstLine="640"/>
        <w:rPr>
          <w:rFonts w:eastAsia="仿宋_GB2312" w:cs="仿宋_GB2312"/>
          <w:sz w:val="32"/>
          <w:szCs w:val="32"/>
        </w:rPr>
      </w:pPr>
      <w:r>
        <w:rPr>
          <w:rFonts w:eastAsia="仿宋_GB2312" w:cs="仿宋_GB2312" w:hint="eastAsia"/>
          <w:sz w:val="32"/>
          <w:szCs w:val="32"/>
        </w:rPr>
        <w:t>2025年度“三公”经费财政拨款支出决算中，因公出国（境）费支出决算</w:t>
      </w:r>
      <w:r>
        <w:rPr>
          <w:rFonts w:eastAsia="仿宋_GB2312" w:cs="仿宋_GB2312"/>
          <w:sz w:val="32"/>
          <w:szCs w:val="32"/>
        </w:rPr>
        <w:t>0</w:t>
      </w:r>
      <w:r>
        <w:rPr>
          <w:rFonts w:eastAsia="仿宋_GB2312" w:cs="仿宋_GB2312" w:hint="eastAsia"/>
          <w:sz w:val="32"/>
          <w:szCs w:val="32"/>
        </w:rPr>
        <w:t>万元；公务用车购置及运行维护费支出决算</w:t>
      </w:r>
      <w:r>
        <w:rPr>
          <w:rFonts w:eastAsia="仿宋_GB2312" w:cs="仿宋_GB2312"/>
          <w:sz w:val="32"/>
          <w:szCs w:val="32"/>
        </w:rPr>
        <w:t>150.61</w:t>
      </w:r>
      <w:r>
        <w:rPr>
          <w:rFonts w:eastAsia="仿宋_GB2312" w:cs="仿宋_GB2312" w:hint="eastAsia"/>
          <w:sz w:val="32"/>
          <w:szCs w:val="32"/>
        </w:rPr>
        <w:t>万元，占</w:t>
      </w:r>
      <w:r>
        <w:rPr>
          <w:rFonts w:eastAsia="仿宋_GB2312" w:cs="仿宋_GB2312"/>
          <w:sz w:val="32"/>
          <w:szCs w:val="32"/>
        </w:rPr>
        <w:t>99.86</w:t>
      </w:r>
      <w:r>
        <w:rPr>
          <w:rFonts w:eastAsia="仿宋_GB2312" w:cs="仿宋_GB2312" w:hint="eastAsia"/>
          <w:sz w:val="32"/>
          <w:szCs w:val="32"/>
        </w:rPr>
        <w:t>%；公务接待费支出决算</w:t>
      </w:r>
      <w:r>
        <w:rPr>
          <w:rFonts w:eastAsia="仿宋_GB2312" w:cs="仿宋_GB2312"/>
          <w:sz w:val="32"/>
          <w:szCs w:val="32"/>
        </w:rPr>
        <w:t>0.22</w:t>
      </w:r>
      <w:r>
        <w:rPr>
          <w:rFonts w:eastAsia="仿宋_GB2312" w:cs="仿宋_GB2312" w:hint="eastAsia"/>
          <w:sz w:val="32"/>
          <w:szCs w:val="32"/>
        </w:rPr>
        <w:t>万元，占</w:t>
      </w:r>
      <w:r>
        <w:rPr>
          <w:rFonts w:eastAsia="仿宋_GB2312" w:cs="仿宋_GB2312"/>
          <w:sz w:val="32"/>
          <w:szCs w:val="32"/>
        </w:rPr>
        <w:t>0.14</w:t>
      </w:r>
      <w:r>
        <w:rPr>
          <w:rFonts w:eastAsia="仿宋_GB2312" w:cs="仿宋_GB2312" w:hint="eastAsia"/>
          <w:sz w:val="32"/>
          <w:szCs w:val="32"/>
        </w:rPr>
        <w:t>%。具体情况如下：</w:t>
      </w:r>
    </w:p>
    <w:p>
      <w:pPr>
        <w:pStyle w:val="15"/>
        <w:ind w:firstLineChars="200" w:firstLine="360"/>
        <w:jc w:val="center"/>
      </w:pPr>
      <w:r>
        <w:drawing>
          <wp:inline distT="0" distB="0" distL="85088" distR="85088">
            <wp:extent cx="4123690" cy="1809115"/>
            <wp:effectExtent l="0" t="0" r="0" b="0"/>
            <wp:docPr id="7" name="对象"/>
            <wp:cNvGraphicFramePr>
              <a:graphicFrameLocks noChangeAspect="1"/>
            </wp:cNvGraphicFramePr>
            <a:graphic>
              <a:graphicData uri="http://schemas.openxmlformats.org/drawingml/2006/chart">
                <c:chart xmlns:c="http://schemas.openxmlformats.org/drawingml/2006/chart" r:id="rId13"/>
              </a:graphicData>
            </a:graphic>
          </wp:inline>
        </w:drawing>
      </w:r>
    </w:p>
    <w:p>
      <w:pPr>
        <w:spacing w:line="576" w:lineRule="exact"/>
        <w:ind w:firstLine="640"/>
        <w:jc w:val="center"/>
        <w:rPr>
          <w:rFonts w:eastAsia="仿宋_GB2312"/>
          <w:sz w:val="32"/>
          <w:szCs w:val="32"/>
        </w:rPr>
      </w:pPr>
      <w:r>
        <w:rPr>
          <w:rFonts w:eastAsia="仿宋_GB2312"/>
          <w:sz w:val="32"/>
          <w:szCs w:val="32"/>
        </w:rPr>
        <w:t>（图7：“三公”经费财政拨款支出结构）</w:t>
      </w:r>
    </w:p>
    <w:p>
      <w:pPr>
        <w:spacing w:line="576" w:lineRule="exact"/>
        <w:ind w:firstLine="640"/>
        <w:rPr>
          <w:rFonts w:eastAsia="仿宋_GB2312"/>
          <w:sz w:val="32"/>
          <w:szCs w:val="32"/>
        </w:rPr>
      </w:pPr>
      <w:r>
        <w:rPr>
          <w:rFonts w:eastAsia="仿宋_GB2312"/>
          <w:b/>
          <w:bCs/>
          <w:sz w:val="32"/>
          <w:szCs w:val="32"/>
        </w:rPr>
        <w:t>1.因公出国（境）经费支出0万元。</w:t>
      </w:r>
      <w:r>
        <w:rPr>
          <w:rFonts w:eastAsia="仿宋_GB2312"/>
          <w:sz w:val="32"/>
          <w:szCs w:val="32"/>
        </w:rPr>
        <w:t>全年安排因公出国（境）团组0次，出国（境）0人。</w:t>
      </w:r>
    </w:p>
    <w:p>
      <w:pPr>
        <w:spacing w:line="576" w:lineRule="exact"/>
        <w:ind w:firstLine="640"/>
        <w:rPr>
          <w:rFonts w:eastAsia="仿宋_GB2312" w:cs="仿宋_GB2312"/>
          <w:sz w:val="32"/>
          <w:szCs w:val="32"/>
        </w:rPr>
      </w:pPr>
      <w:r>
        <w:rPr>
          <w:rFonts w:eastAsia="仿宋_GB2312"/>
          <w:b/>
          <w:bCs/>
          <w:sz w:val="32"/>
          <w:szCs w:val="32"/>
        </w:rPr>
        <w:t>2.公务用车购置及运行维护费支出</w:t>
      </w:r>
      <w:r>
        <w:rPr>
          <w:rFonts w:ascii="仿宋_GB2312" w:eastAsia="仿宋_GB2312" w:cs="仿宋_GB2312"/>
          <w:b/>
          <w:bCs/>
          <w:sz w:val="32"/>
          <w:szCs w:val="32"/>
        </w:rPr>
        <w:t>150.61</w:t>
      </w:r>
      <w:r>
        <w:rPr>
          <w:rFonts w:ascii="仿宋_GB2312" w:eastAsia="仿宋_GB2312" w:cs="仿宋_GB2312" w:hint="eastAsia"/>
          <w:b/>
          <w:bCs/>
          <w:sz w:val="32"/>
          <w:szCs w:val="32"/>
        </w:rPr>
        <w:t>万</w:t>
      </w:r>
      <w:r>
        <w:rPr>
          <w:rFonts w:eastAsia="仿宋_GB2312" w:cs="仿宋_GB2312" w:hint="eastAsia"/>
          <w:b/>
          <w:bCs/>
          <w:sz w:val="32"/>
          <w:szCs w:val="32"/>
        </w:rPr>
        <w:t>元，完成预算</w:t>
      </w:r>
      <w:r>
        <w:rPr>
          <w:rFonts w:eastAsia="仿宋_GB2312" w:cs="仿宋_GB2312"/>
          <w:b/>
          <w:bCs/>
          <w:sz w:val="32"/>
          <w:szCs w:val="32"/>
        </w:rPr>
        <w:t>100</w:t>
      </w:r>
      <w:r>
        <w:rPr>
          <w:rFonts w:eastAsia="仿宋_GB2312" w:cs="仿宋_GB2312" w:hint="eastAsia"/>
          <w:b/>
          <w:bCs/>
          <w:sz w:val="32"/>
          <w:szCs w:val="32"/>
        </w:rPr>
        <w:t>%。</w:t>
      </w:r>
      <w:r>
        <w:rPr>
          <w:rFonts w:eastAsia="仿宋_GB2312" w:cs="仿宋_GB2312" w:hint="eastAsia"/>
          <w:sz w:val="32"/>
          <w:szCs w:val="32"/>
        </w:rPr>
        <w:t>公务用车购置及运行维护费支出决算比2024年度</w:t>
      </w:r>
      <w:r>
        <w:rPr>
          <w:rFonts w:eastAsia="仿宋_GB2312" w:cs="仿宋_GB2312"/>
          <w:sz w:val="32"/>
          <w:szCs w:val="32"/>
        </w:rPr>
        <w:t>减少209.9</w:t>
      </w:r>
      <w:r>
        <w:rPr>
          <w:rFonts w:eastAsia="仿宋_GB2312" w:cs="仿宋_GB2312" w:hint="eastAsia"/>
          <w:sz w:val="32"/>
          <w:szCs w:val="32"/>
        </w:rPr>
        <w:t>万元，</w:t>
      </w:r>
      <w:r>
        <w:rPr>
          <w:rFonts w:eastAsia="仿宋_GB2312" w:cs="仿宋_GB2312"/>
          <w:sz w:val="32"/>
          <w:szCs w:val="32"/>
        </w:rPr>
        <w:t>下降58.23</w:t>
      </w:r>
      <w:r>
        <w:rPr>
          <w:rFonts w:eastAsia="仿宋_GB2312" w:cs="仿宋_GB2312" w:hint="eastAsia"/>
          <w:sz w:val="32"/>
          <w:szCs w:val="32"/>
        </w:rPr>
        <w:t>%。主要原因是</w:t>
      </w:r>
      <w:r>
        <w:rPr>
          <w:rFonts w:eastAsia="仿宋_GB2312" w:cs="仿宋_GB2312"/>
          <w:sz w:val="32"/>
          <w:szCs w:val="32"/>
        </w:rPr>
        <w:t>2025年未购置车辆，公务用车购置费较上年减少119.6万元。</w:t>
      </w:r>
    </w:p>
    <w:p>
      <w:pPr>
        <w:spacing w:line="576" w:lineRule="exact"/>
        <w:ind w:firstLine="640"/>
        <w:rPr>
          <w:rFonts w:eastAsia="仿宋_GB2312" w:cs="仿宋_GB2312"/>
          <w:sz w:val="32"/>
          <w:szCs w:val="32"/>
        </w:rPr>
      </w:pPr>
      <w:r>
        <w:rPr>
          <w:rFonts w:eastAsia="仿宋_GB2312" w:cs="仿宋_GB2312" w:hint="eastAsia"/>
          <w:sz w:val="32"/>
          <w:szCs w:val="32"/>
        </w:rPr>
        <w:t>其中：公务用车购置</w:t>
      </w:r>
      <w:r>
        <w:rPr>
          <w:rFonts w:eastAsia="仿宋_GB2312" w:cs="仿宋_GB2312"/>
          <w:sz w:val="32"/>
          <w:szCs w:val="32"/>
        </w:rPr>
        <w:t>费</w:t>
      </w:r>
      <w:r>
        <w:rPr>
          <w:rFonts w:eastAsia="仿宋_GB2312" w:cs="仿宋_GB2312" w:hint="eastAsia"/>
          <w:sz w:val="32"/>
          <w:szCs w:val="32"/>
        </w:rPr>
        <w:t>支</w:t>
      </w:r>
      <w:r>
        <w:rPr>
          <w:rFonts w:ascii="仿宋_GB2312" w:eastAsia="仿宋_GB2312" w:cs="仿宋_GB2312" w:hint="eastAsia"/>
          <w:sz w:val="32"/>
          <w:szCs w:val="32"/>
        </w:rPr>
        <w:t>出</w:t>
      </w:r>
      <w:r>
        <w:rPr>
          <w:rFonts w:ascii="仿宋_GB2312" w:eastAsia="仿宋_GB2312" w:cs="仿宋_GB2312"/>
          <w:sz w:val="32"/>
          <w:szCs w:val="32"/>
        </w:rPr>
        <w:t>0</w:t>
      </w:r>
      <w:r>
        <w:rPr>
          <w:rFonts w:eastAsia="仿宋_GB2312" w:cs="仿宋_GB2312" w:hint="eastAsia"/>
          <w:sz w:val="32"/>
          <w:szCs w:val="32"/>
        </w:rPr>
        <w:t>万元。截至2025年12月31日，单位共有公务用车</w:t>
      </w:r>
      <w:r>
        <w:rPr>
          <w:rFonts w:eastAsia="仿宋_GB2312" w:cs="仿宋_GB2312"/>
          <w:sz w:val="32"/>
          <w:szCs w:val="32"/>
        </w:rPr>
        <w:t>18</w:t>
      </w:r>
      <w:r>
        <w:rPr>
          <w:rFonts w:eastAsia="仿宋_GB2312" w:cs="仿宋_GB2312" w:hint="eastAsia"/>
          <w:sz w:val="32"/>
          <w:szCs w:val="32"/>
        </w:rPr>
        <w:t>辆，其中：轿车</w:t>
      </w:r>
      <w:r>
        <w:rPr>
          <w:rFonts w:eastAsia="仿宋_GB2312" w:cs="仿宋_GB2312"/>
          <w:sz w:val="32"/>
          <w:szCs w:val="32"/>
        </w:rPr>
        <w:t>1</w:t>
      </w:r>
      <w:r>
        <w:rPr>
          <w:rFonts w:eastAsia="仿宋_GB2312" w:cs="仿宋_GB2312" w:hint="eastAsia"/>
          <w:sz w:val="32"/>
          <w:szCs w:val="32"/>
        </w:rPr>
        <w:t>辆、越野车</w:t>
      </w:r>
      <w:r>
        <w:rPr>
          <w:rFonts w:eastAsia="仿宋_GB2312" w:cs="仿宋_GB2312"/>
          <w:sz w:val="32"/>
          <w:szCs w:val="32"/>
        </w:rPr>
        <w:t>16</w:t>
      </w:r>
      <w:r>
        <w:rPr>
          <w:rFonts w:eastAsia="仿宋_GB2312" w:cs="仿宋_GB2312" w:hint="eastAsia"/>
          <w:sz w:val="32"/>
          <w:szCs w:val="32"/>
        </w:rPr>
        <w:t>辆、</w:t>
      </w:r>
      <w:r>
        <w:rPr>
          <w:rFonts w:eastAsia="仿宋_GB2312" w:cs="仿宋_GB2312"/>
          <w:sz w:val="32"/>
          <w:szCs w:val="32"/>
        </w:rPr>
        <w:t>皮卡车1</w:t>
      </w:r>
      <w:r>
        <w:rPr>
          <w:rFonts w:eastAsia="仿宋_GB2312" w:cs="仿宋_GB2312" w:hint="eastAsia"/>
          <w:sz w:val="32"/>
          <w:szCs w:val="32"/>
        </w:rPr>
        <w:t>辆。</w:t>
      </w:r>
    </w:p>
    <w:p>
      <w:pPr>
        <w:spacing w:line="576" w:lineRule="exact"/>
        <w:ind w:firstLine="640"/>
        <w:rPr>
          <w:rFonts w:eastAsia="仿宋_GB2312"/>
          <w:sz w:val="32"/>
          <w:szCs w:val="32"/>
        </w:rPr>
      </w:pPr>
      <w:r>
        <w:rPr>
          <w:rFonts w:eastAsia="仿宋_GB2312" w:cs="仿宋_GB2312" w:hint="eastAsia"/>
          <w:sz w:val="32"/>
          <w:szCs w:val="32"/>
        </w:rPr>
        <w:t>公务用车运行维护费支</w:t>
      </w:r>
      <w:r>
        <w:rPr>
          <w:rFonts w:ascii="仿宋_GB2312" w:eastAsia="仿宋_GB2312" w:cs="仿宋_GB2312" w:hint="eastAsia"/>
          <w:sz w:val="32"/>
          <w:szCs w:val="32"/>
        </w:rPr>
        <w:t>出</w:t>
      </w:r>
      <w:r>
        <w:rPr>
          <w:rFonts w:ascii="仿宋_GB2312" w:eastAsia="仿宋_GB2312" w:cs="仿宋_GB2312"/>
          <w:sz w:val="32"/>
          <w:szCs w:val="32"/>
        </w:rPr>
        <w:t>150.61</w:t>
      </w:r>
      <w:r>
        <w:rPr>
          <w:rFonts w:eastAsia="仿宋_GB2312" w:cs="仿宋_GB2312" w:hint="eastAsia"/>
          <w:sz w:val="32"/>
          <w:szCs w:val="32"/>
        </w:rPr>
        <w:t>万元。</w:t>
      </w:r>
      <w:r>
        <w:rPr>
          <w:rFonts w:ascii="仿宋_GB2312" w:eastAsia="仿宋_GB2312" w:hint="eastAsia"/>
          <w:sz w:val="32"/>
          <w:szCs w:val="32"/>
        </w:rPr>
        <w:t>主要用于公务出行及一线调研等所需的公务用车燃料费、维修费、过路过桥费、保险费等支出。</w:t>
      </w:r>
    </w:p>
    <w:p>
      <w:pPr>
        <w:spacing w:line="576" w:lineRule="exact"/>
        <w:ind w:firstLine="640"/>
        <w:rPr>
          <w:rFonts w:eastAsia="仿宋_GB2312" w:cs="仿宋_GB2312"/>
          <w:sz w:val="32"/>
          <w:szCs w:val="32"/>
        </w:rPr>
      </w:pPr>
      <w:r>
        <w:rPr>
          <w:rFonts w:eastAsia="仿宋_GB2312"/>
          <w:b/>
          <w:bCs/>
          <w:sz w:val="32"/>
          <w:szCs w:val="32"/>
        </w:rPr>
        <w:t>3.公务接待费支出</w:t>
      </w:r>
      <w:r>
        <w:rPr>
          <w:rFonts w:ascii="仿宋_GB2312" w:eastAsia="仿宋_GB2312" w:cs="仿宋_GB2312"/>
          <w:b/>
          <w:bCs/>
          <w:sz w:val="32"/>
          <w:szCs w:val="32"/>
        </w:rPr>
        <w:t>0.22</w:t>
      </w:r>
      <w:r>
        <w:rPr>
          <w:rFonts w:ascii="仿宋_GB2312" w:eastAsia="仿宋_GB2312" w:cs="仿宋_GB2312" w:hint="eastAsia"/>
          <w:b/>
          <w:bCs/>
          <w:sz w:val="32"/>
          <w:szCs w:val="32"/>
        </w:rPr>
        <w:t>万</w:t>
      </w:r>
      <w:r>
        <w:rPr>
          <w:rFonts w:eastAsia="仿宋_GB2312" w:cs="仿宋_GB2312" w:hint="eastAsia"/>
          <w:b/>
          <w:bCs/>
          <w:sz w:val="32"/>
          <w:szCs w:val="32"/>
        </w:rPr>
        <w:t>元，完成预算</w:t>
      </w:r>
      <w:r>
        <w:rPr>
          <w:rFonts w:eastAsia="仿宋_GB2312" w:cs="仿宋_GB2312"/>
          <w:b/>
          <w:bCs/>
          <w:sz w:val="32"/>
          <w:szCs w:val="32"/>
        </w:rPr>
        <w:t>100</w:t>
      </w:r>
      <w:r>
        <w:rPr>
          <w:rFonts w:eastAsia="仿宋_GB2312" w:cs="仿宋_GB2312" w:hint="eastAsia"/>
          <w:b/>
          <w:bCs/>
          <w:sz w:val="32"/>
          <w:szCs w:val="32"/>
        </w:rPr>
        <w:t>%。</w:t>
      </w:r>
      <w:r>
        <w:rPr>
          <w:rFonts w:eastAsia="仿宋_GB2312" w:cs="仿宋_GB2312" w:hint="eastAsia"/>
          <w:sz w:val="32"/>
          <w:szCs w:val="32"/>
        </w:rPr>
        <w:t>公务接待费支出决算比2024年度减少</w:t>
      </w:r>
      <w:r>
        <w:rPr>
          <w:rFonts w:eastAsia="仿宋_GB2312" w:cs="仿宋_GB2312"/>
          <w:sz w:val="32"/>
          <w:szCs w:val="32"/>
        </w:rPr>
        <w:t>0.38</w:t>
      </w:r>
      <w:r>
        <w:rPr>
          <w:rFonts w:eastAsia="仿宋_GB2312" w:cs="仿宋_GB2312" w:hint="eastAsia"/>
          <w:sz w:val="32"/>
          <w:szCs w:val="32"/>
        </w:rPr>
        <w:t>万元，下降</w:t>
      </w:r>
      <w:r>
        <w:rPr>
          <w:rFonts w:eastAsia="仿宋_GB2312" w:cs="仿宋_GB2312"/>
          <w:sz w:val="32"/>
          <w:szCs w:val="32"/>
        </w:rPr>
        <w:t>63.34</w:t>
      </w:r>
      <w:r>
        <w:rPr>
          <w:rFonts w:eastAsia="仿宋_GB2312" w:cs="仿宋_GB2312" w:hint="eastAsia"/>
          <w:sz w:val="32"/>
          <w:szCs w:val="32"/>
        </w:rPr>
        <w:t>%。主要原因是</w:t>
      </w:r>
      <w:r>
        <w:rPr>
          <w:rFonts w:ascii="仿宋_GB2312" w:eastAsia="仿宋_GB2312" w:hint="eastAsia"/>
          <w:sz w:val="32"/>
          <w:szCs w:val="32"/>
        </w:rPr>
        <w:t>厉行节约</w:t>
      </w:r>
      <w:r>
        <w:rPr>
          <w:rFonts w:ascii="仿宋_GB2312" w:eastAsia="仿宋_GB2312"/>
          <w:sz w:val="32"/>
          <w:szCs w:val="32"/>
        </w:rPr>
        <w:t>，接待批次及人数较上年均有减少</w:t>
      </w:r>
      <w:r>
        <w:rPr>
          <w:rFonts w:eastAsia="仿宋_GB2312" w:cs="仿宋_GB2312" w:hint="eastAsia"/>
          <w:sz w:val="32"/>
          <w:szCs w:val="32"/>
        </w:rPr>
        <w:t>。其中：</w:t>
      </w:r>
    </w:p>
    <w:p>
      <w:pPr>
        <w:spacing w:line="576" w:lineRule="exact"/>
        <w:ind w:firstLine="640"/>
        <w:rPr>
          <w:rFonts w:eastAsia="仿宋_GB2312"/>
          <w:sz w:val="32"/>
          <w:szCs w:val="32"/>
        </w:rPr>
      </w:pPr>
      <w:r>
        <w:rPr>
          <w:rFonts w:eastAsia="仿宋_GB2312" w:cs="仿宋_GB2312" w:hint="eastAsia"/>
          <w:sz w:val="32"/>
          <w:szCs w:val="32"/>
        </w:rPr>
        <w:t>国内公务接待支</w:t>
      </w:r>
      <w:r>
        <w:rPr>
          <w:rFonts w:ascii="仿宋_GB2312" w:eastAsia="仿宋_GB2312" w:cs="仿宋_GB2312" w:hint="eastAsia"/>
          <w:sz w:val="32"/>
          <w:szCs w:val="32"/>
        </w:rPr>
        <w:t>出</w:t>
      </w:r>
      <w:r>
        <w:rPr>
          <w:rFonts w:ascii="仿宋_GB2312" w:eastAsia="仿宋_GB2312" w:cs="仿宋_GB2312"/>
          <w:sz w:val="32"/>
          <w:szCs w:val="32"/>
        </w:rPr>
        <w:t>0.22</w:t>
      </w:r>
      <w:r>
        <w:rPr>
          <w:rFonts w:ascii="仿宋_GB2312" w:eastAsia="仿宋_GB2312" w:cs="仿宋_GB2312" w:hint="eastAsia"/>
          <w:sz w:val="32"/>
          <w:szCs w:val="32"/>
        </w:rPr>
        <w:t>万</w:t>
      </w:r>
      <w:r>
        <w:rPr>
          <w:rFonts w:eastAsia="仿宋_GB2312" w:cs="仿宋_GB2312" w:hint="eastAsia"/>
          <w:sz w:val="32"/>
          <w:szCs w:val="32"/>
        </w:rPr>
        <w:t>元，</w:t>
      </w:r>
      <w:r>
        <w:rPr>
          <w:rFonts w:ascii="仿宋_GB2312" w:eastAsia="仿宋_GB2312" w:hint="eastAsia"/>
          <w:sz w:val="32"/>
          <w:szCs w:val="32"/>
        </w:rPr>
        <w:t>主要用于来州调研等业务活动开支的用餐费</w:t>
      </w:r>
      <w:r>
        <w:rPr>
          <w:rFonts w:eastAsia="仿宋_GB2312" w:cs="仿宋_GB2312" w:hint="eastAsia"/>
          <w:sz w:val="32"/>
          <w:szCs w:val="32"/>
        </w:rPr>
        <w:t>。国内公务接</w:t>
      </w:r>
      <w:r>
        <w:rPr>
          <w:rFonts w:ascii="仿宋_GB2312" w:eastAsia="仿宋_GB2312" w:cs="仿宋_GB2312" w:hint="eastAsia"/>
          <w:sz w:val="32"/>
          <w:szCs w:val="32"/>
        </w:rPr>
        <w:t>待</w:t>
      </w:r>
      <w:r>
        <w:rPr>
          <w:rFonts w:ascii="仿宋_GB2312" w:eastAsia="仿宋_GB2312" w:cs="仿宋_GB2312"/>
          <w:sz w:val="32"/>
          <w:szCs w:val="32"/>
        </w:rPr>
        <w:t>3</w:t>
      </w:r>
      <w:r>
        <w:rPr>
          <w:rFonts w:ascii="仿宋_GB2312" w:eastAsia="仿宋_GB2312" w:cs="仿宋_GB2312" w:hint="eastAsia"/>
          <w:sz w:val="32"/>
          <w:szCs w:val="32"/>
        </w:rPr>
        <w:t>批次，</w:t>
      </w:r>
      <w:r>
        <w:rPr>
          <w:rFonts w:ascii="仿宋_GB2312" w:eastAsia="仿宋_GB2312" w:cs="仿宋_GB2312"/>
          <w:sz w:val="32"/>
          <w:szCs w:val="32"/>
        </w:rPr>
        <w:t>20</w:t>
      </w:r>
      <w:r>
        <w:rPr>
          <w:rFonts w:eastAsia="仿宋_GB2312" w:cs="仿宋_GB2312" w:hint="eastAsia"/>
          <w:sz w:val="32"/>
          <w:szCs w:val="32"/>
        </w:rPr>
        <w:t>人次，共计支出</w:t>
      </w:r>
      <w:r>
        <w:rPr>
          <w:rFonts w:eastAsia="仿宋_GB2312" w:cs="仿宋_GB2312"/>
          <w:sz w:val="32"/>
          <w:szCs w:val="32"/>
        </w:rPr>
        <w:t>0.22</w:t>
      </w:r>
      <w:r>
        <w:rPr>
          <w:rFonts w:eastAsia="仿宋_GB2312" w:cs="仿宋_GB2312" w:hint="eastAsia"/>
          <w:sz w:val="32"/>
          <w:szCs w:val="32"/>
        </w:rPr>
        <w:t>万元，具体内容包括：</w:t>
      </w:r>
      <w:r>
        <w:rPr>
          <w:rFonts w:ascii="仿宋_GB2312" w:eastAsia="仿宋_GB2312" w:hint="eastAsia"/>
          <w:sz w:val="32"/>
          <w:szCs w:val="32"/>
        </w:rPr>
        <w:t>中国电信四川公司</w:t>
      </w:r>
      <w:r>
        <w:rPr>
          <w:rFonts w:ascii="仿宋_GB2312" w:eastAsia="仿宋_GB2312"/>
          <w:sz w:val="32"/>
          <w:szCs w:val="32"/>
        </w:rPr>
        <w:t>一行赴州调研</w:t>
      </w:r>
      <w:r>
        <w:rPr>
          <w:rFonts w:ascii="仿宋_GB2312" w:eastAsia="仿宋_GB2312" w:hint="eastAsia"/>
          <w:sz w:val="32"/>
          <w:szCs w:val="32"/>
        </w:rPr>
        <w:t>等</w:t>
      </w:r>
      <w:r>
        <w:rPr>
          <w:rFonts w:ascii="仿宋_GB2312" w:eastAsia="仿宋_GB2312"/>
          <w:sz w:val="32"/>
          <w:szCs w:val="32"/>
        </w:rPr>
        <w:t>3</w:t>
      </w:r>
      <w:r>
        <w:rPr>
          <w:rFonts w:ascii="仿宋_GB2312" w:eastAsia="仿宋_GB2312" w:hint="eastAsia"/>
          <w:sz w:val="32"/>
          <w:szCs w:val="32"/>
        </w:rPr>
        <w:t>批次接待，人均餐标在70元/人/天至80元/人/天</w:t>
      </w:r>
      <w:r>
        <w:rPr>
          <w:rFonts w:eastAsia="仿宋_GB2312"/>
          <w:sz w:val="32"/>
          <w:szCs w:val="32"/>
        </w:rPr>
        <w:t>。</w:t>
      </w:r>
    </w:p>
    <w:p>
      <w:pPr>
        <w:spacing w:line="576" w:lineRule="exact"/>
        <w:ind w:firstLine="640"/>
        <w:rPr>
          <w:rFonts w:eastAsia="仿宋_GB2312"/>
          <w:sz w:val="32"/>
          <w:szCs w:val="32"/>
        </w:rPr>
      </w:pPr>
      <w:r>
        <w:rPr>
          <w:rFonts w:eastAsia="仿宋_GB2312"/>
          <w:sz w:val="32"/>
          <w:szCs w:val="32"/>
        </w:rPr>
        <w:t>外事接待支出0万元。</w:t>
      </w:r>
      <w:bookmarkStart w:id="63" w:name="_Toc15396610"/>
      <w:bookmarkStart w:id="64" w:name="_Toc15377218"/>
    </w:p>
    <w:p>
      <w:pPr>
        <w:spacing w:line="576" w:lineRule="exact"/>
        <w:ind w:firstLine="640"/>
        <w:outlineLvl w:val="1"/>
        <w:rPr>
          <w:rStyle w:val="2Char"/>
          <w:rFonts w:ascii="Times New Roman" w:eastAsia="黑体" w:hAnsi="Times New Roman"/>
        </w:rPr>
      </w:pPr>
      <w:bookmarkStart w:id="65" w:name="_Toc97135365"/>
      <w:r>
        <w:rPr>
          <w:rFonts w:eastAsia="黑体"/>
          <w:sz w:val="32"/>
          <w:szCs w:val="32"/>
        </w:rPr>
        <w:t>八、</w:t>
      </w:r>
      <w:r>
        <w:rPr>
          <w:rStyle w:val="2Char"/>
          <w:rFonts w:ascii="Times New Roman" w:eastAsia="黑体" w:hAnsi="Times New Roman"/>
          <w:b w:val="0"/>
        </w:rPr>
        <w:t>政府性基金预算支出决算情况说明</w:t>
      </w:r>
      <w:bookmarkEnd w:id="63"/>
      <w:bookmarkEnd w:id="64"/>
      <w:bookmarkEnd w:id="65"/>
    </w:p>
    <w:p>
      <w:pPr>
        <w:spacing w:line="576" w:lineRule="exact"/>
        <w:ind w:firstLine="640"/>
        <w:rPr>
          <w:rFonts w:eastAsia="仿宋_GB2312"/>
          <w:sz w:val="32"/>
          <w:szCs w:val="32"/>
        </w:rPr>
      </w:pPr>
      <w:r>
        <w:rPr>
          <w:rFonts w:eastAsia="仿宋_GB2312"/>
          <w:sz w:val="32"/>
          <w:szCs w:val="32"/>
        </w:rPr>
        <w:t>2025年度政府性基金预算财政拨款支出0万元。</w:t>
      </w:r>
    </w:p>
    <w:p>
      <w:pPr>
        <w:spacing w:line="576" w:lineRule="exact"/>
        <w:ind w:left="630"/>
        <w:outlineLvl w:val="1"/>
        <w:rPr>
          <w:rStyle w:val="2Char"/>
          <w:rFonts w:ascii="Times New Roman" w:eastAsia="黑体" w:hAnsi="Times New Roman"/>
          <w:b w:val="0"/>
        </w:rPr>
      </w:pPr>
      <w:bookmarkStart w:id="66" w:name="_Toc15396611"/>
      <w:bookmarkStart w:id="67" w:name="_Toc15377219"/>
      <w:bookmarkStart w:id="68" w:name="_Toc97135366"/>
      <w:r>
        <w:rPr>
          <w:rStyle w:val="2Char"/>
          <w:rFonts w:ascii="Times New Roman" w:eastAsia="黑体" w:hAnsi="Times New Roman"/>
          <w:b w:val="0"/>
        </w:rPr>
        <w:t>九、国有资本经营预算支出决算情况说明</w:t>
      </w:r>
      <w:bookmarkEnd w:id="66"/>
      <w:bookmarkEnd w:id="67"/>
      <w:bookmarkEnd w:id="68"/>
    </w:p>
    <w:p>
      <w:pPr>
        <w:spacing w:line="576" w:lineRule="exact"/>
        <w:ind w:firstLine="640"/>
        <w:rPr>
          <w:rFonts w:eastAsia="仿宋_GB2312"/>
          <w:sz w:val="32"/>
          <w:szCs w:val="32"/>
        </w:rPr>
      </w:pPr>
      <w:r>
        <w:rPr>
          <w:rFonts w:eastAsia="仿宋_GB2312"/>
          <w:sz w:val="32"/>
          <w:szCs w:val="32"/>
        </w:rPr>
        <w:t>2025年度国有资本经营预算财政拨款支出0万元。</w:t>
      </w:r>
    </w:p>
    <w:p>
      <w:pPr>
        <w:spacing w:line="576" w:lineRule="exact"/>
        <w:ind w:left="630"/>
        <w:outlineLvl w:val="1"/>
        <w:rPr>
          <w:rStyle w:val="2Char"/>
          <w:rFonts w:ascii="Times New Roman" w:eastAsia="黑体" w:hAnsi="Times New Roman"/>
          <w:b w:val="0"/>
        </w:rPr>
      </w:pPr>
      <w:bookmarkStart w:id="69" w:name="_Toc97135367"/>
      <w:bookmarkStart w:id="70" w:name="_Toc15396612"/>
      <w:bookmarkStart w:id="71" w:name="_Toc15377221"/>
      <w:r>
        <w:rPr>
          <w:rStyle w:val="2Char"/>
          <w:rFonts w:ascii="Times New Roman" w:eastAsia="黑体" w:hAnsi="Times New Roman"/>
          <w:b w:val="0"/>
        </w:rPr>
        <w:t>十、其他重要事项的情况说明</w:t>
      </w:r>
      <w:bookmarkEnd w:id="69"/>
      <w:bookmarkEnd w:id="70"/>
      <w:bookmarkEnd w:id="71"/>
    </w:p>
    <w:p>
      <w:pPr>
        <w:spacing w:line="576" w:lineRule="exact"/>
        <w:ind w:firstLineChars="200" w:firstLine="640"/>
        <w:outlineLvl w:val="2"/>
        <w:rPr>
          <w:rFonts w:eastAsia="楷体_GB2312"/>
          <w:b/>
          <w:sz w:val="32"/>
          <w:szCs w:val="32"/>
        </w:rPr>
      </w:pPr>
      <w:bookmarkStart w:id="72" w:name="_Toc97135368"/>
      <w:bookmarkStart w:id="73" w:name="_Toc15377222"/>
      <w:r>
        <w:rPr>
          <w:rFonts w:eastAsia="楷体_GB2312"/>
          <w:b/>
          <w:sz w:val="32"/>
          <w:szCs w:val="32"/>
        </w:rPr>
        <w:t>（一）机关运行经费支出情况</w:t>
      </w:r>
      <w:bookmarkEnd w:id="72"/>
      <w:bookmarkEnd w:id="73"/>
    </w:p>
    <w:p>
      <w:pPr>
        <w:spacing w:line="576" w:lineRule="exact"/>
        <w:ind w:firstLine="640"/>
        <w:rPr>
          <w:rFonts w:eastAsia="仿宋_GB2312"/>
          <w:sz w:val="32"/>
          <w:szCs w:val="32"/>
        </w:rPr>
      </w:pPr>
      <w:r>
        <w:rPr>
          <w:rFonts w:eastAsia="仿宋_GB2312" w:cs="仿宋_GB2312" w:hint="eastAsia"/>
          <w:sz w:val="32"/>
          <w:szCs w:val="32"/>
        </w:rPr>
        <w:t>2025年度</w:t>
      </w:r>
      <w:r>
        <w:rPr>
          <w:rFonts w:ascii="仿宋_GB2312" w:eastAsia="仿宋_GB2312" w:cs="仿宋_GB2312" w:hint="eastAsia"/>
          <w:sz w:val="32"/>
          <w:szCs w:val="32"/>
        </w:rPr>
        <w:t>，</w:t>
      </w:r>
      <w:r>
        <w:rPr>
          <w:rFonts w:ascii="仿宋_GB2312" w:eastAsia="仿宋_GB2312" w:cs="仿宋_GB2312"/>
          <w:sz w:val="32"/>
          <w:szCs w:val="32"/>
        </w:rPr>
        <w:t>中共阿坝州委办公室（部门）</w:t>
      </w:r>
      <w:r>
        <w:rPr>
          <w:rFonts w:ascii="仿宋_GB2312" w:eastAsia="仿宋_GB2312" w:cs="仿宋_GB2312" w:hint="eastAsia"/>
          <w:sz w:val="32"/>
          <w:szCs w:val="32"/>
        </w:rPr>
        <w:t>机关运行经费支出</w:t>
      </w:r>
      <w:r>
        <w:rPr>
          <w:rFonts w:ascii="仿宋_GB2312" w:eastAsia="仿宋_GB2312" w:cs="仿宋_GB2312"/>
          <w:sz w:val="32"/>
          <w:szCs w:val="32"/>
        </w:rPr>
        <w:t>644.7</w:t>
      </w:r>
      <w:r>
        <w:rPr>
          <w:rFonts w:ascii="仿宋_GB2312" w:eastAsia="仿宋_GB2312" w:cs="仿宋_GB2312" w:hint="eastAsia"/>
          <w:sz w:val="32"/>
          <w:szCs w:val="32"/>
        </w:rPr>
        <w:t>万</w:t>
      </w:r>
      <w:r>
        <w:rPr>
          <w:rFonts w:eastAsia="仿宋_GB2312" w:cs="仿宋_GB2312" w:hint="eastAsia"/>
          <w:sz w:val="32"/>
          <w:szCs w:val="32"/>
        </w:rPr>
        <w:t>元，比2024年度</w:t>
      </w:r>
      <w:r>
        <w:rPr>
          <w:rFonts w:eastAsia="仿宋_GB2312" w:cs="仿宋_GB2312"/>
          <w:sz w:val="32"/>
          <w:szCs w:val="32"/>
        </w:rPr>
        <w:t>减少291.77</w:t>
      </w:r>
      <w:r>
        <w:rPr>
          <w:rFonts w:eastAsia="仿宋_GB2312" w:cs="仿宋_GB2312" w:hint="eastAsia"/>
          <w:sz w:val="32"/>
          <w:szCs w:val="32"/>
        </w:rPr>
        <w:t>万元，</w:t>
      </w:r>
      <w:r>
        <w:rPr>
          <w:rFonts w:eastAsia="仿宋_GB2312" w:cs="仿宋_GB2312"/>
          <w:sz w:val="32"/>
          <w:szCs w:val="32"/>
        </w:rPr>
        <w:t>下降31.16</w:t>
      </w:r>
      <w:r>
        <w:rPr>
          <w:rFonts w:eastAsia="仿宋_GB2312" w:cs="仿宋_GB2312" w:hint="eastAsia"/>
          <w:sz w:val="32"/>
          <w:szCs w:val="32"/>
        </w:rPr>
        <w:t>%。主要原因</w:t>
      </w:r>
      <w:r>
        <w:rPr>
          <w:rFonts w:eastAsia="仿宋_GB2312" w:cs="仿宋_GB2312"/>
          <w:sz w:val="32"/>
          <w:szCs w:val="32"/>
        </w:rPr>
        <w:t>：一是公务用车购置费较上年减少119.6万元，二是办公设备购置费较上年减少53.27万元，三是公用经费较上年压减118.9万元。</w:t>
      </w:r>
    </w:p>
    <w:p>
      <w:pPr>
        <w:spacing w:line="576" w:lineRule="exact"/>
        <w:ind w:firstLineChars="200" w:firstLine="640"/>
        <w:outlineLvl w:val="2"/>
        <w:rPr>
          <w:rFonts w:eastAsia="楷体_GB2312"/>
          <w:b/>
          <w:sz w:val="32"/>
          <w:szCs w:val="32"/>
        </w:rPr>
      </w:pPr>
      <w:bookmarkStart w:id="74" w:name="_Toc15377223"/>
      <w:bookmarkStart w:id="75" w:name="_Toc97135369"/>
      <w:r>
        <w:rPr>
          <w:rFonts w:eastAsia="楷体_GB2312"/>
          <w:b/>
          <w:sz w:val="32"/>
          <w:szCs w:val="32"/>
        </w:rPr>
        <w:t>（二）政府采购支出情况</w:t>
      </w:r>
      <w:bookmarkEnd w:id="74"/>
      <w:bookmarkEnd w:id="75"/>
    </w:p>
    <w:p>
      <w:pPr>
        <w:spacing w:line="576" w:lineRule="exact"/>
        <w:ind w:firstLine="640"/>
        <w:rPr>
          <w:rFonts w:eastAsia="仿宋_GB2312" w:cs="仿宋_GB2312"/>
          <w:sz w:val="32"/>
          <w:szCs w:val="32"/>
        </w:rPr>
      </w:pPr>
      <w:r>
        <w:rPr>
          <w:rFonts w:eastAsia="仿宋_GB2312"/>
          <w:sz w:val="32"/>
          <w:szCs w:val="32"/>
        </w:rPr>
        <w:t>2025年度，</w:t>
      </w:r>
      <w:r>
        <w:rPr>
          <w:rFonts w:ascii="仿宋_GB2312" w:eastAsia="仿宋_GB2312" w:cs="仿宋_GB2312"/>
          <w:sz w:val="32"/>
          <w:szCs w:val="32"/>
        </w:rPr>
        <w:t>中共阿坝州委办公室（部门）</w:t>
      </w:r>
      <w:r>
        <w:rPr>
          <w:rFonts w:ascii="仿宋_GB2312" w:eastAsia="仿宋_GB2312" w:cs="仿宋_GB2312" w:hint="eastAsia"/>
          <w:sz w:val="32"/>
          <w:szCs w:val="32"/>
        </w:rPr>
        <w:t>政府采购支出总额</w:t>
      </w:r>
      <w:r>
        <w:rPr>
          <w:rFonts w:ascii="仿宋_GB2312" w:eastAsia="仿宋_GB2312" w:cs="仿宋_GB2312"/>
          <w:sz w:val="32"/>
          <w:szCs w:val="32"/>
        </w:rPr>
        <w:t>179.27万元，</w:t>
      </w:r>
      <w:r>
        <w:rPr>
          <w:rFonts w:ascii="仿宋_GB2312" w:eastAsia="仿宋_GB2312" w:cs="仿宋_GB2312" w:hint="eastAsia"/>
          <w:sz w:val="32"/>
          <w:szCs w:val="32"/>
        </w:rPr>
        <w:t>其中：政府采购货物支出</w:t>
      </w:r>
      <w:r>
        <w:rPr>
          <w:rFonts w:ascii="仿宋_GB2312" w:eastAsia="仿宋_GB2312" w:cs="仿宋_GB2312"/>
          <w:sz w:val="32"/>
          <w:szCs w:val="32"/>
        </w:rPr>
        <w:t>20.6</w:t>
      </w:r>
      <w:r>
        <w:rPr>
          <w:rFonts w:ascii="仿宋_GB2312" w:eastAsia="仿宋_GB2312" w:cs="仿宋_GB2312" w:hint="eastAsia"/>
          <w:sz w:val="32"/>
          <w:szCs w:val="32"/>
        </w:rPr>
        <w:t>万元。主要用于</w:t>
      </w:r>
      <w:r>
        <w:rPr>
          <w:rFonts w:ascii="仿宋_GB2312" w:eastAsia="仿宋_GB2312" w:cs="仿宋_GB2312"/>
          <w:sz w:val="32"/>
          <w:szCs w:val="32"/>
        </w:rPr>
        <w:t>购置办公设备、办公用纸、空调机</w:t>
      </w:r>
      <w:r>
        <w:rPr>
          <w:rFonts w:ascii="仿宋_GB2312" w:eastAsia="仿宋_GB2312" w:cs="仿宋_GB2312" w:hint="eastAsia"/>
          <w:sz w:val="32"/>
          <w:szCs w:val="32"/>
        </w:rPr>
        <w:t>。授予中小企业合同金额</w:t>
      </w:r>
      <w:r>
        <w:rPr>
          <w:rFonts w:ascii="仿宋_GB2312" w:eastAsia="仿宋_GB2312" w:cs="仿宋_GB2312"/>
          <w:sz w:val="32"/>
          <w:szCs w:val="32"/>
        </w:rPr>
        <w:t>179.27</w:t>
      </w:r>
      <w:r>
        <w:rPr>
          <w:rFonts w:ascii="仿宋_GB2312" w:eastAsia="仿宋_GB2312" w:cs="仿宋_GB2312" w:hint="eastAsia"/>
          <w:sz w:val="32"/>
          <w:szCs w:val="32"/>
        </w:rPr>
        <w:t>万元，占政府采购支出总额的</w:t>
      </w:r>
      <w:r>
        <w:rPr>
          <w:rFonts w:ascii="仿宋_GB2312" w:eastAsia="仿宋_GB2312" w:cs="仿宋_GB2312"/>
          <w:sz w:val="32"/>
          <w:szCs w:val="32"/>
        </w:rPr>
        <w:t>100</w:t>
      </w:r>
      <w:r>
        <w:rPr>
          <w:rFonts w:ascii="仿宋_GB2312" w:eastAsia="仿宋_GB2312" w:cs="仿宋_GB2312" w:hint="eastAsia"/>
          <w:sz w:val="32"/>
          <w:szCs w:val="32"/>
        </w:rPr>
        <w:t>%。</w:t>
      </w:r>
    </w:p>
    <w:p>
      <w:pPr>
        <w:spacing w:line="576" w:lineRule="exact"/>
        <w:ind w:firstLineChars="200" w:firstLine="640"/>
        <w:outlineLvl w:val="2"/>
        <w:rPr>
          <w:rFonts w:eastAsia="楷体_GB2312"/>
          <w:b/>
          <w:sz w:val="32"/>
          <w:szCs w:val="32"/>
        </w:rPr>
      </w:pPr>
      <w:bookmarkStart w:id="76" w:name="_Toc97135370"/>
      <w:bookmarkStart w:id="77" w:name="_Toc15377224"/>
      <w:r>
        <w:rPr>
          <w:rFonts w:eastAsia="楷体_GB2312"/>
          <w:b/>
          <w:sz w:val="32"/>
          <w:szCs w:val="32"/>
        </w:rPr>
        <w:t>（三）国有资产占有使用情况</w:t>
      </w:r>
      <w:bookmarkEnd w:id="76"/>
      <w:bookmarkEnd w:id="77"/>
    </w:p>
    <w:p>
      <w:pPr>
        <w:spacing w:line="576" w:lineRule="exact"/>
        <w:ind w:firstLine="640"/>
        <w:rPr>
          <w:rFonts w:ascii="仿宋_GB2312" w:eastAsia="仿宋_GB2312"/>
          <w:sz w:val="32"/>
          <w:szCs w:val="32"/>
        </w:rPr>
      </w:pPr>
      <w:r>
        <w:rPr>
          <w:rFonts w:ascii="仿宋_GB2312" w:eastAsia="仿宋_GB2312" w:cs="仿宋_GB2312" w:hint="eastAsia"/>
          <w:sz w:val="32"/>
          <w:szCs w:val="32"/>
        </w:rPr>
        <w:t>截至2025年12月31日，</w:t>
      </w:r>
      <w:r>
        <w:rPr>
          <w:rFonts w:ascii="仿宋_GB2312" w:eastAsia="仿宋_GB2312" w:cs="仿宋_GB2312"/>
          <w:sz w:val="32"/>
          <w:szCs w:val="32"/>
        </w:rPr>
        <w:t>中共阿坝州委办公室（部门）</w:t>
      </w:r>
      <w:r>
        <w:rPr>
          <w:rFonts w:ascii="仿宋_GB2312" w:eastAsia="仿宋_GB2312" w:cs="仿宋_GB2312" w:hint="eastAsia"/>
          <w:sz w:val="32"/>
          <w:szCs w:val="32"/>
        </w:rPr>
        <w:t>共有车辆</w:t>
      </w:r>
      <w:r>
        <w:rPr>
          <w:rFonts w:ascii="仿宋_GB2312" w:eastAsia="仿宋_GB2312" w:cs="仿宋_GB2312"/>
          <w:sz w:val="32"/>
          <w:szCs w:val="32"/>
        </w:rPr>
        <w:t>18</w:t>
      </w:r>
      <w:r>
        <w:rPr>
          <w:rFonts w:ascii="仿宋_GB2312" w:eastAsia="仿宋_GB2312" w:cs="仿宋_GB2312" w:hint="eastAsia"/>
          <w:sz w:val="32"/>
          <w:szCs w:val="32"/>
        </w:rPr>
        <w:t>辆，</w:t>
      </w:r>
      <w:r>
        <w:rPr>
          <w:rFonts w:ascii="仿宋_GB2312" w:eastAsia="仿宋_GB2312" w:hint="eastAsia"/>
          <w:sz w:val="32"/>
          <w:szCs w:val="32"/>
        </w:rPr>
        <w:t>其中：应急保障用车17辆、特种专业技术用车1辆。单价50万元以上通用设备0台（套），单价100万元以上专用设备（不含车辆）0台（套）。</w:t>
      </w:r>
    </w:p>
    <w:p>
      <w:pPr>
        <w:spacing w:line="576" w:lineRule="exact"/>
        <w:ind w:firstLine="640"/>
        <w:rPr>
          <w:rFonts w:eastAsia="楷体_GB2312"/>
          <w:b/>
          <w:sz w:val="32"/>
          <w:szCs w:val="32"/>
        </w:rPr>
      </w:pPr>
      <w:r>
        <w:rPr>
          <w:rFonts w:eastAsia="楷体_GB2312"/>
          <w:b/>
          <w:sz w:val="32"/>
          <w:szCs w:val="32"/>
        </w:rPr>
        <w:t>（四）预算绩效管理情况</w:t>
      </w:r>
    </w:p>
    <w:p>
      <w:pPr>
        <w:spacing w:line="576" w:lineRule="exact"/>
        <w:ind w:firstLine="640"/>
        <w:rPr>
          <w:rFonts w:eastAsia="仿宋_GB2312" w:cs="仿宋_GB2312"/>
          <w:sz w:val="32"/>
          <w:szCs w:val="32"/>
        </w:rPr>
      </w:pPr>
      <w:bookmarkStart w:id="78" w:name="_Toc15396613"/>
      <w:bookmarkStart w:id="79" w:name="_Toc15377225"/>
      <w:bookmarkStart w:id="80" w:name="_Toc97135371"/>
      <w:r>
        <w:rPr>
          <w:rFonts w:eastAsia="仿宋_GB2312" w:cs="仿宋_GB2312" w:hint="eastAsia"/>
          <w:sz w:val="32"/>
          <w:szCs w:val="32"/>
        </w:rPr>
        <w:t>根据预算绩效管理要求，</w:t>
      </w:r>
      <w:r>
        <w:rPr>
          <w:rFonts w:ascii="仿宋_GB2312" w:eastAsia="仿宋_GB2312" w:cs="仿宋_GB2312"/>
          <w:sz w:val="32"/>
          <w:szCs w:val="32"/>
        </w:rPr>
        <w:t>中共阿坝州委办公室（部门）</w:t>
      </w:r>
      <w:r>
        <w:rPr>
          <w:rFonts w:eastAsia="仿宋_GB2312" w:cs="仿宋_GB2312" w:hint="eastAsia"/>
          <w:sz w:val="32"/>
          <w:szCs w:val="32"/>
        </w:rPr>
        <w:t>在2025年度预算编制阶段，组织对</w:t>
      </w:r>
      <w:r>
        <w:rPr>
          <w:rFonts w:eastAsia="仿宋_GB2312" w:cs="仿宋_GB2312"/>
          <w:sz w:val="32"/>
          <w:szCs w:val="32"/>
        </w:rPr>
        <w:t>州委大院零星维修（护）费、办公设备购置费、中央空调运行维护费</w:t>
      </w:r>
      <w:r>
        <w:rPr>
          <w:rFonts w:eastAsia="仿宋_GB2312" w:cs="仿宋_GB2312" w:hint="eastAsia"/>
          <w:sz w:val="32"/>
          <w:szCs w:val="32"/>
        </w:rPr>
        <w:t>等</w:t>
      </w:r>
      <w:r>
        <w:rPr>
          <w:rFonts w:eastAsia="仿宋_GB2312" w:cs="仿宋_GB2312"/>
          <w:sz w:val="32"/>
          <w:szCs w:val="32"/>
        </w:rPr>
        <w:t>13</w:t>
      </w:r>
      <w:r>
        <w:rPr>
          <w:rFonts w:eastAsia="仿宋_GB2312" w:cs="仿宋_GB2312" w:hint="eastAsia"/>
          <w:sz w:val="32"/>
          <w:szCs w:val="32"/>
        </w:rPr>
        <w:t>个项目开展了预算事前绩效评估，对</w:t>
      </w:r>
      <w:r>
        <w:rPr>
          <w:rFonts w:eastAsia="仿宋_GB2312" w:cs="仿宋_GB2312"/>
          <w:sz w:val="32"/>
          <w:szCs w:val="32"/>
        </w:rPr>
        <w:t>5</w:t>
      </w:r>
      <w:r>
        <w:rPr>
          <w:rFonts w:eastAsia="仿宋_GB2312" w:cs="仿宋_GB2312" w:hint="eastAsia"/>
          <w:sz w:val="32"/>
          <w:szCs w:val="32"/>
        </w:rPr>
        <w:t>个项目编制了绩效目标，预算执行过程中，选取</w:t>
      </w:r>
      <w:r>
        <w:rPr>
          <w:rFonts w:eastAsia="仿宋_GB2312" w:cs="仿宋_GB2312"/>
          <w:sz w:val="32"/>
          <w:szCs w:val="32"/>
        </w:rPr>
        <w:t>3</w:t>
      </w:r>
      <w:r>
        <w:rPr>
          <w:rFonts w:eastAsia="仿宋_GB2312" w:cs="仿宋_GB2312" w:hint="eastAsia"/>
          <w:sz w:val="32"/>
          <w:szCs w:val="32"/>
        </w:rPr>
        <w:t>个项目开展绩效监控。</w:t>
      </w:r>
    </w:p>
    <w:p>
      <w:pPr>
        <w:spacing w:line="576" w:lineRule="exact"/>
        <w:ind w:firstLine="640"/>
        <w:rPr>
          <w:rFonts w:eastAsia="仿宋_GB2312" w:cs="仿宋_GB2312"/>
          <w:sz w:val="32"/>
          <w:szCs w:val="32"/>
        </w:rPr>
      </w:pPr>
      <w:r>
        <w:rPr>
          <w:rFonts w:eastAsia="仿宋_GB2312" w:cs="仿宋_GB2312" w:hint="eastAsia"/>
          <w:sz w:val="32"/>
          <w:szCs w:val="32"/>
        </w:rPr>
        <w:t>组织对2025年度一般公共预算、社会保险基金预算以及资本资产等全面开展绩效自评，形成</w:t>
      </w:r>
      <w:r>
        <w:rPr>
          <w:rFonts w:ascii="仿宋_GB2312" w:eastAsia="仿宋_GB2312" w:cs="仿宋_GB2312"/>
          <w:sz w:val="32"/>
          <w:szCs w:val="32"/>
        </w:rPr>
        <w:t>中共阿坝州委办公室（部门）</w:t>
      </w:r>
      <w:r>
        <w:rPr>
          <w:rFonts w:eastAsia="仿宋_GB2312" w:cs="仿宋_GB2312" w:hint="eastAsia"/>
          <w:sz w:val="32"/>
          <w:szCs w:val="32"/>
        </w:rPr>
        <w:t>整体绩效自评报告</w:t>
      </w:r>
      <w:r>
        <w:rPr>
          <w:rFonts w:eastAsia="仿宋_GB2312" w:cs="仿宋_GB2312"/>
          <w:sz w:val="32"/>
          <w:szCs w:val="32"/>
        </w:rPr>
        <w:t>及单个特定目标类</w:t>
      </w:r>
      <w:r>
        <w:rPr>
          <w:rFonts w:eastAsia="仿宋_GB2312" w:cs="仿宋_GB2312" w:hint="eastAsia"/>
          <w:sz w:val="32"/>
          <w:szCs w:val="32"/>
        </w:rPr>
        <w:t>项目绩效自评报告，其中，</w:t>
      </w:r>
      <w:r>
        <w:rPr>
          <w:rFonts w:ascii="仿宋_GB2312" w:eastAsia="仿宋_GB2312" w:cs="仿宋_GB2312"/>
          <w:sz w:val="32"/>
          <w:szCs w:val="32"/>
        </w:rPr>
        <w:t>中共阿坝州委办公室（部门）</w:t>
      </w:r>
      <w:r>
        <w:rPr>
          <w:rFonts w:eastAsia="仿宋_GB2312" w:cs="仿宋_GB2312" w:hint="eastAsia"/>
          <w:sz w:val="32"/>
          <w:szCs w:val="32"/>
        </w:rPr>
        <w:t>整体绩效自评得分为</w:t>
      </w:r>
      <w:r>
        <w:rPr>
          <w:rFonts w:eastAsia="仿宋_GB2312" w:cs="仿宋_GB2312"/>
          <w:sz w:val="32"/>
          <w:szCs w:val="32"/>
        </w:rPr>
        <w:t>95</w:t>
      </w:r>
      <w:r>
        <w:rPr>
          <w:rFonts w:eastAsia="仿宋_GB2312" w:cs="仿宋_GB2312" w:hint="eastAsia"/>
          <w:sz w:val="32"/>
          <w:szCs w:val="32"/>
        </w:rPr>
        <w:t>分，</w:t>
      </w:r>
      <w:r>
        <w:rPr>
          <w:rFonts w:eastAsia="仿宋_GB2312" w:cs="仿宋_GB2312"/>
          <w:sz w:val="32"/>
          <w:szCs w:val="32"/>
        </w:rPr>
        <w:t>主要从财政拨款预算偏离度、单位收入统筹度、预算年终结余率、一般性支出、财务管理规范、资产配置预算偏离度、采购执行率等方面进行评价。单个特定目标类</w:t>
      </w:r>
      <w:r>
        <w:rPr>
          <w:rFonts w:eastAsia="仿宋_GB2312" w:cs="仿宋_GB2312" w:hint="eastAsia"/>
          <w:sz w:val="32"/>
          <w:szCs w:val="32"/>
        </w:rPr>
        <w:t>项目绩效自评得分</w:t>
      </w:r>
      <w:r>
        <w:rPr>
          <w:rFonts w:eastAsia="仿宋_GB2312" w:cs="仿宋_GB2312"/>
          <w:sz w:val="32"/>
          <w:szCs w:val="32"/>
        </w:rPr>
        <w:t>均不低于95</w:t>
      </w:r>
      <w:r>
        <w:rPr>
          <w:rFonts w:eastAsia="仿宋_GB2312" w:cs="仿宋_GB2312" w:hint="eastAsia"/>
          <w:sz w:val="32"/>
          <w:szCs w:val="32"/>
        </w:rPr>
        <w:t>分，</w:t>
      </w:r>
      <w:r>
        <w:rPr>
          <w:rFonts w:eastAsia="仿宋_GB2312" w:cs="仿宋_GB2312"/>
          <w:sz w:val="32"/>
          <w:szCs w:val="32"/>
        </w:rPr>
        <w:t>部分特定目标类</w:t>
      </w:r>
      <w:r>
        <w:rPr>
          <w:rFonts w:eastAsia="仿宋_GB2312" w:cs="仿宋_GB2312" w:hint="eastAsia"/>
          <w:sz w:val="32"/>
          <w:szCs w:val="32"/>
        </w:rPr>
        <w:t>绩效自评得分</w:t>
      </w:r>
      <w:r>
        <w:rPr>
          <w:rFonts w:eastAsia="仿宋_GB2312" w:cs="仿宋_GB2312"/>
          <w:sz w:val="32"/>
          <w:szCs w:val="32"/>
        </w:rPr>
        <w:t>为100分。绩效自评主要从项目投入管理、产出完成情况、实施效益、服务对象满意度等方面进行评价</w:t>
      </w:r>
      <w:r>
        <w:rPr>
          <w:rFonts w:eastAsia="仿宋_GB2312" w:cs="仿宋_GB2312" w:hint="eastAsia"/>
          <w:sz w:val="32"/>
          <w:szCs w:val="32"/>
        </w:rPr>
        <w:t>。</w:t>
      </w:r>
    </w:p>
    <w:p>
      <w:pPr>
        <w:rPr>
          <w:rFonts w:eastAsia="黑体"/>
          <w:sz w:val="44"/>
          <w:szCs w:val="44"/>
        </w:rPr>
      </w:pPr>
      <w:r>
        <w:rPr>
          <w:rFonts w:eastAsia="黑体"/>
          <w:sz w:val="44"/>
          <w:szCs w:val="44"/>
        </w:rPr>
        <w:br w:type="page"/>
      </w:r>
    </w:p>
    <w:p>
      <w:pPr>
        <w:spacing w:line="576" w:lineRule="exact"/>
        <w:jc w:val="center"/>
        <w:outlineLvl w:val="0"/>
        <w:rPr>
          <w:rFonts w:eastAsia="黑体"/>
          <w:sz w:val="44"/>
          <w:szCs w:val="44"/>
        </w:rPr>
      </w:pPr>
      <w:r>
        <w:rPr>
          <w:rFonts w:eastAsia="黑体"/>
          <w:sz w:val="44"/>
          <w:szCs w:val="44"/>
        </w:rPr>
        <w:t>第三部分  名词解释</w:t>
      </w:r>
      <w:bookmarkEnd w:id="78"/>
      <w:bookmarkEnd w:id="79"/>
      <w:bookmarkEnd w:id="80"/>
    </w:p>
    <w:p>
      <w:pPr>
        <w:spacing w:line="576" w:lineRule="exact"/>
        <w:jc w:val="left"/>
        <w:rPr>
          <w:b/>
          <w:sz w:val="44"/>
          <w:szCs w:val="44"/>
        </w:rPr>
      </w:pPr>
    </w:p>
    <w:p>
      <w:pPr>
        <w:pStyle w:val="18"/>
        <w:spacing w:line="576" w:lineRule="exact"/>
        <w:ind w:firstLineChars="200" w:firstLine="640"/>
        <w:rPr>
          <w:rStyle w:val="25"/>
          <w:rFonts w:eastAsia="方正仿宋_GBK"/>
          <w:b w:val="0"/>
          <w:bCs/>
          <w:sz w:val="32"/>
          <w:szCs w:val="32"/>
        </w:rPr>
      </w:pPr>
      <w:r>
        <w:rPr>
          <w:rStyle w:val="25"/>
          <w:rFonts w:eastAsia="方正仿宋_GBK"/>
          <w:b w:val="0"/>
          <w:bCs/>
          <w:sz w:val="32"/>
          <w:szCs w:val="32"/>
        </w:rPr>
        <w:t>1.财政拨款收入：指单位从同级财政部门取得的财政预算资金。</w:t>
      </w:r>
    </w:p>
    <w:p>
      <w:pPr>
        <w:pStyle w:val="18"/>
        <w:spacing w:line="576" w:lineRule="exact"/>
        <w:ind w:firstLineChars="200" w:firstLine="640"/>
        <w:rPr>
          <w:rStyle w:val="25"/>
          <w:rFonts w:eastAsia="方正仿宋_GBK"/>
          <w:b w:val="0"/>
          <w:bCs/>
          <w:sz w:val="32"/>
          <w:szCs w:val="32"/>
        </w:rPr>
      </w:pPr>
      <w:r>
        <w:rPr>
          <w:rStyle w:val="25"/>
          <w:rFonts w:eastAsia="方正仿宋_GBK"/>
          <w:b w:val="0"/>
          <w:bCs/>
          <w:sz w:val="32"/>
          <w:szCs w:val="32"/>
        </w:rPr>
        <w:t>2.一般公共服务支出（201）党委办公厅（室）及相关机构事务（31）行政运行（01）：指行政单位的基本支出。</w:t>
      </w:r>
    </w:p>
    <w:p>
      <w:pPr>
        <w:pStyle w:val="18"/>
        <w:spacing w:line="576" w:lineRule="exact"/>
        <w:ind w:firstLineChars="200" w:firstLine="640"/>
        <w:rPr>
          <w:rStyle w:val="25"/>
          <w:rFonts w:eastAsia="方正仿宋_GBK"/>
          <w:b w:val="0"/>
          <w:bCs/>
          <w:sz w:val="32"/>
          <w:szCs w:val="32"/>
        </w:rPr>
      </w:pPr>
      <w:r>
        <w:rPr>
          <w:rStyle w:val="25"/>
          <w:rFonts w:eastAsia="方正仿宋_GBK"/>
          <w:b w:val="0"/>
          <w:bCs/>
          <w:sz w:val="32"/>
          <w:szCs w:val="32"/>
        </w:rPr>
        <w:t>3.一般公共服务支出（201）党委办公厅（室）及相关机构事务（31）一般行政管理事务（02）：指行政单位未单独设置项级科目的其他项目支出。</w:t>
      </w:r>
    </w:p>
    <w:p>
      <w:pPr>
        <w:pStyle w:val="18"/>
        <w:spacing w:line="576" w:lineRule="exact"/>
        <w:ind w:firstLineChars="200" w:firstLine="640"/>
        <w:rPr>
          <w:rStyle w:val="25"/>
          <w:rFonts w:eastAsia="方正仿宋_GBK"/>
          <w:b w:val="0"/>
          <w:bCs/>
          <w:sz w:val="32"/>
          <w:szCs w:val="32"/>
        </w:rPr>
      </w:pPr>
      <w:r>
        <w:rPr>
          <w:rStyle w:val="25"/>
          <w:rFonts w:eastAsia="方正仿宋_GBK"/>
          <w:b w:val="0"/>
          <w:bCs/>
          <w:sz w:val="32"/>
          <w:szCs w:val="32"/>
        </w:rPr>
        <w:t>4.教育支出（205）其他教育支出（99）其他教育支出（99）：指其他用于教育方面的支出。</w:t>
      </w:r>
    </w:p>
    <w:p>
      <w:pPr>
        <w:pStyle w:val="18"/>
        <w:spacing w:line="576" w:lineRule="exact"/>
        <w:ind w:firstLineChars="200" w:firstLine="640"/>
        <w:rPr>
          <w:rStyle w:val="25"/>
          <w:rFonts w:eastAsia="方正仿宋_GBK"/>
          <w:b w:val="0"/>
          <w:bCs/>
          <w:sz w:val="32"/>
          <w:szCs w:val="32"/>
        </w:rPr>
      </w:pPr>
      <w:r>
        <w:rPr>
          <w:rStyle w:val="25"/>
          <w:rFonts w:eastAsia="方正仿宋_GBK"/>
          <w:b w:val="0"/>
          <w:bCs/>
          <w:sz w:val="32"/>
          <w:szCs w:val="32"/>
        </w:rPr>
        <w:t>5.社会保障和就业支出（208）行政事业单位养老支出（05）机关事业单位基本养老保险缴费支出（05）：指机关事业单位实施养老保险制度由单位缴纳的基本养老保险费支出。</w:t>
      </w:r>
    </w:p>
    <w:p>
      <w:pPr>
        <w:pStyle w:val="18"/>
        <w:spacing w:line="576" w:lineRule="exact"/>
        <w:ind w:firstLineChars="200" w:firstLine="640"/>
        <w:rPr>
          <w:rStyle w:val="25"/>
          <w:rFonts w:eastAsia="方正仿宋_GBK"/>
          <w:b w:val="0"/>
          <w:bCs/>
          <w:sz w:val="32"/>
          <w:szCs w:val="32"/>
        </w:rPr>
      </w:pPr>
      <w:r>
        <w:rPr>
          <w:rStyle w:val="25"/>
          <w:rFonts w:eastAsia="方正仿宋_GBK"/>
          <w:b w:val="0"/>
          <w:bCs/>
          <w:sz w:val="32"/>
          <w:szCs w:val="32"/>
        </w:rPr>
        <w:t>6.社会保障和就业支出（208）行政事业单位养老支出（05）机关事业单位职业年金缴费支出（06）：指机关事业单位实施养老保险制度由单位实际缴纳的职业年金支出。</w:t>
      </w:r>
    </w:p>
    <w:p>
      <w:pPr>
        <w:pStyle w:val="18"/>
        <w:spacing w:line="576" w:lineRule="exact"/>
        <w:ind w:firstLineChars="200" w:firstLine="640"/>
        <w:rPr>
          <w:rStyle w:val="25"/>
          <w:rFonts w:eastAsia="方正仿宋_GBK"/>
          <w:b w:val="0"/>
          <w:bCs/>
          <w:sz w:val="32"/>
          <w:szCs w:val="32"/>
        </w:rPr>
      </w:pPr>
      <w:r>
        <w:rPr>
          <w:rStyle w:val="25"/>
          <w:rFonts w:eastAsia="方正仿宋_GBK"/>
          <w:b w:val="0"/>
          <w:bCs/>
          <w:sz w:val="32"/>
          <w:szCs w:val="32"/>
        </w:rPr>
        <w:t>7.卫生健康支出（210）行政事业单位医疗（11）行政单位医疗（01）：指财政部门安排的行政单位基本医疗保险缴费经费。</w:t>
      </w:r>
    </w:p>
    <w:p>
      <w:pPr>
        <w:pStyle w:val="18"/>
        <w:spacing w:line="576" w:lineRule="exact"/>
        <w:ind w:firstLineChars="200" w:firstLine="640"/>
        <w:rPr>
          <w:rStyle w:val="25"/>
          <w:rFonts w:eastAsia="方正仿宋_GBK"/>
          <w:b w:val="0"/>
          <w:bCs/>
          <w:sz w:val="32"/>
          <w:szCs w:val="32"/>
        </w:rPr>
      </w:pPr>
      <w:r>
        <w:rPr>
          <w:rStyle w:val="25"/>
          <w:rFonts w:eastAsia="方正仿宋_GBK"/>
          <w:b w:val="0"/>
          <w:bCs/>
          <w:sz w:val="32"/>
          <w:szCs w:val="32"/>
        </w:rPr>
        <w:t>8.卫生健康支出（210）行政事业单位医疗（11）公务员医疗补助（03）：指财政部门安排的公务员医疗补助经费。</w:t>
      </w:r>
    </w:p>
    <w:p>
      <w:pPr>
        <w:pStyle w:val="18"/>
        <w:spacing w:line="576" w:lineRule="exact"/>
        <w:ind w:firstLineChars="200" w:firstLine="640"/>
        <w:rPr>
          <w:rStyle w:val="25"/>
          <w:rFonts w:eastAsia="方正仿宋_GBK"/>
          <w:b w:val="0"/>
          <w:bCs/>
          <w:sz w:val="32"/>
          <w:szCs w:val="32"/>
        </w:rPr>
      </w:pPr>
      <w:r>
        <w:rPr>
          <w:rStyle w:val="25"/>
          <w:rFonts w:eastAsia="方正仿宋_GBK"/>
          <w:b w:val="0"/>
          <w:bCs/>
          <w:sz w:val="32"/>
          <w:szCs w:val="32"/>
        </w:rPr>
        <w:t>9.住房保障支出（221）住房改革支出（02）住房公积金（01）：指行政事业单位按人力资源和社会保障部、财政部规定的基本工资和津贴补贴以及规定比例为职工缴纳的住房公积金。</w:t>
      </w:r>
    </w:p>
    <w:p>
      <w:pPr>
        <w:pStyle w:val="18"/>
        <w:spacing w:line="576" w:lineRule="exact"/>
        <w:ind w:firstLineChars="200" w:firstLine="640"/>
        <w:rPr>
          <w:rStyle w:val="25"/>
          <w:rFonts w:eastAsia="方正仿宋_GBK"/>
          <w:b w:val="0"/>
          <w:bCs/>
          <w:sz w:val="32"/>
          <w:szCs w:val="32"/>
        </w:rPr>
      </w:pPr>
      <w:r>
        <w:rPr>
          <w:rStyle w:val="25"/>
          <w:rFonts w:eastAsia="方正仿宋_GBK"/>
          <w:b w:val="0"/>
          <w:bCs/>
          <w:sz w:val="32"/>
          <w:szCs w:val="32"/>
        </w:rPr>
        <w:t>10.住房保障支出（221）住房改革支出（02）购房补贴（03）：指按房改政策规定，行政事业单位向符合条件职工（含离退休人员）发放的用于购买住房的补贴。</w:t>
      </w:r>
    </w:p>
    <w:p>
      <w:pPr>
        <w:pStyle w:val="18"/>
        <w:spacing w:line="576" w:lineRule="exact"/>
        <w:ind w:firstLineChars="200" w:firstLine="640"/>
        <w:rPr>
          <w:rStyle w:val="25"/>
          <w:rFonts w:eastAsia="方正仿宋_GBK"/>
          <w:b w:val="0"/>
          <w:bCs/>
          <w:sz w:val="32"/>
          <w:szCs w:val="32"/>
        </w:rPr>
      </w:pPr>
      <w:r>
        <w:rPr>
          <w:rStyle w:val="25"/>
          <w:rFonts w:eastAsia="方正仿宋_GBK"/>
          <w:b w:val="0"/>
          <w:bCs/>
          <w:sz w:val="32"/>
          <w:szCs w:val="32"/>
        </w:rPr>
        <w:t>11.基本支出：指为保障机构正常运转、完成日常工作任务而发生的人员支出和公用支出。</w:t>
      </w:r>
    </w:p>
    <w:p>
      <w:pPr>
        <w:pStyle w:val="18"/>
        <w:spacing w:line="576" w:lineRule="exact"/>
        <w:ind w:firstLineChars="200" w:firstLine="640"/>
        <w:rPr>
          <w:rStyle w:val="25"/>
          <w:rFonts w:eastAsia="方正仿宋_GBK"/>
          <w:b w:val="0"/>
          <w:bCs/>
          <w:sz w:val="32"/>
          <w:szCs w:val="32"/>
        </w:rPr>
      </w:pPr>
      <w:r>
        <w:rPr>
          <w:rStyle w:val="25"/>
          <w:rFonts w:eastAsia="方正仿宋_GBK"/>
          <w:b w:val="0"/>
          <w:bCs/>
          <w:sz w:val="32"/>
          <w:szCs w:val="32"/>
        </w:rPr>
        <w:t>12.项目支出：指在基本支出之外为完成特定行政任务和事业发展目标所发生的支出。</w:t>
      </w:r>
    </w:p>
    <w:p>
      <w:pPr>
        <w:pStyle w:val="18"/>
        <w:spacing w:line="576" w:lineRule="exact"/>
        <w:ind w:firstLineChars="200" w:firstLine="640"/>
        <w:rPr>
          <w:rStyle w:val="25"/>
          <w:rFonts w:eastAsia="方正仿宋_GBK"/>
          <w:b w:val="0"/>
          <w:bCs/>
          <w:sz w:val="32"/>
          <w:szCs w:val="32"/>
        </w:rPr>
      </w:pPr>
      <w:r>
        <w:rPr>
          <w:rStyle w:val="25"/>
          <w:rFonts w:eastAsia="方正仿宋_GBK"/>
          <w:b w:val="0"/>
          <w:bCs/>
          <w:sz w:val="32"/>
          <w:szCs w:val="32"/>
        </w:rPr>
        <w:t>13.“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rPr>
          <w:rFonts w:eastAsia="仿宋_GB2312"/>
          <w:b/>
          <w:bCs/>
          <w:sz w:val="32"/>
          <w:szCs w:val="32"/>
        </w:rPr>
      </w:pPr>
      <w:r>
        <w:rPr>
          <w:rStyle w:val="25"/>
          <w:rFonts w:eastAsia="方正仿宋_GBK"/>
          <w:b w:val="0"/>
          <w:bCs/>
          <w:sz w:val="32"/>
          <w:szCs w:val="32"/>
        </w:rPr>
        <w:t>14.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w:t>
      </w:r>
    </w:p>
    <w:p>
      <w:pPr>
        <w:spacing w:line="576" w:lineRule="exact"/>
        <w:jc w:val="center"/>
        <w:rPr>
          <w:rStyle w:val="1Char"/>
          <w:rFonts w:eastAsia="黑体"/>
          <w:b w:val="0"/>
        </w:rPr>
      </w:pPr>
      <w:bookmarkStart w:id="81" w:name="_Toc15377226"/>
      <w:r>
        <w:rPr>
          <w:rFonts w:eastAsia="仿宋_GB2312"/>
          <w:sz w:val="32"/>
          <w:szCs w:val="32"/>
        </w:rPr>
        <w:br w:type="page"/>
      </w:r>
      <w:bookmarkStart w:id="82" w:name="_Toc15396614"/>
      <w:r>
        <w:rPr>
          <w:rFonts w:eastAsia="黑体"/>
          <w:sz w:val="44"/>
          <w:szCs w:val="44"/>
        </w:rPr>
        <w:t>第四部分  附件</w:t>
      </w:r>
      <w:bookmarkEnd w:id="82"/>
    </w:p>
    <w:p>
      <w:pPr>
        <w:spacing w:line="576" w:lineRule="exact"/>
        <w:jc w:val="left"/>
        <w:outlineLvl w:val="0"/>
        <w:rPr>
          <w:rFonts w:eastAsia="黑体"/>
          <w:color w:val="FF0000"/>
          <w:sz w:val="32"/>
          <w:szCs w:val="32"/>
        </w:rPr>
      </w:pPr>
    </w:p>
    <w:p>
      <w:pPr>
        <w:spacing w:line="576" w:lineRule="exact"/>
        <w:jc w:val="left"/>
        <w:outlineLvl w:val="0"/>
        <w:rPr>
          <w:rFonts w:eastAsia="黑体" w:cs="黑体" w:hint="eastAsia"/>
          <w:sz w:val="32"/>
          <w:szCs w:val="32"/>
          <w:shd w:val="clear" w:color="auto" w:fill="auto"/>
        </w:rPr>
      </w:pPr>
      <w:bookmarkStart w:id="83" w:name="_Toc97135372"/>
      <w:r>
        <w:rPr>
          <w:rFonts w:eastAsia="黑体" w:cs="黑体" w:hint="eastAsia"/>
          <w:sz w:val="32"/>
          <w:szCs w:val="32"/>
          <w:shd w:val="clear" w:color="auto" w:fill="auto"/>
        </w:rPr>
        <w:t>附件1</w:t>
      </w:r>
      <w:bookmarkEnd w:id="83"/>
    </w:p>
    <w:p>
      <w:pPr>
        <w:widowControl/>
        <w:spacing w:line="576" w:lineRule="exact"/>
        <w:contextualSpacing/>
        <w:jc w:val="center"/>
        <w:rPr>
          <w:rFonts w:eastAsia="方正小标宋简体"/>
          <w:bCs/>
          <w:sz w:val="44"/>
          <w:szCs w:val="44"/>
          <w:shd w:val="clear" w:color="auto" w:fill="FFFFFF"/>
        </w:rPr>
      </w:pPr>
    </w:p>
    <w:p>
      <w:pPr>
        <w:widowControl/>
        <w:spacing w:line="576" w:lineRule="exact"/>
        <w:contextualSpacing/>
        <w:jc w:val="center"/>
        <w:rPr>
          <w:rFonts w:eastAsia="方正小标宋简体"/>
          <w:bCs/>
          <w:sz w:val="44"/>
          <w:szCs w:val="44"/>
          <w:shd w:val="clear" w:color="auto" w:fill="FFFFFF"/>
        </w:rPr>
      </w:pPr>
      <w:r>
        <w:rPr>
          <w:rFonts w:ascii="方正公文小标宋" w:eastAsia="方正公文小标宋"/>
          <w:bCs/>
          <w:sz w:val="44"/>
          <w:szCs w:val="44"/>
          <w:shd w:val="clear" w:color="auto" w:fill="auto"/>
        </w:rPr>
        <w:t>部门预算绩效评价报告</w:t>
      </w:r>
    </w:p>
    <w:p>
      <w:pPr>
        <w:widowControl/>
        <w:spacing w:line="576" w:lineRule="exact"/>
        <w:contextualSpacing/>
        <w:jc w:val="center"/>
        <w:rPr>
          <w:rFonts w:eastAsia="仿宋_GB2312" w:hint="eastAsia"/>
          <w:sz w:val="32"/>
          <w:szCs w:val="32"/>
          <w:shd w:val="clear" w:color="auto" w:fill="auto"/>
        </w:rPr>
      </w:pPr>
      <w:r>
        <w:rPr>
          <w:rFonts w:eastAsia="仿宋_GB2312" w:hint="eastAsia"/>
          <w:sz w:val="32"/>
          <w:szCs w:val="32"/>
          <w:shd w:val="clear" w:color="auto" w:fill="auto"/>
        </w:rPr>
        <w:t>（中共阿坝州委办公室</w:t>
      </w:r>
      <w:r>
        <w:rPr>
          <w:rFonts w:eastAsia="仿宋_GB2312"/>
          <w:sz w:val="32"/>
          <w:szCs w:val="32"/>
          <w:shd w:val="clear" w:color="auto" w:fill="auto"/>
        </w:rPr>
        <w:t>部门</w:t>
      </w:r>
      <w:r>
        <w:rPr>
          <w:rFonts w:eastAsia="仿宋_GB2312" w:hint="eastAsia"/>
          <w:sz w:val="32"/>
          <w:szCs w:val="32"/>
          <w:shd w:val="clear" w:color="auto" w:fill="auto"/>
        </w:rPr>
        <w:t>）</w:t>
      </w:r>
    </w:p>
    <w:p>
      <w:pPr>
        <w:widowControl/>
        <w:spacing w:line="576" w:lineRule="exact"/>
        <w:contextualSpacing/>
        <w:jc w:val="center"/>
        <w:rPr>
          <w:rFonts w:eastAsia="黑体"/>
          <w:color w:val="000000"/>
          <w:kern w:val="0"/>
          <w:sz w:val="24"/>
          <w:szCs w:val="32"/>
          <w:shd w:val="clear" w:color="auto" w:fill="FFFFFF"/>
        </w:rPr>
      </w:pPr>
    </w:p>
    <w:p>
      <w:pPr>
        <w:widowControl/>
        <w:adjustRightInd w:val="0"/>
        <w:snapToGrid w:val="0"/>
        <w:spacing w:line="576" w:lineRule="exact"/>
        <w:ind w:firstLineChars="200" w:firstLine="640"/>
        <w:contextualSpacing/>
        <w:jc w:val="left"/>
        <w:rPr>
          <w:rFonts w:ascii="方正黑体_GBK" w:eastAsia="方正黑体_GBK" w:hint="eastAsia"/>
          <w:sz w:val="32"/>
          <w:szCs w:val="32"/>
          <w:shd w:val="clear" w:color="auto" w:fill="auto"/>
          <w:lang w:val="zh-CN"/>
        </w:rPr>
      </w:pPr>
      <w:r>
        <w:rPr>
          <w:rFonts w:ascii="方正黑体_GBK" w:eastAsia="方正黑体_GBK" w:hint="eastAsia"/>
          <w:sz w:val="32"/>
          <w:szCs w:val="32"/>
          <w:shd w:val="clear" w:color="auto" w:fill="auto"/>
          <w:lang w:val="zh-CN"/>
        </w:rPr>
        <w:t>一、部门（单位）基本情况</w:t>
      </w:r>
    </w:p>
    <w:p>
      <w:pPr>
        <w:widowControl/>
        <w:spacing w:line="576" w:lineRule="exact"/>
        <w:ind w:firstLineChars="200" w:firstLine="640"/>
        <w:jc w:val="left"/>
        <w:rPr>
          <w:rFonts w:eastAsia="楷体_GB2312"/>
          <w:b/>
          <w:sz w:val="32"/>
          <w:szCs w:val="32"/>
          <w:lang w:val="zh-CN"/>
        </w:rPr>
      </w:pPr>
      <w:r>
        <w:rPr>
          <w:rFonts w:eastAsia="楷体_GB2312"/>
          <w:b/>
          <w:sz w:val="32"/>
          <w:szCs w:val="32"/>
          <w:lang w:val="zh-CN"/>
        </w:rPr>
        <w:t>（一）机构组成。</w:t>
      </w:r>
    </w:p>
    <w:p>
      <w:pPr>
        <w:spacing w:line="576" w:lineRule="exact"/>
        <w:ind w:firstLineChars="200" w:firstLine="640"/>
        <w:rPr>
          <w:rFonts w:eastAsia="方正仿宋_GBK"/>
          <w:sz w:val="32"/>
          <w:szCs w:val="32"/>
          <w:highlight w:val="auto"/>
        </w:rPr>
      </w:pPr>
      <w:r>
        <w:rPr>
          <w:rFonts w:eastAsia="方正仿宋_GBK"/>
          <w:sz w:val="32"/>
          <w:szCs w:val="32"/>
          <w:highlight w:val="auto"/>
        </w:rPr>
        <w:t>纳入</w:t>
      </w:r>
      <w:r>
        <w:rPr>
          <w:rFonts w:eastAsia="方正仿宋_GBK"/>
          <w:sz w:val="32"/>
          <w:szCs w:val="32"/>
        </w:rPr>
        <w:t>中共阿坝州委办公室（部门）</w:t>
      </w:r>
      <w:r>
        <w:rPr>
          <w:rFonts w:eastAsia="方正仿宋_GBK"/>
          <w:sz w:val="32"/>
          <w:szCs w:val="32"/>
          <w:lang w:eastAsia="zh-CN"/>
        </w:rPr>
        <w:t>2025</w:t>
      </w:r>
      <w:r>
        <w:rPr>
          <w:rFonts w:eastAsia="方正仿宋_GBK"/>
          <w:sz w:val="32"/>
          <w:szCs w:val="32"/>
          <w:lang w:eastAsia="zh-CN"/>
          <w:highlight w:val="auto"/>
        </w:rPr>
        <w:t>年度</w:t>
      </w:r>
      <w:r>
        <w:rPr>
          <w:rFonts w:eastAsia="方正仿宋_GBK"/>
          <w:sz w:val="32"/>
          <w:szCs w:val="32"/>
          <w:highlight w:val="auto"/>
        </w:rPr>
        <w:t>决算编制范围的二级预算单位包括：</w:t>
      </w:r>
    </w:p>
    <w:p>
      <w:pPr>
        <w:spacing w:line="576" w:lineRule="exact"/>
        <w:ind w:firstLineChars="200" w:firstLine="640"/>
        <w:rPr>
          <w:rFonts w:eastAsia="方正仿宋_GBK"/>
          <w:sz w:val="32"/>
          <w:szCs w:val="32"/>
          <w:highlight w:val="auto"/>
        </w:rPr>
      </w:pPr>
      <w:r>
        <w:rPr>
          <w:rFonts w:eastAsia="方正仿宋_GBK"/>
          <w:sz w:val="32"/>
          <w:szCs w:val="32"/>
          <w:highlight w:val="auto"/>
        </w:rPr>
        <w:t>1.</w:t>
      </w:r>
      <w:r>
        <w:rPr>
          <w:rFonts w:eastAsia="方正仿宋_GBK"/>
          <w:sz w:val="32"/>
          <w:szCs w:val="32"/>
        </w:rPr>
        <w:t>中共阿坝州委办公室（本级）</w:t>
      </w:r>
    </w:p>
    <w:p>
      <w:pPr>
        <w:spacing w:line="576" w:lineRule="exact"/>
        <w:ind w:firstLineChars="200" w:firstLine="640"/>
        <w:rPr>
          <w:rFonts w:eastAsia="方正仿宋_GBK"/>
          <w:sz w:val="32"/>
          <w:szCs w:val="32"/>
        </w:rPr>
      </w:pPr>
      <w:r>
        <w:rPr>
          <w:rFonts w:eastAsia="方正仿宋_GBK"/>
          <w:sz w:val="32"/>
          <w:szCs w:val="32"/>
        </w:rPr>
        <w:t>2.州专用通信中心</w:t>
      </w:r>
    </w:p>
    <w:p>
      <w:pPr>
        <w:widowControl/>
        <w:adjustRightInd w:val="0"/>
        <w:snapToGrid w:val="0"/>
        <w:spacing w:line="576" w:lineRule="exact"/>
        <w:ind w:firstLineChars="200" w:firstLine="640"/>
        <w:contextualSpacing/>
        <w:jc w:val="left"/>
        <w:rPr>
          <w:rFonts w:eastAsia="方正仿宋_GBK"/>
          <w:sz w:val="32"/>
          <w:szCs w:val="32"/>
          <w:highlight w:val="auto"/>
        </w:rPr>
      </w:pPr>
      <w:r>
        <w:rPr>
          <w:rFonts w:eastAsia="方正仿宋_GBK"/>
          <w:sz w:val="32"/>
          <w:szCs w:val="32"/>
          <w:highlight w:val="auto"/>
        </w:rPr>
        <w:t>3.州涉密文档专管中心</w:t>
      </w:r>
    </w:p>
    <w:p>
      <w:pPr>
        <w:widowControl/>
        <w:adjustRightInd w:val="0"/>
        <w:snapToGrid w:val="0"/>
        <w:spacing w:line="576" w:lineRule="exact"/>
        <w:ind w:firstLineChars="200" w:firstLine="640"/>
        <w:contextualSpacing/>
        <w:jc w:val="left"/>
        <w:rPr>
          <w:rFonts w:eastAsia="楷体_GB2312"/>
          <w:b/>
          <w:sz w:val="32"/>
          <w:szCs w:val="32"/>
          <w:lang w:val="zh-CN"/>
        </w:rPr>
      </w:pPr>
      <w:r>
        <w:rPr>
          <w:rFonts w:eastAsia="楷体_GB2312"/>
          <w:b/>
          <w:sz w:val="32"/>
          <w:szCs w:val="32"/>
          <w:lang w:val="zh-CN"/>
        </w:rPr>
        <w:t>（二）机构职能。</w:t>
      </w:r>
    </w:p>
    <w:p>
      <w:pPr>
        <w:widowControl/>
        <w:adjustRightInd w:val="0"/>
        <w:snapToGrid w:val="0"/>
        <w:spacing w:line="576" w:lineRule="exact"/>
        <w:ind w:firstLineChars="200" w:firstLine="640"/>
        <w:contextualSpacing/>
        <w:jc w:val="left"/>
        <w:rPr>
          <w:rFonts w:eastAsia="仿宋_GB2312"/>
          <w:bCs/>
          <w:sz w:val="32"/>
          <w:szCs w:val="32"/>
          <w:lang w:val="zh-CN"/>
        </w:rPr>
      </w:pPr>
      <w:r>
        <w:rPr>
          <w:rFonts w:eastAsia="仿宋_GB2312"/>
          <w:sz w:val="32"/>
          <w:szCs w:val="32"/>
        </w:rPr>
        <w:t>一是负责中央、省委、州委重大决策部署贯彻落实的协调、督促、检查，中央、省委、州委领导同志批示的传达和督办。二是负责州委会议、重大活动的准备和实施，州委领导活动的协调安排，州委各类文稿的撰写、修改和印制。三是围绕省委和州委的工作部署，综合调研、收集信息、反映动态，为州委决策提供参考建议。四是负责上级公文的承办和州委文件的草拟、印制、分发、管理等工作。五是负责全州党内法规工作，负责督促指导全州党内规范性文件的制定、审查、报备等工作。六是承担州委值班工作，负责全州党委办公室系统值班指导，对突出事件紧急情况跟踪了解、协调处理。七是负责州委与民主党派中央、民主党派四川省委之间战略合作事项的协调、落实。八是负责省委涉藏办工作的对接和办理。九是负责并协调州委办公室办公区、生活区的社会治安综合治理和安全防范。十是负责党中央路线方针政策和省委重大决策部署及重要工作安排落实情况的督促检查。十一是负责贯彻执行《中华人民共和国档案法》等相关法律法规。十二是承办州委交办的其他任务。</w:t>
      </w:r>
    </w:p>
    <w:p>
      <w:pPr>
        <w:spacing w:line="576" w:lineRule="exact"/>
        <w:ind w:firstLineChars="200" w:firstLine="640"/>
        <w:rPr>
          <w:szCs w:val="32"/>
        </w:rPr>
      </w:pPr>
      <w:r>
        <w:rPr>
          <w:rFonts w:ascii="方正楷体_GBK" w:eastAsia="方正楷体_GBK" w:hint="eastAsia"/>
          <w:b/>
          <w:bCs/>
          <w:sz w:val="32"/>
          <w:szCs w:val="32"/>
          <w:shd w:val="clear" w:color="auto" w:fill="auto"/>
          <w:lang w:val="zh-CN"/>
        </w:rPr>
        <w:t>（三）人员概况。</w:t>
      </w:r>
      <w:r>
        <w:rPr>
          <w:rFonts w:eastAsia="仿宋_GB2312"/>
          <w:sz w:val="32"/>
          <w:szCs w:val="32"/>
        </w:rPr>
        <w:t>截至2025年末，中共阿坝州委办公室（部门）年末实有人数69人。</w:t>
      </w:r>
    </w:p>
    <w:p>
      <w:pPr>
        <w:widowControl/>
        <w:adjustRightInd w:val="0"/>
        <w:snapToGrid w:val="0"/>
        <w:spacing w:line="576" w:lineRule="exact"/>
        <w:ind w:firstLineChars="200" w:firstLine="640"/>
        <w:contextualSpacing/>
        <w:jc w:val="left"/>
        <w:rPr>
          <w:rFonts w:ascii="方正黑体_GBK" w:eastAsia="方正黑体_GBK" w:hint="eastAsia"/>
          <w:sz w:val="32"/>
          <w:szCs w:val="32"/>
          <w:shd w:val="clear" w:color="auto" w:fill="auto"/>
          <w:lang w:val="zh-CN"/>
        </w:rPr>
      </w:pPr>
      <w:r>
        <w:rPr>
          <w:rFonts w:ascii="方正黑体_GBK" w:eastAsia="方正黑体_GBK" w:hint="eastAsia"/>
          <w:sz w:val="32"/>
          <w:szCs w:val="32"/>
          <w:shd w:val="clear" w:color="auto" w:fill="auto"/>
          <w:lang w:val="zh-CN"/>
        </w:rPr>
        <w:t>二、部门资金收支情况</w:t>
      </w:r>
    </w:p>
    <w:p>
      <w:pPr>
        <w:widowControl/>
        <w:adjustRightInd w:val="0"/>
        <w:snapToGrid w:val="0"/>
        <w:spacing w:line="576" w:lineRule="exact"/>
        <w:ind w:firstLineChars="200" w:firstLine="640"/>
        <w:contextualSpacing/>
        <w:jc w:val="left"/>
        <w:rPr>
          <w:rFonts w:eastAsia="楷体_GB2312"/>
          <w:b/>
          <w:bCs/>
          <w:color w:val="000000"/>
          <w:kern w:val="0"/>
          <w:szCs w:val="32"/>
          <w:shd w:val="clear" w:color="auto" w:fill="FFFFFF"/>
        </w:rPr>
      </w:pPr>
      <w:r>
        <w:rPr>
          <w:rFonts w:ascii="方正楷体_GBK" w:eastAsia="方正楷体_GBK" w:hint="eastAsia"/>
          <w:b/>
          <w:bCs/>
          <w:sz w:val="32"/>
          <w:szCs w:val="32"/>
          <w:shd w:val="clear" w:color="auto" w:fill="auto"/>
          <w:lang w:val="zh-CN"/>
        </w:rPr>
        <w:t>（一）收入情况。</w:t>
      </w:r>
      <w:r>
        <w:rPr>
          <w:rFonts w:eastAsia="仿宋_GB2312"/>
          <w:sz w:val="32"/>
          <w:szCs w:val="32"/>
        </w:rPr>
        <w:t>中共阿坝州委办公室（部门）2025年年初预算收入3296.26万元，决算报表收入3296.26万元。</w:t>
      </w:r>
    </w:p>
    <w:p>
      <w:pPr>
        <w:widowControl/>
        <w:adjustRightInd w:val="0"/>
        <w:snapToGrid w:val="0"/>
        <w:spacing w:line="576" w:lineRule="exact"/>
        <w:ind w:firstLineChars="200" w:firstLine="640"/>
        <w:contextualSpacing/>
        <w:jc w:val="left"/>
        <w:rPr>
          <w:szCs w:val="32"/>
          <w:lang w:val="zh-CN"/>
        </w:rPr>
      </w:pPr>
      <w:r>
        <w:rPr>
          <w:rFonts w:ascii="方正楷体_GBK" w:eastAsia="方正楷体_GBK" w:hint="eastAsia"/>
          <w:b/>
          <w:bCs/>
          <w:sz w:val="32"/>
          <w:szCs w:val="32"/>
          <w:shd w:val="clear" w:color="auto" w:fill="auto"/>
          <w:lang w:val="zh-CN"/>
        </w:rPr>
        <w:t>（二）支出情况。</w:t>
      </w:r>
      <w:r>
        <w:rPr>
          <w:rFonts w:eastAsia="仿宋_GB2312"/>
          <w:sz w:val="32"/>
          <w:szCs w:val="32"/>
        </w:rPr>
        <w:t>中共阿坝州委办公室（部门）2025年年初预算支出3296.26万元、决算报表支出3296.26万元。</w:t>
      </w:r>
    </w:p>
    <w:p>
      <w:pPr>
        <w:widowControl/>
        <w:adjustRightInd w:val="0"/>
        <w:snapToGrid w:val="0"/>
        <w:spacing w:line="576" w:lineRule="exact"/>
        <w:ind w:firstLineChars="200" w:firstLine="640"/>
        <w:contextualSpacing/>
        <w:jc w:val="left"/>
        <w:rPr>
          <w:rFonts w:eastAsia="仿宋_GB2312"/>
          <w:color w:val="000000"/>
          <w:kern w:val="0"/>
          <w:szCs w:val="32"/>
          <w:shd w:val="clear" w:color="auto" w:fill="FFFFFF"/>
          <w:lang w:val="zh-CN"/>
        </w:rPr>
      </w:pPr>
      <w:r>
        <w:rPr>
          <w:rFonts w:ascii="方正楷体_GBK" w:eastAsia="方正楷体_GBK" w:hint="eastAsia"/>
          <w:b/>
          <w:bCs/>
          <w:sz w:val="32"/>
          <w:szCs w:val="32"/>
          <w:shd w:val="clear" w:color="auto" w:fill="auto"/>
          <w:lang w:val="zh-CN"/>
        </w:rPr>
        <w:t>（三）结余分配和结转结余情况。</w:t>
      </w:r>
      <w:r>
        <w:rPr>
          <w:rFonts w:eastAsia="仿宋_GB2312"/>
          <w:sz w:val="32"/>
          <w:szCs w:val="32"/>
        </w:rPr>
        <w:t>中共阿坝州委办公室（部门）2025年决算报表无结转结余资金。</w:t>
      </w:r>
    </w:p>
    <w:p>
      <w:pPr>
        <w:widowControl/>
        <w:adjustRightInd w:val="0"/>
        <w:snapToGrid w:val="0"/>
        <w:spacing w:line="576" w:lineRule="exact"/>
        <w:ind w:firstLineChars="200" w:firstLine="640"/>
        <w:contextualSpacing/>
        <w:jc w:val="left"/>
        <w:rPr>
          <w:rFonts w:ascii="方正黑体_GBK" w:eastAsia="方正黑体_GBK" w:hint="eastAsia"/>
          <w:sz w:val="32"/>
          <w:szCs w:val="32"/>
          <w:shd w:val="clear" w:color="auto" w:fill="auto"/>
          <w:lang w:val="zh-CN"/>
        </w:rPr>
      </w:pPr>
      <w:r>
        <w:rPr>
          <w:rFonts w:ascii="方正黑体_GBK" w:eastAsia="方正黑体_GBK" w:hint="eastAsia"/>
          <w:sz w:val="32"/>
          <w:szCs w:val="32"/>
          <w:shd w:val="clear" w:color="auto" w:fill="auto"/>
          <w:lang w:val="zh-CN"/>
        </w:rPr>
        <w:t>三、部门预算绩效分析</w:t>
      </w:r>
    </w:p>
    <w:p>
      <w:pPr>
        <w:adjustRightInd w:val="0"/>
        <w:snapToGrid w:val="0"/>
        <w:spacing w:line="576" w:lineRule="exact"/>
        <w:ind w:firstLineChars="200" w:firstLine="640"/>
        <w:contextualSpacing/>
        <w:jc w:val="left"/>
        <w:rPr>
          <w:rFonts w:eastAsia="仿宋_GB2312"/>
          <w:sz w:val="32"/>
          <w:szCs w:val="32"/>
          <w:lang w:val="zh-CN"/>
        </w:rPr>
      </w:pPr>
      <w:r>
        <w:rPr>
          <w:rFonts w:ascii="方正楷体_GBK" w:eastAsia="方正楷体_GBK" w:hint="eastAsia"/>
          <w:b/>
          <w:bCs/>
          <w:sz w:val="32"/>
          <w:szCs w:val="32"/>
          <w:shd w:val="clear" w:color="auto" w:fill="auto"/>
          <w:lang w:val="zh-CN"/>
        </w:rPr>
        <w:t>（一）部门预算总体绩效分析。</w:t>
      </w:r>
    </w:p>
    <w:p>
      <w:pPr>
        <w:keepNext w:val="0"/>
        <w:keepLines w:val="0"/>
        <w:pageBreakBefore w:val="0"/>
        <w:widowControl/>
        <w:kinsoku/>
        <w:wordWrap/>
        <w:overflowPunct/>
        <w:topLinePunct w:val="0"/>
        <w:autoSpaceDE/>
        <w:autoSpaceDN/>
        <w:adjustRightInd w:val="0"/>
        <w:snapToGrid w:val="0"/>
        <w:spacing w:line="576" w:lineRule="exact"/>
        <w:ind w:firstLineChars="200" w:firstLine="640"/>
        <w:contextualSpacing/>
        <w:jc w:val="left"/>
        <w:rPr>
          <w:rFonts w:eastAsia="仿宋_GB2312"/>
          <w:bCs/>
          <w:sz w:val="32"/>
          <w:szCs w:val="32"/>
          <w:lang w:val="zh-CN"/>
          <w:highlight w:val="auto"/>
        </w:rPr>
      </w:pPr>
      <w:r>
        <w:rPr>
          <w:rFonts w:eastAsia="仿宋_GB2312"/>
          <w:b/>
          <w:bCs/>
          <w:sz w:val="32"/>
          <w:szCs w:val="32"/>
          <w:lang w:val="zh-CN" w:eastAsia="zh-CN"/>
          <w:highlight w:val="auto"/>
        </w:rPr>
        <w:t>1.</w:t>
      </w:r>
      <w:r>
        <w:rPr>
          <w:rFonts w:eastAsia="仿宋_GB2312"/>
          <w:b/>
          <w:bCs/>
          <w:sz w:val="32"/>
          <w:szCs w:val="32"/>
          <w:lang w:val="zh-CN"/>
          <w:highlight w:val="auto"/>
        </w:rPr>
        <w:t>履职效能。</w:t>
      </w:r>
      <w:r>
        <w:rPr>
          <w:rFonts w:eastAsia="仿宋_GB2312"/>
          <w:bCs/>
          <w:sz w:val="32"/>
          <w:szCs w:val="32"/>
          <w:lang w:val="zh-CN"/>
          <w:highlight w:val="auto"/>
        </w:rPr>
        <w:t>一是完成</w:t>
      </w:r>
      <w:r>
        <w:rPr>
          <w:rFonts w:eastAsia="仿宋_GB2312"/>
          <w:sz w:val="32"/>
          <w:szCs w:val="32"/>
          <w:u w:val="none"/>
          <w:lang w:bidi="ar-SA"/>
        </w:rPr>
        <w:t>筹办各类州委会议、重大活动的准备和实施，州委领导活动的协调安排，州委各类文稿的撰写、修改和印制；二是完成上级公文的承办和州委文件的草拟、印制、分发、管理等工作；三是完成州委值班工作，负责全州党委办公室系统值班指导，对突出事件紧急情况跟踪了解、协调处理。</w:t>
      </w:r>
    </w:p>
    <w:p>
      <w:pPr>
        <w:keepNext w:val="0"/>
        <w:keepLines w:val="0"/>
        <w:pageBreakBefore w:val="0"/>
        <w:widowControl/>
        <w:kinsoku/>
        <w:wordWrap/>
        <w:overflowPunct/>
        <w:topLinePunct w:val="0"/>
        <w:autoSpaceDE/>
        <w:autoSpaceDN/>
        <w:adjustRightInd w:val="0"/>
        <w:snapToGrid w:val="0"/>
        <w:spacing w:line="576" w:lineRule="exact"/>
        <w:ind w:firstLineChars="200" w:firstLine="640"/>
        <w:contextualSpacing/>
        <w:jc w:val="left"/>
        <w:rPr>
          <w:rFonts w:eastAsia="仿宋_GB2312"/>
          <w:sz w:val="32"/>
          <w:szCs w:val="32"/>
        </w:rPr>
      </w:pPr>
      <w:r>
        <w:rPr>
          <w:rFonts w:eastAsia="仿宋_GB2312"/>
          <w:b/>
          <w:bCs/>
          <w:sz w:val="32"/>
          <w:szCs w:val="32"/>
          <w:lang w:val="zh-CN" w:eastAsia="zh-CN"/>
          <w:highlight w:val="auto"/>
        </w:rPr>
        <w:t>2.</w:t>
      </w:r>
      <w:r>
        <w:rPr>
          <w:rFonts w:eastAsia="仿宋_GB2312"/>
          <w:b/>
          <w:bCs/>
          <w:sz w:val="32"/>
          <w:szCs w:val="32"/>
          <w:lang w:val="zh-CN"/>
          <w:highlight w:val="auto"/>
        </w:rPr>
        <w:t>预算管理。</w:t>
      </w:r>
      <w:r>
        <w:rPr>
          <w:rFonts w:eastAsia="仿宋_GB2312"/>
          <w:sz w:val="32"/>
          <w:szCs w:val="32"/>
          <w:lang w:val="en-US" w:eastAsia="zh-CN"/>
        </w:rPr>
        <w:t>单位不断强化预算意识，实行部门综合预算管理，形成以单位领导支持、财务部门牵头、其他部门密切配合的工作格局，保证预算编制质量。结合单位业务情况，进行科学合理分配细化，部门预算经批复后，跟踪预算执行进度，及时组织收入，科学合理安排支出，降低预算支出的波动幅度。严格执行项目支出预算，积极组织项目实施，对于达到政府采购标准的项目支出，明确规定采购项目的采购期限，督促尽快组织实施采购计划。加强对预算执行过程的控制和结果的反馈，对预算执行差异及时分析成因和影响，并及时向领导和相关科室进行反馈，以采取措施纠正执行偏差，促进预算目标的全面完成。</w:t>
      </w:r>
      <w:r>
        <w:rPr>
          <w:rFonts w:eastAsia="仿宋_GB2312"/>
          <w:bCs/>
          <w:sz w:val="32"/>
          <w:szCs w:val="32"/>
          <w:lang w:val="zh-CN"/>
          <w:highlight w:val="auto"/>
        </w:rPr>
        <w:t>按照年初预算管理要求，做到应编尽编的原则，将全年支出纳入预算管理。</w:t>
      </w:r>
      <w:r>
        <w:rPr>
          <w:rFonts w:eastAsia="仿宋_GB2312"/>
          <w:bCs/>
          <w:sz w:val="32"/>
          <w:szCs w:val="32"/>
          <w:lang w:val="zh-CN"/>
        </w:rPr>
        <w:t>2025</w:t>
      </w:r>
      <w:r>
        <w:rPr>
          <w:rFonts w:eastAsia="仿宋_GB2312"/>
          <w:bCs/>
          <w:sz w:val="32"/>
          <w:szCs w:val="32"/>
          <w:lang w:val="zh-CN"/>
          <w:highlight w:val="auto"/>
        </w:rPr>
        <w:t>年州委办（部门）一般公共预算财政拨款收入调整预算数</w:t>
      </w:r>
      <w:r>
        <w:rPr>
          <w:rFonts w:eastAsia="仿宋_GB2312"/>
          <w:sz w:val="32"/>
          <w:szCs w:val="32"/>
        </w:rPr>
        <w:t>3296.26</w:t>
      </w:r>
      <w:r>
        <w:rPr>
          <w:rFonts w:eastAsia="仿宋_GB2312"/>
          <w:bCs/>
          <w:sz w:val="32"/>
          <w:szCs w:val="32"/>
          <w:lang w:val="zh-CN"/>
          <w:highlight w:val="auto"/>
        </w:rPr>
        <w:t>万元，支出数</w:t>
      </w:r>
      <w:r>
        <w:rPr>
          <w:rFonts w:eastAsia="仿宋_GB2312"/>
          <w:sz w:val="32"/>
          <w:szCs w:val="32"/>
        </w:rPr>
        <w:t>3296.26</w:t>
      </w:r>
      <w:r>
        <w:rPr>
          <w:rFonts w:eastAsia="仿宋_GB2312"/>
          <w:bCs/>
          <w:sz w:val="32"/>
          <w:szCs w:val="32"/>
          <w:lang w:val="zh-CN"/>
          <w:highlight w:val="auto"/>
        </w:rPr>
        <w:t>万元，支出进度达100%，年末无结转结余资金。</w:t>
      </w:r>
    </w:p>
    <w:p>
      <w:pPr>
        <w:keepNext w:val="0"/>
        <w:keepLines w:val="0"/>
        <w:pageBreakBefore w:val="0"/>
        <w:widowControl/>
        <w:kinsoku/>
        <w:wordWrap/>
        <w:overflowPunct/>
        <w:topLinePunct w:val="0"/>
        <w:autoSpaceDE/>
        <w:autoSpaceDN/>
        <w:adjustRightInd w:val="0"/>
        <w:snapToGrid w:val="0"/>
        <w:spacing w:line="576" w:lineRule="exact"/>
        <w:ind w:firstLineChars="200" w:firstLine="640"/>
        <w:contextualSpacing/>
        <w:jc w:val="left"/>
        <w:rPr>
          <w:rFonts w:eastAsia="仿宋_GB2312"/>
          <w:bCs/>
          <w:sz w:val="32"/>
          <w:szCs w:val="32"/>
        </w:rPr>
      </w:pPr>
      <w:r>
        <w:rPr>
          <w:rFonts w:eastAsia="仿宋_GB2312"/>
          <w:b/>
          <w:bCs/>
          <w:sz w:val="32"/>
          <w:szCs w:val="32"/>
          <w:lang w:val="zh-CN" w:eastAsia="zh-CN"/>
          <w:highlight w:val="auto"/>
        </w:rPr>
        <w:t>3.</w:t>
      </w:r>
      <w:r>
        <w:rPr>
          <w:rFonts w:eastAsia="仿宋_GB2312"/>
          <w:b/>
          <w:bCs/>
          <w:sz w:val="32"/>
          <w:szCs w:val="32"/>
          <w:lang w:val="zh-CN"/>
          <w:highlight w:val="auto"/>
        </w:rPr>
        <w:t>财务管理。</w:t>
      </w:r>
      <w:r>
        <w:rPr>
          <w:rFonts w:eastAsia="仿宋_GB2312"/>
          <w:b/>
          <w:bCs/>
          <w:sz w:val="32"/>
          <w:szCs w:val="32"/>
          <w:lang w:val="zh-CN"/>
        </w:rPr>
        <w:t> </w:t>
      </w:r>
      <w:r>
        <w:rPr>
          <w:rFonts w:eastAsia="仿宋_GB2312"/>
          <w:bCs/>
          <w:sz w:val="32"/>
          <w:szCs w:val="32"/>
          <w:lang w:val="zh-CN"/>
        </w:rPr>
        <w:t>我办建立了完善的财务审核机制，对每一笔经济业务都进行严格的审核，包括原始凭证的真实性、合法性、准确性以及审批手续的完整性。记账凭证的编制依据充分、内容准确，如实反映了经济业务的实质，不存在虚假记载、误导性陈述或重大遗漏。定期进行财务对账工作，包括账账核对、账证核对、账实核对等，确保会计数据的一致性和准确性，未发现重大差异和不符之处</w:t>
      </w:r>
      <w:r>
        <w:rPr>
          <w:rFonts w:eastAsia="仿宋_GB2312"/>
          <w:bCs/>
          <w:sz w:val="32"/>
          <w:szCs w:val="32"/>
        </w:rPr>
        <w:t>。</w:t>
      </w:r>
    </w:p>
    <w:p>
      <w:pPr>
        <w:keepNext w:val="0"/>
        <w:keepLines w:val="0"/>
        <w:pageBreakBefore w:val="0"/>
        <w:widowControl/>
        <w:kinsoku/>
        <w:wordWrap/>
        <w:overflowPunct/>
        <w:topLinePunct w:val="0"/>
        <w:autoSpaceDE/>
        <w:autoSpaceDN/>
        <w:adjustRightInd w:val="0"/>
        <w:snapToGrid w:val="0"/>
        <w:spacing w:line="576" w:lineRule="exact"/>
        <w:ind w:firstLineChars="200" w:firstLine="640"/>
        <w:contextualSpacing/>
        <w:jc w:val="left"/>
        <w:rPr>
          <w:rFonts w:eastAsia="仿宋_GB2312"/>
          <w:bCs/>
          <w:sz w:val="32"/>
          <w:szCs w:val="32"/>
          <w:lang w:val="zh-CN"/>
          <w:highlight w:val="auto"/>
        </w:rPr>
      </w:pPr>
      <w:r>
        <w:rPr>
          <w:rFonts w:eastAsia="仿宋_GB2312"/>
          <w:b/>
          <w:bCs/>
          <w:sz w:val="32"/>
          <w:szCs w:val="32"/>
          <w:lang w:val="zh-CN" w:eastAsia="zh-CN"/>
          <w:highlight w:val="auto"/>
        </w:rPr>
        <w:t>4.</w:t>
      </w:r>
      <w:r>
        <w:rPr>
          <w:rFonts w:eastAsia="仿宋_GB2312"/>
          <w:b/>
          <w:bCs/>
          <w:sz w:val="32"/>
          <w:szCs w:val="32"/>
          <w:lang w:val="zh-CN"/>
          <w:highlight w:val="auto"/>
        </w:rPr>
        <w:t>资产管理。</w:t>
      </w:r>
      <w:r>
        <w:rPr>
          <w:rFonts w:eastAsia="仿宋_GB2312"/>
          <w:bCs/>
          <w:sz w:val="32"/>
          <w:szCs w:val="32"/>
          <w:lang w:val="zh-CN"/>
        </w:rPr>
        <w:t>一是加强会计核算工作。严格执行现行固定资产管理制度，对已完工的基建工程、购入的固定资产、收到的捐赠资产等及时入账，并按照数量、金额登记明细账，编制固定资产卡片，确保账面上能真实、完整的反映单位的固定资产情况，并结合本单位的实际情况，完善固定资产管理制度。二是加强程序管理。对纳入政府采购目录范围内的资产采购，必须报政府采购中心进行政府采购；未纳入政府采购目录范围内的资产采购，采用其他形式采购。未纳入预算的固定资产，不得随意采购，确需急用，必须经相关部门批准。三是加强内部监督。定期或不定期的对固定资产进行抽查。检查固定资产的购置、领用、处置等程序是否合规，账实是否相符等，防止国有资产的流失。</w:t>
      </w:r>
    </w:p>
    <w:p>
      <w:pPr>
        <w:keepNext w:val="0"/>
        <w:keepLines w:val="0"/>
        <w:pageBreakBefore w:val="0"/>
        <w:widowControl w:val="0"/>
        <w:kinsoku/>
        <w:wordWrap/>
        <w:overflowPunct/>
        <w:topLinePunct w:val="0"/>
        <w:autoSpaceDE/>
        <w:autoSpaceDN/>
        <w:adjustRightInd w:val="0"/>
        <w:snapToGrid w:val="0"/>
        <w:spacing w:line="578" w:lineRule="exact"/>
        <w:ind w:left="0" w:firstLineChars="200" w:firstLine="640"/>
        <w:contextualSpacing/>
        <w:jc w:val="left"/>
        <w:rPr>
          <w:rFonts w:eastAsia="仿宋_GB2312"/>
          <w:sz w:val="32"/>
          <w:szCs w:val="32"/>
          <w:lang w:val="zh-CN"/>
        </w:rPr>
      </w:pPr>
      <w:r>
        <w:rPr>
          <w:rFonts w:eastAsia="仿宋_GB2312"/>
          <w:b/>
          <w:bCs/>
          <w:sz w:val="32"/>
          <w:szCs w:val="32"/>
          <w:lang w:val="zh-CN" w:eastAsia="zh-CN"/>
          <w:highlight w:val="auto"/>
        </w:rPr>
        <w:t>5.</w:t>
      </w:r>
      <w:r>
        <w:rPr>
          <w:rFonts w:eastAsia="仿宋_GB2312"/>
          <w:b/>
          <w:bCs/>
          <w:sz w:val="32"/>
          <w:szCs w:val="32"/>
          <w:lang w:val="zh-CN"/>
          <w:highlight w:val="auto"/>
        </w:rPr>
        <w:t>采购管理。</w:t>
      </w:r>
      <w:r>
        <w:rPr>
          <w:rFonts w:eastAsia="仿宋_GB2312"/>
          <w:bCs/>
          <w:sz w:val="32"/>
          <w:szCs w:val="32"/>
          <w:lang w:val="zh-CN"/>
          <w:highlight w:val="auto"/>
        </w:rPr>
        <w:t>按照政府采购相关要求，</w:t>
      </w:r>
      <w:r>
        <w:rPr>
          <w:rFonts w:eastAsia="仿宋_GB2312"/>
          <w:bCs/>
          <w:sz w:val="32"/>
          <w:szCs w:val="32"/>
          <w:lang w:val="zh-CN"/>
        </w:rPr>
        <w:t>健全完善部门内控制度，全面梳理业务流程，明确业务环节，分析风险隐患，完善风险评估机制，制定风险应对策略;有效运用不相容岗位相互分离、内部授权审批控制、归口管理、预算控制、财产保护控制、会计控制、单据控制、信息内部公开等内部控制基本方法，加强对单位层面和业务层面的内部控制，实现内部控制体系全面、有效实施。建立单位内控监督约束机制，确保采购资金安全、合理、有效使用，最大限度发挥财政资金使用效益。</w:t>
      </w:r>
    </w:p>
    <w:p>
      <w:pPr>
        <w:adjustRightInd w:val="0"/>
        <w:snapToGrid w:val="0"/>
        <w:spacing w:line="576" w:lineRule="exact"/>
        <w:ind w:firstLineChars="200" w:firstLine="640"/>
        <w:contextualSpacing/>
        <w:rPr>
          <w:rFonts w:ascii="方正楷体_GBK" w:eastAsia="方正楷体_GBK" w:hint="eastAsia"/>
          <w:b/>
          <w:bCs/>
          <w:sz w:val="32"/>
          <w:szCs w:val="32"/>
          <w:shd w:val="clear" w:color="auto" w:fill="auto"/>
          <w:lang w:val="zh-CN"/>
        </w:rPr>
      </w:pPr>
      <w:r>
        <w:rPr>
          <w:rFonts w:ascii="方正楷体_GBK" w:eastAsia="方正楷体_GBK" w:hint="eastAsia"/>
          <w:b/>
          <w:bCs/>
          <w:sz w:val="32"/>
          <w:szCs w:val="32"/>
          <w:shd w:val="clear" w:color="auto" w:fill="auto"/>
          <w:lang w:val="zh-CN"/>
        </w:rPr>
        <w:t>（二）部门预算项目绩效分析。</w:t>
      </w:r>
    </w:p>
    <w:p>
      <w:pPr>
        <w:adjustRightInd w:val="0"/>
        <w:snapToGrid w:val="0"/>
        <w:spacing w:line="576" w:lineRule="exact"/>
        <w:ind w:firstLineChars="200" w:firstLine="640"/>
        <w:contextualSpacing/>
        <w:rPr>
          <w:rFonts w:eastAsia="仿宋_GB2312"/>
          <w:sz w:val="32"/>
          <w:szCs w:val="32"/>
          <w:lang w:val="zh-CN"/>
        </w:rPr>
      </w:pPr>
      <w:r>
        <w:rPr>
          <w:rFonts w:eastAsia="仿宋_GB2312"/>
          <w:sz w:val="32"/>
          <w:szCs w:val="32"/>
        </w:rPr>
        <w:t>常年项目绩效分析。</w:t>
      </w:r>
      <w:r>
        <w:rPr>
          <w:rFonts w:eastAsia="仿宋_GB2312" w:cs="仿宋_GB2312"/>
          <w:sz w:val="32"/>
          <w:szCs w:val="32"/>
          <w:lang w:val="zh-CN"/>
        </w:rPr>
        <w:t>该类项目总数4个，涉及预算总金额</w:t>
      </w:r>
      <w:r>
        <w:rPr>
          <w:rFonts w:eastAsia="仿宋_GB2312" w:cs="仿宋_GB2312"/>
          <w:sz w:val="32"/>
          <w:szCs w:val="32"/>
        </w:rPr>
        <w:t>45.55</w:t>
      </w:r>
      <w:r>
        <w:rPr>
          <w:rFonts w:eastAsia="仿宋_GB2312" w:cs="仿宋_GB2312"/>
          <w:sz w:val="32"/>
          <w:szCs w:val="32"/>
          <w:lang w:val="zh-CN"/>
        </w:rPr>
        <w:t>万元，1</w:t>
      </w:r>
      <w:r>
        <w:rPr>
          <w:rFonts w:eastAsia="仿宋_GB2312" w:cs="仿宋_GB2312" w:hint="eastAsia"/>
          <w:sz w:val="32"/>
          <w:szCs w:val="32"/>
          <w:lang w:val="zh-CN"/>
        </w:rPr>
        <w:t>—</w:t>
      </w:r>
      <w:r>
        <w:rPr>
          <w:rFonts w:eastAsia="仿宋_GB2312" w:cs="仿宋_GB2312"/>
          <w:sz w:val="32"/>
          <w:szCs w:val="32"/>
          <w:lang w:val="zh-CN"/>
        </w:rPr>
        <w:t>1</w:t>
      </w:r>
      <w:r>
        <w:rPr>
          <w:rFonts w:eastAsia="仿宋_GB2312" w:cs="仿宋_GB2312"/>
          <w:sz w:val="32"/>
          <w:szCs w:val="32"/>
        </w:rPr>
        <w:t>2</w:t>
      </w:r>
      <w:r>
        <w:rPr>
          <w:rFonts w:eastAsia="仿宋_GB2312" w:cs="仿宋_GB2312"/>
          <w:sz w:val="32"/>
          <w:szCs w:val="32"/>
          <w:lang w:val="zh-CN"/>
        </w:rPr>
        <w:t>月预算执行总体进度为</w:t>
      </w:r>
      <w:r>
        <w:rPr>
          <w:rFonts w:eastAsia="仿宋_GB2312" w:cs="仿宋_GB2312"/>
          <w:sz w:val="32"/>
          <w:szCs w:val="32"/>
        </w:rPr>
        <w:t>100</w:t>
      </w:r>
      <w:r>
        <w:rPr>
          <w:rFonts w:eastAsia="仿宋_GB2312" w:cs="仿宋_GB2312"/>
          <w:sz w:val="32"/>
          <w:szCs w:val="32"/>
          <w:lang w:val="zh-CN"/>
        </w:rPr>
        <w:t>%。</w:t>
      </w:r>
    </w:p>
    <w:p>
      <w:pPr>
        <w:adjustRightInd w:val="0"/>
        <w:snapToGrid w:val="0"/>
        <w:spacing w:line="576" w:lineRule="exact"/>
        <w:ind w:firstLineChars="200" w:firstLine="640"/>
        <w:contextualSpacing/>
        <w:rPr>
          <w:rFonts w:eastAsia="仿宋_GB2312"/>
          <w:sz w:val="32"/>
          <w:szCs w:val="32"/>
          <w:lang w:val="zh-CN"/>
        </w:rPr>
      </w:pPr>
      <w:r>
        <w:rPr>
          <w:rFonts w:eastAsia="仿宋_GB2312"/>
          <w:b/>
          <w:bCs/>
          <w:sz w:val="32"/>
          <w:szCs w:val="32"/>
        </w:rPr>
        <w:t>1.</w:t>
      </w:r>
      <w:r>
        <w:rPr>
          <w:rFonts w:eastAsia="仿宋_GB2312"/>
          <w:b/>
          <w:bCs/>
          <w:sz w:val="32"/>
          <w:szCs w:val="32"/>
          <w:lang w:val="zh-CN"/>
        </w:rPr>
        <w:t>项目决策。</w:t>
      </w:r>
      <w:r>
        <w:rPr>
          <w:rFonts w:eastAsia="仿宋_GB2312"/>
          <w:bCs/>
          <w:sz w:val="32"/>
          <w:szCs w:val="32"/>
          <w:lang w:val="zh-CN"/>
          <w:highlight w:val="auto"/>
        </w:rPr>
        <w:t>围绕部门中心工作，按照时间节点要求，设置各类项目目标绩效目标，在单位完成“三重一大”集体讨论程序后，按要求在预算管理一体化中进行申报，根据相关科室（中心）项目推进要求，及时将项目入库，并编制绩效目标。</w:t>
      </w:r>
    </w:p>
    <w:p>
      <w:pPr>
        <w:adjustRightInd w:val="0"/>
        <w:snapToGrid w:val="0"/>
        <w:spacing w:line="576" w:lineRule="exact"/>
        <w:ind w:firstLineChars="200" w:firstLine="640"/>
        <w:contextualSpacing/>
        <w:rPr>
          <w:rFonts w:eastAsia="仿宋_GB2312"/>
          <w:sz w:val="32"/>
          <w:szCs w:val="32"/>
          <w:lang w:val="zh-CN"/>
        </w:rPr>
      </w:pPr>
      <w:r>
        <w:rPr>
          <w:rFonts w:eastAsia="仿宋_GB2312"/>
          <w:b/>
          <w:bCs/>
          <w:sz w:val="32"/>
          <w:szCs w:val="32"/>
        </w:rPr>
        <w:t>2.项目执</w:t>
      </w:r>
      <w:r>
        <w:rPr>
          <w:rFonts w:eastAsia="仿宋_GB2312"/>
          <w:b/>
          <w:bCs/>
          <w:sz w:val="32"/>
          <w:szCs w:val="32"/>
          <w:lang w:val="zh-CN"/>
        </w:rPr>
        <w:t>行。</w:t>
      </w:r>
      <w:r>
        <w:rPr>
          <w:rFonts w:eastAsia="仿宋_GB2312"/>
          <w:bCs/>
          <w:sz w:val="32"/>
          <w:szCs w:val="32"/>
          <w:lang w:val="zh-CN"/>
          <w:highlight w:val="auto"/>
        </w:rPr>
        <w:t>根据项目绩效目标，及时推进项目执行，在年初预定的间节点完成相应工作，如未及时完成，需及时调整项目绩效目标，保证资金执行的同时，达到预计继续熬目标。</w:t>
      </w:r>
    </w:p>
    <w:p>
      <w:pPr>
        <w:adjustRightInd w:val="0"/>
        <w:snapToGrid w:val="0"/>
        <w:spacing w:line="576" w:lineRule="exact"/>
        <w:ind w:firstLineChars="200" w:firstLine="640"/>
        <w:contextualSpacing/>
        <w:rPr>
          <w:rFonts w:eastAsia="仿宋_GB2312"/>
          <w:sz w:val="32"/>
          <w:szCs w:val="32"/>
          <w:lang w:val="zh-CN"/>
        </w:rPr>
      </w:pPr>
      <w:r>
        <w:rPr>
          <w:rFonts w:eastAsia="仿宋_GB2312"/>
          <w:b/>
          <w:bCs/>
          <w:sz w:val="32"/>
          <w:szCs w:val="32"/>
        </w:rPr>
        <w:t>3.</w:t>
      </w:r>
      <w:r>
        <w:rPr>
          <w:rFonts w:eastAsia="仿宋_GB2312"/>
          <w:b/>
          <w:bCs/>
          <w:sz w:val="32"/>
          <w:szCs w:val="32"/>
          <w:lang w:val="zh-CN"/>
        </w:rPr>
        <w:t>目标实现。</w:t>
      </w:r>
      <w:r>
        <w:rPr>
          <w:rFonts w:eastAsia="仿宋_GB2312"/>
          <w:bCs/>
          <w:sz w:val="32"/>
          <w:szCs w:val="32"/>
          <w:lang w:val="zh-CN"/>
          <w:highlight w:val="auto"/>
        </w:rPr>
        <w:t>综合考虑绩效目标完成情况、目标偏离原因和实现效果，本年度绩效评价表现较好，虽然在文稿编制、会务保障、后勤管理等方面取得一定的成绩，但仍需对目标偏离的问题采取有效的改进措施，以提高单位的整体绩效水平。</w:t>
      </w:r>
    </w:p>
    <w:p>
      <w:pPr>
        <w:snapToGrid w:val="0"/>
        <w:spacing w:line="576" w:lineRule="exact"/>
        <w:ind w:firstLineChars="200" w:firstLine="640"/>
        <w:rPr>
          <w:rFonts w:eastAsia="仿宋_GB2312"/>
          <w:bCs/>
          <w:sz w:val="32"/>
          <w:szCs w:val="32"/>
          <w:lang w:val="zh-CN"/>
        </w:rPr>
      </w:pPr>
      <w:r>
        <w:rPr>
          <w:rFonts w:ascii="方正楷体_GBK" w:eastAsia="方正楷体_GBK" w:hint="eastAsia"/>
          <w:b/>
          <w:bCs/>
          <w:sz w:val="32"/>
          <w:szCs w:val="32"/>
          <w:shd w:val="clear" w:color="auto" w:fill="auto"/>
          <w:lang w:val="zh-CN"/>
        </w:rPr>
        <w:t>（三）绩效结果应用情况。</w:t>
      </w:r>
      <w:r>
        <w:rPr>
          <w:rFonts w:eastAsia="仿宋_GB2312"/>
          <w:bCs/>
          <w:sz w:val="32"/>
          <w:szCs w:val="32"/>
          <w:lang w:val="zh-CN"/>
        </w:rPr>
        <w:t>根据室务会的决定，人事行财科应当根据国家有关法律法规和监管规则的要求，结合实际情况，围绕对合理保证单位经济活动合法合规、资产安全和使用有效、财务信息真实完整，有效防范舞弊和预防腐败，提高公共服务的效率和效果等单个或整体控制目标的实现程度，组织实施对单位内部控制系统设计和执行的有效性进行定期或不定期（每年至少一次）的调查、测试、分析、评估及改进，以合理保证单位目标的实现。</w:t>
      </w:r>
    </w:p>
    <w:p>
      <w:pPr>
        <w:widowControl/>
        <w:adjustRightInd w:val="0"/>
        <w:snapToGrid w:val="0"/>
        <w:spacing w:line="576" w:lineRule="exact"/>
        <w:ind w:firstLineChars="200" w:firstLine="640"/>
        <w:contextualSpacing/>
        <w:jc w:val="left"/>
        <w:rPr>
          <w:rFonts w:ascii="方正黑体_GBK" w:eastAsia="方正黑体_GBK" w:hint="eastAsia"/>
          <w:sz w:val="32"/>
          <w:szCs w:val="32"/>
          <w:shd w:val="clear" w:color="auto" w:fill="auto"/>
          <w:lang w:val="zh-CN"/>
        </w:rPr>
      </w:pPr>
      <w:r>
        <w:rPr>
          <w:rFonts w:ascii="方正黑体_GBK" w:eastAsia="方正黑体_GBK" w:hint="eastAsia"/>
          <w:sz w:val="32"/>
          <w:szCs w:val="32"/>
          <w:shd w:val="clear" w:color="auto" w:fill="auto"/>
          <w:lang w:val="zh-CN"/>
        </w:rPr>
        <w:t>四、评价结论及建议</w:t>
      </w:r>
    </w:p>
    <w:p>
      <w:pPr>
        <w:widowControl/>
        <w:adjustRightInd w:val="0"/>
        <w:snapToGrid w:val="0"/>
        <w:spacing w:line="576" w:lineRule="exact"/>
        <w:ind w:firstLineChars="200" w:firstLine="640"/>
        <w:contextualSpacing/>
        <w:jc w:val="left"/>
        <w:rPr>
          <w:rFonts w:eastAsia="仿宋_GB2312"/>
          <w:bCs/>
          <w:sz w:val="32"/>
          <w:szCs w:val="32"/>
          <w:lang w:val="zh-CN"/>
        </w:rPr>
      </w:pPr>
      <w:r>
        <w:rPr>
          <w:rFonts w:ascii="方正楷体_GBK" w:eastAsia="方正楷体_GBK" w:hint="eastAsia"/>
          <w:b/>
          <w:bCs/>
          <w:sz w:val="32"/>
          <w:szCs w:val="32"/>
          <w:shd w:val="clear" w:color="auto" w:fill="auto"/>
          <w:lang w:val="zh-CN"/>
        </w:rPr>
        <w:t>（一）评价结论。</w:t>
      </w:r>
      <w:r>
        <w:rPr>
          <w:rFonts w:eastAsia="仿宋_GB2312"/>
          <w:bCs/>
          <w:sz w:val="32"/>
          <w:szCs w:val="32"/>
          <w:lang w:val="zh-CN" w:eastAsia="zh-CN" w:bidi="ar-SA"/>
        </w:rPr>
        <w:t>2025年我办严格遵守财经纪律，严格执行“八项规定”，严格按照预算法及州财政相关要求进行收支管理，准确编制预决算，严格支出标准，按时对预决算信息在政府部门网站公开，严格执行内控制度，整体评价结果总体较好。</w:t>
      </w:r>
    </w:p>
    <w:p>
      <w:pPr>
        <w:wordWrap/>
        <w:adjustRightInd/>
        <w:snapToGrid/>
        <w:spacing w:line="576" w:lineRule="exact"/>
        <w:ind w:left="0" w:firstLine="640"/>
        <w:rPr>
          <w:rFonts w:eastAsia="仿宋_GB2312"/>
          <w:sz w:val="32"/>
          <w:szCs w:val="32"/>
        </w:rPr>
      </w:pPr>
      <w:r>
        <w:rPr>
          <w:rFonts w:ascii="方正楷体_GBK" w:eastAsia="方正楷体_GBK" w:hint="eastAsia"/>
          <w:b/>
          <w:bCs/>
          <w:sz w:val="32"/>
          <w:szCs w:val="32"/>
          <w:shd w:val="clear" w:color="auto" w:fill="auto"/>
          <w:lang w:val="zh-CN"/>
        </w:rPr>
        <w:t>（二）存在问题。</w:t>
      </w:r>
      <w:r>
        <w:rPr>
          <w:rFonts w:eastAsia="仿宋_GB2312"/>
          <w:bCs/>
          <w:sz w:val="32"/>
          <w:szCs w:val="32"/>
          <w:lang w:val="zh-CN"/>
        </w:rPr>
        <w:t>2025年，我办整体收支管理情况较好，但依然存在部分业务理论知识不熟，导致部分预算编制不科学。</w:t>
      </w:r>
    </w:p>
    <w:p>
      <w:pPr>
        <w:widowControl/>
        <w:adjustRightInd w:val="0"/>
        <w:snapToGrid w:val="0"/>
        <w:spacing w:line="576" w:lineRule="exact"/>
        <w:ind w:firstLineChars="200" w:firstLine="640"/>
        <w:contextualSpacing/>
        <w:jc w:val="left"/>
        <w:rPr>
          <w:rFonts w:eastAsia="仿宋_GB2312"/>
          <w:sz w:val="32"/>
          <w:szCs w:val="32"/>
        </w:rPr>
      </w:pPr>
      <w:r>
        <w:rPr>
          <w:rFonts w:ascii="方正楷体_GBK" w:eastAsia="方正楷体_GBK" w:hint="eastAsia"/>
          <w:b/>
          <w:bCs/>
          <w:sz w:val="32"/>
          <w:szCs w:val="32"/>
          <w:shd w:val="clear" w:color="auto" w:fill="auto"/>
          <w:lang w:val="zh-CN"/>
        </w:rPr>
        <w:t>（三）改进建议。</w:t>
      </w:r>
      <w:bookmarkStart w:id="84" w:name="_Hlk110546638"/>
      <w:r>
        <w:rPr>
          <w:rFonts w:eastAsia="仿宋_GB2312"/>
          <w:bCs/>
          <w:sz w:val="32"/>
          <w:szCs w:val="32"/>
          <w:lang w:val="zh-CN" w:eastAsia="zh-CN" w:bidi="ar-SA"/>
        </w:rPr>
        <w:t>一是进一步严格财务审核，提高精细化管理要求。二是建议财政部门加大对支出评价业务的培训和指导，全面提高部门整体支出绩效。</w:t>
      </w:r>
    </w:p>
    <w:p>
      <w:pPr>
        <w:pStyle w:val="17"/>
        <w:spacing w:line="576" w:lineRule="exact"/>
        <w:ind w:leftChars="0" w:left="0"/>
        <w:rPr>
          <w:rFonts w:ascii="Times New Roman" w:eastAsia="仿宋_GB2312" w:hAnsi="Times New Roman"/>
          <w:sz w:val="32"/>
          <w:lang w:val="zh-CN"/>
        </w:rPr>
      </w:pPr>
      <w:bookmarkEnd w:id="84"/>
    </w:p>
    <w:p>
      <w:pPr>
        <w:pStyle w:val="17"/>
        <w:spacing w:line="576" w:lineRule="exact"/>
        <w:ind w:leftChars="0" w:left="0"/>
        <w:rPr>
          <w:rFonts w:ascii="Times New Roman" w:eastAsia="仿宋_GB2312" w:hAnsi="Times New Roman"/>
          <w:sz w:val="32"/>
          <w:lang w:val="zh-CN"/>
        </w:rPr>
      </w:pPr>
      <w:r>
        <w:rPr>
          <w:rFonts w:ascii="Times New Roman" w:eastAsia="仿宋_GB2312" w:hAnsi="Times New Roman"/>
          <w:sz w:val="32"/>
          <w:lang w:val="zh-CN"/>
        </w:rPr>
        <w:t>附表：</w:t>
      </w:r>
      <w:r>
        <w:rPr>
          <w:rFonts w:ascii="Times New Roman" w:eastAsia="仿宋_GB2312" w:hAnsi="Times New Roman"/>
          <w:sz w:val="32"/>
        </w:rPr>
        <w:t>部门预算项目支出绩效自评表（2025年度）</w:t>
      </w:r>
    </w:p>
    <w:p>
      <w:pPr>
        <w:pStyle w:val="17"/>
        <w:spacing w:line="576" w:lineRule="exact"/>
        <w:ind w:leftChars="0" w:left="0" w:firstLineChars="0" w:firstLine="0"/>
        <w:rPr>
          <w:rFonts w:ascii="Times New Roman" w:hAnsi="Times New Roman"/>
          <w:sz w:val="32"/>
          <w:lang w:val="zh-CN"/>
          <w:highlight w:val="yellow"/>
        </w:rPr>
      </w:pPr>
    </w:p>
    <w:p>
      <w:pPr>
        <w:pStyle w:val="18"/>
        <w:spacing w:beforeLines="0" w:before="93" w:line="576" w:lineRule="exact"/>
        <w:rPr>
          <w:rFonts w:ascii="Times New Roman" w:hAnsi="Times New Roman"/>
          <w:color w:val="FF0000"/>
          <w:sz w:val="32"/>
          <w:szCs w:val="32"/>
          <w:shd w:val="clear" w:color="auto" w:fill="FFFFFF"/>
          <w:lang w:val="zh-CN"/>
          <w:highlight w:val="yellow"/>
        </w:rPr>
      </w:pPr>
    </w:p>
    <w:p>
      <w:pPr>
        <w:spacing w:line="576" w:lineRule="exact"/>
        <w:rPr>
          <w:rFonts w:eastAsia="黑体"/>
          <w:kern w:val="0"/>
          <w:sz w:val="32"/>
          <w:szCs w:val="32"/>
          <w:shd w:val="clear" w:color="auto" w:fill="FFFFFF"/>
          <w:lang w:val="zh-CN"/>
        </w:rPr>
      </w:pPr>
      <w:r>
        <w:rPr>
          <w:rFonts w:ascii="方正楷体_GBK" w:eastAsia="方正楷体_GBK" w:hint="eastAsia"/>
          <w:b/>
          <w:bCs/>
          <w:sz w:val="32"/>
          <w:szCs w:val="32"/>
          <w:shd w:val="clear" w:color="auto" w:fill="auto"/>
          <w:lang w:val="zh-CN"/>
        </w:rPr>
        <w:br w:type="page"/>
      </w:r>
    </w:p>
    <w:p>
      <w:pPr>
        <w:pStyle w:val="18"/>
        <w:spacing w:beforeLines="0" w:before="93" w:line="576" w:lineRule="exact"/>
        <w:rPr>
          <w:rFonts w:ascii="Times New Roman" w:eastAsia="黑体" w:hAnsi="Times New Roman"/>
          <w:sz w:val="32"/>
          <w:szCs w:val="32"/>
        </w:rPr>
      </w:pPr>
      <w:r>
        <w:rPr>
          <w:rFonts w:ascii="Times New Roman" w:hAnsi="Times New Roman"/>
          <w:kern w:val="2"/>
          <w:sz w:val="32"/>
          <w:szCs w:val="32"/>
          <w:lang w:val="zh-CN"/>
        </w:rPr>
        <w:t>附件</w:t>
      </w:r>
      <w:r>
        <w:rPr>
          <w:rFonts w:ascii="Times New Roman" w:hAnsi="Times New Roman"/>
          <w:kern w:val="2"/>
          <w:sz w:val="32"/>
          <w:szCs w:val="32"/>
        </w:rPr>
        <w:t>2</w:t>
      </w:r>
    </w:p>
    <w:p>
      <w:pPr>
        <w:pStyle w:val="35"/>
        <w:spacing w:line="576" w:lineRule="exact"/>
        <w:jc w:val="center"/>
        <w:rPr>
          <w:rFonts w:ascii="Times New Roman" w:eastAsia="方正小标宋简体" w:hAnsi="Times New Roman"/>
          <w:color w:val="auto"/>
          <w:kern w:val="2"/>
          <w:sz w:val="44"/>
          <w:szCs w:val="44"/>
          <w:lang w:val="en-US"/>
        </w:rPr>
      </w:pPr>
    </w:p>
    <w:p>
      <w:pPr>
        <w:pStyle w:val="35"/>
        <w:spacing w:line="576" w:lineRule="exact"/>
        <w:jc w:val="center"/>
        <w:rPr>
          <w:rFonts w:ascii="Times New Roman" w:eastAsia="方正小标宋简体" w:hAnsi="Times New Roman"/>
          <w:color w:val="auto"/>
          <w:kern w:val="2"/>
          <w:sz w:val="44"/>
          <w:szCs w:val="44"/>
          <w:lang w:val="en-US"/>
        </w:rPr>
      </w:pPr>
      <w:r>
        <w:rPr>
          <w:rFonts w:ascii="Times New Roman" w:eastAsia="方正小标宋简体" w:hAnsi="Times New Roman"/>
          <w:color w:val="auto"/>
          <w:kern w:val="2"/>
          <w:sz w:val="44"/>
          <w:szCs w:val="44"/>
          <w:lang w:val="en-US"/>
        </w:rPr>
        <w:t>专项预算项目绩效评价报告</w:t>
      </w:r>
    </w:p>
    <w:p>
      <w:pPr>
        <w:pStyle w:val="35"/>
        <w:spacing w:line="576" w:lineRule="exact"/>
        <w:ind w:firstLine="640"/>
        <w:jc w:val="center"/>
        <w:rPr>
          <w:rFonts w:ascii="Times New Roman" w:hAnsi="Times New Roman"/>
          <w:color w:val="auto"/>
          <w:kern w:val="2"/>
          <w:sz w:val="32"/>
          <w:szCs w:val="32"/>
        </w:rPr>
      </w:pPr>
    </w:p>
    <w:p>
      <w:pPr>
        <w:pStyle w:val="18"/>
        <w:spacing w:beforeLines="0" w:before="93" w:line="576" w:lineRule="exact"/>
        <w:ind w:firstLineChars="200" w:firstLine="640"/>
        <w:rPr>
          <w:rFonts w:ascii="Times New Roman" w:hAnsi="Times New Roman"/>
          <w:kern w:val="2"/>
          <w:sz w:val="32"/>
          <w:szCs w:val="32"/>
          <w:lang w:val="zh-CN"/>
        </w:rPr>
      </w:pPr>
      <w:r>
        <w:rPr>
          <w:rFonts w:ascii="Times New Roman" w:hAnsi="Times New Roman"/>
          <w:kern w:val="2"/>
          <w:sz w:val="32"/>
          <w:szCs w:val="32"/>
          <w:lang w:val="zh-CN"/>
        </w:rPr>
        <w:t>中共阿坝州委办公室（部门）</w:t>
      </w:r>
      <w:bookmarkStart w:id="85" w:name="_GoBack"/>
      <w:bookmarkEnd w:id="85"/>
      <w:r>
        <w:rPr>
          <w:rFonts w:ascii="Times New Roman" w:hAnsi="Times New Roman"/>
          <w:kern w:val="2"/>
          <w:sz w:val="32"/>
          <w:szCs w:val="32"/>
          <w:lang w:val="zh-CN"/>
        </w:rPr>
        <w:t>2025年无专项资金预算项目</w:t>
      </w:r>
    </w:p>
    <w:p>
      <w:pPr>
        <w:pStyle w:val="18"/>
        <w:spacing w:beforeLines="0" w:before="93" w:line="576" w:lineRule="exact"/>
        <w:rPr>
          <w:rFonts w:ascii="Times New Roman" w:hAnsi="Times New Roman"/>
          <w:kern w:val="2"/>
          <w:sz w:val="32"/>
          <w:szCs w:val="32"/>
          <w:lang w:val="zh-CN"/>
        </w:rPr>
      </w:pPr>
      <w:r>
        <w:rPr>
          <w:rFonts w:ascii="Times New Roman" w:hAnsi="Times New Roman"/>
          <w:kern w:val="2"/>
          <w:sz w:val="32"/>
          <w:szCs w:val="32"/>
          <w:lang w:val="zh-CN"/>
        </w:rPr>
        <w:br w:type="page"/>
      </w:r>
    </w:p>
    <w:p>
      <w:pPr>
        <w:widowControl/>
        <w:spacing w:line="576" w:lineRule="exact"/>
        <w:jc w:val="center"/>
        <w:rPr>
          <w:rFonts w:eastAsia="仿宋"/>
        </w:rPr>
      </w:pPr>
      <w:bookmarkStart w:id="86" w:name="_Toc15396618"/>
      <w:r>
        <w:rPr>
          <w:rFonts w:eastAsia="黑体"/>
          <w:sz w:val="44"/>
          <w:szCs w:val="44"/>
        </w:rPr>
        <w:t>第</w:t>
      </w:r>
      <w:r>
        <w:rPr>
          <w:rStyle w:val="1Char"/>
          <w:rFonts w:eastAsia="黑体"/>
          <w:b w:val="0"/>
        </w:rPr>
        <w:t>五部分 附表</w:t>
      </w:r>
      <w:bookmarkStart w:id="87" w:name="_Toc15396619"/>
      <w:bookmarkEnd w:id="81"/>
      <w:bookmarkEnd w:id="86"/>
    </w:p>
    <w:p>
      <w:pPr>
        <w:pStyle w:val="24"/>
        <w:tabs>
          <w:tab w:val="right" w:leader="dot" w:pos="8296"/>
        </w:tabs>
        <w:adjustRightInd w:val="0"/>
        <w:snapToGrid w:val="0"/>
        <w:spacing w:line="576" w:lineRule="exact"/>
        <w:jc w:val="left"/>
        <w:rPr>
          <w:rFonts w:eastAsia="仿宋_GB2312"/>
          <w:sz w:val="32"/>
          <w:szCs w:val="32"/>
        </w:rPr>
      </w:pPr>
    </w:p>
    <w:p>
      <w:pPr>
        <w:pStyle w:val="24"/>
        <w:tabs>
          <w:tab w:val="right" w:leader="dot" w:pos="8296"/>
        </w:tabs>
        <w:adjustRightInd w:val="0"/>
        <w:snapToGrid w:val="0"/>
        <w:spacing w:line="576" w:lineRule="exact"/>
        <w:jc w:val="left"/>
        <w:rPr>
          <w:rFonts w:eastAsia="仿宋_GB2312"/>
          <w:sz w:val="32"/>
          <w:szCs w:val="32"/>
        </w:rPr>
      </w:pPr>
      <w:r>
        <w:rPr>
          <w:rFonts w:eastAsia="仿宋_GB2312"/>
          <w:sz w:val="32"/>
          <w:szCs w:val="32"/>
        </w:rPr>
        <w:t>一、收入支出决算总表</w:t>
      </w:r>
      <w:bookmarkEnd w:id="87"/>
    </w:p>
    <w:p>
      <w:pPr>
        <w:pStyle w:val="24"/>
        <w:tabs>
          <w:tab w:val="right" w:leader="dot" w:pos="8296"/>
        </w:tabs>
        <w:adjustRightInd w:val="0"/>
        <w:snapToGrid w:val="0"/>
        <w:spacing w:line="576" w:lineRule="exact"/>
        <w:jc w:val="left"/>
        <w:rPr>
          <w:rFonts w:eastAsia="仿宋_GB2312"/>
          <w:sz w:val="32"/>
          <w:szCs w:val="32"/>
        </w:rPr>
      </w:pPr>
      <w:bookmarkStart w:id="88" w:name="_Toc15396620"/>
      <w:r>
        <w:rPr>
          <w:rFonts w:eastAsia="仿宋_GB2312"/>
          <w:sz w:val="32"/>
          <w:szCs w:val="32"/>
        </w:rPr>
        <w:t>二、收入决算表</w:t>
      </w:r>
      <w:bookmarkEnd w:id="88"/>
    </w:p>
    <w:p>
      <w:pPr>
        <w:pStyle w:val="24"/>
        <w:tabs>
          <w:tab w:val="right" w:leader="dot" w:pos="8296"/>
        </w:tabs>
        <w:adjustRightInd w:val="0"/>
        <w:snapToGrid w:val="0"/>
        <w:spacing w:line="576" w:lineRule="exact"/>
        <w:jc w:val="left"/>
        <w:rPr>
          <w:rFonts w:eastAsia="仿宋_GB2312"/>
          <w:sz w:val="32"/>
          <w:szCs w:val="32"/>
        </w:rPr>
      </w:pPr>
      <w:bookmarkStart w:id="89" w:name="_Toc15396621"/>
      <w:r>
        <w:rPr>
          <w:rFonts w:eastAsia="仿宋_GB2312"/>
          <w:sz w:val="32"/>
          <w:szCs w:val="32"/>
        </w:rPr>
        <w:t>三、支出决算表</w:t>
      </w:r>
      <w:bookmarkEnd w:id="89"/>
    </w:p>
    <w:p>
      <w:pPr>
        <w:pStyle w:val="24"/>
        <w:tabs>
          <w:tab w:val="right" w:leader="dot" w:pos="8296"/>
        </w:tabs>
        <w:adjustRightInd w:val="0"/>
        <w:snapToGrid w:val="0"/>
        <w:spacing w:line="576" w:lineRule="exact"/>
        <w:jc w:val="left"/>
        <w:rPr>
          <w:rFonts w:eastAsia="仿宋_GB2312"/>
          <w:sz w:val="32"/>
          <w:szCs w:val="32"/>
        </w:rPr>
      </w:pPr>
      <w:bookmarkStart w:id="90" w:name="_Toc15396622"/>
      <w:r>
        <w:rPr>
          <w:rFonts w:eastAsia="仿宋_GB2312"/>
          <w:sz w:val="32"/>
          <w:szCs w:val="32"/>
        </w:rPr>
        <w:t>四、财政拨款收入支出决算总表</w:t>
      </w:r>
      <w:bookmarkEnd w:id="90"/>
    </w:p>
    <w:p>
      <w:pPr>
        <w:pStyle w:val="24"/>
        <w:tabs>
          <w:tab w:val="right" w:leader="dot" w:pos="8296"/>
        </w:tabs>
        <w:adjustRightInd w:val="0"/>
        <w:snapToGrid w:val="0"/>
        <w:spacing w:line="576" w:lineRule="exact"/>
        <w:jc w:val="left"/>
        <w:rPr>
          <w:rFonts w:eastAsia="仿宋_GB2312"/>
          <w:sz w:val="32"/>
          <w:szCs w:val="32"/>
        </w:rPr>
      </w:pPr>
      <w:bookmarkStart w:id="91" w:name="_Toc15396623"/>
      <w:r>
        <w:rPr>
          <w:rFonts w:eastAsia="仿宋_GB2312"/>
          <w:sz w:val="32"/>
          <w:szCs w:val="32"/>
        </w:rPr>
        <w:t>五、财政拨款支出决算明细表</w:t>
      </w:r>
      <w:bookmarkStart w:id="92" w:name="_Toc15396624"/>
      <w:bookmarkEnd w:id="91"/>
    </w:p>
    <w:p>
      <w:pPr>
        <w:pStyle w:val="24"/>
        <w:tabs>
          <w:tab w:val="right" w:leader="dot" w:pos="8296"/>
        </w:tabs>
        <w:adjustRightInd w:val="0"/>
        <w:snapToGrid w:val="0"/>
        <w:spacing w:line="576" w:lineRule="exact"/>
        <w:jc w:val="left"/>
        <w:rPr>
          <w:rFonts w:eastAsia="仿宋_GB2312"/>
          <w:sz w:val="32"/>
          <w:szCs w:val="32"/>
        </w:rPr>
      </w:pPr>
      <w:r>
        <w:rPr>
          <w:rFonts w:eastAsia="仿宋_GB2312"/>
          <w:sz w:val="32"/>
          <w:szCs w:val="32"/>
        </w:rPr>
        <w:t>六、一般公共预算财政拨款支出决算表</w:t>
      </w:r>
      <w:bookmarkEnd w:id="92"/>
    </w:p>
    <w:p>
      <w:pPr>
        <w:pStyle w:val="24"/>
        <w:tabs>
          <w:tab w:val="right" w:leader="dot" w:pos="8296"/>
        </w:tabs>
        <w:adjustRightInd w:val="0"/>
        <w:snapToGrid w:val="0"/>
        <w:spacing w:line="576" w:lineRule="exact"/>
        <w:jc w:val="left"/>
        <w:rPr>
          <w:rFonts w:eastAsia="仿宋_GB2312"/>
          <w:sz w:val="32"/>
          <w:szCs w:val="32"/>
        </w:rPr>
      </w:pPr>
      <w:bookmarkStart w:id="93" w:name="_Toc15396625"/>
      <w:r>
        <w:rPr>
          <w:rFonts w:eastAsia="仿宋_GB2312"/>
          <w:sz w:val="32"/>
          <w:szCs w:val="32"/>
        </w:rPr>
        <w:t>七、一般公共预算财政拨款支出决算明细表</w:t>
      </w:r>
      <w:bookmarkEnd w:id="93"/>
    </w:p>
    <w:p>
      <w:pPr>
        <w:pStyle w:val="24"/>
        <w:tabs>
          <w:tab w:val="right" w:leader="dot" w:pos="8296"/>
        </w:tabs>
        <w:adjustRightInd w:val="0"/>
        <w:snapToGrid w:val="0"/>
        <w:spacing w:line="576" w:lineRule="exact"/>
        <w:jc w:val="left"/>
        <w:rPr>
          <w:rFonts w:eastAsia="仿宋_GB2312"/>
          <w:sz w:val="32"/>
          <w:szCs w:val="32"/>
        </w:rPr>
      </w:pPr>
      <w:bookmarkStart w:id="94" w:name="_Toc15396626"/>
      <w:r>
        <w:rPr>
          <w:rFonts w:eastAsia="仿宋_GB2312"/>
          <w:sz w:val="32"/>
          <w:szCs w:val="32"/>
        </w:rPr>
        <w:t>八、一般公共预算财政拨款基本支出决算表</w:t>
      </w:r>
      <w:bookmarkEnd w:id="94"/>
    </w:p>
    <w:p>
      <w:pPr>
        <w:pStyle w:val="24"/>
        <w:tabs>
          <w:tab w:val="right" w:leader="dot" w:pos="8296"/>
        </w:tabs>
        <w:adjustRightInd w:val="0"/>
        <w:snapToGrid w:val="0"/>
        <w:spacing w:line="576" w:lineRule="exact"/>
        <w:jc w:val="left"/>
        <w:rPr>
          <w:rFonts w:eastAsia="仿宋_GB2312"/>
          <w:sz w:val="32"/>
          <w:szCs w:val="32"/>
        </w:rPr>
      </w:pPr>
      <w:bookmarkStart w:id="95" w:name="_Toc15396627"/>
      <w:r>
        <w:rPr>
          <w:rFonts w:eastAsia="仿宋_GB2312"/>
          <w:sz w:val="32"/>
          <w:szCs w:val="32"/>
        </w:rPr>
        <w:t>九、一般公共预算财政拨款项目支出决算表</w:t>
      </w:r>
      <w:bookmarkEnd w:id="95"/>
    </w:p>
    <w:p>
      <w:pPr>
        <w:pStyle w:val="24"/>
        <w:tabs>
          <w:tab w:val="right" w:leader="dot" w:pos="8296"/>
        </w:tabs>
        <w:adjustRightInd w:val="0"/>
        <w:snapToGrid w:val="0"/>
        <w:spacing w:line="576" w:lineRule="exact"/>
        <w:jc w:val="left"/>
        <w:rPr>
          <w:rFonts w:eastAsia="仿宋_GB2312"/>
          <w:sz w:val="32"/>
          <w:szCs w:val="32"/>
        </w:rPr>
      </w:pPr>
      <w:bookmarkStart w:id="96" w:name="_Toc15396628"/>
      <w:r>
        <w:rPr>
          <w:rFonts w:eastAsia="仿宋_GB2312"/>
          <w:sz w:val="32"/>
          <w:szCs w:val="32"/>
        </w:rPr>
        <w:t>十、</w:t>
      </w:r>
      <w:bookmarkEnd w:id="96"/>
      <w:r>
        <w:rPr>
          <w:rFonts w:eastAsia="仿宋_GB2312"/>
          <w:sz w:val="32"/>
          <w:szCs w:val="32"/>
        </w:rPr>
        <w:t>政府性基金预算财政拨款收入支出决算表</w:t>
      </w:r>
    </w:p>
    <w:p>
      <w:pPr>
        <w:pStyle w:val="24"/>
        <w:tabs>
          <w:tab w:val="right" w:leader="dot" w:pos="8296"/>
        </w:tabs>
        <w:adjustRightInd w:val="0"/>
        <w:snapToGrid w:val="0"/>
        <w:spacing w:line="576" w:lineRule="exact"/>
        <w:jc w:val="left"/>
        <w:rPr>
          <w:rFonts w:eastAsia="仿宋_GB2312"/>
          <w:sz w:val="32"/>
          <w:szCs w:val="32"/>
        </w:rPr>
      </w:pPr>
      <w:bookmarkStart w:id="97" w:name="_Toc15396629"/>
      <w:r>
        <w:rPr>
          <w:rFonts w:eastAsia="仿宋_GB2312"/>
          <w:sz w:val="32"/>
          <w:szCs w:val="32"/>
        </w:rPr>
        <w:t>十一、</w:t>
      </w:r>
      <w:bookmarkEnd w:id="97"/>
      <w:r>
        <w:rPr>
          <w:rFonts w:eastAsia="仿宋_GB2312"/>
          <w:sz w:val="32"/>
          <w:szCs w:val="32"/>
        </w:rPr>
        <w:t>国有资本经营预算财政拨款收入支出决算表</w:t>
      </w:r>
    </w:p>
    <w:p>
      <w:pPr>
        <w:pStyle w:val="24"/>
        <w:tabs>
          <w:tab w:val="right" w:leader="dot" w:pos="8296"/>
        </w:tabs>
        <w:adjustRightInd w:val="0"/>
        <w:snapToGrid w:val="0"/>
        <w:spacing w:line="576" w:lineRule="exact"/>
        <w:jc w:val="left"/>
        <w:rPr>
          <w:rFonts w:eastAsia="仿宋_GB2312"/>
          <w:sz w:val="32"/>
          <w:szCs w:val="32"/>
        </w:rPr>
      </w:pPr>
      <w:bookmarkStart w:id="98" w:name="_Toc15396630"/>
      <w:r>
        <w:rPr>
          <w:rFonts w:eastAsia="仿宋_GB2312"/>
          <w:sz w:val="32"/>
          <w:szCs w:val="32"/>
        </w:rPr>
        <w:t>十二、</w:t>
      </w:r>
      <w:bookmarkEnd w:id="98"/>
      <w:r>
        <w:rPr>
          <w:rFonts w:eastAsia="仿宋_GB2312"/>
          <w:sz w:val="32"/>
          <w:szCs w:val="32"/>
        </w:rPr>
        <w:t>国有资本经营预算财政拨款支出决算表</w:t>
      </w:r>
    </w:p>
    <w:p>
      <w:pPr>
        <w:pStyle w:val="24"/>
        <w:tabs>
          <w:tab w:val="right" w:leader="dot" w:pos="8296"/>
        </w:tabs>
        <w:adjustRightInd w:val="0"/>
        <w:snapToGrid w:val="0"/>
        <w:spacing w:line="576" w:lineRule="exact"/>
        <w:jc w:val="left"/>
        <w:rPr>
          <w:rFonts w:eastAsia="仿宋_GB2312"/>
          <w:sz w:val="32"/>
          <w:szCs w:val="32"/>
        </w:rPr>
      </w:pPr>
      <w:bookmarkStart w:id="99" w:name="_Toc15396631"/>
      <w:r>
        <w:rPr>
          <w:rFonts w:eastAsia="仿宋_GB2312"/>
          <w:sz w:val="32"/>
          <w:szCs w:val="32"/>
        </w:rPr>
        <w:t>十三、</w:t>
      </w:r>
      <w:bookmarkEnd w:id="99"/>
      <w:r>
        <w:rPr>
          <w:rFonts w:eastAsia="仿宋_GB2312"/>
          <w:sz w:val="32"/>
          <w:szCs w:val="32"/>
        </w:rPr>
        <w:t>财政拨款“三公”经费支出决算表</w:t>
      </w:r>
    </w:p>
    <w:p/>
    <w:sectPr>
      <w:footerReference w:type="default" r:id="rId5"/>
      <w:footerReference w:type="first" r:id="rId6"/>
      <w:pgSz w:w="11906" w:h="16838"/>
      <w:pgMar w:top="1440" w:right="1800" w:bottom="1440" w:left="1800" w:header="851" w:footer="992" w:gutter="0"/>
      <w:pgNumType w:fmt="numberInDash" w:start="1"/>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1"/>
    <w:family w:val="auto"/>
    <w:pitch w:val="variable"/>
    <w:sig w:usb0="E0002EFF" w:usb1="C000785B" w:usb2="00000009" w:usb3="00000000" w:csb0="400001FF" w:csb1="FFFF0000"/>
  </w:font>
  <w:font w:name="方正小标宋简体">
    <w:panose1 w:val="02010601030101010101"/>
    <w:charset w:val="86"/>
    <w:family w:val="script"/>
    <w:pitch w:val="variable"/>
    <w:sig w:usb0="00000001" w:usb1="080E0000" w:usb2="00000000" w:usb3="00000000" w:csb0="00040000" w:csb1="00000000"/>
  </w:font>
  <w:font w:name="仿宋_GB2312">
    <w:panose1 w:val="02010609030101010101"/>
    <w:charset w:val="86"/>
    <w:family w:val="modern"/>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方正仿宋_GBK">
    <w:panose1 w:val="03000509000000000000"/>
    <w:charset w:val="86"/>
    <w:family w:val="script"/>
    <w:pitch w:val="variable"/>
    <w:sig w:usb0="00000001" w:usb1="080E0000" w:usb2="00000000" w:usb3="00000000" w:csb0="00040000" w:csb1="00000000"/>
  </w:font>
  <w:font w:name="仿宋">
    <w:panose1 w:val="02010609060101010101"/>
    <w:charset w:val="86"/>
    <w:family w:val="modern"/>
    <w:pitch w:val="variable"/>
    <w:sig w:usb0="800002BF" w:usb1="38CF7CFA" w:usb2="00000016" w:usb3="00000000" w:csb0="00040001" w:csb1="00000000"/>
  </w:font>
  <w:font w:name="方正公文小标宋">
    <w:altName w:val="宋体"/>
    <w:panose1 w:val="02000000000000000000"/>
    <w:charset w:val="86"/>
    <w:family w:val="script"/>
    <w:pitch w:val="variable"/>
    <w:sig w:usb0="00000000" w:usb1="00000000" w:usb2="00000000" w:usb3="00000000" w:csb0="00040000" w:csb1="00000000"/>
  </w:font>
  <w:font w:name="方正黑体_GBK">
    <w:panose1 w:val="03000509000000000000"/>
    <w:charset w:val="86"/>
    <w:family w:val="script"/>
    <w:pitch w:val="variable"/>
    <w:sig w:usb0="00000001" w:usb1="080E0000" w:usb2="00000000" w:usb3="00000000" w:csb0="00040000" w:csb1="00000000"/>
  </w:font>
  <w:font w:name="方正楷体_GBK">
    <w:panose1 w:val="03000509000000000000"/>
    <w:charset w:val="86"/>
    <w:family w:val="script"/>
    <w:pitch w:val="variable"/>
    <w:sig w:usb0="00000001" w:usb1="080E0000" w:usb2="00000000" w:usb3="00000000" w:csb0="00040000" w:csb1="00000000"/>
  </w:font>
  <w:font w:name="宋体">
    <w:panose1 w:val="02010600030101010101"/>
    <w:charset w:val="86"/>
    <w:family w:val="auto"/>
    <w:pitch w:val="variable"/>
    <w:sig w:usb0="00000003" w:usb1="288F0000" w:usb2="00000006" w:usb3="00000000" w:csb0="00040001" w:csb1="00000000"/>
  </w:font>
  <w:font w:name="Cambria">
    <w:altName w:val="DejaVu Sans"/>
    <w:panose1 w:val="02040503050406030204"/>
    <w:charset w:val="00"/>
    <w:family w:val="roman"/>
    <w:pitch w:val="variable"/>
    <w:sig w:usb0="E00006FF" w:usb1="420024FF" w:usb2="02000000" w:usb3="00000000" w:csb0="2000019F" w:csb1="00000000"/>
  </w:font>
  <w:font w:name="Calibri">
    <w:altName w:val="Times New Roman"/>
    <w:panose1 w:val="020F0502020204030204"/>
    <w:charset w:val="00"/>
    <w:family w:val="swiss"/>
    <w:pitch w:val="variable"/>
    <w:sig w:usb0="E4002EFF" w:usb1="C000247B" w:usb2="00000009" w:usb3="00000000" w:csb0="200001FF" w:csb1="00000000"/>
  </w:font>
  <w:font w:name="Arial">
    <w:altName w:val="DejaVu Sans"/>
    <w:panose1 w:val="020B0604020202020204"/>
    <w:charset w:val="01"/>
    <w:family w:val="swiss"/>
    <w:pitch w:val="variable"/>
    <w:sig w:usb0="E0002EFF" w:usb1="C000785B" w:usb2="00000009" w:usb3="00000000" w:csb0="400001FF" w:csb1="FFFF0000"/>
  </w:font>
  <w:font w:name="??">
    <w:altName w:val="DejaVu Sans"/>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jc w:val="center"/>
    </w:pPr>
  </w:p>
  <w:p>
    <w:pPr>
      <w:pStyle w:val="21"/>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6"/>
      </w:tabs>
    </w:pPr>
    <w:r>
      <w:rPr>
        <w:rStyle w:val="36"/>
      </w:rPr>
      <w:fldChar w:fldCharType="begin"/>
    </w:r>
    <w:r>
      <w:rPr>
        <w:rStyle w:val="36"/>
      </w:rPr>
      <w:instrText>Page</w:instrText>
    </w:r>
    <w:r>
      <w:rPr>
        <w:rStyle w:val="36"/>
      </w:rPr>
      <w:fldChar w:fldCharType="separate"/>
    </w:r>
    <w:r>
      <w:rPr>
        <w:rStyle w:val="36"/>
      </w:rPr>
      <w:t>- 1 -</w:t>
    </w:r>
    <w:r>
      <w:rPr>
        <w:rStyle w:val="36"/>
      </w:rPr>
      <w:fldChar w:fldCharType="end"/>
    </w:r>
  </w:p>
  <w:p>
    <w:pPr>
      <w:pStyle w:val="21"/>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6"/>
      </w:tabs>
      <w:rPr>
        <w:rFonts w:ascii="Times New Roman" w:eastAsia="仿宋_GB2312" w:hAnsi="Times New Roman"/>
        <w:sz w:val="28"/>
        <w:szCs w:val="28"/>
      </w:rPr>
    </w:pPr>
    <w:r>
      <w:rPr>
        <w:rStyle w:val="36"/>
        <w:rFonts w:ascii="Times New Roman" w:eastAsia="仿宋_GB2312" w:hAnsi="Times New Roman"/>
        <w:sz w:val="28"/>
        <w:szCs w:val="28"/>
      </w:rPr>
      <w:fldChar w:fldCharType="begin"/>
    </w:r>
    <w:r>
      <w:rPr>
        <w:rStyle w:val="36"/>
        <w:rFonts w:ascii="Times New Roman" w:eastAsia="仿宋_GB2312" w:hAnsi="Times New Roman"/>
        <w:sz w:val="28"/>
        <w:szCs w:val="28"/>
      </w:rPr>
      <w:instrText>Page</w:instrText>
    </w:r>
    <w:r>
      <w:rPr>
        <w:rStyle w:val="36"/>
        <w:rFonts w:ascii="Times New Roman" w:eastAsia="仿宋_GB2312" w:hAnsi="Times New Roman"/>
        <w:sz w:val="28"/>
        <w:szCs w:val="28"/>
      </w:rPr>
      <w:fldChar w:fldCharType="separate"/>
    </w:r>
    <w:r>
      <w:rPr>
        <w:rStyle w:val="36"/>
        <w:rFonts w:ascii="Times New Roman" w:eastAsia="仿宋_GB2312" w:hAnsi="Times New Roman"/>
        <w:sz w:val="28"/>
        <w:szCs w:val="28"/>
      </w:rPr>
      <w:t>- 2 -</w:t>
    </w:r>
    <w:r>
      <w:rPr>
        <w:rStyle w:val="36"/>
        <w:rFonts w:ascii="Times New Roman" w:eastAsia="仿宋_GB2312" w:hAnsi="Times New Roman"/>
        <w:sz w:val="28"/>
        <w:szCs w:val="28"/>
      </w:rPr>
      <w:fldChar w:fldCharType="end"/>
    </w:r>
  </w:p>
  <w:p>
    <w:pPr>
      <w:pStyle w:val="21"/>
      <w:tabs>
        <w:tab w:val="center" w:pos="4153"/>
        <w:tab w:val="right" w:pos="8306"/>
      </w:tabs>
      <w:rPr>
        <w:rFonts w:ascii="Times New Roman" w:eastAsia="仿宋_GB2312" w:hAnsi="Times New Roman"/>
      </w:rPr>
    </w:pP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pBdr>
        <w:bottom w:val="none" w:sz="0" w:space="0" w:color="auto"/>
      </w:pBdr>
      <w:tabs>
        <w:tab w:val="center" w:pos="4153"/>
        <w:tab w:val="right" w:pos="8306"/>
      </w:tabs>
    </w:pP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note text"/>
    <w:basedOn w:val="0"/>
    <w:next w:val="17"/>
    <w:pPr>
      <w:snapToGrid w:val="0"/>
      <w:jc w:val="left"/>
    </w:pPr>
    <w:rPr>
      <w:sz w:val="18"/>
      <w:szCs w:val="18"/>
    </w:rPr>
  </w:style>
  <w:style w:type="paragraph" w:styleId="16">
    <w:name w:val="Body Text Indent"/>
    <w:basedOn w:val="0"/>
    <w:next w:val="17"/>
    <w:pPr>
      <w:spacing w:after="120"/>
      <w:ind w:leftChars="200" w:left="200"/>
    </w:pPr>
    <w:rPr>
      <w:rFonts w:ascii="仿宋_GB2312" w:hAnsi="仿宋_GB2312"/>
      <w:szCs w:val="32"/>
    </w:rPr>
  </w:style>
  <w:style w:type="paragraph" w:styleId="17">
    <w:name w:val="Body Text First Indent 2"/>
    <w:basedOn w:val="16"/>
    <w:pPr>
      <w:ind w:firstLineChars="200" w:firstLine="200"/>
    </w:pPr>
  </w:style>
  <w:style w:type="paragraph" w:styleId="18">
    <w:name w:val="Body Text"/>
    <w:basedOn w:val="0"/>
    <w:pPr>
      <w:spacing w:beforeLines="30" w:before="30"/>
    </w:pPr>
    <w:rPr>
      <w:rFonts w:ascii="仿宋_GB2312" w:eastAsia="仿宋_GB2312"/>
      <w:kern w:val="0"/>
      <w:sz w:val="30"/>
    </w:rPr>
  </w:style>
  <w:style w:type="paragraph" w:styleId="19">
    <w:name w:val="toc 3"/>
    <w:basedOn w:val="0"/>
    <w:next w:val="0"/>
    <w:pPr>
      <w:tabs>
        <w:tab w:val="right" w:leader="dot" w:pos="8296"/>
      </w:tabs>
      <w:ind w:leftChars="400" w:left="400"/>
    </w:pPr>
  </w:style>
  <w:style w:type="paragraph" w:styleId="20">
    <w:name w:val="Balloon Text"/>
    <w:basedOn w:val="0"/>
    <w:rPr>
      <w:sz w:val="18"/>
      <w:szCs w:val="18"/>
    </w:rPr>
  </w:style>
  <w:style w:type="paragraph" w:styleId="21">
    <w:name w:val="footer"/>
    <w:basedOn w:val="0"/>
    <w:pPr>
      <w:tabs>
        <w:tab w:val="center" w:pos="4153"/>
        <w:tab w:val="right" w:pos="8306"/>
      </w:tabs>
      <w:snapToGrid w:val="0"/>
      <w:jc w:val="left"/>
    </w:pPr>
    <w:rPr>
      <w:rFonts w:ascii="Calibri" w:hAnsi="Calibri"/>
      <w:kern w:val="0"/>
      <w:sz w:val="18"/>
      <w:szCs w:val="18"/>
    </w:rPr>
  </w:style>
  <w:style w:type="paragraph" w:styleId="22">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3">
    <w:name w:val="toc 1"/>
    <w:basedOn w:val="0"/>
    <w:next w:val="0"/>
    <w:pPr>
      <w:tabs>
        <w:tab w:val="right" w:leader="dot" w:pos="8296"/>
      </w:tabs>
      <w:spacing w:before="93"/>
      <w:jc w:val="center"/>
    </w:pPr>
    <w:rPr>
      <w:rFonts w:ascii="仿宋" w:eastAsia="仿宋"/>
      <w:sz w:val="28"/>
      <w:szCs w:val="28"/>
    </w:rPr>
  </w:style>
  <w:style w:type="paragraph" w:styleId="24">
    <w:name w:val="toc 2"/>
    <w:basedOn w:val="0"/>
    <w:next w:val="0"/>
    <w:pPr>
      <w:tabs>
        <w:tab w:val="right" w:leader="dot" w:pos="8296"/>
      </w:tabs>
      <w:ind w:leftChars="200" w:left="200"/>
    </w:pPr>
  </w:style>
  <w:style w:type="character" w:styleId="25">
    <w:name w:val="Strong"/>
    <w:rPr>
      <w:b/>
    </w:rPr>
  </w:style>
  <w:style w:type="character" w:styleId="26">
    <w:name w:val="Hyperlink"/>
    <w:basedOn w:val="10"/>
    <w:rPr>
      <w:color w:val="0000FF"/>
      <w:u w:val="single"/>
    </w:rPr>
  </w:style>
  <w:style w:type="paragraph" w:customStyle="1" w:styleId="27">
    <w:name w:val="标题 5（有编号）（绿盟科技）"/>
    <w:next w:val="0"/>
    <w:pPr>
      <w:keepNext/>
      <w:keepLines/>
      <w:widowControl w:val="0"/>
      <w:spacing w:before="280" w:after="156" w:line="377" w:lineRule="auto"/>
      <w:outlineLvl w:val="4"/>
    </w:pPr>
    <w:rPr>
      <w:rFonts w:ascii="Arial" w:eastAsia="黑体" w:cs="Times New Roman" w:hAnsi="Arial"/>
      <w:b/>
      <w:kern w:val="2"/>
      <w:sz w:val="24"/>
      <w:szCs w:val="28"/>
      <w:lang w:val="en-US" w:eastAsia="zh-CN" w:bidi="ar-SA"/>
    </w:rPr>
  </w:style>
  <w:style w:type="character" w:customStyle="1" w:styleId="28">
    <w:name w:val="Header Char"/>
    <w:basedOn w:val="10"/>
    <w:rPr>
      <w:rFonts w:ascii="Times New Roman" w:hAnsi="Times New Roman"/>
      <w:sz w:val="18"/>
      <w:szCs w:val="18"/>
    </w:rPr>
  </w:style>
  <w:style w:type="character" w:customStyle="1" w:styleId="29">
    <w:name w:val="Footer Char"/>
    <w:basedOn w:val="10"/>
    <w:rPr>
      <w:rFonts w:ascii="Times New Roman" w:hAnsi="Times New Roman"/>
      <w:sz w:val="18"/>
      <w:szCs w:val="18"/>
    </w:rPr>
  </w:style>
  <w:style w:type="character" w:customStyle="1" w:styleId="30">
    <w:name w:val="Body Text Char"/>
    <w:basedOn w:val="10"/>
    <w:rPr>
      <w:rFonts w:ascii="Times New Roman" w:hAnsi="Times New Roman"/>
      <w:szCs w:val="24"/>
    </w:rPr>
  </w:style>
  <w:style w:type="paragraph" w:customStyle="1" w:styleId="31">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2">
    <w:name w:val="List Paragraph"/>
    <w:basedOn w:val="0"/>
    <w:pPr>
      <w:ind w:firstLineChars="200" w:firstLine="200"/>
    </w:pPr>
  </w:style>
  <w:style w:type="paragraph" w:customStyle="1" w:styleId="33">
    <w:name w:val="TOC 标题1"/>
    <w:basedOn w:val="1"/>
    <w:next w:val="0"/>
    <w:pPr>
      <w:keepNext/>
      <w:keepLines/>
      <w:widowControl/>
      <w:spacing w:before="480" w:after="0" w:line="276" w:lineRule="auto"/>
      <w:jc w:val="left"/>
      <w:outlineLvl w:val="9"/>
    </w:pPr>
    <w:rPr>
      <w:rFonts w:ascii="Cambria" w:eastAsia="宋体" w:cs="Times New Roman" w:hAnsi="Cambria"/>
      <w:color w:val="365F91"/>
      <w:kern w:val="0"/>
      <w:sz w:val="28"/>
      <w:szCs w:val="28"/>
    </w:rPr>
  </w:style>
  <w:style w:type="paragraph" w:customStyle="1" w:styleId="34">
    <w:name w:val="TOC 标题2"/>
    <w:basedOn w:val="1"/>
    <w:next w:val="0"/>
    <w:pPr>
      <w:keepNext/>
      <w:keepLines/>
      <w:widowControl/>
      <w:spacing w:before="480" w:after="0" w:line="276" w:lineRule="auto"/>
      <w:jc w:val="left"/>
      <w:outlineLvl w:val="9"/>
    </w:pPr>
    <w:rPr>
      <w:rFonts w:ascii="Cambria" w:eastAsia="宋体" w:cs="Times New Roman" w:hAnsi="Cambria"/>
      <w:color w:val="365F91"/>
      <w:kern w:val="0"/>
      <w:sz w:val="28"/>
      <w:szCs w:val="28"/>
    </w:rPr>
  </w:style>
  <w:style w:type="paragraph" w:customStyle="1" w:styleId="35">
    <w:name w:val="四号正文"/>
    <w:basedOn w:val="0"/>
    <w:pPr>
      <w:spacing w:line="360" w:lineRule="auto"/>
    </w:pPr>
    <w:rPr>
      <w:rFonts w:ascii="??" w:hAnsi="??"/>
      <w:color w:val="000000"/>
      <w:kern w:val="0"/>
      <w:sz w:val="28"/>
      <w:szCs w:val="21"/>
      <w:lang w:val="zh-CN"/>
    </w:rPr>
  </w:style>
  <w:style w:type="character" w:styleId="36">
    <w:name w:val="page number"/>
    <w:basedOn w:val="10"/>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chart" Target="charts/chart1.xml"/><Relationship Id="rId8" Type="http://schemas.openxmlformats.org/officeDocument/2006/relationships/chart" Target="charts/chart2.xml"/><Relationship Id="rId9" Type="http://schemas.openxmlformats.org/officeDocument/2006/relationships/chart" Target="charts/chart3.xml"/><Relationship Id="rId10" Type="http://schemas.openxmlformats.org/officeDocument/2006/relationships/chart" Target="charts/chart4.xml"/><Relationship Id="rId11" Type="http://schemas.openxmlformats.org/officeDocument/2006/relationships/chart" Target="charts/chart5.xml"/><Relationship Id="rId12" Type="http://schemas.openxmlformats.org/officeDocument/2006/relationships/chart" Target="charts/chart6.xml"/><Relationship Id="rId13" Type="http://schemas.openxmlformats.org/officeDocument/2006/relationships/chart" Target="charts/chart7.xml"/><Relationship Id="rId14" Type="http://schemas.openxmlformats.org/officeDocument/2006/relationships/styles" Target="styles.xml"/><Relationship Id="rId15"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char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'工作表465537'!$A$2</c:f>
              <c:strCache>
                <c:ptCount val="1"/>
                <c:pt idx="0">
                  <c:v>2024年</c:v>
                </c:pt>
              </c:strCache>
            </c:strRef>
          </c:tx>
          <c:spPr>
            <a:solidFill>
              <a:srgbClr val="5B9BD5"/>
            </a:solidFill>
            <a:ln>
              <a:noFill/>
            </a:ln>
          </c:spPr>
          <c:invertIfNegative val="0"/>
          <c:dLbls>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0"/>
          </c:dLbls>
          <c:cat>
            <c:strRef>
              <c:f>'工作表465537'!$B$1:$C$1</c:f>
              <c:strCache>
                <c:ptCount val="2"/>
                <c:pt idx="0">
                  <c:v>收入</c:v>
                </c:pt>
                <c:pt idx="1">
                  <c:v>支出</c:v>
                </c:pt>
              </c:strCache>
            </c:strRef>
          </c:cat>
          <c:val>
            <c:numRef>
              <c:f>'工作表465537'!$B$2:$C$2</c:f>
              <c:numCache>
                <c:formatCode>General</c:formatCode>
                <c:ptCount val="2"/>
                <c:pt idx="0">
                  <c:v>3451.66</c:v>
                </c:pt>
                <c:pt idx="1">
                  <c:v>3451.66</c:v>
                </c:pt>
              </c:numCache>
            </c:numRef>
          </c:val>
        </c:ser>
        <c:ser>
          <c:idx val="1"/>
          <c:order val="1"/>
          <c:tx>
            <c:strRef>
              <c:f>'工作表465537'!$A$3</c:f>
              <c:strCache>
                <c:ptCount val="1"/>
                <c:pt idx="0">
                  <c:v>2025年</c:v>
                </c:pt>
              </c:strCache>
            </c:strRef>
          </c:tx>
          <c:spPr>
            <a:solidFill>
              <a:srgbClr val="ED7D31"/>
            </a:solidFill>
            <a:ln>
              <a:noFill/>
            </a:ln>
          </c:spPr>
          <c:invertIfNegative val="0"/>
          <c:dLbls>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0"/>
          </c:dLbls>
          <c:cat>
            <c:strRef>
              <c:f>'工作表465537'!$B$1:$C$1</c:f>
              <c:strCache>
                <c:ptCount val="2"/>
                <c:pt idx="0">
                  <c:v>收入</c:v>
                </c:pt>
                <c:pt idx="1">
                  <c:v>支出</c:v>
                </c:pt>
              </c:strCache>
            </c:strRef>
          </c:cat>
          <c:val>
            <c:numRef>
              <c:f>'工作表465537'!$B$3:$C$3</c:f>
              <c:numCache>
                <c:formatCode>General</c:formatCode>
                <c:ptCount val="2"/>
                <c:pt idx="0">
                  <c:v>3296.26</c:v>
                </c:pt>
                <c:pt idx="1">
                  <c:v>3296.26</c:v>
                </c:pt>
              </c:numCache>
            </c:numRef>
          </c:val>
        </c:ser>
        <c:ser>
          <c:idx val="2"/>
          <c:order val="2"/>
          <c:tx>
            <c:v>系列3</c:v>
          </c:tx>
          <c:spPr>
            <a:solidFill>
              <a:srgbClr val="A5A5A5"/>
            </a:solidFill>
            <a:ln>
              <a:noFill/>
            </a:ln>
          </c:spPr>
          <c:invertIfNegative val="0"/>
          <c:dLbls>
            <c:showLegendKey val="0"/>
            <c:showVal val="0"/>
            <c:showCatName val="0"/>
            <c:showSerName val="0"/>
            <c:showPercent val="0"/>
            <c:showBubbleSize val="0"/>
            <c:showLeaderLines val="0"/>
          </c:dLbls>
          <c:cat>
            <c:strLit>
              <c:ptCount val="2"/>
              <c:pt idx="0">
                <c:v>收入</c:v>
              </c:pt>
              <c:pt idx="1">
                <c:v>支出</c:v>
              </c:pt>
            </c:strLit>
          </c:cat>
          <c:val>
            <c:numRef>
              <c:f/>
            </c:numRef>
          </c:val>
        </c:ser>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8D8D8"/>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8D8D8"/>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0" i="0" u="none" strike="noStrike" baseline="0">
                <a:solidFill>
                  <a:srgbClr val="000000"/>
                </a:solidFill>
                <a:latin typeface="Times New Roman"/>
                <a:ea typeface="宋体"/>
                <a:cs typeface="Lucida Sans"/>
              </a:defRPr>
            </a:pPr>
            <a:r>
              <a:rPr lang="zh-CN" sz="1400" b="0" i="0" u="none" strike="noStrike" baseline="0">
                <a:solidFill>
                  <a:srgbClr val="595959"/>
                </a:solidFill>
                <a:latin typeface="Times New Roman"/>
                <a:ea typeface="宋体"/>
                <a:cs typeface="Lucida Sans"/>
              </a:rPr>
              <a:t>202</a:t>
            </a:r>
            <a:r>
              <a:rPr lang="zh-CN" sz="1400" b="0" i="0" u="none" strike="noStrike" baseline="0">
                <a:solidFill>
                  <a:srgbClr val="595959"/>
                </a:solidFill>
                <a:latin typeface="Times New Roman"/>
                <a:ea typeface="宋体"/>
                <a:cs typeface="Lucida Sans"/>
              </a:rPr>
              <a:t>5</a:t>
            </a:r>
            <a:r>
              <a:rPr lang="zh-CN" sz="1400" b="0" i="0" u="none" strike="noStrike" baseline="0">
                <a:solidFill>
                  <a:srgbClr val="595959"/>
                </a:solidFill>
                <a:latin typeface="Times New Roman"/>
                <a:ea typeface="宋体"/>
                <a:cs typeface="Lucida Sans"/>
              </a:rPr>
              <a:t>年度收入</a:t>
            </a:r>
          </a:p>
        </c:rich>
      </c:tx>
      <c:layout/>
      <c:overlay val="0"/>
      <c:spPr>
        <a:ln>
          <a:noFill/>
        </a:ln>
      </c:spPr>
    </c:title>
    <c:autoTitleDeleted val="1"/>
    <c:plotArea>
      <c:layout/>
      <c:pieChart>
        <c:varyColors val="1"/>
        <c:ser>
          <c:idx val="0"/>
          <c:order val="0"/>
          <c:tx>
            <c:strRef>
              <c:f>'工作表465538'!$A$2</c:f>
              <c:strCache>
                <c:ptCount val="1"/>
                <c:pt idx="0">
                  <c:v>2024年度收入</c:v>
                </c:pt>
              </c:strCache>
            </c:strRef>
          </c:tx>
          <c:spPr>
            <a:solidFill>
              <a:srgbClr val="4F81BD"/>
            </a:solidFill>
            <a:ln>
              <a:noFill/>
            </a:ln>
          </c:spPr>
          <c:dPt>
            <c:idx val="0"/>
            <c:bubble3D val="0"/>
            <c:spPr>
              <a:solidFill>
                <a:srgbClr val="5B9BD5"/>
              </a:solidFill>
              <a:ln>
                <a:noFill/>
              </a:ln>
            </c:spPr>
          </c:dPt>
          <c:dLbls>
            <c:dLbl>
              <c:idx val="0"/>
              <c:numFmt formatCode="General" sourceLinked="0"/>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showLegendKey val="0"/>
              <c:showVal val="1"/>
              <c:showCatName val="0"/>
              <c:showSerName val="0"/>
              <c:showPercent val="0"/>
              <c:showBubbleSize val="0"/>
            </c:dLbl>
            <c:showLegendKey val="0"/>
            <c:showVal val="0"/>
            <c:showCatName val="0"/>
            <c:showSerName val="0"/>
            <c:showPercent val="0"/>
            <c:showBubbleSize val="0"/>
            <c:showLeaderLines val="1"/>
          </c:dLbls>
          <c:cat>
            <c:strRef>
              <c:f>'工作表465538'!$B$1</c:f>
              <c:strCache>
                <c:ptCount val="1"/>
                <c:pt idx="0">
                  <c:v>一般公共预算财政拨款收入</c:v>
                </c:pt>
              </c:strCache>
            </c:strRef>
          </c:cat>
          <c:val>
            <c:numRef>
              <c:f>工作表465538!$B$2</c:f>
              <c:numCache>
                <c:formatCode>General</c:formatCode>
                <c:ptCount val="1"/>
                <c:pt idx="0">
                  <c:v>3296.26</c:v>
                </c:pt>
              </c:numCache>
            </c:numRef>
          </c:val>
        </c:ser>
        <c:ser>
          <c:idx val="1"/>
          <c:order val="1"/>
          <c:tx>
            <c:v>系列2</c:v>
          </c:tx>
          <c:spPr>
            <a:solidFill>
              <a:srgbClr val="C0504D"/>
            </a:solidFill>
            <a:ln>
              <a:noFill/>
            </a:ln>
          </c:spPr>
          <c:dLbls>
            <c:showLegendKey val="0"/>
            <c:showVal val="0"/>
            <c:showCatName val="0"/>
            <c:showSerName val="0"/>
            <c:showPercent val="0"/>
            <c:showBubbleSize val="0"/>
            <c:showLeaderLines val="1"/>
          </c:dLbls>
          <c:cat>
            <c:strLit>
              <c:ptCount val="1"/>
              <c:pt idx="0">
                <c:v>一般公共预算财政拨款收入</c:v>
              </c:pt>
            </c:strLit>
          </c:cat>
          <c:val>
            <c:numRef>
              <c:f/>
            </c:numRef>
          </c:val>
        </c:ser>
        <c:ser>
          <c:idx val="2"/>
          <c:order val="2"/>
          <c:tx>
            <c:v>系列3</c:v>
          </c:tx>
          <c:spPr>
            <a:solidFill>
              <a:srgbClr val="9BBB59"/>
            </a:solidFill>
            <a:ln>
              <a:noFill/>
            </a:ln>
          </c:spPr>
          <c:dLbls>
            <c:showLegendKey val="0"/>
            <c:showVal val="0"/>
            <c:showCatName val="0"/>
            <c:showSerName val="0"/>
            <c:showPercent val="0"/>
            <c:showBubbleSize val="0"/>
            <c:showLeaderLines val="1"/>
          </c:dLbls>
          <c:cat>
            <c:strLit>
              <c:ptCount val="1"/>
              <c:pt idx="0">
                <c:v>一般公共预算财政拨款收入</c:v>
              </c:pt>
            </c:strLit>
          </c:cat>
          <c:val>
            <c:numRef>
              <c:f/>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0" i="0" u="none" strike="noStrike" baseline="0">
                <a:solidFill>
                  <a:srgbClr val="000000"/>
                </a:solidFill>
                <a:latin typeface="Times New Roman"/>
                <a:ea typeface="宋体"/>
                <a:cs typeface="Lucida Sans"/>
              </a:defRPr>
            </a:pPr>
            <a:r>
              <a:rPr lang="zh-CN" sz="1400" b="0" i="0" u="none" strike="noStrike" baseline="0">
                <a:solidFill>
                  <a:srgbClr val="595959"/>
                </a:solidFill>
                <a:latin typeface="Times New Roman"/>
                <a:ea typeface="宋体"/>
                <a:cs typeface="Lucida Sans"/>
              </a:rPr>
              <a:t>202</a:t>
            </a:r>
            <a:r>
              <a:rPr lang="zh-CN" sz="1400" b="0" i="0" u="none" strike="noStrike" baseline="0">
                <a:solidFill>
                  <a:srgbClr val="595959"/>
                </a:solidFill>
                <a:latin typeface="Times New Roman"/>
                <a:ea typeface="宋体"/>
                <a:cs typeface="Lucida Sans"/>
              </a:rPr>
              <a:t>5</a:t>
            </a:r>
            <a:r>
              <a:rPr lang="zh-CN" sz="1400" b="0" i="0" u="none" strike="noStrike" baseline="0">
                <a:solidFill>
                  <a:srgbClr val="595959"/>
                </a:solidFill>
                <a:latin typeface="Times New Roman"/>
                <a:ea typeface="宋体"/>
                <a:cs typeface="Lucida Sans"/>
              </a:rPr>
              <a:t>年度支出</a:t>
            </a:r>
          </a:p>
        </c:rich>
      </c:tx>
      <c:layout/>
      <c:overlay val="0"/>
      <c:spPr>
        <a:ln>
          <a:noFill/>
        </a:ln>
      </c:spPr>
    </c:title>
    <c:autoTitleDeleted val="1"/>
    <c:plotArea>
      <c:layout/>
      <c:pieChart>
        <c:varyColors val="1"/>
        <c:ser>
          <c:idx val="0"/>
          <c:order val="0"/>
          <c:tx>
            <c:strRef>
              <c:f>'工作表465539'!$A$2</c:f>
              <c:strCache>
                <c:ptCount val="1"/>
                <c:pt idx="0">
                  <c:v>2025年度支出</c:v>
                </c:pt>
              </c:strCache>
            </c:strRef>
          </c:tx>
          <c:spPr>
            <a:solidFill>
              <a:srgbClr val="4F81BD"/>
            </a:solidFill>
            <a:ln>
              <a:noFill/>
            </a:ln>
          </c:spPr>
          <c:dPt>
            <c:idx val="0"/>
            <c:bubble3D val="0"/>
            <c:spPr>
              <a:solidFill>
                <a:srgbClr val="5B9BD5"/>
              </a:solidFill>
              <a:ln>
                <a:noFill/>
              </a:ln>
            </c:spPr>
          </c:dPt>
          <c:dPt>
            <c:idx val="1"/>
            <c:bubble3D val="0"/>
            <c:spPr>
              <a:solidFill>
                <a:srgbClr val="ED7D31"/>
              </a:solidFill>
              <a:ln>
                <a:noFill/>
              </a:ln>
            </c:spPr>
          </c:dPt>
          <c:dLbls>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numFmt formatCode="General" sourceLinked="1"/>
            <c:dLbl>
              <c:idx val="0"/>
              <c:numFmt formatCode="General" sourceLinked="0"/>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showLegendKey val="0"/>
              <c:showVal val="1"/>
              <c:showCatName val="0"/>
              <c:showSerName val="0"/>
              <c:showPercent val="0"/>
              <c:showBubbleSize val="0"/>
            </c:dLbl>
            <c:dLbl>
              <c:idx val="1"/>
              <c:numFmt formatCode="General" sourceLinked="0"/>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showLegendKey val="0"/>
              <c:showVal val="1"/>
              <c:showCatName val="0"/>
              <c:showSerName val="0"/>
              <c:showPercent val="0"/>
              <c:showBubbleSize val="0"/>
            </c:dLbl>
            <c:showLegendKey val="0"/>
            <c:showVal val="1"/>
            <c:showCatName val="0"/>
            <c:showSerName val="0"/>
            <c:showPercent val="0"/>
            <c:showBubbleSize val="0"/>
            <c:showLeaderLines val="1"/>
          </c:dLbls>
          <c:cat>
            <c:strRef>
              <c:f>'工作表465539'!$B$1:$C$1</c:f>
              <c:strCache>
                <c:ptCount val="2"/>
                <c:pt idx="0">
                  <c:v>基本支出</c:v>
                </c:pt>
                <c:pt idx="1">
                  <c:v>项目支出</c:v>
                </c:pt>
              </c:strCache>
            </c:strRef>
          </c:cat>
          <c:val>
            <c:numRef>
              <c:f>'工作表465539'!$B$2:$C$2</c:f>
              <c:numCache>
                <c:formatCode>General</c:formatCode>
                <c:ptCount val="2"/>
                <c:pt idx="0">
                  <c:v>2886.7</c:v>
                </c:pt>
                <c:pt idx="1">
                  <c:v>409.56</c:v>
                </c:pt>
              </c:numCache>
            </c:numRef>
          </c:val>
        </c:ser>
        <c:ser>
          <c:idx val="1"/>
          <c:order val="1"/>
          <c:tx>
            <c:v>系列2</c:v>
          </c:tx>
          <c:spPr>
            <a:solidFill>
              <a:srgbClr val="C0504D"/>
            </a:solidFill>
            <a:ln>
              <a:noFill/>
            </a:ln>
          </c:spPr>
          <c:dLbls>
            <c:spPr>
              <a:noFill/>
              <a:ln>
                <a:noFill/>
              </a:ln>
            </c:spPr>
            <c:txPr>
              <a:bodyPr vert="horz"/>
              <a:lstStyle/>
              <a:p>
                <a:pPr>
                  <a:defRPr sz="900" b="0" i="0" u="none" strike="noStrike" baseline="0">
                    <a:solidFill>
                      <a:srgbClr val="000000"/>
                    </a:solidFill>
                    <a:latin typeface="Times New Roman"/>
                    <a:ea typeface="宋体"/>
                    <a:cs typeface="Lucida Sans"/>
                  </a:defRPr>
                </a:pPr>
                <a:endParaRPr lang="zh-CN"/>
              </a:p>
            </c:txPr>
            <c:numFmt formatCode="General" sourceLinked="1"/>
            <c:showLegendKey val="0"/>
            <c:showVal val="1"/>
            <c:showCatName val="0"/>
            <c:showSerName val="0"/>
            <c:showPercent val="0"/>
            <c:showBubbleSize val="0"/>
            <c:showLeaderLines val="1"/>
          </c:dLbls>
          <c:cat>
            <c:strLit>
              <c:ptCount val="2"/>
              <c:pt idx="0">
                <c:v>基本支出</c:v>
              </c:pt>
              <c:pt idx="1">
                <c:v>项目支出</c:v>
              </c:pt>
            </c:strLit>
          </c:cat>
          <c:val>
            <c:numRef>
              <c:f/>
            </c:numRef>
          </c:val>
        </c:ser>
        <c:ser>
          <c:idx val="2"/>
          <c:order val="2"/>
          <c:tx>
            <c:v>系列3</c:v>
          </c:tx>
          <c:spPr>
            <a:solidFill>
              <a:srgbClr val="9BBB59"/>
            </a:solidFill>
            <a:ln>
              <a:noFill/>
            </a:ln>
          </c:spPr>
          <c:dLbls>
            <c:spPr>
              <a:noFill/>
              <a:ln>
                <a:noFill/>
              </a:ln>
            </c:spPr>
            <c:txPr>
              <a:bodyPr vert="horz"/>
              <a:lstStyle/>
              <a:p>
                <a:pPr>
                  <a:defRPr sz="900" b="0" i="0" u="none" strike="noStrike" baseline="0">
                    <a:solidFill>
                      <a:srgbClr val="000000"/>
                    </a:solidFill>
                    <a:latin typeface="Times New Roman"/>
                    <a:ea typeface="宋体"/>
                    <a:cs typeface="Lucida Sans"/>
                  </a:defRPr>
                </a:pPr>
                <a:endParaRPr lang="zh-CN"/>
              </a:p>
            </c:txPr>
            <c:numFmt formatCode="General" sourceLinked="1"/>
            <c:showLegendKey val="0"/>
            <c:showVal val="1"/>
            <c:showCatName val="0"/>
            <c:showSerName val="0"/>
            <c:showPercent val="0"/>
            <c:showBubbleSize val="0"/>
            <c:showLeaderLines val="1"/>
          </c:dLbls>
          <c:cat>
            <c:strLit>
              <c:ptCount val="2"/>
              <c:pt idx="0">
                <c:v>基本支出</c:v>
              </c:pt>
              <c:pt idx="1">
                <c:v>项目支出</c:v>
              </c:pt>
            </c:strLit>
          </c:cat>
          <c:val>
            <c:numRef>
              <c:f/>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'工作表465540'!$A$2</c:f>
              <c:strCache>
                <c:ptCount val="1"/>
                <c:pt idx="0">
                  <c:v>2024年财政拨款</c:v>
                </c:pt>
              </c:strCache>
            </c:strRef>
          </c:tx>
          <c:spPr>
            <a:solidFill>
              <a:srgbClr val="5B9BD5"/>
            </a:solidFill>
            <a:ln>
              <a:noFill/>
            </a:ln>
          </c:spPr>
          <c:invertIfNegative val="0"/>
          <c:dLbls>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'工作表465540'!$B$1:$C$1</c:f>
              <c:strCache>
                <c:ptCount val="2"/>
                <c:pt idx="0">
                  <c:v>收入</c:v>
                </c:pt>
                <c:pt idx="1">
                  <c:v>支出</c:v>
                </c:pt>
              </c:strCache>
            </c:strRef>
          </c:cat>
          <c:val>
            <c:numRef>
              <c:f>'工作表465540'!$B$2:$C$2</c:f>
              <c:numCache>
                <c:formatCode>General</c:formatCode>
                <c:ptCount val="2"/>
                <c:pt idx="0">
                  <c:v>3451.66</c:v>
                </c:pt>
                <c:pt idx="1">
                  <c:v>3451.66</c:v>
                </c:pt>
              </c:numCache>
            </c:numRef>
          </c:val>
        </c:ser>
        <c:ser>
          <c:idx val="1"/>
          <c:order val="1"/>
          <c:tx>
            <c:strRef>
              <c:f>'工作表465540'!$A$3</c:f>
              <c:strCache>
                <c:ptCount val="1"/>
                <c:pt idx="0">
                  <c:v>2025年财政拨款</c:v>
                </c:pt>
              </c:strCache>
            </c:strRef>
          </c:tx>
          <c:spPr>
            <a:solidFill>
              <a:srgbClr val="ED7D31"/>
            </a:solidFill>
            <a:ln>
              <a:noFill/>
            </a:ln>
          </c:spPr>
          <c:invertIfNegative val="0"/>
          <c:dLbls>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'工作表465540'!$B$1:$C$1</c:f>
              <c:strCache>
                <c:ptCount val="2"/>
                <c:pt idx="0">
                  <c:v>收入</c:v>
                </c:pt>
                <c:pt idx="1">
                  <c:v>支出</c:v>
                </c:pt>
              </c:strCache>
            </c:strRef>
          </c:cat>
          <c:val>
            <c:numRef>
              <c:f>'工作表465540'!$B$3:$C$3</c:f>
              <c:numCache>
                <c:formatCode>General</c:formatCode>
                <c:ptCount val="2"/>
                <c:pt idx="0">
                  <c:v>3296.26</c:v>
                </c:pt>
                <c:pt idx="1">
                  <c:v>3296.26</c:v>
                </c:pt>
              </c:numCache>
            </c:numRef>
          </c:val>
        </c:ser>
        <c:ser>
          <c:idx val="2"/>
          <c:order val="2"/>
          <c:tx>
            <c:v>系列3</c:v>
          </c:tx>
          <c:spPr>
            <a:solidFill>
              <a:srgbClr val="A5A5A5"/>
            </a:solidFill>
            <a:ln>
              <a:noFill/>
            </a:ln>
          </c:spPr>
          <c:invertIfNegative val="0"/>
          <c:dLbls>
            <c:dLbl>
              <c:idx val="0"/>
              <c:numFmt formatCode="General" sourceLinked="0"/>
              <c:spPr>
                <a:noFill/>
                <a:ln>
                  <a:noFill/>
                </a:ln>
              </c:spPr>
              <c:txPr>
                <a:bodyPr vert="horz"/>
                <a:lstStyle/>
                <a:p>
                  <a:pPr>
                    <a:defRPr sz="900" b="0" i="0" u="none" strike="noStrike" baseline="0">
                      <a:solidFill>
                        <a:srgbClr val="000000"/>
                      </a:solidFill>
                      <a:latin typeface="Times New Roman"/>
                      <a:ea typeface="宋体"/>
                      <a:cs typeface="Lucida Sans"/>
                    </a:defRPr>
                  </a:pPr>
                  <a:endParaRPr lang="zh-CN"/>
                </a:p>
              </c:txPr>
              <c:dLblPos val="outEnd"/>
              <c:delete val="1"/>
            </c:dLbl>
            <c:dLbl>
              <c:idx val="1"/>
              <c:numFmt formatCode="General" sourceLinked="0"/>
              <c:spPr>
                <a:noFill/>
                <a:ln>
                  <a:noFill/>
                </a:ln>
              </c:spPr>
              <c:txPr>
                <a:bodyPr vert="horz"/>
                <a:lstStyle/>
                <a:p>
                  <a:pPr>
                    <a:defRPr sz="9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1"/>
            <c:extLst>
              <c:ext xmlns:c15="http://schemas.microsoft.com/office/drawing/2012/chart" uri="{CE6537A1-D6FC-4f65-9D91-7224C49458BB}">
                <c15:showLeaderLines val="1"/>
              </c:ext>
            </c:extLst>
          </c:dLbls>
          <c:cat>
            <c:strLit>
              <c:ptCount val="2"/>
              <c:pt idx="0">
                <c:v>收入</c:v>
              </c:pt>
              <c:pt idx="1">
                <c:v>支出</c:v>
              </c:pt>
            </c:strLit>
          </c:cat>
          <c:val>
            <c:numRef>
              <c:f/>
              <c:numCache>
                <c:formatCode>General</c:formatCode>
                <c:ptCount val="2"/>
                <c:pt idx="0">
                  <c:v>1.0</c:v>
                </c:pt>
              </c:numCache>
            </c:numRef>
          </c:val>
        </c:ser>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8D8D8"/>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8D8D8"/>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Entry>
        <c:idx val="2"/>
        <c:delete val="1"/>
      </c:legendEntry>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'工作表465541'!$A$2</c:f>
              <c:strCache>
                <c:ptCount val="1"/>
                <c:pt idx="0">
                  <c:v>2024年一般公共预算财政拨款</c:v>
                </c:pt>
              </c:strCache>
            </c:strRef>
          </c:tx>
          <c:spPr>
            <a:solidFill>
              <a:srgbClr val="5B9BD5"/>
            </a:solidFill>
            <a:ln>
              <a:noFill/>
            </a:ln>
          </c:spPr>
          <c:invertIfNegative val="0"/>
          <c:dLbls>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'工作表465541'!$B$1:$C$1</c:f>
              <c:strCache>
                <c:ptCount val="2"/>
                <c:pt idx="0">
                  <c:v>收入</c:v>
                </c:pt>
                <c:pt idx="1">
                  <c:v>支出</c:v>
                </c:pt>
              </c:strCache>
            </c:strRef>
          </c:cat>
          <c:val>
            <c:numRef>
              <c:f>'工作表465541'!$B$2:$C$2</c:f>
              <c:numCache>
                <c:formatCode>General</c:formatCode>
                <c:ptCount val="2"/>
                <c:pt idx="0">
                  <c:v>3451.66</c:v>
                </c:pt>
                <c:pt idx="1">
                  <c:v>3451.66</c:v>
                </c:pt>
              </c:numCache>
            </c:numRef>
          </c:val>
        </c:ser>
        <c:ser>
          <c:idx val="1"/>
          <c:order val="1"/>
          <c:tx>
            <c:strRef>
              <c:f>'工作表465541'!$A$3</c:f>
              <c:strCache>
                <c:ptCount val="1"/>
                <c:pt idx="0">
                  <c:v>2025年一般公共预算财政拨款</c:v>
                </c:pt>
              </c:strCache>
            </c:strRef>
          </c:tx>
          <c:spPr>
            <a:solidFill>
              <a:srgbClr val="ED7D31"/>
            </a:solidFill>
            <a:ln>
              <a:noFill/>
            </a:ln>
          </c:spPr>
          <c:invertIfNegative val="0"/>
          <c:dLbls>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'工作表465541'!$B$1:$C$1</c:f>
              <c:strCache>
                <c:ptCount val="2"/>
                <c:pt idx="0">
                  <c:v>收入</c:v>
                </c:pt>
                <c:pt idx="1">
                  <c:v>支出</c:v>
                </c:pt>
              </c:strCache>
            </c:strRef>
          </c:cat>
          <c:val>
            <c:numRef>
              <c:f>'工作表465541'!$B$3:$C$3</c:f>
              <c:numCache>
                <c:formatCode>General</c:formatCode>
                <c:ptCount val="2"/>
                <c:pt idx="0">
                  <c:v>3296.26</c:v>
                </c:pt>
                <c:pt idx="1">
                  <c:v>3296.26</c:v>
                </c:pt>
              </c:numCache>
            </c:numRef>
          </c:val>
        </c:ser>
        <c:ser>
          <c:idx val="2"/>
          <c:order val="2"/>
          <c:tx>
            <c:v>系列3</c:v>
          </c:tx>
          <c:spPr>
            <a:solidFill>
              <a:srgbClr val="A5A5A5"/>
            </a:solidFill>
            <a:ln>
              <a:noFill/>
            </a:ln>
          </c:spPr>
          <c:invertIfNegative val="0"/>
          <c:dLbls>
            <c:dLbl>
              <c:idx val="0"/>
              <c:numFmt formatCode="General" sourceLinked="0"/>
              <c:spPr>
                <a:noFill/>
                <a:ln>
                  <a:noFill/>
                </a:ln>
              </c:spPr>
              <c:txPr>
                <a:bodyPr vert="horz"/>
                <a:lstStyle/>
                <a:p>
                  <a:pPr>
                    <a:defRPr sz="900" b="0" i="0" u="none" strike="noStrike" baseline="0">
                      <a:solidFill>
                        <a:srgbClr val="000000"/>
                      </a:solidFill>
                      <a:latin typeface="Times New Roman"/>
                      <a:ea typeface="宋体"/>
                      <a:cs typeface="Lucida Sans"/>
                    </a:defRPr>
                  </a:pPr>
                  <a:endParaRPr lang="zh-CN"/>
                </a:p>
              </c:txPr>
              <c:dLblPos val="outEnd"/>
              <c:delete val="1"/>
            </c:dLbl>
            <c:dLbl>
              <c:idx val="1"/>
              <c:numFmt formatCode="General" sourceLinked="0"/>
              <c:spPr>
                <a:noFill/>
                <a:ln>
                  <a:noFill/>
                </a:ln>
              </c:spPr>
              <c:txPr>
                <a:bodyPr vert="horz"/>
                <a:lstStyle/>
                <a:p>
                  <a:pPr>
                    <a:defRPr sz="9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1"/>
            <c:extLst>
              <c:ext xmlns:c15="http://schemas.microsoft.com/office/drawing/2012/chart" uri="{CE6537A1-D6FC-4f65-9D91-7224C49458BB}">
                <c15:showLeaderLines val="1"/>
              </c:ext>
            </c:extLst>
          </c:dLbls>
          <c:cat>
            <c:strLit>
              <c:ptCount val="2"/>
              <c:pt idx="0">
                <c:v>收入</c:v>
              </c:pt>
              <c:pt idx="1">
                <c:v>支出</c:v>
              </c:pt>
            </c:strLit>
          </c:cat>
          <c:val>
            <c:numRef>
              <c:f/>
              <c:numCache>
                <c:formatCode>General</c:formatCode>
                <c:ptCount val="2"/>
                <c:pt idx="0">
                  <c:v>1.0</c:v>
                </c:pt>
              </c:numCache>
            </c:numRef>
          </c:val>
        </c:ser>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8D8D8"/>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8D8D8"/>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Entry>
        <c:idx val="2"/>
        <c:delete val="1"/>
      </c:legendEntry>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0" i="0" u="none" strike="noStrike" baseline="0">
                <a:solidFill>
                  <a:srgbClr val="000000"/>
                </a:solidFill>
                <a:latin typeface="Times New Roman"/>
                <a:ea typeface="宋体"/>
                <a:cs typeface="Lucida Sans"/>
              </a:defRPr>
            </a:pPr>
            <a:r>
              <a:rPr lang="zh-CN" sz="1400" b="0" i="0" u="none" strike="noStrike" baseline="0">
                <a:solidFill>
                  <a:srgbClr val="595959"/>
                </a:solidFill>
                <a:latin typeface="Times New Roman"/>
                <a:ea typeface="宋体"/>
                <a:cs typeface="Lucida Sans"/>
              </a:rPr>
              <a:t>202</a:t>
            </a:r>
            <a:r>
              <a:rPr lang="zh-CN" sz="1400" b="0" i="0" u="none" strike="noStrike" baseline="0">
                <a:solidFill>
                  <a:srgbClr val="595959"/>
                </a:solidFill>
                <a:latin typeface="Times New Roman"/>
                <a:ea typeface="宋体"/>
                <a:cs typeface="Lucida Sans"/>
              </a:rPr>
              <a:t>5</a:t>
            </a:r>
            <a:r>
              <a:rPr lang="zh-CN" sz="1400" b="0" i="0" u="none" strike="noStrike" baseline="0">
                <a:solidFill>
                  <a:srgbClr val="595959"/>
                </a:solidFill>
                <a:latin typeface="Times New Roman"/>
                <a:ea typeface="宋体"/>
                <a:cs typeface="Lucida Sans"/>
              </a:rPr>
              <a:t>年度一般公共预算财政拨款支出</a:t>
            </a:r>
          </a:p>
        </c:rich>
      </c:tx>
      <c:layout/>
      <c:overlay val="0"/>
      <c:spPr>
        <a:ln>
          <a:noFill/>
        </a:ln>
      </c:spPr>
    </c:title>
    <c:autoTitleDeleted val="1"/>
    <c:plotArea>
      <c:layout/>
      <c:barChart>
        <c:barDir val="col"/>
        <c:grouping val="clustered"/>
        <c:varyColors val="0"/>
        <c:ser>
          <c:idx val="0"/>
          <c:order val="0"/>
          <c:tx>
            <c:strRef>
              <c:f>'工作表465542'!$A$2</c:f>
              <c:strCache>
                <c:ptCount val="1"/>
                <c:pt idx="0">
                  <c:v>2025年度一般公共预算财政拨款支出</c:v>
                </c:pt>
              </c:strCache>
            </c:strRef>
          </c:tx>
          <c:spPr>
            <a:solidFill>
              <a:srgbClr val="5B9BD5"/>
            </a:solidFill>
            <a:ln>
              <a:noFill/>
            </a:ln>
          </c:spPr>
          <c:invertIfNegative val="0"/>
          <c:dLbls>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'工作表465542'!$B$1:$E$1</c:f>
              <c:strCache>
                <c:ptCount val="4"/>
                <c:pt idx="0">
                  <c:v>一般公共服务支出</c:v>
                </c:pt>
                <c:pt idx="1">
                  <c:v>社会保障和就业支出</c:v>
                </c:pt>
                <c:pt idx="2">
                  <c:v>卫生健康支出</c:v>
                </c:pt>
                <c:pt idx="3">
                  <c:v>住房保障支出</c:v>
                </c:pt>
              </c:strCache>
            </c:strRef>
          </c:cat>
          <c:val>
            <c:numRef>
              <c:f>'工作表465542'!$B$2:$E$2</c:f>
              <c:numCache>
                <c:formatCode>General</c:formatCode>
                <c:ptCount val="4"/>
                <c:pt idx="0">
                  <c:v>2765.05</c:v>
                </c:pt>
                <c:pt idx="1">
                  <c:v>276.59</c:v>
                </c:pt>
                <c:pt idx="2">
                  <c:v>105.46</c:v>
                </c:pt>
                <c:pt idx="3">
                  <c:v>149.16</c:v>
                </c:pt>
              </c:numCache>
            </c:numRef>
          </c:val>
        </c:ser>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8D8D8"/>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8D8D8"/>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0" i="0" u="none" strike="noStrike" baseline="0">
                <a:solidFill>
                  <a:srgbClr val="000000"/>
                </a:solidFill>
                <a:latin typeface="Times New Roman"/>
                <a:ea typeface="宋体"/>
                <a:cs typeface="Lucida Sans"/>
              </a:defRPr>
            </a:pPr>
            <a:r>
              <a:rPr lang="zh-CN" sz="1400" b="0" i="0" u="none" strike="noStrike" baseline="0">
                <a:solidFill>
                  <a:srgbClr val="595959"/>
                </a:solidFill>
                <a:latin typeface="Times New Roman"/>
                <a:ea typeface="宋体"/>
                <a:cs typeface="Lucida Sans"/>
              </a:rPr>
              <a:t>202</a:t>
            </a:r>
            <a:r>
              <a:rPr lang="zh-CN" sz="1400" b="0" i="0" u="none" strike="noStrike" baseline="0">
                <a:solidFill>
                  <a:srgbClr val="595959"/>
                </a:solidFill>
                <a:latin typeface="Times New Roman"/>
                <a:ea typeface="宋体"/>
                <a:cs typeface="Lucida Sans"/>
              </a:rPr>
              <a:t>5</a:t>
            </a:r>
            <a:r>
              <a:rPr lang="zh-CN" sz="1400" b="0" i="0" u="none" strike="noStrike" baseline="0">
                <a:solidFill>
                  <a:srgbClr val="595959"/>
                </a:solidFill>
                <a:latin typeface="Times New Roman"/>
                <a:ea typeface="宋体"/>
                <a:cs typeface="Lucida Sans"/>
              </a:rPr>
              <a:t>年度“三公”经费财政拨款支出</a:t>
            </a:r>
          </a:p>
        </c:rich>
      </c:tx>
      <c:layout/>
      <c:overlay val="0"/>
      <c:spPr>
        <a:ln>
          <a:noFill/>
        </a:ln>
      </c:spPr>
    </c:title>
    <c:autoTitleDeleted val="1"/>
    <c:plotArea>
      <c:layout/>
      <c:pieChart>
        <c:varyColors val="1"/>
        <c:ser>
          <c:idx val="0"/>
          <c:order val="0"/>
          <c:tx>
            <c:strRef>
              <c:f>'工作表465543'!$A$2</c:f>
              <c:strCache>
                <c:ptCount val="1"/>
                <c:pt idx="0">
                  <c:v>2025年度“三公”经费财政拨款支出</c:v>
                </c:pt>
              </c:strCache>
            </c:strRef>
          </c:tx>
          <c:spPr>
            <a:solidFill>
              <a:srgbClr val="4F81BD"/>
            </a:solidFill>
            <a:ln>
              <a:noFill/>
            </a:ln>
          </c:spPr>
          <c:dPt>
            <c:idx val="0"/>
            <c:bubble3D val="0"/>
            <c:spPr>
              <a:solidFill>
                <a:srgbClr val="5B9BD5"/>
              </a:solidFill>
              <a:ln>
                <a:noFill/>
              </a:ln>
            </c:spPr>
          </c:dPt>
          <c:dPt>
            <c:idx val="1"/>
            <c:bubble3D val="0"/>
            <c:spPr>
              <a:solidFill>
                <a:srgbClr val="ED7D31"/>
              </a:solidFill>
              <a:ln>
                <a:noFill/>
              </a:ln>
            </c:spPr>
          </c:dPt>
          <c:dPt>
            <c:idx val="2"/>
            <c:bubble3D val="0"/>
            <c:spPr>
              <a:solidFill>
                <a:srgbClr val="A5A5A5"/>
              </a:solidFill>
              <a:ln>
                <a:noFill/>
              </a:ln>
            </c:spPr>
          </c:dPt>
          <c:dLbls>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numFmt formatCode="General" sourceLinked="1"/>
            <c:dLbl>
              <c:idx val="0"/>
              <c:numFmt formatCode="General" sourceLinked="0"/>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showLegendKey val="0"/>
              <c:showVal val="1"/>
              <c:showCatName val="0"/>
              <c:showSerName val="0"/>
              <c:showPercent val="0"/>
              <c:showBubbleSize val="0"/>
            </c:dLbl>
            <c:dLbl>
              <c:idx val="1"/>
              <c:numFmt formatCode="General" sourceLinked="0"/>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showLegendKey val="0"/>
              <c:showVal val="1"/>
              <c:showCatName val="0"/>
              <c:showSerName val="0"/>
              <c:showPercent val="0"/>
              <c:showBubbleSize val="0"/>
            </c:dLbl>
            <c:dLbl>
              <c:idx val="2"/>
              <c:numFmt formatCode="General" sourceLinked="0"/>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showLegendKey val="0"/>
              <c:showVal val="1"/>
              <c:showCatName val="0"/>
              <c:showSerName val="0"/>
              <c:showPercent val="0"/>
              <c:showBubbleSize val="0"/>
            </c:dLbl>
            <c:showLegendKey val="0"/>
            <c:showVal val="1"/>
            <c:showCatName val="0"/>
            <c:showSerName val="0"/>
            <c:showPercent val="0"/>
            <c:showBubbleSize val="0"/>
            <c:showLeaderLines val="1"/>
          </c:dLbls>
          <c:cat>
            <c:strRef>
              <c:f>'工作表465543'!$B$1:$D$1</c:f>
              <c:strCache>
                <c:ptCount val="3"/>
                <c:pt idx="0">
                  <c:v>公务用车购置及运行维护费支出</c:v>
                </c:pt>
                <c:pt idx="1">
                  <c:v>公务接待费支出</c:v>
                </c:pt>
                <c:pt idx="2">
                  <c:v>因公出国（境）费支出</c:v>
                </c:pt>
              </c:strCache>
            </c:strRef>
          </c:cat>
          <c:val>
            <c:numRef>
              <c:f>'工作表465543'!$B$2:$D$2</c:f>
              <c:numCache>
                <c:formatCode>General</c:formatCode>
                <c:ptCount val="3"/>
                <c:pt idx="0">
                  <c:v>150.61</c:v>
                </c:pt>
                <c:pt idx="1">
                  <c:v>0.22</c:v>
                </c:pt>
                <c:pt idx="2">
                  <c:v>0.0</c:v>
                </c:pt>
              </c:numCache>
            </c:numRef>
          </c:val>
        </c:ser>
        <c:ser>
          <c:idx val="1"/>
          <c:order val="1"/>
          <c:tx>
            <c:v>系列2</c:v>
          </c:tx>
          <c:spPr>
            <a:solidFill>
              <a:srgbClr val="C0504D"/>
            </a:solidFill>
            <a:ln>
              <a:noFill/>
            </a:ln>
          </c:spPr>
          <c:dLbls>
            <c:spPr>
              <a:noFill/>
              <a:ln>
                <a:noFill/>
              </a:ln>
            </c:spPr>
            <c:txPr>
              <a:bodyPr vert="horz"/>
              <a:lstStyle/>
              <a:p>
                <a:pPr>
                  <a:defRPr sz="900" b="0" i="0" u="none" strike="noStrike" baseline="0">
                    <a:solidFill>
                      <a:srgbClr val="000000"/>
                    </a:solidFill>
                    <a:latin typeface="Times New Roman"/>
                    <a:ea typeface="宋体"/>
                    <a:cs typeface="Lucida Sans"/>
                  </a:defRPr>
                </a:pPr>
                <a:endParaRPr lang="zh-CN"/>
              </a:p>
            </c:txPr>
            <c:numFmt formatCode="General" sourceLinked="1"/>
            <c:showLegendKey val="0"/>
            <c:showVal val="1"/>
            <c:showCatName val="0"/>
            <c:showSerName val="0"/>
            <c:showPercent val="0"/>
            <c:showBubbleSize val="0"/>
            <c:showLeaderLines val="1"/>
          </c:dLbls>
          <c:cat>
            <c:strLit>
              <c:ptCount val="3"/>
              <c:pt idx="0">
                <c:v>公务用车购置及运行维护费支出</c:v>
              </c:pt>
              <c:pt idx="1">
                <c:v>公务接待费支出</c:v>
              </c:pt>
              <c:pt idx="2">
                <c:v>因公出国（境）费支出</c:v>
              </c:pt>
            </c:strLit>
          </c:cat>
          <c:val>
            <c:numRef>
              <c:f/>
            </c:numRef>
          </c:val>
        </c:ser>
        <c:ser>
          <c:idx val="2"/>
          <c:order val="2"/>
          <c:tx>
            <c:v>系列3</c:v>
          </c:tx>
          <c:spPr>
            <a:solidFill>
              <a:srgbClr val="9BBB59"/>
            </a:solidFill>
            <a:ln>
              <a:noFill/>
            </a:ln>
          </c:spPr>
          <c:dLbls>
            <c:spPr>
              <a:noFill/>
              <a:ln>
                <a:noFill/>
              </a:ln>
            </c:spPr>
            <c:txPr>
              <a:bodyPr vert="horz"/>
              <a:lstStyle/>
              <a:p>
                <a:pPr>
                  <a:defRPr sz="900" b="0" i="0" u="none" strike="noStrike" baseline="0">
                    <a:solidFill>
                      <a:srgbClr val="000000"/>
                    </a:solidFill>
                    <a:latin typeface="Times New Roman"/>
                    <a:ea typeface="宋体"/>
                    <a:cs typeface="Lucida Sans"/>
                  </a:defRPr>
                </a:pPr>
                <a:endParaRPr lang="zh-CN"/>
              </a:p>
            </c:txPr>
            <c:numFmt formatCode="General" sourceLinked="1"/>
            <c:showLegendKey val="0"/>
            <c:showVal val="1"/>
            <c:showCatName val="0"/>
            <c:showSerName val="0"/>
            <c:showPercent val="0"/>
            <c:showBubbleSize val="0"/>
            <c:showLeaderLines val="1"/>
          </c:dLbls>
          <c:cat>
            <c:strLit>
              <c:ptCount val="3"/>
              <c:pt idx="0">
                <c:v>公务用车购置及运行维护费支出</c:v>
              </c:pt>
              <c:pt idx="1">
                <c:v>公务接待费支出</c:v>
              </c:pt>
              <c:pt idx="2">
                <c:v>因公出国（境）费支出</c:v>
              </c:pt>
            </c:strLit>
          </c:cat>
          <c:val>
            <c:numRef>
              <c:f/>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12422</TotalTime>
  <Application>Yozo_Office27021597764231179</Application>
  <Pages>23</Pages>
  <Words>8259</Words>
  <Characters>9095</Characters>
  <Lines>454</Lines>
  <Paragraphs>182</Paragraphs>
  <CharactersWithSpaces>9221</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user</cp:lastModifiedBy>
  <cp:revision>35</cp:revision>
  <cp:lastPrinted>2026-09-18T02:26:20Z</cp:lastPrinted>
  <dcterms:created xsi:type="dcterms:W3CDTF">2020-08-09T09:49:00Z</dcterms:created>
  <dcterms:modified xsi:type="dcterms:W3CDTF">2026-09-18T03:33:46Z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04787F2533EB45DC91BCDE4AB213247F</vt:lpwstr>
  </property>
  <property fmtid="{D5CDD505-2E9C-101B-9397-08002B2CF9AE}" pid="4" name="KSOTemplateDocerSaveRecord">
    <vt:lpwstr>eyJoZGlkIjoiM2JkZGE4NjY1YTM4MWRkYmM1ZWM0OTVjYzM5M2Q1ZWMiLCJ1c2VySWQiOiIzMDY5NTQ3NzEifQ==</vt:lpwstr>
  </property>
</Properties>
</file>