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523E">
      <w:pPr>
        <w:pStyle w:val="5"/>
        <w:pageBreakBefore w:val="0"/>
        <w:kinsoku/>
        <w:wordWrap/>
        <w:overflowPunct/>
        <w:topLinePunct w:val="0"/>
        <w:autoSpaceDE/>
        <w:autoSpaceDN/>
        <w:bidi w:val="0"/>
        <w:spacing w:before="93" w:line="240" w:lineRule="auto"/>
        <w:rPr>
          <w:rFonts w:ascii="Times New Roman" w:eastAsia="方正小标宋简体"/>
          <w:kern w:val="2"/>
          <w:sz w:val="72"/>
          <w:szCs w:val="72"/>
        </w:rPr>
      </w:pPr>
      <w:bookmarkStart w:id="0" w:name="_Toc15378441"/>
      <w:bookmarkStart w:id="1" w:name="_Toc15396475"/>
      <w:bookmarkStart w:id="2" w:name="_Toc15306267"/>
      <w:bookmarkStart w:id="3" w:name="_Toc15377193"/>
      <w:bookmarkStart w:id="4" w:name="_Toc15377425"/>
      <w:bookmarkStart w:id="5" w:name="_Toc15396597"/>
    </w:p>
    <w:p w14:paraId="0FF4DA23">
      <w:pPr>
        <w:pStyle w:val="5"/>
        <w:pageBreakBefore w:val="0"/>
        <w:kinsoku/>
        <w:wordWrap/>
        <w:overflowPunct/>
        <w:topLinePunct w:val="0"/>
        <w:autoSpaceDE/>
        <w:autoSpaceDN/>
        <w:bidi w:val="0"/>
        <w:spacing w:before="93" w:line="240" w:lineRule="auto"/>
        <w:rPr>
          <w:rFonts w:ascii="Times New Roman" w:eastAsia="方正小标宋简体"/>
          <w:kern w:val="2"/>
          <w:sz w:val="72"/>
          <w:szCs w:val="72"/>
        </w:rPr>
      </w:pPr>
    </w:p>
    <w:p w14:paraId="3F611A60">
      <w:pPr>
        <w:pStyle w:val="5"/>
        <w:pageBreakBefore w:val="0"/>
        <w:kinsoku/>
        <w:wordWrap/>
        <w:overflowPunct/>
        <w:topLinePunct w:val="0"/>
        <w:autoSpaceDE/>
        <w:autoSpaceDN/>
        <w:bidi w:val="0"/>
        <w:spacing w:before="93" w:line="240" w:lineRule="auto"/>
        <w:rPr>
          <w:rFonts w:ascii="Times New Roman" w:eastAsia="方正小标宋简体"/>
          <w:kern w:val="2"/>
          <w:sz w:val="72"/>
          <w:szCs w:val="72"/>
        </w:rPr>
      </w:pPr>
    </w:p>
    <w:p w14:paraId="0B3DAE6B">
      <w:pPr>
        <w:pStyle w:val="5"/>
        <w:pageBreakBefore w:val="0"/>
        <w:kinsoku/>
        <w:wordWrap/>
        <w:overflowPunct/>
        <w:topLinePunct w:val="0"/>
        <w:autoSpaceDE/>
        <w:autoSpaceDN/>
        <w:bidi w:val="0"/>
        <w:spacing w:before="93" w:line="240" w:lineRule="auto"/>
        <w:jc w:val="center"/>
        <w:rPr>
          <w:rFonts w:ascii="Times New Roman" w:eastAsia="方正小标宋简体"/>
          <w:kern w:val="2"/>
          <w:sz w:val="44"/>
          <w:szCs w:val="44"/>
        </w:rPr>
      </w:pPr>
      <w:r>
        <w:rPr>
          <w:rFonts w:hint="eastAsia" w:ascii="Times New Roman" w:eastAsia="方正小标宋简体"/>
          <w:kern w:val="2"/>
          <w:sz w:val="44"/>
          <w:szCs w:val="44"/>
        </w:rPr>
        <w:t>2024年度</w:t>
      </w:r>
      <w:r>
        <w:rPr>
          <w:rFonts w:hint="eastAsia" w:ascii="Times New Roman" w:eastAsia="方正小标宋简体"/>
          <w:kern w:val="2"/>
          <w:sz w:val="44"/>
          <w:szCs w:val="44"/>
          <w:lang w:eastAsia="zh-CN"/>
        </w:rPr>
        <w:t>阿坝</w:t>
      </w:r>
      <w:r>
        <w:rPr>
          <w:rFonts w:hint="eastAsia" w:ascii="Times New Roman" w:eastAsia="方正小标宋简体"/>
          <w:kern w:val="2"/>
          <w:sz w:val="44"/>
          <w:szCs w:val="44"/>
        </w:rPr>
        <w:t>州</w:t>
      </w:r>
      <w:r>
        <w:rPr>
          <w:rFonts w:hint="eastAsia" w:ascii="Times New Roman" w:eastAsia="方正小标宋简体"/>
          <w:kern w:val="2"/>
          <w:sz w:val="44"/>
          <w:szCs w:val="44"/>
          <w:lang w:eastAsia="zh-CN"/>
        </w:rPr>
        <w:t>《草地》编辑部</w:t>
      </w:r>
      <w:r>
        <w:rPr>
          <w:rFonts w:hint="eastAsia" w:ascii="Times New Roman" w:eastAsia="方正小标宋简体"/>
          <w:kern w:val="2"/>
          <w:sz w:val="44"/>
          <w:szCs w:val="44"/>
        </w:rPr>
        <w:t>决算</w:t>
      </w:r>
    </w:p>
    <w:p w14:paraId="46845C5D">
      <w:pPr>
        <w:pStyle w:val="20"/>
        <w:pageBreakBefore w:val="0"/>
        <w:kinsoku/>
        <w:wordWrap/>
        <w:overflowPunct/>
        <w:topLinePunct w:val="0"/>
        <w:autoSpaceDE/>
        <w:autoSpaceDN/>
        <w:bidi w:val="0"/>
        <w:spacing w:line="240" w:lineRule="auto"/>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48525C46">
      <w:pPr>
        <w:pageBreakBefore w:val="0"/>
        <w:widowControl/>
        <w:kinsoku/>
        <w:wordWrap/>
        <w:overflowPunct/>
        <w:topLinePunct w:val="0"/>
        <w:autoSpaceDE/>
        <w:autoSpaceDN/>
        <w:bidi w:val="0"/>
        <w:spacing w:line="240" w:lineRule="auto"/>
        <w:jc w:val="both"/>
        <w:rPr>
          <w:rFonts w:eastAsia="黑体"/>
          <w:sz w:val="48"/>
          <w:szCs w:val="48"/>
        </w:rPr>
      </w:pPr>
      <w:r>
        <w:rPr>
          <w:rFonts w:hint="eastAsia" w:eastAsia="黑体"/>
          <w:sz w:val="48"/>
          <w:szCs w:val="48"/>
        </w:rPr>
        <w:t>目录</w:t>
      </w:r>
    </w:p>
    <w:p w14:paraId="3A675FA4">
      <w:pPr>
        <w:pageBreakBefore w:val="0"/>
        <w:widowControl/>
        <w:kinsoku/>
        <w:wordWrap/>
        <w:overflowPunct/>
        <w:topLinePunct w:val="0"/>
        <w:autoSpaceDE/>
        <w:autoSpaceDN/>
        <w:bidi w:val="0"/>
        <w:spacing w:line="240" w:lineRule="auto"/>
        <w:jc w:val="center"/>
        <w:rPr>
          <w:rFonts w:eastAsia="黑体" w:cstheme="minorBidi"/>
          <w:sz w:val="28"/>
          <w:szCs w:val="28"/>
        </w:rPr>
      </w:pPr>
    </w:p>
    <w:p w14:paraId="3AB94423">
      <w:pPr>
        <w:pStyle w:val="12"/>
        <w:pageBreakBefore w:val="0"/>
        <w:kinsoku/>
        <w:wordWrap/>
        <w:overflowPunct/>
        <w:topLinePunct w:val="0"/>
        <w:autoSpaceDE/>
        <w:autoSpaceDN/>
        <w:bidi w:val="0"/>
        <w:spacing w:line="240" w:lineRule="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 xml:space="preserve">月 </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日</w:t>
      </w:r>
    </w:p>
    <w:p w14:paraId="63C0BCB0">
      <w:pPr>
        <w:pageBreakBefore w:val="0"/>
        <w:kinsoku/>
        <w:wordWrap/>
        <w:overflowPunct/>
        <w:topLinePunct w:val="0"/>
        <w:autoSpaceDE/>
        <w:autoSpaceDN/>
        <w:bidi w:val="0"/>
        <w:spacing w:line="240" w:lineRule="auto"/>
      </w:pPr>
    </w:p>
    <w:p w14:paraId="162A9EE7">
      <w:pPr>
        <w:pStyle w:val="12"/>
        <w:pageBreakBefore w:val="0"/>
        <w:kinsoku/>
        <w:wordWrap/>
        <w:overflowPunct/>
        <w:topLinePunct w:val="0"/>
        <w:autoSpaceDE/>
        <w:autoSpaceDN/>
        <w:bidi w:val="0"/>
        <w:adjustRightInd w:val="0"/>
        <w:snapToGrid w:val="0"/>
        <w:spacing w:before="0" w:line="240" w:lineRule="auto"/>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07155AE4">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hint="eastAsia" w:eastAsia="仿宋_GB2312" w:cs="仿宋_GB2312"/>
          <w:sz w:val="32"/>
          <w:szCs w:val="32"/>
        </w:rPr>
      </w:pPr>
      <w:r>
        <w:rPr>
          <w:rFonts w:hint="eastAsia" w:eastAsia="仿宋_GB2312" w:cs="仿宋_GB2312"/>
          <w:sz w:val="32"/>
          <w:szCs w:val="32"/>
        </w:rPr>
        <w:t>一、部门职责</w:t>
      </w:r>
    </w:p>
    <w:p w14:paraId="4FBD899C">
      <w:pPr>
        <w:pStyle w:val="14"/>
        <w:pageBreakBefore w:val="0"/>
        <w:numPr>
          <w:ilvl w:val="0"/>
          <w:numId w:val="1"/>
        </w:numPr>
        <w:kinsoku/>
        <w:wordWrap/>
        <w:overflowPunct/>
        <w:topLinePunct w:val="0"/>
        <w:autoSpaceDE/>
        <w:autoSpaceDN/>
        <w:bidi w:val="0"/>
        <w:adjustRightInd w:val="0"/>
        <w:snapToGrid w:val="0"/>
        <w:spacing w:line="240" w:lineRule="auto"/>
        <w:ind w:left="0" w:leftChars="0" w:firstLine="640" w:firstLineChars="200"/>
        <w:jc w:val="left"/>
        <w:rPr>
          <w:rFonts w:hint="eastAsia" w:eastAsia="仿宋_GB2312" w:cs="仿宋_GB2312"/>
          <w:sz w:val="32"/>
          <w:szCs w:val="32"/>
        </w:rPr>
      </w:pPr>
      <w:r>
        <w:rPr>
          <w:rFonts w:hint="eastAsia" w:eastAsia="仿宋_GB2312" w:cs="仿宋_GB2312"/>
          <w:sz w:val="32"/>
          <w:szCs w:val="32"/>
        </w:rPr>
        <w:t>机构设置</w:t>
      </w:r>
    </w:p>
    <w:p w14:paraId="5D6095BD">
      <w:pPr>
        <w:pStyle w:val="12"/>
        <w:pageBreakBefore w:val="0"/>
        <w:kinsoku/>
        <w:wordWrap/>
        <w:overflowPunct/>
        <w:topLinePunct w:val="0"/>
        <w:autoSpaceDE/>
        <w:autoSpaceDN/>
        <w:bidi w:val="0"/>
        <w:adjustRightInd w:val="0"/>
        <w:snapToGrid w:val="0"/>
        <w:spacing w:before="0" w:line="240" w:lineRule="auto"/>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67EC65C2">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hint="eastAsia" w:eastAsia="仿宋_GB2312" w:cs="仿宋_GB2312"/>
          <w:sz w:val="32"/>
          <w:szCs w:val="32"/>
        </w:rPr>
      </w:pPr>
      <w:r>
        <w:rPr>
          <w:rFonts w:hint="eastAsia" w:eastAsia="仿宋_GB2312" w:cs="仿宋_GB2312"/>
          <w:sz w:val="32"/>
          <w:szCs w:val="32"/>
        </w:rPr>
        <w:t>一、收入支出决算总体情况说明</w:t>
      </w:r>
    </w:p>
    <w:p w14:paraId="74AA6117">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hint="eastAsia" w:eastAsia="仿宋_GB2312" w:cs="仿宋_GB2312"/>
          <w:sz w:val="32"/>
          <w:szCs w:val="32"/>
        </w:rPr>
      </w:pPr>
      <w:r>
        <w:rPr>
          <w:rFonts w:hint="eastAsia" w:eastAsia="仿宋_GB2312" w:cs="仿宋_GB2312"/>
          <w:sz w:val="32"/>
          <w:szCs w:val="32"/>
          <w:lang w:eastAsia="zh-CN"/>
        </w:rPr>
        <w:t>二、</w:t>
      </w:r>
      <w:r>
        <w:rPr>
          <w:rFonts w:hint="eastAsia" w:eastAsia="仿宋_GB2312" w:cs="仿宋_GB2312"/>
          <w:sz w:val="32"/>
          <w:szCs w:val="32"/>
        </w:rPr>
        <w:t>收入决算情况说明</w:t>
      </w:r>
    </w:p>
    <w:p w14:paraId="1E69DFF9">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hint="eastAsia" w:eastAsia="仿宋_GB2312" w:cs="仿宋_GB2312"/>
          <w:sz w:val="32"/>
          <w:szCs w:val="32"/>
        </w:rPr>
      </w:pPr>
      <w:r>
        <w:rPr>
          <w:rFonts w:hint="eastAsia" w:eastAsia="仿宋_GB2312" w:cs="仿宋_GB2312"/>
          <w:sz w:val="32"/>
          <w:szCs w:val="32"/>
          <w:lang w:eastAsia="zh-CN"/>
        </w:rPr>
        <w:t>三、</w:t>
      </w:r>
      <w:r>
        <w:rPr>
          <w:rFonts w:hint="eastAsia" w:eastAsia="仿宋_GB2312" w:cs="仿宋_GB2312"/>
          <w:sz w:val="32"/>
          <w:szCs w:val="32"/>
        </w:rPr>
        <w:t>支出决算情况说明</w:t>
      </w:r>
    </w:p>
    <w:p w14:paraId="2FE2F279">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hint="eastAsia" w:eastAsia="仿宋_GB2312" w:cs="仿宋_GB2312"/>
          <w:sz w:val="32"/>
          <w:szCs w:val="32"/>
        </w:rPr>
      </w:pPr>
      <w:r>
        <w:rPr>
          <w:rFonts w:hint="eastAsia" w:eastAsia="仿宋_GB2312" w:cs="仿宋_GB2312"/>
          <w:sz w:val="32"/>
          <w:szCs w:val="32"/>
          <w:lang w:eastAsia="zh-CN"/>
        </w:rPr>
        <w:t>四、</w:t>
      </w:r>
      <w:r>
        <w:rPr>
          <w:rFonts w:hint="eastAsia" w:eastAsia="仿宋_GB2312" w:cs="仿宋_GB2312"/>
          <w:sz w:val="32"/>
          <w:szCs w:val="32"/>
        </w:rPr>
        <w:t>财政拨款收入支出决算总体情况说明</w:t>
      </w:r>
    </w:p>
    <w:p w14:paraId="05A94E15">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14:paraId="56D489FE">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14:paraId="5E00F471">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14:paraId="3B729C15">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14:paraId="1FFEFCFA">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14:paraId="23B50E32">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14:paraId="0D792C5F">
      <w:pPr>
        <w:pStyle w:val="12"/>
        <w:pageBreakBefore w:val="0"/>
        <w:kinsoku/>
        <w:wordWrap/>
        <w:overflowPunct/>
        <w:topLinePunct w:val="0"/>
        <w:autoSpaceDE/>
        <w:autoSpaceDN/>
        <w:bidi w:val="0"/>
        <w:adjustRightInd w:val="0"/>
        <w:snapToGrid w:val="0"/>
        <w:spacing w:before="0" w:line="240" w:lineRule="auto"/>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14:paraId="5BA7B373">
      <w:pPr>
        <w:pStyle w:val="12"/>
        <w:pageBreakBefore w:val="0"/>
        <w:kinsoku/>
        <w:wordWrap/>
        <w:overflowPunct/>
        <w:topLinePunct w:val="0"/>
        <w:autoSpaceDE/>
        <w:autoSpaceDN/>
        <w:bidi w:val="0"/>
        <w:adjustRightInd w:val="0"/>
        <w:snapToGrid w:val="0"/>
        <w:spacing w:before="0" w:line="240" w:lineRule="auto"/>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14:paraId="0F0A60EC">
      <w:pPr>
        <w:pStyle w:val="12"/>
        <w:pageBreakBefore w:val="0"/>
        <w:kinsoku/>
        <w:wordWrap/>
        <w:overflowPunct/>
        <w:topLinePunct w:val="0"/>
        <w:autoSpaceDE/>
        <w:autoSpaceDN/>
        <w:bidi w:val="0"/>
        <w:adjustRightInd w:val="0"/>
        <w:snapToGrid w:val="0"/>
        <w:spacing w:before="0" w:line="240" w:lineRule="auto"/>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14:paraId="25B9FD90">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6D72D4AC">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7004AF0A">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694E3723">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77CDBED6">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2DA8883A">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25B469D2">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3BD6C084">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524B9B3A">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7477C8A1">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7EEFC5DB">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70742367">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3B3F2705">
      <w:pPr>
        <w:pStyle w:val="14"/>
        <w:pageBreakBefore w:val="0"/>
        <w:kinsoku/>
        <w:wordWrap/>
        <w:overflowPunct/>
        <w:topLinePunct w:val="0"/>
        <w:autoSpaceDE/>
        <w:autoSpaceDN/>
        <w:bidi w:val="0"/>
        <w:adjustRightInd w:val="0"/>
        <w:snapToGrid w:val="0"/>
        <w:spacing w:line="240" w:lineRule="auto"/>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1848713F">
      <w:pPr>
        <w:pageBreakBefore w:val="0"/>
        <w:widowControl/>
        <w:kinsoku/>
        <w:wordWrap/>
        <w:overflowPunct/>
        <w:topLinePunct w:val="0"/>
        <w:autoSpaceDE/>
        <w:autoSpaceDN/>
        <w:bidi w:val="0"/>
        <w:spacing w:line="240" w:lineRule="auto"/>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14:paraId="7A0BB24A">
      <w:pPr>
        <w:pStyle w:val="2"/>
        <w:pageBreakBefore w:val="0"/>
        <w:kinsoku/>
        <w:wordWrap/>
        <w:overflowPunct/>
        <w:topLinePunct w:val="0"/>
        <w:autoSpaceDE/>
        <w:autoSpaceDN/>
        <w:bidi w:val="0"/>
        <w:spacing w:line="240" w:lineRule="auto"/>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6E8BE59E">
      <w:pPr>
        <w:pageBreakBefore w:val="0"/>
        <w:widowControl/>
        <w:kinsoku/>
        <w:wordWrap/>
        <w:overflowPunct/>
        <w:topLinePunct w:val="0"/>
        <w:autoSpaceDE/>
        <w:autoSpaceDN/>
        <w:bidi w:val="0"/>
        <w:spacing w:line="240" w:lineRule="auto"/>
        <w:jc w:val="left"/>
        <w:rPr>
          <w:rFonts w:eastAsia="黑体"/>
          <w:sz w:val="32"/>
          <w:szCs w:val="32"/>
        </w:rPr>
      </w:pPr>
    </w:p>
    <w:p w14:paraId="3ED80BA3">
      <w:pPr>
        <w:pStyle w:val="3"/>
        <w:pageBreakBefore w:val="0"/>
        <w:numPr>
          <w:ilvl w:val="0"/>
          <w:numId w:val="2"/>
        </w:numPr>
        <w:kinsoku/>
        <w:wordWrap/>
        <w:overflowPunct/>
        <w:topLinePunct w:val="0"/>
        <w:autoSpaceDE/>
        <w:autoSpaceDN/>
        <w:bidi w:val="0"/>
        <w:spacing w:line="240" w:lineRule="auto"/>
      </w:pPr>
      <w:r>
        <w:rPr>
          <w:rFonts w:hint="eastAsia" w:ascii="Times New Roman" w:hAnsi="Times New Roman" w:eastAsia="黑体"/>
          <w:b w:val="0"/>
        </w:rPr>
        <w:t>部门职责</w:t>
      </w:r>
    </w:p>
    <w:p w14:paraId="33D1821C">
      <w:pPr>
        <w:pStyle w:val="5"/>
        <w:pageBreakBefore w:val="0"/>
        <w:kinsoku/>
        <w:wordWrap/>
        <w:overflowPunct/>
        <w:topLinePunct w:val="0"/>
        <w:autoSpaceDE/>
        <w:autoSpaceDN/>
        <w:bidi w:val="0"/>
        <w:adjustRightInd w:val="0"/>
        <w:snapToGrid w:val="0"/>
        <w:spacing w:before="93" w:line="240" w:lineRule="auto"/>
        <w:ind w:firstLine="640" w:firstLineChars="200"/>
      </w:pPr>
      <w:r>
        <w:rPr>
          <w:rFonts w:ascii="Times New Roman" w:hAnsi="Times New Roman" w:eastAsia="方正仿宋_GBK"/>
          <w:bCs/>
          <w:color w:val="000000"/>
          <w:sz w:val="32"/>
          <w:szCs w:val="32"/>
        </w:rPr>
        <w:t>本单位主要职能是：编发文学作品，弘扬民族文学，刊发小说、诗歌、散文、杂文、评论、报告文学等。出版汉文版《草地》藏文版《邦炯》杂志。密切联系全州各县文学爱好者，对个别年轻作者做好重点交流和培养，做好作品推荐工作。</w:t>
      </w:r>
    </w:p>
    <w:p w14:paraId="020F2A88">
      <w:pPr>
        <w:pStyle w:val="3"/>
        <w:pageBreakBefore w:val="0"/>
        <w:kinsoku/>
        <w:wordWrap/>
        <w:overflowPunct/>
        <w:topLinePunct w:val="0"/>
        <w:autoSpaceDE/>
        <w:autoSpaceDN/>
        <w:bidi w:val="0"/>
        <w:spacing w:line="240" w:lineRule="auto"/>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6ED37B57">
      <w:pPr>
        <w:pageBreakBefore w:val="0"/>
        <w:numPr>
          <w:ilvl w:val="0"/>
          <w:numId w:val="0"/>
        </w:numPr>
        <w:kinsoku/>
        <w:wordWrap/>
        <w:overflowPunct/>
        <w:topLinePunct w:val="0"/>
        <w:autoSpaceDE/>
        <w:autoSpaceDN/>
        <w:bidi w:val="0"/>
        <w:spacing w:line="240" w:lineRule="auto"/>
        <w:ind w:firstLine="640" w:firstLineChars="200"/>
        <w:rPr>
          <w:rFonts w:eastAsia="仿宋_GB2312" w:cs="仿宋_GB2312"/>
          <w:sz w:val="32"/>
          <w:szCs w:val="32"/>
        </w:rPr>
      </w:pPr>
      <w:r>
        <w:rPr>
          <w:rFonts w:ascii="Times New Roman" w:hAnsi="Times New Roman" w:eastAsia="方正仿宋_GBK"/>
          <w:bCs/>
          <w:color w:val="000000"/>
          <w:sz w:val="32"/>
          <w:szCs w:val="32"/>
        </w:rPr>
        <w:t>《草地》编辑部单位属一级预算单位，下属二级预算单位0个，其中：行政单位0个；参照公务员法管理的事业单位0个；其他事业单位1个。</w:t>
      </w:r>
    </w:p>
    <w:p w14:paraId="67060DE8">
      <w:pPr>
        <w:pStyle w:val="5"/>
        <w:pageBreakBefore w:val="0"/>
        <w:kinsoku/>
        <w:wordWrap/>
        <w:overflowPunct/>
        <w:topLinePunct w:val="0"/>
        <w:autoSpaceDE/>
        <w:autoSpaceDN/>
        <w:bidi w:val="0"/>
        <w:adjustRightInd w:val="0"/>
        <w:snapToGrid w:val="0"/>
        <w:spacing w:before="93" w:line="240" w:lineRule="auto"/>
        <w:ind w:firstLine="672" w:firstLineChars="210"/>
        <w:rPr>
          <w:rFonts w:ascii="Times New Roman" w:cs="仿宋_GB2312"/>
          <w:sz w:val="32"/>
          <w:szCs w:val="32"/>
        </w:rPr>
      </w:pPr>
      <w:r>
        <w:rPr>
          <w:rFonts w:hint="eastAsia" w:ascii="Times New Roman" w:cs="仿宋_GB2312"/>
          <w:sz w:val="32"/>
          <w:szCs w:val="32"/>
        </w:rPr>
        <w:t>纳入</w:t>
      </w:r>
      <w:r>
        <w:rPr>
          <w:rFonts w:hint="eastAsia"/>
          <w:sz w:val="32"/>
          <w:szCs w:val="32"/>
          <w:lang w:eastAsia="zh-CN"/>
        </w:rPr>
        <w:t>州文联</w:t>
      </w:r>
      <w:r>
        <w:rPr>
          <w:rFonts w:hint="eastAsia" w:ascii="Times New Roman" w:cs="仿宋_GB2312"/>
          <w:sz w:val="32"/>
          <w:szCs w:val="32"/>
        </w:rPr>
        <w:t>2024年度部门决算编制范围的二级预算单位包括：</w:t>
      </w:r>
    </w:p>
    <w:p w14:paraId="0993466C">
      <w:pPr>
        <w:pStyle w:val="5"/>
        <w:pageBreakBefore w:val="0"/>
        <w:numPr>
          <w:ilvl w:val="0"/>
          <w:numId w:val="3"/>
        </w:numPr>
        <w:kinsoku/>
        <w:wordWrap/>
        <w:overflowPunct/>
        <w:topLinePunct w:val="0"/>
        <w:autoSpaceDE/>
        <w:autoSpaceDN/>
        <w:bidi w:val="0"/>
        <w:adjustRightInd w:val="0"/>
        <w:snapToGrid w:val="0"/>
        <w:spacing w:before="93" w:line="240" w:lineRule="auto"/>
        <w:outlineLvl w:val="2"/>
        <w:rPr>
          <w:rFonts w:ascii="Times New Roman" w:cs="仿宋_GB2312"/>
          <w:sz w:val="32"/>
          <w:szCs w:val="32"/>
        </w:rPr>
      </w:pPr>
      <w:bookmarkStart w:id="10" w:name="_Toc15378449"/>
      <w:bookmarkStart w:id="11" w:name="_Toc15306276"/>
      <w:bookmarkStart w:id="12" w:name="_Toc15377433"/>
      <w:bookmarkStart w:id="13" w:name="_Toc15377202"/>
      <w:r>
        <w:rPr>
          <w:rFonts w:hint="eastAsia" w:ascii="Times New Roman" w:cs="仿宋_GB2312"/>
          <w:sz w:val="32"/>
          <w:szCs w:val="32"/>
          <w:lang w:eastAsia="zh-CN"/>
        </w:rPr>
        <w:t>《草地》编辑部</w:t>
      </w:r>
      <w:bookmarkEnd w:id="10"/>
      <w:bookmarkEnd w:id="11"/>
      <w:bookmarkEnd w:id="12"/>
      <w:bookmarkEnd w:id="13"/>
    </w:p>
    <w:p w14:paraId="295113B1">
      <w:pPr>
        <w:pageBreakBefore w:val="0"/>
        <w:widowControl/>
        <w:kinsoku/>
        <w:wordWrap/>
        <w:overflowPunct/>
        <w:topLinePunct w:val="0"/>
        <w:autoSpaceDE/>
        <w:autoSpaceDN/>
        <w:bidi w:val="0"/>
        <w:spacing w:line="240" w:lineRule="auto"/>
        <w:jc w:val="left"/>
        <w:rPr>
          <w:rFonts w:eastAsia="仿宋"/>
          <w:kern w:val="0"/>
          <w:sz w:val="32"/>
          <w:szCs w:val="32"/>
        </w:rPr>
      </w:pPr>
      <w:r>
        <w:rPr>
          <w:rFonts w:eastAsia="仿宋"/>
          <w:sz w:val="32"/>
          <w:szCs w:val="32"/>
        </w:rPr>
        <w:br w:type="page"/>
      </w:r>
    </w:p>
    <w:p w14:paraId="533D2F2E">
      <w:pPr>
        <w:pStyle w:val="2"/>
        <w:pageBreakBefore w:val="0"/>
        <w:kinsoku/>
        <w:wordWrap/>
        <w:overflowPunct/>
        <w:topLinePunct w:val="0"/>
        <w:autoSpaceDE/>
        <w:autoSpaceDN/>
        <w:bidi w:val="0"/>
        <w:spacing w:line="240" w:lineRule="auto"/>
        <w:jc w:val="center"/>
        <w:rPr>
          <w:rFonts w:eastAsia="方正小标宋简体" w:cs="方正小标宋简体"/>
          <w:b w:val="0"/>
        </w:rPr>
      </w:pPr>
      <w:bookmarkStart w:id="14" w:name="_Toc15396602"/>
      <w:bookmarkStart w:id="15" w:name="_Toc15377204"/>
      <w:r>
        <w:rPr>
          <w:rFonts w:hint="eastAsia" w:eastAsia="方正小标宋简体" w:cs="方正小标宋简体"/>
          <w:b w:val="0"/>
        </w:rPr>
        <w:t>第二部分  2024年度部门决算情况说明</w:t>
      </w:r>
      <w:bookmarkEnd w:id="14"/>
      <w:bookmarkEnd w:id="15"/>
    </w:p>
    <w:p w14:paraId="6B57631A">
      <w:pPr>
        <w:pageBreakBefore w:val="0"/>
        <w:kinsoku/>
        <w:wordWrap/>
        <w:overflowPunct/>
        <w:topLinePunct w:val="0"/>
        <w:autoSpaceDE/>
        <w:autoSpaceDN/>
        <w:bidi w:val="0"/>
        <w:spacing w:line="240" w:lineRule="auto"/>
      </w:pPr>
    </w:p>
    <w:p w14:paraId="61C442B7">
      <w:pPr>
        <w:pStyle w:val="28"/>
        <w:pageBreakBefore w:val="0"/>
        <w:kinsoku/>
        <w:wordWrap/>
        <w:overflowPunct/>
        <w:topLinePunct w:val="0"/>
        <w:autoSpaceDE/>
        <w:autoSpaceDN/>
        <w:bidi w:val="0"/>
        <w:spacing w:line="240" w:lineRule="auto"/>
        <w:ind w:firstLine="640"/>
        <w:outlineLvl w:val="1"/>
        <w:rPr>
          <w:rStyle w:val="30"/>
          <w:rFonts w:ascii="Times New Roman" w:hAnsi="Times New Roman" w:eastAsia="黑体"/>
          <w:b w:val="0"/>
        </w:rPr>
      </w:pPr>
      <w:bookmarkStart w:id="16" w:name="_Toc15377205"/>
      <w:bookmarkStart w:id="17"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6"/>
      <w:bookmarkEnd w:id="17"/>
    </w:p>
    <w:p w14:paraId="38B18F89">
      <w:pPr>
        <w:pageBreakBefore w:val="0"/>
        <w:kinsoku/>
        <w:wordWrap/>
        <w:overflowPunct/>
        <w:topLinePunct w:val="0"/>
        <w:autoSpaceDE/>
        <w:autoSpaceDN/>
        <w:bidi w:val="0"/>
        <w:spacing w:line="240" w:lineRule="auto"/>
        <w:ind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202</w:t>
      </w:r>
      <w:r>
        <w:rPr>
          <w:rFonts w:hint="eastAsia" w:eastAsia="方正仿宋_GBK"/>
          <w:bCs/>
          <w:color w:val="000000"/>
          <w:sz w:val="32"/>
          <w:szCs w:val="32"/>
          <w:lang w:val="en-US" w:eastAsia="zh-CN"/>
        </w:rPr>
        <w:t>4</w:t>
      </w:r>
      <w:r>
        <w:rPr>
          <w:rFonts w:ascii="Times New Roman" w:hAnsi="Times New Roman" w:eastAsia="方正仿宋_GBK"/>
          <w:bCs/>
          <w:color w:val="000000"/>
          <w:sz w:val="32"/>
          <w:szCs w:val="32"/>
        </w:rPr>
        <w:t>年度收、支总计均为</w:t>
      </w:r>
      <w:r>
        <w:rPr>
          <w:rFonts w:hint="eastAsia" w:ascii="Times New Roman" w:hAnsi="Times New Roman" w:eastAsia="方正仿宋_GBK"/>
          <w:bCs/>
          <w:color w:val="000000"/>
          <w:sz w:val="32"/>
          <w:szCs w:val="32"/>
        </w:rPr>
        <w:t>302.15</w:t>
      </w:r>
      <w:r>
        <w:rPr>
          <w:rFonts w:ascii="Times New Roman" w:hAnsi="Times New Roman" w:eastAsia="方正仿宋_GBK"/>
          <w:bCs/>
          <w:color w:val="000000"/>
          <w:sz w:val="32"/>
          <w:szCs w:val="32"/>
        </w:rPr>
        <w:t>万元。与202</w:t>
      </w:r>
      <w:r>
        <w:rPr>
          <w:rFonts w:hint="eastAsia" w:eastAsia="方正仿宋_GBK"/>
          <w:bCs/>
          <w:color w:val="000000"/>
          <w:sz w:val="32"/>
          <w:szCs w:val="32"/>
          <w:lang w:val="en-US" w:eastAsia="zh-CN"/>
        </w:rPr>
        <w:t>3</w:t>
      </w:r>
      <w:r>
        <w:rPr>
          <w:rFonts w:ascii="Times New Roman" w:hAnsi="Times New Roman" w:eastAsia="方正仿宋_GBK"/>
          <w:bCs/>
          <w:color w:val="000000"/>
          <w:sz w:val="32"/>
          <w:szCs w:val="32"/>
        </w:rPr>
        <w:t>年度相比，收、支总计各增加</w:t>
      </w:r>
      <w:r>
        <w:rPr>
          <w:rFonts w:hint="eastAsia" w:eastAsia="方正仿宋_GBK"/>
          <w:bCs/>
          <w:color w:val="000000"/>
          <w:sz w:val="32"/>
          <w:szCs w:val="32"/>
          <w:lang w:val="en-US" w:eastAsia="zh-CN"/>
        </w:rPr>
        <w:t>12.61</w:t>
      </w:r>
      <w:r>
        <w:rPr>
          <w:rFonts w:ascii="Times New Roman" w:hAnsi="Times New Roman" w:eastAsia="方正仿宋_GBK"/>
          <w:bCs/>
          <w:color w:val="000000"/>
          <w:sz w:val="32"/>
          <w:szCs w:val="32"/>
        </w:rPr>
        <w:t>万元，增长</w:t>
      </w:r>
      <w:r>
        <w:rPr>
          <w:rFonts w:hint="eastAsia" w:eastAsia="方正仿宋_GBK"/>
          <w:bCs/>
          <w:color w:val="000000"/>
          <w:sz w:val="32"/>
          <w:szCs w:val="32"/>
          <w:lang w:val="en-US" w:eastAsia="zh-CN"/>
        </w:rPr>
        <w:t>4.36</w:t>
      </w:r>
      <w:r>
        <w:rPr>
          <w:rFonts w:ascii="Times New Roman" w:hAnsi="Times New Roman" w:eastAsia="方正仿宋_GBK"/>
          <w:bCs/>
          <w:color w:val="000000"/>
          <w:sz w:val="32"/>
          <w:szCs w:val="32"/>
        </w:rPr>
        <w:t>%。主要变动原因是202</w:t>
      </w:r>
      <w:r>
        <w:rPr>
          <w:rFonts w:hint="eastAsia" w:eastAsia="方正仿宋_GBK"/>
          <w:bCs/>
          <w:color w:val="000000"/>
          <w:sz w:val="32"/>
          <w:szCs w:val="32"/>
          <w:lang w:val="en-US" w:eastAsia="zh-CN"/>
        </w:rPr>
        <w:t>4</w:t>
      </w:r>
      <w:r>
        <w:rPr>
          <w:rFonts w:ascii="Times New Roman" w:hAnsi="Times New Roman" w:eastAsia="方正仿宋_GBK"/>
          <w:bCs/>
          <w:color w:val="000000"/>
          <w:sz w:val="32"/>
          <w:szCs w:val="32"/>
        </w:rPr>
        <w:t>年度</w:t>
      </w:r>
      <w:r>
        <w:rPr>
          <w:rFonts w:hint="eastAsia" w:eastAsia="方正仿宋_GBK"/>
          <w:bCs/>
          <w:color w:val="000000"/>
          <w:sz w:val="32"/>
          <w:szCs w:val="32"/>
          <w:lang w:eastAsia="zh-CN"/>
        </w:rPr>
        <w:t>新</w:t>
      </w:r>
      <w:r>
        <w:rPr>
          <w:rFonts w:ascii="Times New Roman" w:hAnsi="Times New Roman" w:eastAsia="方正仿宋_GBK"/>
          <w:bCs/>
          <w:color w:val="000000"/>
          <w:sz w:val="32"/>
          <w:szCs w:val="32"/>
        </w:rPr>
        <w:t>进一人。</w:t>
      </w:r>
    </w:p>
    <w:p w14:paraId="4E52C700">
      <w:pPr>
        <w:pageBreakBefore w:val="0"/>
        <w:kinsoku/>
        <w:wordWrap/>
        <w:overflowPunct/>
        <w:topLinePunct w:val="0"/>
        <w:autoSpaceDE/>
        <w:autoSpaceDN/>
        <w:bidi w:val="0"/>
        <w:spacing w:line="240" w:lineRule="auto"/>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4AFE41E8">
      <w:pPr>
        <w:pageBreakBefore w:val="0"/>
        <w:kinsoku/>
        <w:wordWrap/>
        <w:overflowPunct/>
        <w:topLinePunct w:val="0"/>
        <w:autoSpaceDE/>
        <w:autoSpaceDN/>
        <w:bidi w:val="0"/>
        <w:spacing w:line="240" w:lineRule="auto"/>
        <w:ind w:firstLine="420" w:firstLineChars="200"/>
        <w:rPr>
          <w:rFonts w:eastAsia="仿宋_GB2312" w:cs="仿宋_GB2312"/>
          <w:sz w:val="32"/>
          <w:szCs w:val="32"/>
        </w:rPr>
      </w:pPr>
      <w:r>
        <w:drawing>
          <wp:inline distT="0" distB="0" distL="114300" distR="114300">
            <wp:extent cx="5243830" cy="2380615"/>
            <wp:effectExtent l="9525" t="9525" r="23495" b="10160"/>
            <wp:docPr id="2" name="图表 2"/>
            <wp:cNvGraphicFramePr/>
            <a:graphic xmlns:a="http://schemas.openxmlformats.org/drawingml/2006/main">
              <a:graphicData uri="http://schemas.openxmlformats.org/drawingml/2006/picture">
                <pic:pic xmlns:pic="http://schemas.openxmlformats.org/drawingml/2006/picture">
                  <pic:nvPicPr>
                    <pic:cNvPr id="2" name="图表 2"/>
                    <pic:cNvPicPr/>
                  </pic:nvPicPr>
                  <pic:blipFill>
                    <a:blip r:embed="rId9"/>
                    <a:stretch>
                      <a:fillRect/>
                    </a:stretch>
                  </pic:blipFill>
                  <pic:spPr>
                    <a:xfrm>
                      <a:off x="0" y="0"/>
                      <a:ext cx="5243830" cy="2380615"/>
                    </a:xfrm>
                    <a:prstGeom prst="rect">
                      <a:avLst/>
                    </a:prstGeom>
                    <a:ln>
                      <a:solidFill>
                        <a:srgbClr val="D9D9D9"/>
                      </a:solidFill>
                    </a:ln>
                    <a:extLst>
                      <wpswe:webExtensionRef xmlns:wpswe="http://www.wps.cn/officeDocument/2018/webExtension" r:id="rId8"/>
                    </a:extLst>
                  </pic:spPr>
                </pic:pic>
              </a:graphicData>
            </a:graphic>
          </wp:inline>
        </w:drawing>
      </w:r>
    </w:p>
    <w:p w14:paraId="07592078">
      <w:pPr>
        <w:pStyle w:val="28"/>
        <w:pageBreakBefore w:val="0"/>
        <w:kinsoku/>
        <w:wordWrap/>
        <w:overflowPunct/>
        <w:topLinePunct w:val="0"/>
        <w:autoSpaceDE/>
        <w:autoSpaceDN/>
        <w:bidi w:val="0"/>
        <w:spacing w:line="240" w:lineRule="auto"/>
        <w:ind w:firstLine="640"/>
        <w:outlineLvl w:val="1"/>
        <w:rPr>
          <w:rFonts w:eastAsia="黑体"/>
          <w:sz w:val="32"/>
          <w:szCs w:val="32"/>
        </w:rPr>
      </w:pPr>
      <w:bookmarkStart w:id="18" w:name="_Toc15396604"/>
      <w:bookmarkStart w:id="19" w:name="_Toc15377206"/>
      <w:r>
        <w:rPr>
          <w:rFonts w:hint="eastAsia" w:eastAsia="黑体"/>
          <w:sz w:val="32"/>
          <w:szCs w:val="32"/>
        </w:rPr>
        <w:t>二、收入决算情况说明</w:t>
      </w:r>
      <w:bookmarkEnd w:id="18"/>
      <w:bookmarkEnd w:id="19"/>
    </w:p>
    <w:p w14:paraId="5E4E7BAD">
      <w:pPr>
        <w:pageBreakBefore w:val="0"/>
        <w:numPr>
          <w:ilvl w:val="0"/>
          <w:numId w:val="0"/>
        </w:numPr>
        <w:kinsoku/>
        <w:wordWrap/>
        <w:overflowPunct/>
        <w:topLinePunct w:val="0"/>
        <w:autoSpaceDE/>
        <w:autoSpaceDN/>
        <w:bidi w:val="0"/>
        <w:spacing w:line="240" w:lineRule="auto"/>
        <w:ind w:firstLine="640" w:firstLineChars="200"/>
      </w:pPr>
      <w:r>
        <w:rPr>
          <w:rFonts w:ascii="Times New Roman" w:hAnsi="Times New Roman" w:eastAsia="方正仿宋_GBK"/>
          <w:bCs/>
          <w:color w:val="000000"/>
          <w:sz w:val="32"/>
          <w:szCs w:val="32"/>
        </w:rPr>
        <w:t>202</w:t>
      </w:r>
      <w:r>
        <w:rPr>
          <w:rFonts w:hint="eastAsia" w:eastAsia="方正仿宋_GBK"/>
          <w:bCs/>
          <w:color w:val="000000"/>
          <w:sz w:val="32"/>
          <w:szCs w:val="32"/>
          <w:lang w:val="en-US" w:eastAsia="zh-CN"/>
        </w:rPr>
        <w:t>4</w:t>
      </w:r>
      <w:r>
        <w:rPr>
          <w:rFonts w:ascii="Times New Roman" w:hAnsi="Times New Roman" w:eastAsia="方正仿宋_GBK"/>
          <w:bCs/>
          <w:color w:val="000000"/>
          <w:sz w:val="32"/>
          <w:szCs w:val="32"/>
        </w:rPr>
        <w:t>年度本年收入合计</w:t>
      </w:r>
      <w:r>
        <w:rPr>
          <w:rFonts w:hint="eastAsia" w:eastAsia="方正仿宋_GBK"/>
          <w:bCs/>
          <w:color w:val="000000"/>
          <w:sz w:val="32"/>
          <w:szCs w:val="32"/>
          <w:lang w:val="en-US" w:eastAsia="zh-CN"/>
        </w:rPr>
        <w:t>302.15</w:t>
      </w:r>
      <w:r>
        <w:rPr>
          <w:rFonts w:ascii="Times New Roman" w:hAnsi="Times New Roman" w:eastAsia="方正仿宋_GBK"/>
          <w:bCs/>
          <w:color w:val="000000"/>
          <w:sz w:val="32"/>
          <w:szCs w:val="32"/>
        </w:rPr>
        <w:t>万元，其中：一般公共预算财政拨款收入</w:t>
      </w:r>
      <w:r>
        <w:rPr>
          <w:rFonts w:hint="eastAsia" w:eastAsia="方正仿宋_GBK"/>
          <w:bCs/>
          <w:color w:val="000000"/>
          <w:sz w:val="32"/>
          <w:szCs w:val="32"/>
          <w:lang w:val="en-US" w:eastAsia="zh-CN"/>
        </w:rPr>
        <w:t>302.15</w:t>
      </w:r>
      <w:r>
        <w:rPr>
          <w:rFonts w:ascii="Times New Roman" w:hAnsi="Times New Roman" w:eastAsia="方正仿宋_GBK"/>
          <w:bCs/>
          <w:color w:val="000000"/>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p>
    <w:p w14:paraId="47DA684E">
      <w:pPr>
        <w:pageBreakBefore w:val="0"/>
        <w:kinsoku/>
        <w:wordWrap/>
        <w:overflowPunct/>
        <w:topLinePunct w:val="0"/>
        <w:autoSpaceDE/>
        <w:autoSpaceDN/>
        <w:bidi w:val="0"/>
        <w:spacing w:line="240" w:lineRule="auto"/>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676D7291">
      <w:pPr>
        <w:pageBreakBefore w:val="0"/>
        <w:kinsoku/>
        <w:wordWrap/>
        <w:overflowPunct/>
        <w:topLinePunct w:val="0"/>
        <w:autoSpaceDE/>
        <w:autoSpaceDN/>
        <w:bidi w:val="0"/>
        <w:spacing w:line="240" w:lineRule="auto"/>
        <w:ind w:firstLine="525" w:firstLineChars="250"/>
        <w:rPr>
          <w:rFonts w:eastAsia="仿宋_GB2312" w:cs="仿宋_GB2312"/>
          <w:sz w:val="32"/>
          <w:szCs w:val="32"/>
        </w:rPr>
      </w:pPr>
      <w:r>
        <w:drawing>
          <wp:inline distT="0" distB="0" distL="114300" distR="114300">
            <wp:extent cx="5154295" cy="2223135"/>
            <wp:effectExtent l="4445" t="4445" r="22860" b="203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954DA0">
      <w:pPr>
        <w:pStyle w:val="28"/>
        <w:pageBreakBefore w:val="0"/>
        <w:kinsoku/>
        <w:wordWrap/>
        <w:overflowPunct/>
        <w:topLinePunct w:val="0"/>
        <w:autoSpaceDE/>
        <w:autoSpaceDN/>
        <w:bidi w:val="0"/>
        <w:spacing w:line="240" w:lineRule="auto"/>
        <w:ind w:firstLine="640"/>
        <w:outlineLvl w:val="1"/>
        <w:rPr>
          <w:rStyle w:val="30"/>
          <w:rFonts w:ascii="Times New Roman" w:hAnsi="Times New Roman" w:eastAsia="黑体"/>
          <w:b w:val="0"/>
        </w:rPr>
      </w:pPr>
      <w:bookmarkStart w:id="20" w:name="_Toc15377207"/>
      <w:bookmarkStart w:id="21" w:name="_Toc15396605"/>
      <w:r>
        <w:rPr>
          <w:rFonts w:hint="eastAsia" w:eastAsia="黑体"/>
          <w:sz w:val="32"/>
          <w:szCs w:val="32"/>
        </w:rPr>
        <w:t>三、支</w:t>
      </w:r>
      <w:r>
        <w:rPr>
          <w:rStyle w:val="30"/>
          <w:rFonts w:hint="eastAsia" w:ascii="Times New Roman" w:hAnsi="Times New Roman" w:eastAsia="黑体"/>
          <w:b w:val="0"/>
        </w:rPr>
        <w:t>出决算情况说明</w:t>
      </w:r>
      <w:bookmarkEnd w:id="20"/>
      <w:bookmarkEnd w:id="21"/>
    </w:p>
    <w:p w14:paraId="6F5884DF">
      <w:pPr>
        <w:pageBreakBefore w:val="0"/>
        <w:kinsoku/>
        <w:wordWrap/>
        <w:overflowPunct/>
        <w:topLinePunct w:val="0"/>
        <w:autoSpaceDE/>
        <w:autoSpaceDN/>
        <w:bidi w:val="0"/>
        <w:spacing w:line="240" w:lineRule="auto"/>
        <w:ind w:firstLine="640" w:firstLineChars="200"/>
        <w:outlineLvl w:val="1"/>
        <w:rPr>
          <w:rFonts w:ascii="Times New Roman" w:hAnsi="Times New Roman" w:eastAsia="方正仿宋_GBK"/>
          <w:sz w:val="32"/>
          <w:szCs w:val="32"/>
        </w:rPr>
      </w:pPr>
      <w:r>
        <w:rPr>
          <w:rFonts w:ascii="Times New Roman" w:hAnsi="Times New Roman" w:eastAsia="方正仿宋_GBK"/>
          <w:bCs/>
          <w:color w:val="000000"/>
          <w:sz w:val="32"/>
          <w:szCs w:val="32"/>
        </w:rPr>
        <w:t>20</w:t>
      </w:r>
      <w:r>
        <w:rPr>
          <w:rFonts w:hint="eastAsia" w:eastAsia="方正仿宋_GBK"/>
          <w:bCs/>
          <w:color w:val="000000"/>
          <w:sz w:val="32"/>
          <w:szCs w:val="32"/>
          <w:lang w:val="en-US" w:eastAsia="zh-CN"/>
        </w:rPr>
        <w:t>24</w:t>
      </w:r>
      <w:r>
        <w:rPr>
          <w:rFonts w:ascii="Times New Roman" w:hAnsi="Times New Roman" w:eastAsia="方正仿宋_GBK"/>
          <w:bCs/>
          <w:color w:val="000000"/>
          <w:sz w:val="32"/>
          <w:szCs w:val="32"/>
        </w:rPr>
        <w:t>年度本年支出合计</w:t>
      </w:r>
      <w:r>
        <w:rPr>
          <w:rFonts w:hint="eastAsia" w:eastAsia="方正仿宋_GBK"/>
          <w:bCs/>
          <w:color w:val="000000"/>
          <w:sz w:val="32"/>
          <w:szCs w:val="32"/>
          <w:lang w:val="en-US" w:eastAsia="zh-CN"/>
        </w:rPr>
        <w:t>302.15</w:t>
      </w:r>
      <w:r>
        <w:rPr>
          <w:rFonts w:ascii="Times New Roman" w:hAnsi="Times New Roman" w:eastAsia="方正仿宋_GBK"/>
          <w:bCs/>
          <w:color w:val="000000"/>
          <w:sz w:val="32"/>
          <w:szCs w:val="32"/>
        </w:rPr>
        <w:t>万元，其中：基本支出</w:t>
      </w:r>
      <w:r>
        <w:rPr>
          <w:rFonts w:hint="eastAsia" w:eastAsia="方正仿宋_GBK"/>
          <w:bCs/>
          <w:color w:val="000000"/>
          <w:sz w:val="32"/>
          <w:szCs w:val="32"/>
          <w:lang w:val="en-US" w:eastAsia="zh-CN"/>
        </w:rPr>
        <w:t>261.49</w:t>
      </w:r>
      <w:r>
        <w:rPr>
          <w:rFonts w:ascii="Times New Roman" w:hAnsi="Times New Roman" w:eastAsia="方正仿宋_GBK"/>
          <w:bCs/>
          <w:color w:val="000000"/>
          <w:sz w:val="32"/>
          <w:szCs w:val="32"/>
        </w:rPr>
        <w:t>万元，占8</w:t>
      </w:r>
      <w:r>
        <w:rPr>
          <w:rFonts w:hint="eastAsia" w:eastAsia="方正仿宋_GBK"/>
          <w:bCs/>
          <w:color w:val="000000"/>
          <w:sz w:val="32"/>
          <w:szCs w:val="32"/>
          <w:lang w:val="en-US" w:eastAsia="zh-CN"/>
        </w:rPr>
        <w:t>6.54</w:t>
      </w:r>
      <w:r>
        <w:rPr>
          <w:rFonts w:ascii="Times New Roman" w:hAnsi="Times New Roman" w:eastAsia="方正仿宋_GBK"/>
          <w:bCs/>
          <w:color w:val="000000"/>
          <w:sz w:val="32"/>
          <w:szCs w:val="32"/>
        </w:rPr>
        <w:t>%；项目支出</w:t>
      </w:r>
      <w:r>
        <w:rPr>
          <w:rFonts w:hint="eastAsia" w:eastAsia="方正仿宋_GBK"/>
          <w:bCs/>
          <w:color w:val="000000"/>
          <w:sz w:val="32"/>
          <w:szCs w:val="32"/>
          <w:lang w:val="en-US" w:eastAsia="zh-CN"/>
        </w:rPr>
        <w:t>40.66</w:t>
      </w:r>
      <w:r>
        <w:rPr>
          <w:rFonts w:ascii="Times New Roman" w:hAnsi="Times New Roman" w:eastAsia="方正仿宋_GBK"/>
          <w:bCs/>
          <w:color w:val="000000"/>
          <w:sz w:val="32"/>
          <w:szCs w:val="32"/>
        </w:rPr>
        <w:t>万元，占</w:t>
      </w:r>
      <w:r>
        <w:rPr>
          <w:rFonts w:hint="eastAsia" w:eastAsia="方正仿宋_GBK"/>
          <w:bCs/>
          <w:color w:val="000000"/>
          <w:sz w:val="32"/>
          <w:szCs w:val="32"/>
          <w:lang w:val="en-US" w:eastAsia="zh-CN"/>
        </w:rPr>
        <w:t>13.46</w:t>
      </w:r>
      <w:r>
        <w:rPr>
          <w:rFonts w:ascii="Times New Roman" w:hAnsi="Times New Roman" w:eastAsia="方正仿宋_GBK"/>
          <w:bCs/>
          <w:color w:val="000000"/>
          <w:sz w:val="32"/>
          <w:szCs w:val="32"/>
        </w:rPr>
        <w:t>%；上缴上级支出0万元，占0%；经营支出0万元，占0%；对附属单位补助支出0万元，占0%。</w:t>
      </w:r>
    </w:p>
    <w:p w14:paraId="049F604B">
      <w:pPr>
        <w:pageBreakBefore w:val="0"/>
        <w:kinsoku/>
        <w:wordWrap/>
        <w:overflowPunct/>
        <w:topLinePunct w:val="0"/>
        <w:autoSpaceDE/>
        <w:autoSpaceDN/>
        <w:bidi w:val="0"/>
        <w:spacing w:line="240" w:lineRule="auto"/>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0A88AAD">
      <w:pPr>
        <w:pageBreakBefore w:val="0"/>
        <w:kinsoku/>
        <w:wordWrap/>
        <w:overflowPunct/>
        <w:topLinePunct w:val="0"/>
        <w:autoSpaceDE/>
        <w:autoSpaceDN/>
        <w:bidi w:val="0"/>
        <w:spacing w:line="240" w:lineRule="auto"/>
        <w:ind w:firstLine="525" w:firstLineChars="250"/>
        <w:rPr>
          <w:rFonts w:eastAsia="仿宋_GB2312" w:cs="仿宋_GB2312"/>
          <w:sz w:val="32"/>
          <w:szCs w:val="32"/>
        </w:rPr>
      </w:pPr>
      <w:r>
        <w:drawing>
          <wp:inline distT="0" distB="0" distL="114300" distR="114300">
            <wp:extent cx="4272280" cy="1896110"/>
            <wp:effectExtent l="4445" t="4445" r="9525" b="234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075097">
      <w:pPr>
        <w:pageBreakBefore w:val="0"/>
        <w:kinsoku/>
        <w:wordWrap/>
        <w:overflowPunct/>
        <w:topLinePunct w:val="0"/>
        <w:autoSpaceDE/>
        <w:autoSpaceDN/>
        <w:bidi w:val="0"/>
        <w:spacing w:line="240" w:lineRule="auto"/>
        <w:ind w:firstLine="640" w:firstLineChars="200"/>
        <w:outlineLvl w:val="1"/>
        <w:rPr>
          <w:rStyle w:val="30"/>
          <w:rFonts w:ascii="Times New Roman" w:hAnsi="Times New Roman" w:eastAsia="黑体"/>
          <w:b w:val="0"/>
        </w:rPr>
      </w:pPr>
      <w:bookmarkStart w:id="22" w:name="_Toc15396606"/>
      <w:bookmarkStart w:id="23"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2"/>
      <w:bookmarkEnd w:id="23"/>
    </w:p>
    <w:p w14:paraId="6A87B122">
      <w:pPr>
        <w:pageBreakBefore w:val="0"/>
        <w:numPr>
          <w:ilvl w:val="0"/>
          <w:numId w:val="0"/>
        </w:numPr>
        <w:kinsoku/>
        <w:wordWrap/>
        <w:overflowPunct/>
        <w:topLinePunct w:val="0"/>
        <w:autoSpaceDE/>
        <w:autoSpaceDN/>
        <w:bidi w:val="0"/>
        <w:spacing w:line="240" w:lineRule="auto"/>
        <w:ind w:firstLine="640" w:firstLineChars="200"/>
      </w:pPr>
      <w:r>
        <w:rPr>
          <w:rFonts w:ascii="Times New Roman" w:hAnsi="Times New Roman" w:eastAsia="方正仿宋_GBK"/>
          <w:bCs/>
          <w:color w:val="000000"/>
          <w:sz w:val="32"/>
          <w:szCs w:val="32"/>
        </w:rPr>
        <w:t>202</w:t>
      </w:r>
      <w:r>
        <w:rPr>
          <w:rFonts w:hint="eastAsia" w:eastAsia="方正仿宋_GBK"/>
          <w:bCs/>
          <w:color w:val="000000"/>
          <w:sz w:val="32"/>
          <w:szCs w:val="32"/>
          <w:lang w:val="en-US" w:eastAsia="zh-CN"/>
        </w:rPr>
        <w:t>4</w:t>
      </w:r>
      <w:r>
        <w:rPr>
          <w:rFonts w:ascii="Times New Roman" w:hAnsi="Times New Roman" w:eastAsia="方正仿宋_GBK"/>
          <w:bCs/>
          <w:color w:val="000000"/>
          <w:sz w:val="32"/>
          <w:szCs w:val="32"/>
        </w:rPr>
        <w:t>年度财政拨款收、支总计均为</w:t>
      </w:r>
      <w:r>
        <w:rPr>
          <w:rFonts w:hint="eastAsia" w:eastAsia="方正仿宋_GBK"/>
          <w:bCs/>
          <w:color w:val="000000"/>
          <w:sz w:val="32"/>
          <w:szCs w:val="32"/>
          <w:lang w:val="en-US" w:eastAsia="zh-CN"/>
        </w:rPr>
        <w:t>302.15</w:t>
      </w:r>
      <w:r>
        <w:rPr>
          <w:rFonts w:ascii="Times New Roman" w:hAnsi="Times New Roman" w:eastAsia="方正仿宋_GBK"/>
          <w:bCs/>
          <w:color w:val="000000"/>
          <w:sz w:val="32"/>
          <w:szCs w:val="32"/>
        </w:rPr>
        <w:t>万元。与202</w:t>
      </w:r>
      <w:r>
        <w:rPr>
          <w:rFonts w:hint="eastAsia" w:eastAsia="方正仿宋_GBK"/>
          <w:bCs/>
          <w:color w:val="000000"/>
          <w:sz w:val="32"/>
          <w:szCs w:val="32"/>
          <w:lang w:val="en-US" w:eastAsia="zh-CN"/>
        </w:rPr>
        <w:t>3</w:t>
      </w:r>
      <w:r>
        <w:rPr>
          <w:rFonts w:ascii="Times New Roman" w:hAnsi="Times New Roman" w:eastAsia="方正仿宋_GBK"/>
          <w:bCs/>
          <w:color w:val="000000"/>
          <w:sz w:val="32"/>
          <w:szCs w:val="32"/>
        </w:rPr>
        <w:t>年度相比，财政拨款收、支总计各增加</w:t>
      </w:r>
      <w:r>
        <w:rPr>
          <w:rFonts w:hint="eastAsia" w:eastAsia="方正仿宋_GBK"/>
          <w:bCs/>
          <w:color w:val="000000"/>
          <w:sz w:val="32"/>
          <w:szCs w:val="32"/>
          <w:lang w:val="en-US" w:eastAsia="zh-CN"/>
        </w:rPr>
        <w:t>12.61</w:t>
      </w:r>
      <w:r>
        <w:rPr>
          <w:rFonts w:ascii="Times New Roman" w:hAnsi="Times New Roman" w:eastAsia="方正仿宋_GBK"/>
          <w:bCs/>
          <w:color w:val="000000"/>
          <w:sz w:val="32"/>
          <w:szCs w:val="32"/>
        </w:rPr>
        <w:t>万元，增长</w:t>
      </w:r>
      <w:r>
        <w:rPr>
          <w:rFonts w:hint="eastAsia" w:eastAsia="方正仿宋_GBK"/>
          <w:bCs/>
          <w:color w:val="000000"/>
          <w:sz w:val="32"/>
          <w:szCs w:val="32"/>
          <w:lang w:val="en-US" w:eastAsia="zh-CN"/>
        </w:rPr>
        <w:t>4.36</w:t>
      </w:r>
      <w:r>
        <w:rPr>
          <w:rFonts w:ascii="Times New Roman" w:hAnsi="Times New Roman" w:eastAsia="方正仿宋_GBK"/>
          <w:bCs/>
          <w:color w:val="000000"/>
          <w:sz w:val="32"/>
          <w:szCs w:val="32"/>
        </w:rPr>
        <w:t>%。主要变动原因是202</w:t>
      </w:r>
      <w:r>
        <w:rPr>
          <w:rFonts w:hint="eastAsia" w:eastAsia="方正仿宋_GBK"/>
          <w:bCs/>
          <w:color w:val="000000"/>
          <w:sz w:val="32"/>
          <w:szCs w:val="32"/>
          <w:lang w:val="en-US" w:eastAsia="zh-CN"/>
        </w:rPr>
        <w:t>4</w:t>
      </w:r>
      <w:r>
        <w:rPr>
          <w:rFonts w:ascii="Times New Roman" w:hAnsi="Times New Roman" w:eastAsia="方正仿宋_GBK"/>
          <w:bCs/>
          <w:color w:val="000000"/>
          <w:sz w:val="32"/>
          <w:szCs w:val="32"/>
        </w:rPr>
        <w:t>年度</w:t>
      </w:r>
      <w:r>
        <w:rPr>
          <w:rFonts w:hint="eastAsia" w:eastAsia="方正仿宋_GBK"/>
          <w:bCs/>
          <w:color w:val="000000"/>
          <w:sz w:val="32"/>
          <w:szCs w:val="32"/>
          <w:lang w:eastAsia="zh-CN"/>
        </w:rPr>
        <w:t>新</w:t>
      </w:r>
      <w:r>
        <w:rPr>
          <w:rFonts w:ascii="Times New Roman" w:hAnsi="Times New Roman" w:eastAsia="方正仿宋_GBK"/>
          <w:bCs/>
          <w:color w:val="000000"/>
          <w:sz w:val="32"/>
          <w:szCs w:val="32"/>
        </w:rPr>
        <w:t>进一人</w:t>
      </w:r>
      <w:r>
        <w:rPr>
          <w:rFonts w:ascii="Times New Roman" w:hAnsi="Times New Roman" w:eastAsia="方正仿宋_GBK"/>
          <w:sz w:val="32"/>
          <w:szCs w:val="32"/>
        </w:rPr>
        <w:t>。</w:t>
      </w:r>
    </w:p>
    <w:p w14:paraId="5840B9D9">
      <w:pPr>
        <w:pageBreakBefore w:val="0"/>
        <w:kinsoku/>
        <w:wordWrap/>
        <w:overflowPunct/>
        <w:topLinePunct w:val="0"/>
        <w:autoSpaceDE/>
        <w:autoSpaceDN/>
        <w:bidi w:val="0"/>
        <w:spacing w:line="240" w:lineRule="auto"/>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3C7B5AC9">
      <w:pPr>
        <w:pageBreakBefore w:val="0"/>
        <w:kinsoku/>
        <w:wordWrap/>
        <w:overflowPunct/>
        <w:topLinePunct w:val="0"/>
        <w:autoSpaceDE/>
        <w:autoSpaceDN/>
        <w:bidi w:val="0"/>
        <w:spacing w:line="240" w:lineRule="auto"/>
        <w:ind w:firstLine="640"/>
        <w:rPr>
          <w:rFonts w:eastAsia="仿宋_GB2312" w:cs="仿宋_GB2312"/>
          <w:sz w:val="32"/>
          <w:szCs w:val="32"/>
        </w:rPr>
      </w:pPr>
      <w:r>
        <w:drawing>
          <wp:inline distT="0" distB="0" distL="114300" distR="114300">
            <wp:extent cx="5132705" cy="2155825"/>
            <wp:effectExtent l="4445" t="4445" r="6350" b="11430"/>
            <wp:docPr id="7" name="图表 6"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8454DC">
      <w:pPr>
        <w:pageBreakBefore w:val="0"/>
        <w:kinsoku/>
        <w:wordWrap/>
        <w:overflowPunct/>
        <w:topLinePunct w:val="0"/>
        <w:autoSpaceDE/>
        <w:autoSpaceDN/>
        <w:bidi w:val="0"/>
        <w:spacing w:line="240" w:lineRule="auto"/>
        <w:ind w:firstLine="640" w:firstLineChars="200"/>
        <w:outlineLvl w:val="1"/>
        <w:rPr>
          <w:rStyle w:val="30"/>
          <w:rFonts w:ascii="Times New Roman" w:hAnsi="Times New Roman" w:eastAsia="黑体"/>
          <w:b w:val="0"/>
        </w:rPr>
      </w:pPr>
      <w:bookmarkStart w:id="24" w:name="_Toc15396607"/>
      <w:bookmarkStart w:id="25"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4"/>
      <w:bookmarkEnd w:id="25"/>
    </w:p>
    <w:p w14:paraId="1F541FFE">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26" w:name="_Toc15377210"/>
      <w:r>
        <w:rPr>
          <w:rFonts w:hint="eastAsia" w:eastAsia="楷体_GB2312" w:cs="楷体_GB2312"/>
          <w:b/>
          <w:sz w:val="32"/>
          <w:szCs w:val="32"/>
        </w:rPr>
        <w:t>（一）一般公共预算财政拨款支出决算总体情况</w:t>
      </w:r>
      <w:bookmarkEnd w:id="26"/>
    </w:p>
    <w:p w14:paraId="79C4B095">
      <w:pPr>
        <w:pageBreakBefore w:val="0"/>
        <w:kinsoku/>
        <w:wordWrap/>
        <w:overflowPunct/>
        <w:topLinePunct w:val="0"/>
        <w:autoSpaceDE/>
        <w:autoSpaceDN/>
        <w:bidi w:val="0"/>
        <w:spacing w:line="240" w:lineRule="auto"/>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302.15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12.61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4.36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新进一人。</w:t>
      </w:r>
    </w:p>
    <w:p w14:paraId="35886741">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34FF90A1">
      <w:pPr>
        <w:pageBreakBefore w:val="0"/>
        <w:kinsoku/>
        <w:wordWrap/>
        <w:overflowPunct/>
        <w:topLinePunct w:val="0"/>
        <w:autoSpaceDE/>
        <w:autoSpaceDN/>
        <w:bidi w:val="0"/>
        <w:spacing w:line="240" w:lineRule="auto"/>
        <w:ind w:firstLine="640"/>
        <w:rPr>
          <w:rFonts w:eastAsia="仿宋_GB2312" w:cs="仿宋_GB2312"/>
          <w:sz w:val="32"/>
          <w:szCs w:val="32"/>
        </w:rPr>
      </w:pPr>
      <w:r>
        <w:drawing>
          <wp:inline distT="0" distB="0" distL="114300" distR="114300">
            <wp:extent cx="4925060" cy="2105660"/>
            <wp:effectExtent l="5080" t="4445" r="22860" b="23495"/>
            <wp:docPr id="10" name="图表 9"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AEC7DB">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27" w:name="_Toc15377211"/>
      <w:r>
        <w:rPr>
          <w:rFonts w:hint="eastAsia" w:eastAsia="楷体_GB2312" w:cs="楷体_GB2312"/>
          <w:b/>
          <w:sz w:val="32"/>
          <w:szCs w:val="32"/>
        </w:rPr>
        <w:t>（二）一般公共预算财政拨款支出决算结构情况</w:t>
      </w:r>
      <w:bookmarkEnd w:id="27"/>
    </w:p>
    <w:p w14:paraId="30381F77">
      <w:pPr>
        <w:pageBreakBefore w:val="0"/>
        <w:kinsoku/>
        <w:wordWrap/>
        <w:overflowPunct/>
        <w:topLinePunct w:val="0"/>
        <w:autoSpaceDE/>
        <w:autoSpaceDN/>
        <w:bidi w:val="0"/>
        <w:spacing w:line="240" w:lineRule="auto"/>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302.15</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%；文化旅游体育与传媒支出239.59万元，占</w:t>
      </w:r>
      <w:r>
        <w:rPr>
          <w:rFonts w:hint="eastAsia" w:eastAsia="仿宋_GB2312" w:cs="仿宋_GB2312"/>
          <w:sz w:val="32"/>
          <w:szCs w:val="32"/>
          <w:lang w:val="en-US" w:eastAsia="zh-CN"/>
        </w:rPr>
        <w:t>79</w:t>
      </w:r>
      <w:r>
        <w:rPr>
          <w:rFonts w:hint="eastAsia" w:eastAsia="仿宋_GB2312" w:cs="仿宋_GB2312"/>
          <w:sz w:val="32"/>
          <w:szCs w:val="32"/>
        </w:rPr>
        <w:t>%；社会保障和就业支出33.05万元，占</w:t>
      </w:r>
      <w:r>
        <w:rPr>
          <w:rFonts w:hint="eastAsia" w:eastAsia="仿宋_GB2312" w:cs="仿宋_GB2312"/>
          <w:sz w:val="32"/>
          <w:szCs w:val="32"/>
          <w:lang w:val="en-US" w:eastAsia="zh-CN"/>
        </w:rPr>
        <w:t>11</w:t>
      </w:r>
      <w:r>
        <w:rPr>
          <w:rFonts w:hint="eastAsia" w:eastAsia="仿宋_GB2312" w:cs="仿宋_GB2312"/>
          <w:sz w:val="32"/>
          <w:szCs w:val="32"/>
        </w:rPr>
        <w:t>%；卫生健康支出12.36万元，占</w:t>
      </w:r>
      <w:r>
        <w:rPr>
          <w:rFonts w:hint="eastAsia" w:eastAsia="仿宋_GB2312" w:cs="仿宋_GB2312"/>
          <w:sz w:val="32"/>
          <w:szCs w:val="32"/>
          <w:lang w:val="en-US" w:eastAsia="zh-CN"/>
        </w:rPr>
        <w:t>4</w:t>
      </w:r>
      <w:r>
        <w:rPr>
          <w:rFonts w:hint="eastAsia" w:eastAsia="仿宋_GB2312" w:cs="仿宋_GB2312"/>
          <w:sz w:val="32"/>
          <w:szCs w:val="32"/>
        </w:rPr>
        <w:t>%；住房保障支出17.15万元，占</w:t>
      </w:r>
      <w:r>
        <w:rPr>
          <w:rFonts w:hint="eastAsia" w:eastAsia="仿宋_GB2312" w:cs="仿宋_GB2312"/>
          <w:sz w:val="32"/>
          <w:szCs w:val="32"/>
          <w:lang w:val="en-US" w:eastAsia="zh-CN"/>
        </w:rPr>
        <w:t>6</w:t>
      </w:r>
      <w:r>
        <w:rPr>
          <w:rFonts w:hint="eastAsia" w:eastAsia="仿宋_GB2312" w:cs="仿宋_GB2312"/>
          <w:sz w:val="32"/>
          <w:szCs w:val="32"/>
        </w:rPr>
        <w:t>%</w:t>
      </w:r>
      <w:r>
        <w:rPr>
          <w:rFonts w:hint="eastAsia" w:eastAsia="仿宋_GB2312" w:cs="仿宋_GB2312"/>
          <w:sz w:val="32"/>
          <w:szCs w:val="32"/>
          <w:lang w:eastAsia="zh-CN"/>
        </w:rPr>
        <w:t>。</w:t>
      </w:r>
    </w:p>
    <w:p w14:paraId="213ACD41">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799B6E50">
      <w:pPr>
        <w:pageBreakBefore w:val="0"/>
        <w:kinsoku/>
        <w:wordWrap/>
        <w:overflowPunct/>
        <w:topLinePunct w:val="0"/>
        <w:autoSpaceDE/>
        <w:autoSpaceDN/>
        <w:bidi w:val="0"/>
        <w:spacing w:line="240" w:lineRule="auto"/>
        <w:ind w:firstLine="640"/>
        <w:rPr>
          <w:rFonts w:eastAsia="仿宋_GB2312" w:cs="仿宋_GB2312"/>
          <w:sz w:val="32"/>
          <w:szCs w:val="32"/>
        </w:rPr>
      </w:pPr>
      <w:r>
        <w:drawing>
          <wp:inline distT="0" distB="0" distL="114300" distR="114300">
            <wp:extent cx="4826000" cy="2188845"/>
            <wp:effectExtent l="4445" t="4445" r="8255" b="54610"/>
            <wp:docPr id="13" name="图表 12"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33DF04">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28" w:name="_Toc15377212"/>
      <w:r>
        <w:rPr>
          <w:rFonts w:hint="eastAsia" w:eastAsia="楷体_GB2312" w:cs="楷体_GB2312"/>
          <w:b/>
          <w:sz w:val="32"/>
          <w:szCs w:val="32"/>
        </w:rPr>
        <w:t>（三）一般公共预算财政拨款支出决算具体情况</w:t>
      </w:r>
      <w:bookmarkEnd w:id="28"/>
    </w:p>
    <w:p w14:paraId="0C547C31">
      <w:pPr>
        <w:pageBreakBefore w:val="0"/>
        <w:kinsoku/>
        <w:wordWrap/>
        <w:overflowPunct/>
        <w:topLinePunct w:val="0"/>
        <w:autoSpaceDE/>
        <w:autoSpaceDN/>
        <w:bidi w:val="0"/>
        <w:spacing w:line="240" w:lineRule="auto"/>
        <w:ind w:firstLine="640"/>
        <w:rPr>
          <w:rFonts w:eastAsia="仿宋_GB2312" w:cs="仿宋_GB2312"/>
          <w:sz w:val="32"/>
          <w:szCs w:val="32"/>
        </w:rPr>
      </w:pPr>
      <w:bookmarkStart w:id="29" w:name="_Toc15377444"/>
      <w:bookmarkStart w:id="30" w:name="_Toc15377213"/>
      <w:bookmarkStart w:id="31"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302.15万元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9"/>
      <w:bookmarkEnd w:id="30"/>
      <w:bookmarkEnd w:id="31"/>
    </w:p>
    <w:p w14:paraId="4E56F344">
      <w:pPr>
        <w:pageBreakBefore w:val="0"/>
        <w:kinsoku/>
        <w:wordWrap/>
        <w:overflowPunct/>
        <w:topLinePunct w:val="0"/>
        <w:autoSpaceDE/>
        <w:autoSpaceDN/>
        <w:bidi w:val="0"/>
        <w:spacing w:line="240" w:lineRule="auto"/>
        <w:ind w:firstLine="640" w:firstLineChars="200"/>
        <w:rPr>
          <w:rFonts w:ascii="Times New Roman" w:hAnsi="Times New Roman" w:eastAsia="方正仿宋_GBK"/>
          <w:b/>
          <w:sz w:val="32"/>
          <w:szCs w:val="32"/>
        </w:rPr>
      </w:pPr>
      <w:r>
        <w:rPr>
          <w:rFonts w:hint="eastAsia" w:eastAsia="仿宋_GB2312" w:cs="仿宋_GB2312"/>
          <w:sz w:val="32"/>
          <w:szCs w:val="32"/>
          <w:lang w:val="en-US" w:eastAsia="zh-CN"/>
        </w:rPr>
        <w:t>1</w:t>
      </w:r>
      <w:r>
        <w:rPr>
          <w:rFonts w:hint="eastAsia" w:eastAsia="仿宋_GB2312" w:cs="仿宋_GB2312"/>
          <w:sz w:val="32"/>
          <w:szCs w:val="32"/>
        </w:rPr>
        <w:t>.文化旅游体育与传媒（207）文化和旅游（01）文化创作与保护（11）: 支出决算为</w:t>
      </w:r>
      <w:r>
        <w:rPr>
          <w:rFonts w:hint="eastAsia" w:eastAsia="仿宋_GB2312" w:cs="仿宋_GB2312"/>
          <w:sz w:val="32"/>
          <w:szCs w:val="32"/>
          <w:lang w:val="en-US" w:eastAsia="zh-CN"/>
        </w:rPr>
        <w:t>239.59</w:t>
      </w:r>
      <w:r>
        <w:rPr>
          <w:rFonts w:hint="eastAsia" w:eastAsia="仿宋_GB2312" w:cs="仿宋_GB2312"/>
          <w:sz w:val="32"/>
          <w:szCs w:val="32"/>
        </w:rPr>
        <w:t>万元，完成预算100%，决算数等于预算数。</w:t>
      </w:r>
    </w:p>
    <w:p w14:paraId="6BAF7000">
      <w:pPr>
        <w:pageBreakBefore w:val="0"/>
        <w:kinsoku/>
        <w:wordWrap/>
        <w:overflowPunct/>
        <w:topLinePunct w:val="0"/>
        <w:autoSpaceDE/>
        <w:autoSpaceDN/>
        <w:bidi w:val="0"/>
        <w:spacing w:line="240" w:lineRule="auto"/>
        <w:ind w:firstLine="640" w:firstLineChars="200"/>
        <w:rPr>
          <w:rFonts w:hint="eastAsia"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.社会保障和就业（208）行政事业单位离退休（05）机关事业单位基本养老保险缴费支出（05）: 支出决算为</w:t>
      </w:r>
      <w:r>
        <w:rPr>
          <w:rFonts w:hint="eastAsia" w:eastAsia="仿宋_GB2312" w:cs="仿宋_GB2312"/>
          <w:sz w:val="32"/>
          <w:szCs w:val="32"/>
          <w:lang w:val="en-US" w:eastAsia="zh-CN"/>
        </w:rPr>
        <w:t>22.31</w:t>
      </w:r>
      <w:r>
        <w:rPr>
          <w:rFonts w:hint="eastAsia" w:eastAsia="仿宋_GB2312" w:cs="仿宋_GB2312"/>
          <w:sz w:val="32"/>
          <w:szCs w:val="32"/>
        </w:rPr>
        <w:t>万元，完成预算100%，决算数等于预算数。</w:t>
      </w:r>
    </w:p>
    <w:p w14:paraId="6A610A19">
      <w:pPr>
        <w:pageBreakBefore w:val="0"/>
        <w:kinsoku/>
        <w:wordWrap/>
        <w:overflowPunct/>
        <w:topLinePunct w:val="0"/>
        <w:autoSpaceDE/>
        <w:autoSpaceDN/>
        <w:bidi w:val="0"/>
        <w:spacing w:line="240" w:lineRule="auto"/>
        <w:ind w:firstLine="640" w:firstLineChars="200"/>
        <w:rPr>
          <w:rFonts w:hint="eastAsia" w:eastAsia="仿宋_GB2312" w:cs="仿宋_GB2312"/>
          <w:sz w:val="32"/>
          <w:szCs w:val="32"/>
        </w:rPr>
      </w:pPr>
      <w:r>
        <w:rPr>
          <w:rFonts w:hint="eastAsia" w:eastAsia="仿宋_GB2312" w:cs="仿宋_GB2312"/>
          <w:sz w:val="32"/>
          <w:szCs w:val="32"/>
          <w:lang w:val="en-US" w:eastAsia="zh-CN"/>
        </w:rPr>
        <w:t>3</w:t>
      </w:r>
      <w:r>
        <w:rPr>
          <w:rFonts w:hint="eastAsia" w:eastAsia="仿宋_GB2312" w:cs="仿宋_GB2312"/>
          <w:sz w:val="32"/>
          <w:szCs w:val="32"/>
        </w:rPr>
        <w:t>.社会保障和就业（208）行政事业单位离退休（05）机关事业单位职业年金缴费支出（06）: 支出决算为</w:t>
      </w:r>
      <w:r>
        <w:rPr>
          <w:rFonts w:hint="eastAsia" w:eastAsia="仿宋_GB2312" w:cs="仿宋_GB2312"/>
          <w:sz w:val="32"/>
          <w:szCs w:val="32"/>
          <w:lang w:val="en-US" w:eastAsia="zh-CN"/>
        </w:rPr>
        <w:t>10.74</w:t>
      </w:r>
      <w:r>
        <w:rPr>
          <w:rFonts w:hint="eastAsia" w:eastAsia="仿宋_GB2312" w:cs="仿宋_GB2312"/>
          <w:sz w:val="32"/>
          <w:szCs w:val="32"/>
        </w:rPr>
        <w:t>万元，完成预算100%，决算数等于预算数。</w:t>
      </w:r>
    </w:p>
    <w:p w14:paraId="251A600E">
      <w:pPr>
        <w:pageBreakBefore w:val="0"/>
        <w:kinsoku/>
        <w:wordWrap/>
        <w:overflowPunct/>
        <w:topLinePunct w:val="0"/>
        <w:autoSpaceDE/>
        <w:autoSpaceDN/>
        <w:bidi w:val="0"/>
        <w:spacing w:line="240" w:lineRule="auto"/>
        <w:ind w:firstLine="640" w:firstLineChars="200"/>
        <w:rPr>
          <w:rFonts w:hint="eastAsia"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.医疗卫生与计划生育（210）医疗保障（05）事业单位医疗（02）:支出决算为</w:t>
      </w:r>
      <w:r>
        <w:rPr>
          <w:rFonts w:hint="eastAsia" w:eastAsia="仿宋_GB2312" w:cs="仿宋_GB2312"/>
          <w:sz w:val="32"/>
          <w:szCs w:val="32"/>
          <w:lang w:val="en-US" w:eastAsia="zh-CN"/>
        </w:rPr>
        <w:t>9.38</w:t>
      </w:r>
      <w:r>
        <w:rPr>
          <w:rFonts w:hint="eastAsia" w:eastAsia="仿宋_GB2312" w:cs="仿宋_GB2312"/>
          <w:sz w:val="32"/>
          <w:szCs w:val="32"/>
        </w:rPr>
        <w:t>万元，完成预算100%，决算数等于预算数。</w:t>
      </w:r>
    </w:p>
    <w:p w14:paraId="44579187">
      <w:pPr>
        <w:pageBreakBefore w:val="0"/>
        <w:kinsoku/>
        <w:wordWrap/>
        <w:overflowPunct/>
        <w:topLinePunct w:val="0"/>
        <w:autoSpaceDE/>
        <w:autoSpaceDN/>
        <w:bidi w:val="0"/>
        <w:spacing w:line="240" w:lineRule="auto"/>
        <w:ind w:firstLine="640" w:firstLineChars="200"/>
        <w:rPr>
          <w:rFonts w:hint="eastAsia"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.医疗卫生与计划生育（210）医疗保障（05）其他行政事业单位医疗支出（99）：支出决算为</w:t>
      </w:r>
      <w:r>
        <w:rPr>
          <w:rFonts w:hint="eastAsia" w:eastAsia="仿宋_GB2312" w:cs="仿宋_GB2312"/>
          <w:sz w:val="32"/>
          <w:szCs w:val="32"/>
          <w:lang w:val="en-US" w:eastAsia="zh-CN"/>
        </w:rPr>
        <w:t>2.99</w:t>
      </w:r>
      <w:r>
        <w:rPr>
          <w:rFonts w:hint="eastAsia" w:eastAsia="仿宋_GB2312" w:cs="仿宋_GB2312"/>
          <w:sz w:val="32"/>
          <w:szCs w:val="32"/>
        </w:rPr>
        <w:t>万元，完成预算100%，决算数等于预算数。</w:t>
      </w:r>
    </w:p>
    <w:p w14:paraId="09ABC5BB">
      <w:pPr>
        <w:pageBreakBefore w:val="0"/>
        <w:kinsoku/>
        <w:wordWrap/>
        <w:overflowPunct/>
        <w:topLinePunct w:val="0"/>
        <w:autoSpaceDE/>
        <w:autoSpaceDN/>
        <w:bidi w:val="0"/>
        <w:spacing w:line="240" w:lineRule="auto"/>
        <w:ind w:firstLine="640" w:firstLineChars="200"/>
        <w:rPr>
          <w:rFonts w:hint="eastAsia"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.住房保障支出（221）住房改革支出（02）住房公积金（01）:支出决算为</w:t>
      </w:r>
      <w:r>
        <w:rPr>
          <w:rFonts w:hint="eastAsia" w:eastAsia="仿宋_GB2312" w:cs="仿宋_GB2312"/>
          <w:sz w:val="32"/>
          <w:szCs w:val="32"/>
          <w:lang w:val="en-US" w:eastAsia="zh-CN"/>
        </w:rPr>
        <w:t>17.15</w:t>
      </w:r>
      <w:r>
        <w:rPr>
          <w:rFonts w:hint="eastAsia" w:eastAsia="仿宋_GB2312" w:cs="仿宋_GB2312"/>
          <w:sz w:val="32"/>
          <w:szCs w:val="32"/>
        </w:rPr>
        <w:t>万元，完成预算100%，决算数等于预算数。</w:t>
      </w:r>
    </w:p>
    <w:p w14:paraId="09FFB682">
      <w:pPr>
        <w:pageBreakBefore w:val="0"/>
        <w:tabs>
          <w:tab w:val="right" w:pos="8306"/>
        </w:tabs>
        <w:kinsoku/>
        <w:wordWrap/>
        <w:overflowPunct/>
        <w:topLinePunct w:val="0"/>
        <w:autoSpaceDE/>
        <w:autoSpaceDN/>
        <w:bidi w:val="0"/>
        <w:spacing w:line="240" w:lineRule="auto"/>
        <w:ind w:firstLine="640"/>
        <w:outlineLvl w:val="1"/>
        <w:rPr>
          <w:rStyle w:val="30"/>
          <w:rFonts w:ascii="Times New Roman" w:hAnsi="Times New Roman"/>
        </w:rPr>
      </w:pPr>
      <w:bookmarkStart w:id="32" w:name="_Toc15396608"/>
      <w:bookmarkStart w:id="33"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2"/>
      <w:bookmarkEnd w:id="33"/>
      <w:r>
        <w:rPr>
          <w:rStyle w:val="30"/>
          <w:rFonts w:ascii="Times New Roman" w:hAnsi="Times New Roman" w:eastAsia="黑体"/>
          <w:b w:val="0"/>
        </w:rPr>
        <w:tab/>
      </w:r>
    </w:p>
    <w:p w14:paraId="7A6B2C5F">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261.49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33CEB307">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40.66</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17.93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75093D4">
      <w:pPr>
        <w:pageBreakBefore w:val="0"/>
        <w:kinsoku/>
        <w:wordWrap/>
        <w:overflowPunct/>
        <w:topLinePunct w:val="0"/>
        <w:autoSpaceDE/>
        <w:autoSpaceDN/>
        <w:bidi w:val="0"/>
        <w:spacing w:line="240" w:lineRule="auto"/>
        <w:ind w:firstLine="640"/>
        <w:outlineLvl w:val="1"/>
        <w:rPr>
          <w:rStyle w:val="30"/>
          <w:rFonts w:ascii="Times New Roman" w:hAnsi="Times New Roman" w:eastAsia="黑体"/>
          <w:b w:val="0"/>
        </w:rPr>
      </w:pPr>
      <w:bookmarkStart w:id="34" w:name="_Toc15377215"/>
      <w:bookmarkStart w:id="35"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4"/>
      <w:bookmarkEnd w:id="35"/>
    </w:p>
    <w:p w14:paraId="55E32413">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36" w:name="_Toc15377216"/>
      <w:r>
        <w:rPr>
          <w:rFonts w:hint="eastAsia" w:eastAsia="楷体_GB2312" w:cs="楷体_GB2312"/>
          <w:b/>
          <w:sz w:val="32"/>
          <w:szCs w:val="32"/>
        </w:rPr>
        <w:t>（一）“三公”经费财政拨款支出决算总体情况说明</w:t>
      </w:r>
      <w:bookmarkEnd w:id="36"/>
    </w:p>
    <w:p w14:paraId="38291826">
      <w:pPr>
        <w:pageBreakBefore w:val="0"/>
        <w:kinsoku/>
        <w:wordWrap/>
        <w:overflowPunct/>
        <w:topLinePunct w:val="0"/>
        <w:autoSpaceDE/>
        <w:autoSpaceDN/>
        <w:bidi w:val="0"/>
        <w:spacing w:line="240" w:lineRule="auto"/>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93.16</w:t>
      </w:r>
      <w:r>
        <w:rPr>
          <w:rFonts w:hint="eastAsia" w:ascii="仿宋_GB2312" w:hAnsi="仿宋_GB2312" w:eastAsia="仿宋_GB2312" w:cs="仿宋_GB2312"/>
          <w:sz w:val="32"/>
          <w:szCs w:val="32"/>
        </w:rPr>
        <w:t>%，</w:t>
      </w:r>
      <w:r>
        <w:rPr>
          <w:rFonts w:hint="eastAsia" w:eastAsia="仿宋_GB2312" w:cs="仿宋_GB2312"/>
          <w:sz w:val="32"/>
          <w:szCs w:val="32"/>
        </w:rPr>
        <w:t>较上年度增减少</w:t>
      </w:r>
      <w:r>
        <w:rPr>
          <w:rFonts w:hint="eastAsia" w:eastAsia="仿宋_GB2312" w:cs="仿宋_GB2312"/>
          <w:sz w:val="32"/>
          <w:szCs w:val="32"/>
          <w:lang w:val="en-US" w:eastAsia="zh-CN"/>
        </w:rPr>
        <w:t>1.94</w:t>
      </w:r>
      <w:r>
        <w:rPr>
          <w:rFonts w:hint="eastAsia" w:eastAsia="仿宋_GB2312" w:cs="仿宋_GB2312"/>
          <w:sz w:val="32"/>
          <w:szCs w:val="32"/>
        </w:rPr>
        <w:t>万元，下降</w:t>
      </w:r>
      <w:r>
        <w:rPr>
          <w:rFonts w:hint="eastAsia" w:eastAsia="仿宋_GB2312" w:cs="仿宋_GB2312"/>
          <w:sz w:val="32"/>
          <w:szCs w:val="32"/>
          <w:lang w:val="en-US" w:eastAsia="zh-CN"/>
        </w:rPr>
        <w:t>27.79</w:t>
      </w:r>
      <w:r>
        <w:rPr>
          <w:rFonts w:hint="eastAsia" w:eastAsia="仿宋_GB2312" w:cs="仿宋_GB2312"/>
          <w:sz w:val="32"/>
          <w:szCs w:val="32"/>
        </w:rPr>
        <w:t>%。决算数小于预算数（或与预算数持平）的主要原因是</w:t>
      </w:r>
      <w:r>
        <w:rPr>
          <w:rFonts w:hint="eastAsia" w:eastAsia="仿宋_GB2312" w:cs="仿宋_GB2312"/>
          <w:sz w:val="32"/>
          <w:szCs w:val="32"/>
          <w:lang w:eastAsia="zh-CN"/>
        </w:rPr>
        <w:t>无公务接待。</w:t>
      </w:r>
      <w:r>
        <w:rPr>
          <w:rFonts w:hint="eastAsia" w:eastAsia="仿宋_GB2312" w:cs="仿宋_GB2312"/>
          <w:b/>
          <w:bCs/>
          <w:sz w:val="32"/>
          <w:szCs w:val="32"/>
        </w:rPr>
        <w:t>（注：上述“预算”口径为全年预算数，包括一般公共预算和政府性基金预算财政拨款支出决算情况）</w:t>
      </w:r>
    </w:p>
    <w:p w14:paraId="181B4920">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37" w:name="_Toc15377217"/>
      <w:r>
        <w:rPr>
          <w:rFonts w:hint="eastAsia" w:eastAsia="楷体_GB2312" w:cs="楷体_GB2312"/>
          <w:b/>
          <w:sz w:val="32"/>
          <w:szCs w:val="32"/>
        </w:rPr>
        <w:t>（二）“三公”经费财政拨款支出决算具体情况说明</w:t>
      </w:r>
      <w:bookmarkEnd w:id="37"/>
    </w:p>
    <w:p w14:paraId="3582B8E9">
      <w:pPr>
        <w:pageBreakBefore w:val="0"/>
        <w:kinsoku/>
        <w:wordWrap/>
        <w:overflowPunct/>
        <w:topLinePunct w:val="0"/>
        <w:autoSpaceDE/>
        <w:autoSpaceDN/>
        <w:bidi w:val="0"/>
        <w:spacing w:line="24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526A8CFB">
      <w:pPr>
        <w:pageBreakBefore w:val="0"/>
        <w:kinsoku/>
        <w:wordWrap/>
        <w:overflowPunct/>
        <w:topLinePunct w:val="0"/>
        <w:autoSpaceDE/>
        <w:autoSpaceDN/>
        <w:bidi w:val="0"/>
        <w:spacing w:line="240" w:lineRule="auto"/>
        <w:ind w:firstLine="640"/>
        <w:rPr>
          <w:rFonts w:hint="eastAsia" w:eastAsia="仿宋_GB2312" w:cs="仿宋_GB2312"/>
          <w:sz w:val="32"/>
          <w:szCs w:val="32"/>
        </w:rPr>
      </w:pPr>
      <w:r>
        <w:rPr>
          <w:rFonts w:hint="eastAsia" w:eastAsia="仿宋_GB2312" w:cs="仿宋_GB2312"/>
          <w:sz w:val="32"/>
          <w:szCs w:val="32"/>
        </w:rPr>
        <w:t>（图7：“三公”经费财政拨款支出结构）（饼状图）</w:t>
      </w:r>
    </w:p>
    <w:p w14:paraId="7E26E3C9">
      <w:pPr>
        <w:pageBreakBefore w:val="0"/>
        <w:kinsoku/>
        <w:wordWrap/>
        <w:overflowPunct/>
        <w:topLinePunct w:val="0"/>
        <w:autoSpaceDE/>
        <w:autoSpaceDN/>
        <w:bidi w:val="0"/>
        <w:spacing w:line="240" w:lineRule="auto"/>
        <w:ind w:firstLine="640"/>
        <w:rPr>
          <w:rFonts w:hint="eastAsia" w:eastAsia="仿宋_GB2312" w:cs="仿宋_GB2312"/>
          <w:sz w:val="32"/>
          <w:szCs w:val="32"/>
        </w:rPr>
      </w:pPr>
      <w:r>
        <w:drawing>
          <wp:inline distT="0" distB="0" distL="114300" distR="114300">
            <wp:extent cx="5129530" cy="2154555"/>
            <wp:effectExtent l="4445" t="4445" r="9525" b="12700"/>
            <wp:docPr id="12" name="图表 11"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242049">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13095D98">
      <w:pPr>
        <w:pageBreakBefore w:val="0"/>
        <w:kinsoku/>
        <w:wordWrap/>
        <w:overflowPunct/>
        <w:topLinePunct w:val="0"/>
        <w:autoSpaceDE/>
        <w:autoSpaceDN/>
        <w:bidi w:val="0"/>
        <w:spacing w:line="240" w:lineRule="auto"/>
        <w:rPr>
          <w:rFonts w:hint="eastAsia" w:eastAsia="仿宋_GB2312" w:cs="仿宋_GB2312"/>
          <w:sz w:val="32"/>
          <w:szCs w:val="32"/>
          <w:lang w:eastAsia="zh-CN"/>
        </w:rPr>
      </w:pPr>
      <w:r>
        <w:rPr>
          <w:rFonts w:hint="eastAsia" w:eastAsia="仿宋_GB2312" w:cs="仿宋_GB2312"/>
          <w:sz w:val="32"/>
          <w:szCs w:val="32"/>
        </w:rPr>
        <w:t>开支内容包括：</w:t>
      </w:r>
      <w:r>
        <w:rPr>
          <w:rFonts w:hint="eastAsia" w:eastAsia="仿宋_GB2312" w:cs="仿宋_GB2312"/>
          <w:sz w:val="32"/>
          <w:szCs w:val="32"/>
          <w:lang w:eastAsia="zh-CN"/>
        </w:rPr>
        <w:t>无。</w:t>
      </w:r>
    </w:p>
    <w:p w14:paraId="46B9BD6F">
      <w:pPr>
        <w:pageBreakBefore w:val="0"/>
        <w:kinsoku/>
        <w:wordWrap/>
        <w:overflowPunct/>
        <w:topLinePunct w:val="0"/>
        <w:autoSpaceDE/>
        <w:autoSpaceDN/>
        <w:bidi w:val="0"/>
        <w:spacing w:line="240" w:lineRule="auto"/>
        <w:ind w:firstLine="640"/>
        <w:rPr>
          <w:rFonts w:hint="eastAsia" w:eastAsia="仿宋_GB2312" w:cs="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5.04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1.94</w:t>
      </w:r>
      <w:r>
        <w:rPr>
          <w:rFonts w:hint="eastAsia" w:eastAsia="仿宋_GB2312" w:cs="仿宋_GB2312"/>
          <w:sz w:val="32"/>
          <w:szCs w:val="32"/>
        </w:rPr>
        <w:t>万元，增长/下降</w:t>
      </w:r>
      <w:r>
        <w:rPr>
          <w:rFonts w:hint="eastAsia" w:eastAsia="仿宋_GB2312" w:cs="仿宋_GB2312"/>
          <w:sz w:val="32"/>
          <w:szCs w:val="32"/>
          <w:lang w:val="en-US" w:eastAsia="zh-CN"/>
        </w:rPr>
        <w:t>27.79</w:t>
      </w:r>
      <w:r>
        <w:rPr>
          <w:rFonts w:hint="eastAsia" w:eastAsia="仿宋_GB2312" w:cs="仿宋_GB2312"/>
          <w:sz w:val="32"/>
          <w:szCs w:val="32"/>
        </w:rPr>
        <w:t>%。主要原因是</w:t>
      </w:r>
      <w:r>
        <w:rPr>
          <w:rFonts w:hint="eastAsia" w:eastAsia="仿宋_GB2312" w:cs="仿宋_GB2312"/>
          <w:sz w:val="32"/>
          <w:szCs w:val="32"/>
          <w:lang w:eastAsia="zh-CN"/>
        </w:rPr>
        <w:t>公车用车减少。</w:t>
      </w:r>
    </w:p>
    <w:p w14:paraId="2F80BDA2">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1</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1ECD7BDF">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5.04</w:t>
      </w:r>
      <w:r>
        <w:rPr>
          <w:rFonts w:hint="eastAsia" w:eastAsia="仿宋_GB2312" w:cs="仿宋_GB2312"/>
          <w:sz w:val="32"/>
          <w:szCs w:val="32"/>
        </w:rPr>
        <w:t>万元。主要用于</w:t>
      </w:r>
      <w:r>
        <w:rPr>
          <w:rFonts w:ascii="Times New Roman" w:hAnsi="Times New Roman" w:eastAsia="方正仿宋_GBK"/>
          <w:color w:val="000000"/>
          <w:sz w:val="32"/>
          <w:szCs w:val="32"/>
        </w:rPr>
        <w:t>《草地》、《邦炯》期刊出版</w:t>
      </w:r>
      <w:r>
        <w:rPr>
          <w:rFonts w:ascii="Times New Roman" w:hAnsi="Times New Roman" w:eastAsia="方正仿宋_GBK"/>
          <w:sz w:val="32"/>
          <w:szCs w:val="32"/>
        </w:rPr>
        <w:t>工作</w:t>
      </w:r>
      <w:r>
        <w:rPr>
          <w:rFonts w:hint="eastAsia" w:eastAsia="方正仿宋_GBK"/>
          <w:sz w:val="32"/>
          <w:szCs w:val="32"/>
          <w:lang w:eastAsia="zh-CN"/>
        </w:rPr>
        <w:t>、</w:t>
      </w:r>
      <w:r>
        <w:rPr>
          <w:rFonts w:hint="eastAsia" w:eastAsia="方正仿宋_GBK"/>
          <w:color w:val="000000"/>
          <w:sz w:val="32"/>
          <w:szCs w:val="32"/>
          <w:lang w:eastAsia="zh-CN"/>
        </w:rPr>
        <w:t>采风活动</w:t>
      </w:r>
      <w:r>
        <w:rPr>
          <w:rFonts w:hint="eastAsia" w:eastAsia="仿宋_GB2312" w:cs="仿宋_GB2312"/>
          <w:sz w:val="32"/>
          <w:szCs w:val="32"/>
        </w:rPr>
        <w:t>所需的公务用车燃料费、维修费、过路过桥费、保险费等支出。</w:t>
      </w:r>
    </w:p>
    <w:p w14:paraId="24D7788E">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%。主要原因是</w:t>
      </w:r>
      <w:r>
        <w:rPr>
          <w:rFonts w:hint="eastAsia" w:eastAsia="仿宋_GB2312" w:cs="仿宋_GB2312"/>
          <w:sz w:val="32"/>
          <w:szCs w:val="32"/>
          <w:lang w:eastAsia="zh-CN"/>
        </w:rPr>
        <w:t>无公务接待</w:t>
      </w:r>
      <w:r>
        <w:rPr>
          <w:rFonts w:hint="eastAsia" w:eastAsia="仿宋_GB2312" w:cs="仿宋_GB2312"/>
          <w:sz w:val="32"/>
          <w:szCs w:val="32"/>
        </w:rPr>
        <w:t>。其中：</w:t>
      </w:r>
    </w:p>
    <w:p w14:paraId="296FD5FD">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元，主要用于(执行公务、开展业务活动开支的交通费、住宿费、用餐费等)。国内公务接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万元，具体内容包括：（接待具体项目、金额）。</w:t>
      </w:r>
    </w:p>
    <w:p w14:paraId="0DF7D7CC">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万元，主要用于（具体项目）。外事接待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8" w:name="_Toc15396610"/>
      <w:bookmarkStart w:id="39" w:name="_Toc15377218"/>
    </w:p>
    <w:p w14:paraId="47228CBE">
      <w:pPr>
        <w:pageBreakBefore w:val="0"/>
        <w:kinsoku/>
        <w:wordWrap/>
        <w:overflowPunct/>
        <w:topLinePunct w:val="0"/>
        <w:autoSpaceDE/>
        <w:autoSpaceDN/>
        <w:bidi w:val="0"/>
        <w:spacing w:line="240" w:lineRule="auto"/>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8"/>
      <w:bookmarkEnd w:id="39"/>
    </w:p>
    <w:p w14:paraId="469BDC26">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4A9A739A">
      <w:pPr>
        <w:pageBreakBefore w:val="0"/>
        <w:kinsoku/>
        <w:wordWrap/>
        <w:overflowPunct/>
        <w:topLinePunct w:val="0"/>
        <w:autoSpaceDE/>
        <w:autoSpaceDN/>
        <w:bidi w:val="0"/>
        <w:spacing w:line="240" w:lineRule="auto"/>
        <w:ind w:left="630"/>
        <w:outlineLvl w:val="1"/>
        <w:rPr>
          <w:rStyle w:val="30"/>
          <w:rFonts w:ascii="Times New Roman" w:hAnsi="Times New Roman" w:eastAsia="黑体"/>
          <w:b w:val="0"/>
        </w:rPr>
      </w:pPr>
      <w:bookmarkStart w:id="40" w:name="_Toc15396611"/>
      <w:bookmarkStart w:id="41" w:name="_Toc15377219"/>
      <w:r>
        <w:rPr>
          <w:rStyle w:val="30"/>
          <w:rFonts w:hint="eastAsia" w:ascii="Times New Roman" w:hAnsi="Times New Roman" w:eastAsia="黑体"/>
          <w:b w:val="0"/>
        </w:rPr>
        <w:t>九、国有资本经营预算支出决算情况说明</w:t>
      </w:r>
      <w:bookmarkEnd w:id="40"/>
      <w:bookmarkEnd w:id="41"/>
    </w:p>
    <w:p w14:paraId="7AE95F82">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2CA2FA4F">
      <w:pPr>
        <w:pageBreakBefore w:val="0"/>
        <w:kinsoku/>
        <w:wordWrap/>
        <w:overflowPunct/>
        <w:topLinePunct w:val="0"/>
        <w:autoSpaceDE/>
        <w:autoSpaceDN/>
        <w:bidi w:val="0"/>
        <w:spacing w:line="240" w:lineRule="auto"/>
        <w:ind w:left="630"/>
        <w:outlineLvl w:val="1"/>
        <w:rPr>
          <w:rStyle w:val="30"/>
          <w:rFonts w:ascii="Times New Roman" w:hAnsi="Times New Roman" w:eastAsia="黑体"/>
          <w:b w:val="0"/>
        </w:rPr>
      </w:pPr>
      <w:bookmarkStart w:id="42" w:name="_Toc15396612"/>
      <w:bookmarkStart w:id="43" w:name="_Toc15377221"/>
      <w:r>
        <w:rPr>
          <w:rStyle w:val="30"/>
          <w:rFonts w:hint="eastAsia" w:ascii="Times New Roman" w:hAnsi="Times New Roman" w:eastAsia="黑体"/>
          <w:b w:val="0"/>
        </w:rPr>
        <w:t>十、其他重要事项的情况说明</w:t>
      </w:r>
      <w:bookmarkEnd w:id="42"/>
      <w:bookmarkEnd w:id="43"/>
    </w:p>
    <w:p w14:paraId="2635AD73">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44" w:name="_Toc15377222"/>
      <w:r>
        <w:rPr>
          <w:rFonts w:hint="eastAsia" w:eastAsia="楷体_GB2312" w:cs="楷体_GB2312"/>
          <w:b/>
          <w:sz w:val="32"/>
          <w:szCs w:val="32"/>
        </w:rPr>
        <w:t>（一）机关运行经费支出情况</w:t>
      </w:r>
      <w:bookmarkEnd w:id="44"/>
    </w:p>
    <w:p w14:paraId="7B010C1B">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元，比2023年度增加/减少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%（或与2023年度决算数持平）。</w:t>
      </w:r>
    </w:p>
    <w:p w14:paraId="55FA91AE">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45" w:name="_Toc15377223"/>
      <w:r>
        <w:rPr>
          <w:rFonts w:hint="eastAsia" w:eastAsia="楷体_GB2312" w:cs="楷体_GB2312"/>
          <w:b/>
          <w:sz w:val="32"/>
          <w:szCs w:val="32"/>
        </w:rPr>
        <w:t>（二）政府采购支出情况</w:t>
      </w:r>
      <w:bookmarkEnd w:id="45"/>
    </w:p>
    <w:p w14:paraId="64232170">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ascii="仿宋_GB2312" w:hAnsi="仿宋_GB2312" w:eastAsia="仿宋_GB2312" w:cs="仿宋_GB2312"/>
          <w:sz w:val="32"/>
          <w:szCs w:val="32"/>
        </w:rPr>
        <w:t>2024年度，政府采购支出总额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万元。（具体工作）。授予中小企业合同金额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5302635">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bookmarkStart w:id="46" w:name="_Toc15377224"/>
      <w:r>
        <w:rPr>
          <w:rFonts w:hint="eastAsia" w:eastAsia="楷体_GB2312" w:cs="楷体_GB2312"/>
          <w:b/>
          <w:sz w:val="32"/>
          <w:szCs w:val="32"/>
        </w:rPr>
        <w:t>（三）国有资产占有使用情况</w:t>
      </w:r>
      <w:bookmarkEnd w:id="46"/>
    </w:p>
    <w:p w14:paraId="1C776524">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《草地》编辑部</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辆，其他用车主要是用于</w:t>
      </w:r>
      <w:r>
        <w:rPr>
          <w:rFonts w:ascii="Times New Roman" w:hAnsi="Times New Roman" w:eastAsia="方正仿宋_GBK"/>
          <w:color w:val="000000"/>
          <w:sz w:val="32"/>
          <w:szCs w:val="32"/>
        </w:rPr>
        <w:t>《草地》、《邦炯》期刊出版</w:t>
      </w:r>
      <w:r>
        <w:rPr>
          <w:rFonts w:ascii="Times New Roman" w:hAnsi="Times New Roman" w:eastAsia="方正仿宋_GBK"/>
          <w:sz w:val="32"/>
          <w:szCs w:val="32"/>
        </w:rPr>
        <w:t>工作</w:t>
      </w:r>
      <w:r>
        <w:rPr>
          <w:rFonts w:hint="eastAsia" w:eastAsia="方正仿宋_GBK"/>
          <w:sz w:val="32"/>
          <w:szCs w:val="32"/>
          <w:lang w:eastAsia="zh-CN"/>
        </w:rPr>
        <w:t>、</w:t>
      </w:r>
      <w:r>
        <w:rPr>
          <w:rFonts w:hint="eastAsia" w:eastAsia="方正仿宋_GBK"/>
          <w:color w:val="000000"/>
          <w:sz w:val="32"/>
          <w:szCs w:val="32"/>
          <w:lang w:eastAsia="zh-CN"/>
        </w:rPr>
        <w:t>采风活动</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3666F02">
      <w:pPr>
        <w:pageBreakBefore w:val="0"/>
        <w:kinsoku/>
        <w:wordWrap/>
        <w:overflowPunct/>
        <w:topLinePunct w:val="0"/>
        <w:autoSpaceDE/>
        <w:autoSpaceDN/>
        <w:bidi w:val="0"/>
        <w:spacing w:line="240" w:lineRule="auto"/>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CEAE84E">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lang w:val="en-US" w:eastAsia="zh-CN"/>
        </w:rPr>
        <w:t>《草地》编辑部</w:t>
      </w:r>
      <w:r>
        <w:rPr>
          <w:rFonts w:hint="eastAsia" w:eastAsia="仿宋_GB2312" w:cs="仿宋_GB2312"/>
          <w:sz w:val="32"/>
          <w:szCs w:val="32"/>
        </w:rPr>
        <w:t>在2024年度预算编制阶段，组织对</w:t>
      </w:r>
      <w:r>
        <w:rPr>
          <w:rFonts w:hint="eastAsia" w:eastAsia="仿宋_GB2312" w:cs="仿宋_GB2312"/>
          <w:sz w:val="32"/>
          <w:szCs w:val="32"/>
          <w:lang w:eastAsia="zh-CN"/>
        </w:rPr>
        <w:t>创作经费、办刊经费</w:t>
      </w:r>
      <w:r>
        <w:rPr>
          <w:rFonts w:hint="eastAsia" w:eastAsia="仿宋_GB2312" w:cs="仿宋_GB2312"/>
          <w:sz w:val="32"/>
          <w:szCs w:val="32"/>
          <w:lang w:val="en-US" w:eastAsia="zh-CN"/>
        </w:rPr>
        <w:t>2</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eastAsia" w:eastAsia="仿宋_GB2312" w:cs="仿宋_GB2312"/>
          <w:sz w:val="32"/>
          <w:szCs w:val="32"/>
        </w:rPr>
        <w:t>个项目开展绩效监控。</w:t>
      </w:r>
      <w:bookmarkStart w:id="66" w:name="_GoBack"/>
      <w:bookmarkEnd w:id="66"/>
    </w:p>
    <w:p w14:paraId="4818AB03">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《草地》编辑部</w:t>
      </w:r>
      <w:r>
        <w:rPr>
          <w:rFonts w:hint="eastAsia" w:eastAsia="仿宋_GB2312" w:cs="仿宋_GB2312"/>
          <w:sz w:val="32"/>
          <w:szCs w:val="32"/>
        </w:rPr>
        <w:t>整体（含部门预算项目）绩效自评报告、</w:t>
      </w:r>
      <w:r>
        <w:rPr>
          <w:rFonts w:hint="eastAsia" w:eastAsia="仿宋_GB2312" w:cs="仿宋_GB2312"/>
          <w:sz w:val="32"/>
          <w:szCs w:val="32"/>
          <w:lang w:eastAsia="zh-CN"/>
        </w:rPr>
        <w:t>无</w:t>
      </w:r>
      <w:r>
        <w:rPr>
          <w:rFonts w:hint="eastAsia" w:eastAsia="仿宋_GB2312" w:cs="仿宋_GB2312"/>
          <w:sz w:val="32"/>
          <w:szCs w:val="32"/>
        </w:rPr>
        <w:t>专项预算项目，其中，</w:t>
      </w:r>
      <w:r>
        <w:rPr>
          <w:rFonts w:hint="eastAsia" w:ascii="仿宋_GB2312" w:hAnsi="仿宋_GB2312" w:eastAsia="仿宋_GB2312" w:cs="仿宋_GB2312"/>
          <w:sz w:val="32"/>
          <w:szCs w:val="32"/>
          <w:lang w:val="en-US" w:eastAsia="zh-CN"/>
        </w:rPr>
        <w:t>《草地》编辑部</w:t>
      </w:r>
      <w:r>
        <w:rPr>
          <w:rFonts w:hint="eastAsia" w:eastAsia="仿宋_GB2312" w:cs="仿宋_GB2312"/>
          <w:sz w:val="32"/>
          <w:szCs w:val="32"/>
        </w:rPr>
        <w:t>整体（含部门预算项目）绩效自评得分为</w:t>
      </w:r>
      <w:r>
        <w:rPr>
          <w:rFonts w:hint="eastAsia" w:eastAsia="仿宋_GB2312" w:cs="仿宋_GB2312"/>
          <w:sz w:val="32"/>
          <w:szCs w:val="32"/>
          <w:lang w:val="en-US" w:eastAsia="zh-CN"/>
        </w:rPr>
        <w:t>89</w:t>
      </w:r>
      <w:r>
        <w:rPr>
          <w:rFonts w:hint="eastAsia" w:eastAsia="仿宋_GB2312" w:cs="仿宋_GB2312"/>
          <w:sz w:val="32"/>
          <w:szCs w:val="32"/>
        </w:rPr>
        <w:t>分，绩效自评综述</w:t>
      </w:r>
      <w:r>
        <w:rPr>
          <w:rFonts w:hint="eastAsia" w:eastAsia="仿宋_GB2312" w:cs="仿宋_GB2312"/>
          <w:sz w:val="32"/>
          <w:szCs w:val="32"/>
          <w:lang w:eastAsia="zh-CN"/>
        </w:rPr>
        <w:t>创作经费、办刊经费</w:t>
      </w:r>
      <w:r>
        <w:rPr>
          <w:rFonts w:hint="eastAsia" w:eastAsia="仿宋_GB2312" w:cs="仿宋_GB2312"/>
          <w:sz w:val="32"/>
          <w:szCs w:val="32"/>
        </w:rPr>
        <w:t>；</w:t>
      </w:r>
      <w:r>
        <w:rPr>
          <w:rFonts w:hint="eastAsia" w:ascii="仿宋_GB2312" w:hAnsi="仿宋_GB2312" w:eastAsia="仿宋_GB2312" w:cs="仿宋_GB2312"/>
          <w:sz w:val="32"/>
          <w:szCs w:val="32"/>
          <w:lang w:val="en-US" w:eastAsia="zh-CN"/>
        </w:rPr>
        <w:t>《草地》编辑部无</w:t>
      </w:r>
      <w:r>
        <w:rPr>
          <w:rFonts w:hint="eastAsia" w:eastAsia="仿宋_GB2312" w:cs="仿宋_GB2312"/>
          <w:sz w:val="32"/>
          <w:szCs w:val="32"/>
        </w:rPr>
        <w:t>专项预算项目。绩效自评报告详见附件。</w:t>
      </w:r>
    </w:p>
    <w:p w14:paraId="4D9F259B">
      <w:pPr>
        <w:pageBreakBefore w:val="0"/>
        <w:kinsoku/>
        <w:wordWrap/>
        <w:overflowPunct/>
        <w:topLinePunct w:val="0"/>
        <w:autoSpaceDE/>
        <w:autoSpaceDN/>
        <w:bidi w:val="0"/>
        <w:spacing w:line="240" w:lineRule="auto"/>
        <w:ind w:firstLine="640"/>
        <w:rPr>
          <w:rFonts w:eastAsia="仿宋_GB2312" w:cs="仿宋_GB2312"/>
          <w:sz w:val="32"/>
          <w:szCs w:val="32"/>
        </w:rPr>
      </w:pPr>
    </w:p>
    <w:p w14:paraId="489F1B84">
      <w:pPr>
        <w:pageBreakBefore w:val="0"/>
        <w:kinsoku/>
        <w:wordWrap/>
        <w:overflowPunct/>
        <w:topLinePunct w:val="0"/>
        <w:autoSpaceDE/>
        <w:autoSpaceDN/>
        <w:bidi w:val="0"/>
        <w:spacing w:line="240" w:lineRule="auto"/>
        <w:ind w:firstLine="640"/>
        <w:rPr>
          <w:rFonts w:eastAsia="仿宋_GB2312" w:cs="仿宋_GB2312"/>
          <w:sz w:val="32"/>
          <w:szCs w:val="32"/>
        </w:rPr>
      </w:pPr>
    </w:p>
    <w:p w14:paraId="2213D387">
      <w:pPr>
        <w:pageBreakBefore w:val="0"/>
        <w:kinsoku/>
        <w:wordWrap/>
        <w:overflowPunct/>
        <w:topLinePunct w:val="0"/>
        <w:autoSpaceDE/>
        <w:autoSpaceDN/>
        <w:bidi w:val="0"/>
        <w:spacing w:line="240" w:lineRule="auto"/>
        <w:ind w:firstLine="640"/>
        <w:rPr>
          <w:rFonts w:eastAsia="仿宋_GB2312" w:cs="仿宋_GB2312"/>
          <w:sz w:val="32"/>
          <w:szCs w:val="32"/>
        </w:rPr>
      </w:pPr>
    </w:p>
    <w:p w14:paraId="24BDF178">
      <w:pPr>
        <w:pageBreakBefore w:val="0"/>
        <w:kinsoku/>
        <w:wordWrap/>
        <w:overflowPunct/>
        <w:topLinePunct w:val="0"/>
        <w:autoSpaceDE/>
        <w:autoSpaceDN/>
        <w:bidi w:val="0"/>
        <w:spacing w:line="240" w:lineRule="auto"/>
        <w:ind w:firstLine="640"/>
        <w:rPr>
          <w:rFonts w:eastAsia="仿宋_GB2312" w:cs="仿宋_GB2312"/>
          <w:sz w:val="32"/>
          <w:szCs w:val="32"/>
        </w:rPr>
      </w:pPr>
    </w:p>
    <w:p w14:paraId="5FFDD8AA">
      <w:pPr>
        <w:pageBreakBefore w:val="0"/>
        <w:kinsoku/>
        <w:wordWrap/>
        <w:overflowPunct/>
        <w:topLinePunct w:val="0"/>
        <w:autoSpaceDE/>
        <w:autoSpaceDN/>
        <w:bidi w:val="0"/>
        <w:spacing w:line="240" w:lineRule="auto"/>
        <w:ind w:firstLine="640"/>
        <w:rPr>
          <w:rFonts w:eastAsia="仿宋_GB2312" w:cs="仿宋_GB2312"/>
          <w:sz w:val="32"/>
          <w:szCs w:val="32"/>
        </w:rPr>
      </w:pPr>
    </w:p>
    <w:p w14:paraId="34FC8FCE">
      <w:pPr>
        <w:pageBreakBefore w:val="0"/>
        <w:kinsoku/>
        <w:wordWrap/>
        <w:overflowPunct/>
        <w:topLinePunct w:val="0"/>
        <w:autoSpaceDE/>
        <w:autoSpaceDN/>
        <w:bidi w:val="0"/>
        <w:spacing w:line="240" w:lineRule="auto"/>
        <w:ind w:firstLine="640"/>
        <w:rPr>
          <w:rFonts w:eastAsia="仿宋_GB2312" w:cs="仿宋_GB2312"/>
          <w:sz w:val="32"/>
          <w:szCs w:val="32"/>
        </w:rPr>
      </w:pPr>
    </w:p>
    <w:p w14:paraId="4770D4B3">
      <w:pPr>
        <w:pageBreakBefore w:val="0"/>
        <w:kinsoku/>
        <w:wordWrap/>
        <w:overflowPunct/>
        <w:topLinePunct w:val="0"/>
        <w:autoSpaceDE/>
        <w:autoSpaceDN/>
        <w:bidi w:val="0"/>
        <w:spacing w:line="240" w:lineRule="auto"/>
        <w:ind w:firstLine="640"/>
        <w:rPr>
          <w:rFonts w:eastAsia="仿宋_GB2312" w:cs="仿宋_GB2312"/>
          <w:sz w:val="32"/>
          <w:szCs w:val="32"/>
        </w:rPr>
      </w:pPr>
    </w:p>
    <w:p w14:paraId="63AA3C16">
      <w:pPr>
        <w:pageBreakBefore w:val="0"/>
        <w:kinsoku/>
        <w:wordWrap/>
        <w:overflowPunct/>
        <w:topLinePunct w:val="0"/>
        <w:autoSpaceDE/>
        <w:autoSpaceDN/>
        <w:bidi w:val="0"/>
        <w:spacing w:line="240" w:lineRule="auto"/>
        <w:ind w:firstLine="640"/>
        <w:rPr>
          <w:rFonts w:eastAsia="仿宋_GB2312" w:cs="仿宋_GB2312"/>
          <w:sz w:val="32"/>
          <w:szCs w:val="32"/>
        </w:rPr>
      </w:pPr>
    </w:p>
    <w:p w14:paraId="60336368">
      <w:pPr>
        <w:pageBreakBefore w:val="0"/>
        <w:kinsoku/>
        <w:wordWrap/>
        <w:overflowPunct/>
        <w:topLinePunct w:val="0"/>
        <w:autoSpaceDE/>
        <w:autoSpaceDN/>
        <w:bidi w:val="0"/>
        <w:spacing w:line="240" w:lineRule="auto"/>
        <w:ind w:firstLine="640"/>
        <w:rPr>
          <w:rFonts w:eastAsia="仿宋_GB2312" w:cs="仿宋_GB2312"/>
          <w:sz w:val="32"/>
          <w:szCs w:val="32"/>
        </w:rPr>
      </w:pPr>
    </w:p>
    <w:p w14:paraId="6F45BA35">
      <w:pPr>
        <w:pageBreakBefore w:val="0"/>
        <w:kinsoku/>
        <w:wordWrap/>
        <w:overflowPunct/>
        <w:topLinePunct w:val="0"/>
        <w:autoSpaceDE/>
        <w:autoSpaceDN/>
        <w:bidi w:val="0"/>
        <w:spacing w:line="240" w:lineRule="auto"/>
        <w:jc w:val="center"/>
        <w:outlineLvl w:val="0"/>
        <w:rPr>
          <w:rFonts w:eastAsia="黑体"/>
          <w:sz w:val="44"/>
          <w:szCs w:val="44"/>
        </w:rPr>
      </w:pPr>
      <w:bookmarkStart w:id="47" w:name="_Toc15396613"/>
      <w:bookmarkStart w:id="48" w:name="_Toc15377225"/>
      <w:r>
        <w:rPr>
          <w:rFonts w:hint="eastAsia" w:eastAsia="黑体"/>
          <w:sz w:val="44"/>
          <w:szCs w:val="44"/>
        </w:rPr>
        <w:t>第三部分  名词解释</w:t>
      </w:r>
      <w:bookmarkEnd w:id="47"/>
      <w:bookmarkEnd w:id="48"/>
    </w:p>
    <w:p w14:paraId="46850336">
      <w:pPr>
        <w:pageBreakBefore w:val="0"/>
        <w:kinsoku/>
        <w:wordWrap/>
        <w:overflowPunct/>
        <w:topLinePunct w:val="0"/>
        <w:autoSpaceDE/>
        <w:autoSpaceDN/>
        <w:bidi w:val="0"/>
        <w:spacing w:line="240" w:lineRule="auto"/>
        <w:jc w:val="left"/>
        <w:rPr>
          <w:b/>
          <w:sz w:val="44"/>
          <w:szCs w:val="44"/>
        </w:rPr>
      </w:pPr>
    </w:p>
    <w:p w14:paraId="4BAF05B5">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651D311D">
      <w:pPr>
        <w:pageBreakBefore w:val="0"/>
        <w:kinsoku/>
        <w:wordWrap/>
        <w:overflowPunct/>
        <w:topLinePunct w:val="0"/>
        <w:autoSpaceDE/>
        <w:autoSpaceDN/>
        <w:bidi w:val="0"/>
        <w:spacing w:line="240" w:lineRule="auto"/>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5FB2764A">
      <w:pPr>
        <w:pageBreakBefore w:val="0"/>
        <w:kinsoku/>
        <w:wordWrap/>
        <w:overflowPunct/>
        <w:topLinePunct w:val="0"/>
        <w:autoSpaceDE/>
        <w:autoSpaceDN/>
        <w:bidi w:val="0"/>
        <w:spacing w:line="240" w:lineRule="auto"/>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7DA482AC">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14:paraId="2A3583FC">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2139D660">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6FB1F36A">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66A8C02">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68D5BA08">
      <w:pPr>
        <w:pageBreakBefore w:val="0"/>
        <w:kinsoku/>
        <w:wordWrap/>
        <w:overflowPunct/>
        <w:topLinePunct w:val="0"/>
        <w:autoSpaceDE/>
        <w:autoSpaceDN/>
        <w:bidi w:val="0"/>
        <w:spacing w:line="240" w:lineRule="auto"/>
        <w:ind w:firstLine="640" w:firstLineChars="200"/>
        <w:rPr>
          <w:rFonts w:ascii="Times New Roman" w:hAnsi="Times New Roman" w:eastAsia="方正仿宋_GBK"/>
          <w:color w:val="000000"/>
          <w:sz w:val="32"/>
          <w:szCs w:val="32"/>
        </w:rPr>
      </w:pPr>
      <w:r>
        <w:rPr>
          <w:rFonts w:hint="eastAsia" w:eastAsia="仿宋_GB2312" w:cs="仿宋_GB2312"/>
          <w:sz w:val="32"/>
          <w:szCs w:val="32"/>
          <w:lang w:val="en-US" w:eastAsia="zh-CN"/>
        </w:rPr>
        <w:t>9</w:t>
      </w:r>
      <w:r>
        <w:rPr>
          <w:rFonts w:hint="eastAsia" w:eastAsia="仿宋_GB2312" w:cs="仿宋_GB2312"/>
          <w:sz w:val="32"/>
          <w:szCs w:val="32"/>
        </w:rPr>
        <w:t>.</w:t>
      </w:r>
      <w:r>
        <w:rPr>
          <w:rFonts w:ascii="Times New Roman" w:hAnsi="Times New Roman" w:eastAsia="方正仿宋_GBK"/>
          <w:color w:val="000000"/>
          <w:sz w:val="32"/>
          <w:szCs w:val="32"/>
        </w:rPr>
        <w:t>文化体育与传媒（207）文化（01）文化创作与保护（11）：指反映鼓励文学、艺术创作和优秀传统文化保护方面的支出。</w:t>
      </w:r>
    </w:p>
    <w:p w14:paraId="1B365CD8">
      <w:pPr>
        <w:pageBreakBefore w:val="0"/>
        <w:kinsoku/>
        <w:wordWrap/>
        <w:overflowPunct/>
        <w:topLinePunct w:val="0"/>
        <w:autoSpaceDE/>
        <w:autoSpaceDN/>
        <w:bidi w:val="0"/>
        <w:spacing w:line="240" w:lineRule="auto"/>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eastAsia="方正仿宋_GBK"/>
          <w:sz w:val="32"/>
          <w:szCs w:val="32"/>
          <w:lang w:val="en-US" w:eastAsia="zh-CN"/>
        </w:rPr>
        <w:t>0</w:t>
      </w:r>
      <w:r>
        <w:rPr>
          <w:rFonts w:ascii="Times New Roman" w:hAnsi="Times New Roman" w:eastAsia="方正仿宋_GBK"/>
          <w:sz w:val="32"/>
          <w:szCs w:val="32"/>
        </w:rPr>
        <w:t>.</w:t>
      </w:r>
      <w:r>
        <w:rPr>
          <w:rFonts w:ascii="Times New Roman" w:hAnsi="Times New Roman" w:eastAsia="方正仿宋_GBK"/>
          <w:color w:val="000000"/>
          <w:sz w:val="32"/>
          <w:szCs w:val="32"/>
        </w:rPr>
        <w:t>社会保障和就业（208）行政事业单位离退休（05）机关事业单位基本养老保险缴费支出（05）：指用于机关事业单位实施养老保险制度由单位缴纳的基本养老保险支出。</w:t>
      </w:r>
    </w:p>
    <w:p w14:paraId="61373B05">
      <w:pPr>
        <w:pageBreakBefore w:val="0"/>
        <w:kinsoku/>
        <w:wordWrap/>
        <w:overflowPunct/>
        <w:topLinePunct w:val="0"/>
        <w:autoSpaceDE/>
        <w:autoSpaceDN/>
        <w:bidi w:val="0"/>
        <w:spacing w:line="240" w:lineRule="auto"/>
        <w:ind w:firstLine="640" w:firstLineChars="200"/>
        <w:rPr>
          <w:rFonts w:ascii="Times New Roman" w:hAnsi="Times New Roman" w:eastAsia="方正仿宋_GBK"/>
          <w:color w:val="000000"/>
          <w:sz w:val="32"/>
          <w:szCs w:val="32"/>
        </w:rPr>
      </w:pPr>
      <w:r>
        <w:rPr>
          <w:rFonts w:ascii="Times New Roman" w:hAnsi="Times New Roman" w:eastAsia="方正仿宋_GBK"/>
          <w:sz w:val="32"/>
          <w:szCs w:val="32"/>
        </w:rPr>
        <w:t>1</w:t>
      </w:r>
      <w:r>
        <w:rPr>
          <w:rFonts w:hint="eastAsia" w:eastAsia="方正仿宋_GBK"/>
          <w:sz w:val="32"/>
          <w:szCs w:val="32"/>
          <w:lang w:val="en-US" w:eastAsia="zh-CN"/>
        </w:rPr>
        <w:t>1</w:t>
      </w:r>
      <w:r>
        <w:rPr>
          <w:rFonts w:ascii="Times New Roman" w:hAnsi="Times New Roman" w:eastAsia="方正仿宋_GBK"/>
          <w:sz w:val="32"/>
          <w:szCs w:val="32"/>
        </w:rPr>
        <w:t>.</w:t>
      </w:r>
      <w:r>
        <w:rPr>
          <w:rFonts w:ascii="Times New Roman" w:hAnsi="Times New Roman" w:eastAsia="方正仿宋_GBK"/>
          <w:color w:val="000000"/>
          <w:sz w:val="32"/>
          <w:szCs w:val="32"/>
        </w:rPr>
        <w:t>社会保障和就业（208）行政事业单位离退休（05）机关事业单位职业年金缴费支出（06）：指机关事业单位实施养老保险制度由单位实际缴纳的职业年金支出。</w:t>
      </w:r>
    </w:p>
    <w:p w14:paraId="37839FCD">
      <w:pPr>
        <w:pageBreakBefore w:val="0"/>
        <w:kinsoku/>
        <w:wordWrap/>
        <w:overflowPunct/>
        <w:topLinePunct w:val="0"/>
        <w:autoSpaceDE/>
        <w:autoSpaceDN/>
        <w:bidi w:val="0"/>
        <w:spacing w:line="240" w:lineRule="auto"/>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eastAsia="方正仿宋_GBK"/>
          <w:color w:val="000000"/>
          <w:sz w:val="32"/>
          <w:szCs w:val="32"/>
          <w:lang w:val="en-US" w:eastAsia="zh-CN"/>
        </w:rPr>
        <w:t>2</w:t>
      </w:r>
      <w:r>
        <w:rPr>
          <w:rFonts w:ascii="Times New Roman" w:hAnsi="Times New Roman" w:eastAsia="方正仿宋_GBK"/>
          <w:color w:val="000000"/>
          <w:sz w:val="32"/>
          <w:szCs w:val="32"/>
        </w:rPr>
        <w:t>.医疗卫生与计划生育（210）行政事业单位医疗（11）行政事业单位医疗（02）：指单位基本医疗保险缴费经费，未参加医疗保险事业单位的公费医疗经费，按国家规定享受离休人员待遇的医疗经费。</w:t>
      </w:r>
    </w:p>
    <w:p w14:paraId="2C9AD401">
      <w:pPr>
        <w:pageBreakBefore w:val="0"/>
        <w:kinsoku/>
        <w:wordWrap/>
        <w:overflowPunct/>
        <w:topLinePunct w:val="0"/>
        <w:autoSpaceDE/>
        <w:autoSpaceDN/>
        <w:bidi w:val="0"/>
        <w:spacing w:line="240" w:lineRule="auto"/>
        <w:ind w:firstLine="640" w:firstLineChars="200"/>
        <w:rPr>
          <w:rFonts w:ascii="Times New Roman" w:hAnsi="Times New Roman" w:eastAsia="方正仿宋_GBK"/>
        </w:rPr>
      </w:pPr>
      <w:r>
        <w:rPr>
          <w:rFonts w:ascii="Times New Roman" w:hAnsi="Times New Roman" w:eastAsia="方正仿宋_GBK"/>
          <w:color w:val="000000"/>
          <w:sz w:val="32"/>
          <w:szCs w:val="32"/>
        </w:rPr>
        <w:t>1</w:t>
      </w:r>
      <w:r>
        <w:rPr>
          <w:rFonts w:hint="eastAsia" w:eastAsia="方正仿宋_GBK"/>
          <w:color w:val="000000"/>
          <w:sz w:val="32"/>
          <w:szCs w:val="32"/>
          <w:lang w:val="en-US" w:eastAsia="zh-CN"/>
        </w:rPr>
        <w:t>3</w:t>
      </w:r>
      <w:r>
        <w:rPr>
          <w:rFonts w:ascii="Times New Roman" w:hAnsi="Times New Roman" w:eastAsia="方正仿宋_GBK"/>
          <w:color w:val="000000"/>
          <w:sz w:val="32"/>
          <w:szCs w:val="32"/>
        </w:rPr>
        <w:t>.医疗卫生与计划生育（210）行政事业单位医疗（11）  其他行政事业单位医疗支出（99）：指其他用于行政事业单位医疗方面的支出。</w:t>
      </w:r>
    </w:p>
    <w:p w14:paraId="01139E85">
      <w:pPr>
        <w:pageBreakBefore w:val="0"/>
        <w:kinsoku/>
        <w:wordWrap/>
        <w:overflowPunct/>
        <w:topLinePunct w:val="0"/>
        <w:autoSpaceDE/>
        <w:autoSpaceDN/>
        <w:bidi w:val="0"/>
        <w:spacing w:line="240" w:lineRule="auto"/>
        <w:ind w:firstLine="640" w:firstLineChars="200"/>
        <w:rPr>
          <w:rFonts w:hint="eastAsia" w:eastAsia="仿宋_GB2312" w:cs="仿宋_GB2312"/>
          <w:sz w:val="32"/>
          <w:szCs w:val="32"/>
        </w:rPr>
      </w:pPr>
      <w:r>
        <w:rPr>
          <w:rFonts w:hint="eastAsia" w:eastAsia="方正仿宋_GBK"/>
          <w:sz w:val="32"/>
          <w:szCs w:val="32"/>
          <w:lang w:val="en-US" w:eastAsia="zh-CN"/>
        </w:rPr>
        <w:t>14</w:t>
      </w:r>
      <w:r>
        <w:rPr>
          <w:rFonts w:ascii="Times New Roman" w:hAnsi="Times New Roman" w:eastAsia="方正仿宋_GBK"/>
          <w:sz w:val="32"/>
          <w:szCs w:val="32"/>
        </w:rPr>
        <w:t>.</w:t>
      </w:r>
      <w:r>
        <w:rPr>
          <w:rFonts w:ascii="Times New Roman" w:hAnsi="Times New Roman" w:eastAsia="方正仿宋_GBK"/>
          <w:color w:val="000000"/>
          <w:sz w:val="32"/>
          <w:szCs w:val="32"/>
        </w:rPr>
        <w:t>住房保障支出（221）住房改革支出（02）住房公积金（01）：指行政事业单位按人力资源和社会保障部、财政部规定的基本工资和经补贴以及规定比例为职工缴纳的住房公积金。</w:t>
      </w:r>
    </w:p>
    <w:p w14:paraId="0AA8EFF7">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lang w:val="en-US" w:eastAsia="zh-CN"/>
        </w:rPr>
        <w:t>15</w:t>
      </w:r>
      <w:r>
        <w:rPr>
          <w:rFonts w:hint="eastAsia" w:eastAsia="仿宋_GB2312" w:cs="仿宋_GB2312"/>
          <w:sz w:val="32"/>
          <w:szCs w:val="32"/>
        </w:rPr>
        <w:t>.基本支出：指为保障机构正常运转、完成日常工作任务而发生的人员支出和公用支出。</w:t>
      </w:r>
    </w:p>
    <w:p w14:paraId="50C5AD18">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lang w:val="en-US" w:eastAsia="zh-CN"/>
        </w:rPr>
        <w:t>16</w:t>
      </w:r>
      <w:r>
        <w:rPr>
          <w:rFonts w:hint="eastAsia" w:eastAsia="仿宋_GB2312" w:cs="仿宋_GB2312"/>
          <w:sz w:val="32"/>
          <w:szCs w:val="32"/>
        </w:rPr>
        <w:t xml:space="preserve">.项目支出：指在基本支出之外为完成特定行政任务和事业发展目标所发生的支出。 </w:t>
      </w:r>
    </w:p>
    <w:p w14:paraId="2C1E157D">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lang w:val="en-US" w:eastAsia="zh-CN"/>
        </w:rPr>
        <w:t>17</w:t>
      </w:r>
      <w:r>
        <w:rPr>
          <w:rFonts w:hint="eastAsia" w:eastAsia="仿宋_GB2312" w:cs="仿宋_GB2312"/>
          <w:sz w:val="32"/>
          <w:szCs w:val="32"/>
        </w:rPr>
        <w:t>.经营支出：指事业单位在专业业务活动及其辅助活动之外开展非独立核算经营活动发生的支出。</w:t>
      </w:r>
    </w:p>
    <w:p w14:paraId="63C28601">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6E1A17">
      <w:pPr>
        <w:pageBreakBefore w:val="0"/>
        <w:kinsoku/>
        <w:wordWrap/>
        <w:overflowPunct/>
        <w:topLinePunct w:val="0"/>
        <w:autoSpaceDE/>
        <w:autoSpaceDN/>
        <w:bidi w:val="0"/>
        <w:spacing w:line="240" w:lineRule="auto"/>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96286A">
      <w:pPr>
        <w:pageBreakBefore w:val="0"/>
        <w:kinsoku/>
        <w:wordWrap/>
        <w:overflowPunct/>
        <w:topLinePunct w:val="0"/>
        <w:autoSpaceDE/>
        <w:autoSpaceDN/>
        <w:bidi w:val="0"/>
        <w:spacing w:line="240" w:lineRule="auto"/>
        <w:jc w:val="center"/>
        <w:rPr>
          <w:rStyle w:val="29"/>
          <w:rFonts w:eastAsia="黑体"/>
          <w:b w:val="0"/>
        </w:rPr>
      </w:pPr>
      <w:bookmarkStart w:id="49" w:name="_Toc15377226"/>
      <w:r>
        <w:rPr>
          <w:rFonts w:hint="eastAsia" w:eastAsia="仿宋_GB2312" w:cs="仿宋_GB2312"/>
          <w:sz w:val="32"/>
          <w:szCs w:val="32"/>
        </w:rPr>
        <w:br w:type="page"/>
      </w:r>
      <w:bookmarkStart w:id="50" w:name="_Toc15396614"/>
      <w:r>
        <w:rPr>
          <w:rFonts w:hint="eastAsia" w:eastAsia="黑体"/>
          <w:sz w:val="44"/>
          <w:szCs w:val="44"/>
        </w:rPr>
        <w:t>第四部分  附件</w:t>
      </w:r>
      <w:bookmarkEnd w:id="50"/>
    </w:p>
    <w:p w14:paraId="7BA44CB3">
      <w:pPr>
        <w:pageBreakBefore w:val="0"/>
        <w:kinsoku/>
        <w:wordWrap/>
        <w:overflowPunct/>
        <w:topLinePunct w:val="0"/>
        <w:autoSpaceDE/>
        <w:autoSpaceDN/>
        <w:bidi w:val="0"/>
        <w:spacing w:line="240" w:lineRule="auto"/>
        <w:jc w:val="left"/>
        <w:outlineLvl w:val="0"/>
        <w:rPr>
          <w:rFonts w:eastAsia="黑体" w:cs="黑体"/>
          <w:color w:val="FF0000"/>
          <w:sz w:val="32"/>
          <w:szCs w:val="32"/>
        </w:rPr>
      </w:pPr>
    </w:p>
    <w:p w14:paraId="66D3A627">
      <w:pPr>
        <w:pageBreakBefore w:val="0"/>
        <w:kinsoku/>
        <w:wordWrap/>
        <w:overflowPunct/>
        <w:topLinePunct w:val="0"/>
        <w:autoSpaceDE/>
        <w:autoSpaceDN/>
        <w:bidi w:val="0"/>
        <w:spacing w:line="240" w:lineRule="auto"/>
        <w:jc w:val="left"/>
        <w:outlineLvl w:val="0"/>
        <w:rPr>
          <w:rFonts w:eastAsia="黑体" w:cs="方正小标宋简体"/>
          <w:sz w:val="44"/>
          <w:szCs w:val="44"/>
        </w:rPr>
      </w:pPr>
      <w:r>
        <w:rPr>
          <w:rFonts w:hint="eastAsia" w:eastAsia="黑体" w:cs="黑体"/>
          <w:sz w:val="32"/>
          <w:szCs w:val="32"/>
        </w:rPr>
        <w:t>附件1</w:t>
      </w:r>
    </w:p>
    <w:p w14:paraId="19AD568C">
      <w:pPr>
        <w:pageBreakBefore w:val="0"/>
        <w:widowControl/>
        <w:kinsoku/>
        <w:wordWrap/>
        <w:overflowPunct/>
        <w:topLinePunct w:val="0"/>
        <w:autoSpaceDE/>
        <w:autoSpaceDN/>
        <w:bidi w:val="0"/>
        <w:spacing w:line="240" w:lineRule="auto"/>
        <w:contextualSpacing/>
        <w:jc w:val="center"/>
        <w:rPr>
          <w:rFonts w:eastAsia="方正小标宋简体"/>
          <w:bCs/>
          <w:sz w:val="44"/>
          <w:szCs w:val="44"/>
          <w:shd w:val="clear" w:color="auto" w:fill="FFFFFF"/>
        </w:rPr>
      </w:pPr>
    </w:p>
    <w:p w14:paraId="3E5D851F">
      <w:pPr>
        <w:keepNext w:val="0"/>
        <w:keepLines w:val="0"/>
        <w:pageBreakBefore w:val="0"/>
        <w:widowControl/>
        <w:kinsoku/>
        <w:wordWrap/>
        <w:overflowPunct/>
        <w:topLinePunct w:val="0"/>
        <w:autoSpaceDE/>
        <w:autoSpaceDN/>
        <w:bidi w:val="0"/>
        <w:spacing w:line="560"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73910544">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rPr>
          <w:rFonts w:eastAsia="黑体"/>
          <w:color w:val="000000"/>
          <w:kern w:val="0"/>
          <w:sz w:val="24"/>
          <w:szCs w:val="32"/>
          <w:shd w:val="clear" w:color="auto" w:fill="FFFFFF"/>
        </w:rPr>
      </w:pPr>
    </w:p>
    <w:p w14:paraId="2928546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单位基本情况</w:t>
      </w:r>
    </w:p>
    <w:p w14:paraId="74D91C7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71980A7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szCs w:val="32"/>
        </w:rPr>
      </w:pPr>
      <w:r>
        <w:rPr>
          <w:rFonts w:hint="eastAsia" w:ascii="Times New Roman" w:hAnsi="Times New Roman" w:eastAsia="仿宋_GB2312" w:cs="Times New Roman"/>
          <w:sz w:val="32"/>
          <w:szCs w:val="32"/>
        </w:rPr>
        <w:t>单位性质：财政补助事业单位；财务隶属关系：二级单位；执行财务会计制度情况：事业单位会计制度。</w:t>
      </w:r>
    </w:p>
    <w:p w14:paraId="58443593">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3" w:firstLineChars="200"/>
        <w:jc w:val="left"/>
        <w:rPr>
          <w:rFonts w:hint="eastAsia" w:eastAsia="楷体_GB2312" w:cs="楷体_GB2312"/>
          <w:b/>
          <w:sz w:val="32"/>
          <w:szCs w:val="32"/>
          <w:lang w:val="zh-CN"/>
        </w:rPr>
      </w:pPr>
      <w:r>
        <w:rPr>
          <w:rFonts w:eastAsia="楷体_GB2312" w:cs="楷体_GB2312"/>
          <w:b/>
          <w:sz w:val="32"/>
          <w:szCs w:val="32"/>
          <w:lang w:val="zh-CN"/>
        </w:rPr>
        <w:t>机构职能</w:t>
      </w:r>
      <w:r>
        <w:rPr>
          <w:rFonts w:hint="eastAsia" w:eastAsia="楷体_GB2312" w:cs="楷体_GB2312"/>
          <w:b/>
          <w:sz w:val="32"/>
          <w:szCs w:val="32"/>
          <w:lang w:val="zh-CN"/>
        </w:rPr>
        <w:t>。</w:t>
      </w:r>
    </w:p>
    <w:p w14:paraId="7654AD5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rPr>
          <w:rFonts w:eastAsia="楷体_GB2312"/>
          <w:b/>
          <w:bCs/>
          <w:color w:val="000000"/>
          <w:kern w:val="0"/>
          <w:szCs w:val="32"/>
          <w:shd w:val="clear" w:color="auto" w:fill="FFFFFF"/>
          <w:lang w:val="zh-CN"/>
        </w:rPr>
      </w:pPr>
      <w:r>
        <w:rPr>
          <w:rFonts w:hint="eastAsia" w:ascii="Times New Roman" w:hAnsi="Times New Roman" w:eastAsia="仿宋_GB2312" w:cs="Times New Roman"/>
          <w:sz w:val="32"/>
          <w:szCs w:val="32"/>
        </w:rPr>
        <w:t>编发文学作品，弘扬民族文学，刊发小说、诗歌、散文、杂文、评论、报告文学等。出版汉文版《草地》藏文版《邦炯》杂志。密切联系全州各县文学爱好者，对个别年轻作者做好重点交流和培养，做好作品推荐工作。</w:t>
      </w:r>
    </w:p>
    <w:p w14:paraId="1B60262B">
      <w:pPr>
        <w:keepNext w:val="0"/>
        <w:keepLines w:val="0"/>
        <w:pageBreakBefore w:val="0"/>
        <w:numPr>
          <w:ilvl w:val="0"/>
          <w:numId w:val="4"/>
        </w:numPr>
        <w:kinsoku/>
        <w:wordWrap/>
        <w:overflowPunct/>
        <w:topLinePunct w:val="0"/>
        <w:autoSpaceDE/>
        <w:autoSpaceDN/>
        <w:bidi w:val="0"/>
        <w:spacing w:line="560" w:lineRule="exact"/>
        <w:ind w:left="0" w:leftChars="0" w:firstLine="643"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14:paraId="31FBED8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年末，单位人员情况：总编制 13 名,其中:事业编制13名，在职人员总数</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名，退休人员4人，临聘人员1人。</w:t>
      </w:r>
    </w:p>
    <w:p w14:paraId="7ED1CCC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二、资金收支情况</w:t>
      </w:r>
    </w:p>
    <w:p w14:paraId="5533032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1CE5B74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《草地》编辑部</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年年初预算收入</w:t>
      </w:r>
      <w:r>
        <w:rPr>
          <w:rFonts w:hint="eastAsia" w:ascii="Times New Roman" w:hAnsi="Times New Roman" w:eastAsia="仿宋_GB2312" w:cs="Times New Roman"/>
          <w:sz w:val="32"/>
          <w:szCs w:val="32"/>
          <w:lang w:val="en-US" w:eastAsia="zh-CN"/>
        </w:rPr>
        <w:t>282.34</w:t>
      </w:r>
      <w:r>
        <w:rPr>
          <w:rFonts w:hint="eastAsia" w:ascii="Times New Roman" w:hAnsi="Times New Roman" w:eastAsia="仿宋_GB2312" w:cs="Times New Roman"/>
          <w:sz w:val="32"/>
          <w:szCs w:val="32"/>
        </w:rPr>
        <w:t>万元、决算报表收入</w:t>
      </w:r>
      <w:r>
        <w:rPr>
          <w:rFonts w:hint="eastAsia" w:ascii="Times New Roman" w:hAnsi="Times New Roman" w:eastAsia="仿宋_GB2312" w:cs="Times New Roman"/>
          <w:sz w:val="32"/>
          <w:szCs w:val="32"/>
          <w:lang w:val="en-US" w:eastAsia="zh-CN"/>
        </w:rPr>
        <w:t>302.15</w:t>
      </w:r>
      <w:r>
        <w:rPr>
          <w:rFonts w:hint="eastAsia" w:ascii="Times New Roman" w:hAnsi="Times New Roman" w:eastAsia="仿宋_GB2312" w:cs="Times New Roman"/>
          <w:sz w:val="32"/>
          <w:szCs w:val="32"/>
        </w:rPr>
        <w:t>万元。</w:t>
      </w:r>
    </w:p>
    <w:p w14:paraId="05DFDFA5">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2E0BE70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《草地》编辑部202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rPr>
        <w:t>年年初预算支出</w:t>
      </w:r>
      <w:r>
        <w:rPr>
          <w:rFonts w:hint="eastAsia" w:ascii="Times New Roman" w:hAnsi="Times New Roman" w:eastAsia="仿宋_GB2312" w:cs="Times New Roman"/>
          <w:sz w:val="32"/>
          <w:szCs w:val="32"/>
          <w:lang w:val="en-US" w:eastAsia="zh-CN"/>
        </w:rPr>
        <w:t>282.34</w:t>
      </w:r>
      <w:r>
        <w:rPr>
          <w:rFonts w:hint="eastAsia" w:ascii="Times New Roman" w:hAnsi="Times New Roman" w:eastAsia="仿宋_GB2312" w:cs="Times New Roman"/>
          <w:sz w:val="32"/>
          <w:szCs w:val="32"/>
          <w:lang w:val="zh-CN"/>
        </w:rPr>
        <w:t>万元、决算报表支出</w:t>
      </w:r>
      <w:r>
        <w:rPr>
          <w:rFonts w:hint="eastAsia" w:ascii="Times New Roman" w:hAnsi="Times New Roman" w:eastAsia="仿宋_GB2312" w:cs="Times New Roman"/>
          <w:sz w:val="32"/>
          <w:szCs w:val="32"/>
          <w:lang w:val="en-US" w:eastAsia="zh-CN"/>
        </w:rPr>
        <w:t>302.15</w:t>
      </w:r>
      <w:r>
        <w:rPr>
          <w:rFonts w:hint="eastAsia" w:ascii="Times New Roman" w:hAnsi="Times New Roman" w:eastAsia="仿宋_GB2312" w:cs="Times New Roman"/>
          <w:sz w:val="32"/>
          <w:szCs w:val="32"/>
          <w:lang w:val="zh-CN"/>
        </w:rPr>
        <w:t>万元。</w:t>
      </w:r>
    </w:p>
    <w:p w14:paraId="0F1322A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hint="eastAsia" w:ascii="Times New Roman" w:hAnsi="Times New Roman" w:eastAsia="仿宋_GB2312" w:cs="Times New Roman"/>
          <w:sz w:val="32"/>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ascii="Times New Roman" w:hAnsi="Times New Roman" w:eastAsia="仿宋_GB2312" w:cs="Times New Roman"/>
          <w:sz w:val="32"/>
          <w:szCs w:val="32"/>
          <w:lang w:val="zh-CN"/>
        </w:rPr>
        <w:t>《草地》编辑部202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rPr>
        <w:t>年决算报表无结转结余。</w:t>
      </w:r>
    </w:p>
    <w:p w14:paraId="50E1BB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三、预算绩效分析</w:t>
      </w:r>
    </w:p>
    <w:p w14:paraId="25FC126F">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66CE6372">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eastAsia="方正仿宋_GBK"/>
          <w:szCs w:val="32"/>
        </w:rPr>
      </w:pPr>
      <w:r>
        <w:rPr>
          <w:rFonts w:hint="eastAsia" w:eastAsia="仿宋_GB2312" w:cs="仿宋_GB2312"/>
          <w:sz w:val="32"/>
          <w:szCs w:val="32"/>
        </w:rPr>
        <w:t>1.</w:t>
      </w:r>
      <w:r>
        <w:rPr>
          <w:rFonts w:hint="eastAsia" w:eastAsia="仿宋_GB2312" w:cs="仿宋_GB2312"/>
          <w:sz w:val="32"/>
          <w:szCs w:val="32"/>
          <w:lang w:val="zh-CN"/>
        </w:rPr>
        <w:t>履职效能。</w:t>
      </w:r>
      <w:r>
        <w:rPr>
          <w:rFonts w:ascii="Times New Roman" w:hAnsi="Times New Roman" w:eastAsia="仿宋_GB2312" w:cs="仿宋_GB2312"/>
          <w:sz w:val="32"/>
          <w:szCs w:val="32"/>
          <w:lang w:val="zh-CN"/>
        </w:rPr>
        <w:t>编发文学作品，弘扬民族文学，刊发小说、诗歌、散文、杂文、评论、报告文学等。出版汉文版《草地》</w:t>
      </w:r>
      <w:r>
        <w:rPr>
          <w:rFonts w:hint="eastAsia" w:ascii="Times New Roman" w:hAnsi="Times New Roman" w:eastAsia="仿宋_GB2312" w:cs="仿宋_GB2312"/>
          <w:sz w:val="32"/>
          <w:szCs w:val="32"/>
          <w:lang w:val="zh-CN"/>
        </w:rPr>
        <w:t>6期，</w:t>
      </w:r>
      <w:r>
        <w:rPr>
          <w:rFonts w:ascii="Times New Roman" w:hAnsi="Times New Roman" w:eastAsia="仿宋_GB2312" w:cs="仿宋_GB2312"/>
          <w:sz w:val="32"/>
          <w:szCs w:val="32"/>
          <w:lang w:val="zh-CN"/>
        </w:rPr>
        <w:t>藏文版《邦炯》杂志</w:t>
      </w:r>
      <w:r>
        <w:rPr>
          <w:rFonts w:hint="eastAsia" w:ascii="Times New Roman" w:hAnsi="Times New Roman" w:eastAsia="仿宋_GB2312" w:cs="仿宋_GB2312"/>
          <w:sz w:val="32"/>
          <w:szCs w:val="32"/>
          <w:lang w:val="zh-CN"/>
        </w:rPr>
        <w:t>2期</w:t>
      </w:r>
      <w:r>
        <w:rPr>
          <w:rFonts w:ascii="Times New Roman" w:hAnsi="Times New Roman" w:eastAsia="仿宋_GB2312" w:cs="仿宋_GB2312"/>
          <w:sz w:val="32"/>
          <w:szCs w:val="32"/>
          <w:lang w:val="zh-CN"/>
        </w:rPr>
        <w:t>。密切联系全州各县文学爱好者，对个别年轻作者做好重点交流和培养，做好作品推荐工作。</w:t>
      </w:r>
    </w:p>
    <w:p w14:paraId="651F49B3">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hint="eastAsia" w:eastAsia="仿宋_GB2312" w:cs="仿宋_GB2312"/>
          <w:sz w:val="32"/>
          <w:szCs w:val="32"/>
          <w:lang w:val="zh-CN"/>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w:t>
      </w:r>
    </w:p>
    <w:p w14:paraId="6F1A5D73">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（1）预算编制质量</w:t>
      </w:r>
    </w:p>
    <w:p w14:paraId="1C12B5C6">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我单位财政拨款预算偏离度=（</w:t>
      </w:r>
      <w:r>
        <w:rPr>
          <w:rFonts w:hint="eastAsia" w:ascii="Times New Roman" w:hAnsi="Times New Roman" w:eastAsia="仿宋_GB2312" w:cs="仿宋_GB2312"/>
          <w:sz w:val="32"/>
          <w:szCs w:val="32"/>
          <w:lang w:val="en-US" w:eastAsia="zh-CN"/>
        </w:rPr>
        <w:t>302.15</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282.34</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282.34</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7.02</w:t>
      </w:r>
      <w:r>
        <w:rPr>
          <w:rFonts w:hint="eastAsia" w:ascii="Times New Roman" w:hAnsi="Times New Roman" w:eastAsia="仿宋_GB2312" w:cs="仿宋_GB2312"/>
          <w:sz w:val="32"/>
          <w:szCs w:val="32"/>
          <w:lang w:val="zh-CN"/>
        </w:rPr>
        <w:t>%，资产配置预算偏离度=（0-0）/0=0%，政府采购预算偏离度=（0-0）/0=0%。</w:t>
      </w:r>
    </w:p>
    <w:p w14:paraId="79348EFF">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综上，根据评分标准，该项指标，得</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分。</w:t>
      </w:r>
    </w:p>
    <w:p w14:paraId="3EA970F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（2）单位收入统筹</w:t>
      </w:r>
    </w:p>
    <w:p w14:paraId="3AB7F3E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年无自有收入。</w:t>
      </w:r>
    </w:p>
    <w:p w14:paraId="579C622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综上，根据评分标准，该项指标不扣分，得4分。</w:t>
      </w:r>
    </w:p>
    <w:p w14:paraId="3CD51DB1">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（3）支出执行进度</w:t>
      </w:r>
    </w:p>
    <w:p w14:paraId="5B024A7C">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我单位1至6月预算执行数为</w:t>
      </w:r>
      <w:r>
        <w:rPr>
          <w:rFonts w:hint="eastAsia" w:ascii="Times New Roman" w:hAnsi="Times New Roman" w:eastAsia="仿宋_GB2312" w:cs="仿宋_GB2312"/>
          <w:sz w:val="32"/>
          <w:szCs w:val="32"/>
          <w:lang w:val="en-US" w:eastAsia="zh-CN"/>
        </w:rPr>
        <w:t>160.72</w:t>
      </w:r>
      <w:r>
        <w:rPr>
          <w:rFonts w:hint="eastAsia" w:ascii="Times New Roman" w:hAnsi="Times New Roman" w:eastAsia="仿宋_GB2312" w:cs="仿宋_GB2312"/>
          <w:sz w:val="32"/>
          <w:szCs w:val="32"/>
          <w:lang w:val="zh-CN"/>
        </w:rPr>
        <w:t>万元，预算数为</w:t>
      </w:r>
      <w:r>
        <w:rPr>
          <w:rFonts w:hint="eastAsia" w:ascii="Times New Roman" w:hAnsi="Times New Roman" w:eastAsia="仿宋_GB2312" w:cs="仿宋_GB2312"/>
          <w:sz w:val="32"/>
          <w:szCs w:val="32"/>
          <w:lang w:val="en-US" w:eastAsia="zh-CN"/>
        </w:rPr>
        <w:t>302.15</w:t>
      </w:r>
      <w:r>
        <w:rPr>
          <w:rFonts w:hint="eastAsia" w:ascii="Times New Roman" w:hAnsi="Times New Roman" w:eastAsia="仿宋_GB2312" w:cs="仿宋_GB2312"/>
          <w:sz w:val="32"/>
          <w:szCs w:val="32"/>
          <w:lang w:val="zh-CN"/>
        </w:rPr>
        <w:t>万元，1至6月支出预警金额为0.00万元，占比为0.00%，1至6月无支出违规金额。</w:t>
      </w:r>
    </w:p>
    <w:p w14:paraId="0D4AA3B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1至10月预算执行数为</w:t>
      </w:r>
      <w:r>
        <w:rPr>
          <w:rFonts w:hint="eastAsia" w:ascii="Times New Roman" w:hAnsi="Times New Roman" w:eastAsia="仿宋_GB2312" w:cs="仿宋_GB2312"/>
          <w:sz w:val="32"/>
          <w:szCs w:val="32"/>
          <w:lang w:val="en-US" w:eastAsia="zh-CN"/>
        </w:rPr>
        <w:t>247.17</w:t>
      </w:r>
      <w:r>
        <w:rPr>
          <w:rFonts w:hint="eastAsia" w:ascii="Times New Roman" w:hAnsi="Times New Roman" w:eastAsia="仿宋_GB2312" w:cs="仿宋_GB2312"/>
          <w:sz w:val="32"/>
          <w:szCs w:val="32"/>
          <w:lang w:val="zh-CN"/>
        </w:rPr>
        <w:t>万元，预算数为</w:t>
      </w:r>
      <w:r>
        <w:rPr>
          <w:rFonts w:hint="eastAsia" w:ascii="Times New Roman" w:hAnsi="Times New Roman" w:eastAsia="仿宋_GB2312" w:cs="仿宋_GB2312"/>
          <w:sz w:val="32"/>
          <w:szCs w:val="32"/>
          <w:lang w:val="en-US" w:eastAsia="zh-CN"/>
        </w:rPr>
        <w:t>302.15</w:t>
      </w:r>
      <w:r>
        <w:rPr>
          <w:rFonts w:hint="eastAsia" w:ascii="Times New Roman" w:hAnsi="Times New Roman" w:eastAsia="仿宋_GB2312" w:cs="仿宋_GB2312"/>
          <w:sz w:val="32"/>
          <w:szCs w:val="32"/>
          <w:lang w:val="zh-CN"/>
        </w:rPr>
        <w:t>万元，1至10月支出预警金额为0.00万元，占比为0.00%，1至10月无支出违规金额。</w:t>
      </w:r>
    </w:p>
    <w:p w14:paraId="61B7D099">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综上，根据评分标准，该项指标，得</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分。</w:t>
      </w:r>
    </w:p>
    <w:p w14:paraId="5A905E97">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（4）预算年终结余</w:t>
      </w:r>
    </w:p>
    <w:p w14:paraId="4F39A353">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我单位预算总金额为</w:t>
      </w:r>
      <w:r>
        <w:rPr>
          <w:rFonts w:hint="eastAsia" w:ascii="Times New Roman" w:hAnsi="Times New Roman" w:eastAsia="仿宋_GB2312" w:cs="仿宋_GB2312"/>
          <w:sz w:val="32"/>
          <w:szCs w:val="32"/>
          <w:lang w:val="en-US" w:eastAsia="zh-CN"/>
        </w:rPr>
        <w:t>302.15</w:t>
      </w:r>
      <w:r>
        <w:rPr>
          <w:rFonts w:hint="eastAsia" w:ascii="Times New Roman" w:hAnsi="Times New Roman" w:eastAsia="仿宋_GB2312" w:cs="仿宋_GB2312"/>
          <w:sz w:val="32"/>
          <w:szCs w:val="32"/>
          <w:lang w:val="zh-CN"/>
        </w:rPr>
        <w:t>万元，年终部门结转金额0.00万元。</w:t>
      </w:r>
    </w:p>
    <w:p w14:paraId="1E67F26B">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综上，根据评分标准，该项指标不扣分，得2分。</w:t>
      </w:r>
    </w:p>
    <w:p w14:paraId="339142E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（5）严控一般性支出</w:t>
      </w:r>
    </w:p>
    <w:p w14:paraId="6DD0B68A">
      <w:pPr>
        <w:pStyle w:val="5"/>
        <w:keepNext w:val="0"/>
        <w:keepLines w:val="0"/>
        <w:pageBreakBefore w:val="0"/>
        <w:kinsoku/>
        <w:wordWrap/>
        <w:overflowPunct/>
        <w:topLinePunct w:val="0"/>
        <w:autoSpaceDE/>
        <w:autoSpaceDN/>
        <w:bidi w:val="0"/>
        <w:spacing w:line="560" w:lineRule="exact"/>
        <w:jc w:val="center"/>
        <w:rPr>
          <w:rFonts w:eastAsia="黑体"/>
          <w:sz w:val="24"/>
          <w:szCs w:val="21"/>
        </w:rPr>
      </w:pPr>
    </w:p>
    <w:p w14:paraId="5A366EE3">
      <w:pPr>
        <w:pStyle w:val="5"/>
        <w:keepNext w:val="0"/>
        <w:keepLines w:val="0"/>
        <w:pageBreakBefore w:val="0"/>
        <w:kinsoku/>
        <w:wordWrap/>
        <w:overflowPunct/>
        <w:topLinePunct w:val="0"/>
        <w:autoSpaceDE/>
        <w:autoSpaceDN/>
        <w:bidi w:val="0"/>
        <w:spacing w:line="560" w:lineRule="exact"/>
        <w:jc w:val="center"/>
        <w:rPr>
          <w:rFonts w:eastAsia="黑体"/>
          <w:sz w:val="24"/>
          <w:szCs w:val="21"/>
        </w:rPr>
      </w:pPr>
    </w:p>
    <w:p w14:paraId="1D48BF68">
      <w:pPr>
        <w:pStyle w:val="5"/>
        <w:keepNext w:val="0"/>
        <w:keepLines w:val="0"/>
        <w:pageBreakBefore w:val="0"/>
        <w:kinsoku/>
        <w:wordWrap/>
        <w:overflowPunct/>
        <w:topLinePunct w:val="0"/>
        <w:autoSpaceDE/>
        <w:autoSpaceDN/>
        <w:bidi w:val="0"/>
        <w:spacing w:line="560" w:lineRule="exact"/>
        <w:jc w:val="center"/>
        <w:rPr>
          <w:rFonts w:eastAsia="黑体"/>
          <w:sz w:val="24"/>
          <w:szCs w:val="21"/>
        </w:rPr>
      </w:pPr>
    </w:p>
    <w:p w14:paraId="11ECA2F3">
      <w:pPr>
        <w:pStyle w:val="5"/>
        <w:keepNext w:val="0"/>
        <w:keepLines w:val="0"/>
        <w:pageBreakBefore w:val="0"/>
        <w:kinsoku/>
        <w:wordWrap/>
        <w:overflowPunct/>
        <w:topLinePunct w:val="0"/>
        <w:autoSpaceDE/>
        <w:autoSpaceDN/>
        <w:bidi w:val="0"/>
        <w:spacing w:line="560" w:lineRule="exact"/>
        <w:jc w:val="center"/>
        <w:rPr>
          <w:rFonts w:eastAsia="黑体"/>
          <w:sz w:val="24"/>
          <w:szCs w:val="21"/>
        </w:rPr>
      </w:pPr>
      <w:r>
        <w:rPr>
          <w:rFonts w:eastAsia="黑体"/>
          <w:sz w:val="24"/>
          <w:szCs w:val="21"/>
        </w:rPr>
        <w:t>一般性支出情况表</w:t>
      </w:r>
    </w:p>
    <w:p w14:paraId="5C34B898">
      <w:pPr>
        <w:pStyle w:val="36"/>
        <w:keepNext w:val="0"/>
        <w:keepLines w:val="0"/>
        <w:pageBreakBefore w:val="0"/>
        <w:kinsoku/>
        <w:wordWrap/>
        <w:overflowPunct/>
        <w:topLinePunct w:val="0"/>
        <w:autoSpaceDE/>
        <w:autoSpaceDN/>
        <w:bidi w:val="0"/>
        <w:spacing w:line="560" w:lineRule="exact"/>
        <w:ind w:left="1120" w:hanging="480"/>
        <w:jc w:val="right"/>
      </w:pPr>
      <w:r>
        <w:rPr>
          <w:color w:val="000000"/>
          <w:kern w:val="0"/>
          <w:sz w:val="24"/>
          <w:shd w:val="clear" w:color="auto" w:fill="FFFFFF"/>
        </w:rPr>
        <w:t>单位：万元</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297"/>
        <w:gridCol w:w="1304"/>
        <w:gridCol w:w="1263"/>
        <w:gridCol w:w="873"/>
        <w:gridCol w:w="1318"/>
        <w:gridCol w:w="1236"/>
        <w:gridCol w:w="735"/>
      </w:tblGrid>
      <w:tr w14:paraId="212B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88" w:type="pct"/>
            <w:vMerge w:val="restart"/>
            <w:shd w:val="clear" w:color="auto" w:fill="auto"/>
            <w:vAlign w:val="center"/>
          </w:tcPr>
          <w:p w14:paraId="48F8EB21">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序号</w:t>
            </w:r>
          </w:p>
        </w:tc>
        <w:tc>
          <w:tcPr>
            <w:tcW w:w="761" w:type="pct"/>
            <w:vMerge w:val="restart"/>
            <w:shd w:val="clear" w:color="auto" w:fill="auto"/>
            <w:vAlign w:val="center"/>
          </w:tcPr>
          <w:p w14:paraId="4F597E64">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名称</w:t>
            </w:r>
          </w:p>
        </w:tc>
        <w:tc>
          <w:tcPr>
            <w:tcW w:w="765" w:type="pct"/>
            <w:shd w:val="clear" w:color="auto" w:fill="auto"/>
            <w:vAlign w:val="center"/>
          </w:tcPr>
          <w:p w14:paraId="46F013F9">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202</w:t>
            </w:r>
            <w:r>
              <w:rPr>
                <w:rFonts w:hint="eastAsia"/>
                <w:color w:val="000000"/>
                <w:kern w:val="0"/>
                <w:sz w:val="21"/>
                <w:szCs w:val="21"/>
                <w:lang w:val="en-US" w:eastAsia="zh-CN"/>
              </w:rPr>
              <w:t>3</w:t>
            </w:r>
            <w:r>
              <w:rPr>
                <w:color w:val="000000"/>
                <w:kern w:val="0"/>
                <w:sz w:val="21"/>
                <w:szCs w:val="21"/>
              </w:rPr>
              <w:t>年度</w:t>
            </w:r>
          </w:p>
        </w:tc>
        <w:tc>
          <w:tcPr>
            <w:tcW w:w="741" w:type="pct"/>
            <w:shd w:val="clear" w:color="auto" w:fill="auto"/>
            <w:vAlign w:val="center"/>
          </w:tcPr>
          <w:p w14:paraId="66EA36AB">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202</w:t>
            </w:r>
            <w:r>
              <w:rPr>
                <w:rFonts w:hint="eastAsia"/>
                <w:color w:val="000000"/>
                <w:kern w:val="0"/>
                <w:sz w:val="21"/>
                <w:szCs w:val="21"/>
                <w:lang w:val="en-US" w:eastAsia="zh-CN"/>
              </w:rPr>
              <w:t>4</w:t>
            </w:r>
            <w:r>
              <w:rPr>
                <w:color w:val="000000"/>
                <w:kern w:val="0"/>
                <w:sz w:val="21"/>
                <w:szCs w:val="21"/>
              </w:rPr>
              <w:t>年度</w:t>
            </w:r>
          </w:p>
        </w:tc>
        <w:tc>
          <w:tcPr>
            <w:tcW w:w="512" w:type="pct"/>
            <w:vMerge w:val="restart"/>
            <w:shd w:val="clear" w:color="auto" w:fill="auto"/>
            <w:vAlign w:val="center"/>
          </w:tcPr>
          <w:p w14:paraId="71411C5E">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变动情况</w:t>
            </w:r>
          </w:p>
        </w:tc>
        <w:tc>
          <w:tcPr>
            <w:tcW w:w="773" w:type="pct"/>
            <w:shd w:val="clear" w:color="auto" w:fill="auto"/>
            <w:vAlign w:val="center"/>
          </w:tcPr>
          <w:p w14:paraId="5B61947D">
            <w:pPr>
              <w:keepNext w:val="0"/>
              <w:keepLines w:val="0"/>
              <w:pageBreakBefore w:val="0"/>
              <w:widowControl/>
              <w:kinsoku/>
              <w:wordWrap/>
              <w:overflowPunct/>
              <w:topLinePunct w:val="0"/>
              <w:autoSpaceDE/>
              <w:autoSpaceDN/>
              <w:bidi w:val="0"/>
              <w:spacing w:line="560" w:lineRule="exact"/>
              <w:textAlignment w:val="center"/>
              <w:rPr>
                <w:color w:val="000000"/>
                <w:kern w:val="0"/>
                <w:sz w:val="21"/>
                <w:szCs w:val="21"/>
              </w:rPr>
            </w:pPr>
            <w:r>
              <w:rPr>
                <w:color w:val="000000"/>
                <w:kern w:val="0"/>
                <w:sz w:val="21"/>
                <w:szCs w:val="21"/>
              </w:rPr>
              <w:t>202</w:t>
            </w:r>
            <w:r>
              <w:rPr>
                <w:rFonts w:hint="eastAsia"/>
                <w:color w:val="000000"/>
                <w:kern w:val="0"/>
                <w:sz w:val="21"/>
                <w:szCs w:val="21"/>
                <w:lang w:val="en-US" w:eastAsia="zh-CN"/>
              </w:rPr>
              <w:t>3</w:t>
            </w:r>
            <w:r>
              <w:rPr>
                <w:color w:val="000000"/>
                <w:kern w:val="0"/>
                <w:sz w:val="21"/>
                <w:szCs w:val="21"/>
              </w:rPr>
              <w:t>年度</w:t>
            </w:r>
          </w:p>
        </w:tc>
        <w:tc>
          <w:tcPr>
            <w:tcW w:w="725" w:type="pct"/>
            <w:shd w:val="clear" w:color="auto" w:fill="auto"/>
            <w:vAlign w:val="center"/>
          </w:tcPr>
          <w:p w14:paraId="3EB4AE9A">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202</w:t>
            </w:r>
            <w:r>
              <w:rPr>
                <w:rFonts w:hint="eastAsia"/>
                <w:color w:val="000000"/>
                <w:kern w:val="0"/>
                <w:sz w:val="21"/>
                <w:szCs w:val="21"/>
                <w:lang w:val="en-US" w:eastAsia="zh-CN"/>
              </w:rPr>
              <w:t>4</w:t>
            </w:r>
            <w:r>
              <w:rPr>
                <w:color w:val="000000"/>
                <w:kern w:val="0"/>
                <w:sz w:val="21"/>
                <w:szCs w:val="21"/>
              </w:rPr>
              <w:t>年度</w:t>
            </w:r>
          </w:p>
        </w:tc>
        <w:tc>
          <w:tcPr>
            <w:tcW w:w="431" w:type="pct"/>
            <w:vMerge w:val="restart"/>
            <w:shd w:val="clear" w:color="auto" w:fill="auto"/>
            <w:vAlign w:val="center"/>
          </w:tcPr>
          <w:p w14:paraId="497E3D55">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变动情况</w:t>
            </w:r>
          </w:p>
        </w:tc>
      </w:tr>
      <w:tr w14:paraId="114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88" w:type="pct"/>
            <w:vMerge w:val="continue"/>
            <w:vAlign w:val="center"/>
          </w:tcPr>
          <w:p w14:paraId="0CFD88A3">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p>
        </w:tc>
        <w:tc>
          <w:tcPr>
            <w:tcW w:w="761" w:type="pct"/>
            <w:vMerge w:val="continue"/>
            <w:vAlign w:val="center"/>
          </w:tcPr>
          <w:p w14:paraId="47386FC2">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p>
        </w:tc>
        <w:tc>
          <w:tcPr>
            <w:tcW w:w="765" w:type="pct"/>
            <w:shd w:val="clear" w:color="auto" w:fill="auto"/>
            <w:vAlign w:val="center"/>
          </w:tcPr>
          <w:p w14:paraId="0427F985">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财政拨款年初预算数</w:t>
            </w:r>
          </w:p>
        </w:tc>
        <w:tc>
          <w:tcPr>
            <w:tcW w:w="741" w:type="pct"/>
            <w:shd w:val="clear" w:color="auto" w:fill="auto"/>
            <w:vAlign w:val="center"/>
          </w:tcPr>
          <w:p w14:paraId="1ABCF76D">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财政拨款年初预算数</w:t>
            </w:r>
          </w:p>
        </w:tc>
        <w:tc>
          <w:tcPr>
            <w:tcW w:w="512" w:type="pct"/>
            <w:vMerge w:val="continue"/>
            <w:shd w:val="clear" w:color="auto" w:fill="D7D7D7" w:themeFill="background1" w:themeFillShade="D8"/>
            <w:vAlign w:val="center"/>
          </w:tcPr>
          <w:p w14:paraId="25F67983">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p>
        </w:tc>
        <w:tc>
          <w:tcPr>
            <w:tcW w:w="773" w:type="pct"/>
            <w:shd w:val="clear" w:color="auto" w:fill="auto"/>
            <w:vAlign w:val="center"/>
          </w:tcPr>
          <w:p w14:paraId="7BE4907C">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财政拨款预算执行数</w:t>
            </w:r>
          </w:p>
        </w:tc>
        <w:tc>
          <w:tcPr>
            <w:tcW w:w="725" w:type="pct"/>
            <w:shd w:val="clear" w:color="auto" w:fill="auto"/>
            <w:vAlign w:val="center"/>
          </w:tcPr>
          <w:p w14:paraId="3B8B0802">
            <w:pPr>
              <w:keepNext w:val="0"/>
              <w:keepLines w:val="0"/>
              <w:pageBreakBefore w:val="0"/>
              <w:widowControl/>
              <w:kinsoku/>
              <w:wordWrap/>
              <w:overflowPunct/>
              <w:topLinePunct w:val="0"/>
              <w:autoSpaceDE/>
              <w:autoSpaceDN/>
              <w:bidi w:val="0"/>
              <w:spacing w:line="560" w:lineRule="exact"/>
              <w:jc w:val="center"/>
              <w:textAlignment w:val="center"/>
              <w:rPr>
                <w:color w:val="000000"/>
                <w:kern w:val="0"/>
                <w:sz w:val="21"/>
                <w:szCs w:val="21"/>
              </w:rPr>
            </w:pPr>
            <w:r>
              <w:rPr>
                <w:color w:val="000000"/>
                <w:kern w:val="0"/>
                <w:sz w:val="21"/>
                <w:szCs w:val="21"/>
              </w:rPr>
              <w:t>财政拨款预算执行数</w:t>
            </w:r>
          </w:p>
        </w:tc>
        <w:tc>
          <w:tcPr>
            <w:tcW w:w="431" w:type="pct"/>
            <w:vMerge w:val="continue"/>
            <w:vAlign w:val="center"/>
          </w:tcPr>
          <w:p w14:paraId="7B757D69">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p>
        </w:tc>
      </w:tr>
      <w:tr w14:paraId="7FAF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3FC022F4">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1</w:t>
            </w:r>
          </w:p>
        </w:tc>
        <w:tc>
          <w:tcPr>
            <w:tcW w:w="761" w:type="pct"/>
            <w:vAlign w:val="center"/>
          </w:tcPr>
          <w:p w14:paraId="0B2216AF">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r>
              <w:rPr>
                <w:color w:val="000000"/>
                <w:kern w:val="0"/>
                <w:sz w:val="21"/>
                <w:szCs w:val="21"/>
                <w:shd w:val="clear" w:color="auto" w:fill="FFFFFF"/>
              </w:rPr>
              <w:t>“三公”经费</w:t>
            </w:r>
          </w:p>
        </w:tc>
        <w:tc>
          <w:tcPr>
            <w:tcW w:w="765" w:type="pct"/>
            <w:vAlign w:val="center"/>
          </w:tcPr>
          <w:p w14:paraId="6E595E71">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rPr>
              <w:t>5.38</w:t>
            </w:r>
          </w:p>
        </w:tc>
        <w:tc>
          <w:tcPr>
            <w:tcW w:w="741" w:type="pct"/>
            <w:vAlign w:val="center"/>
          </w:tcPr>
          <w:p w14:paraId="3FD7D8A6">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lang w:val="en-US" w:eastAsia="zh-CN"/>
              </w:rPr>
              <w:t>5.41</w:t>
            </w:r>
          </w:p>
        </w:tc>
        <w:tc>
          <w:tcPr>
            <w:tcW w:w="512" w:type="pct"/>
            <w:vAlign w:val="center"/>
          </w:tcPr>
          <w:p w14:paraId="4EB6463E">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增加</w:t>
            </w:r>
          </w:p>
        </w:tc>
        <w:tc>
          <w:tcPr>
            <w:tcW w:w="1401" w:type="dxa"/>
            <w:vAlign w:val="center"/>
          </w:tcPr>
          <w:p w14:paraId="639503D0">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6.98</w:t>
            </w:r>
          </w:p>
        </w:tc>
        <w:tc>
          <w:tcPr>
            <w:tcW w:w="725" w:type="pct"/>
            <w:vAlign w:val="center"/>
          </w:tcPr>
          <w:p w14:paraId="51AC5478">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5.04</w:t>
            </w:r>
          </w:p>
        </w:tc>
        <w:tc>
          <w:tcPr>
            <w:tcW w:w="431" w:type="pct"/>
            <w:vAlign w:val="center"/>
          </w:tcPr>
          <w:p w14:paraId="43AFD5A2">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减少</w:t>
            </w:r>
          </w:p>
        </w:tc>
      </w:tr>
      <w:tr w14:paraId="2F41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04BC9966">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2</w:t>
            </w:r>
          </w:p>
        </w:tc>
        <w:tc>
          <w:tcPr>
            <w:tcW w:w="761" w:type="pct"/>
            <w:vAlign w:val="center"/>
          </w:tcPr>
          <w:p w14:paraId="1957A406">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r>
              <w:rPr>
                <w:color w:val="000000"/>
                <w:kern w:val="0"/>
                <w:sz w:val="21"/>
                <w:szCs w:val="21"/>
                <w:shd w:val="clear" w:color="auto" w:fill="FFFFFF"/>
              </w:rPr>
              <w:t>培训经费</w:t>
            </w:r>
          </w:p>
        </w:tc>
        <w:tc>
          <w:tcPr>
            <w:tcW w:w="765" w:type="pct"/>
            <w:vAlign w:val="center"/>
          </w:tcPr>
          <w:p w14:paraId="32703C4C">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rPr>
              <w:t>1.89</w:t>
            </w:r>
          </w:p>
        </w:tc>
        <w:tc>
          <w:tcPr>
            <w:tcW w:w="741" w:type="pct"/>
            <w:vAlign w:val="center"/>
          </w:tcPr>
          <w:p w14:paraId="04C3C945">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lang w:val="en-US" w:eastAsia="zh-CN"/>
              </w:rPr>
              <w:t>2.27</w:t>
            </w:r>
          </w:p>
        </w:tc>
        <w:tc>
          <w:tcPr>
            <w:tcW w:w="512" w:type="pct"/>
            <w:vAlign w:val="center"/>
          </w:tcPr>
          <w:p w14:paraId="7C1332F5">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增加</w:t>
            </w:r>
          </w:p>
        </w:tc>
        <w:tc>
          <w:tcPr>
            <w:tcW w:w="1401" w:type="dxa"/>
            <w:vAlign w:val="center"/>
          </w:tcPr>
          <w:p w14:paraId="31D9B9DA">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2.61</w:t>
            </w:r>
          </w:p>
        </w:tc>
        <w:tc>
          <w:tcPr>
            <w:tcW w:w="725" w:type="pct"/>
            <w:vAlign w:val="center"/>
          </w:tcPr>
          <w:p w14:paraId="36D03924">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0.98</w:t>
            </w:r>
          </w:p>
        </w:tc>
        <w:tc>
          <w:tcPr>
            <w:tcW w:w="431" w:type="pct"/>
            <w:vAlign w:val="center"/>
          </w:tcPr>
          <w:p w14:paraId="527E661C">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减少</w:t>
            </w:r>
          </w:p>
        </w:tc>
      </w:tr>
      <w:tr w14:paraId="5193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5938D123">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3</w:t>
            </w:r>
          </w:p>
        </w:tc>
        <w:tc>
          <w:tcPr>
            <w:tcW w:w="761" w:type="pct"/>
            <w:vAlign w:val="center"/>
          </w:tcPr>
          <w:p w14:paraId="15EDC592">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r>
              <w:rPr>
                <w:color w:val="000000"/>
                <w:kern w:val="0"/>
                <w:sz w:val="21"/>
                <w:szCs w:val="21"/>
                <w:shd w:val="clear" w:color="auto" w:fill="FFFFFF"/>
              </w:rPr>
              <w:t>差旅经费</w:t>
            </w:r>
          </w:p>
        </w:tc>
        <w:tc>
          <w:tcPr>
            <w:tcW w:w="765" w:type="pct"/>
            <w:vAlign w:val="center"/>
          </w:tcPr>
          <w:p w14:paraId="407A7700">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3.80</w:t>
            </w:r>
          </w:p>
        </w:tc>
        <w:tc>
          <w:tcPr>
            <w:tcW w:w="741" w:type="pct"/>
            <w:vAlign w:val="center"/>
          </w:tcPr>
          <w:p w14:paraId="0A089161">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4.28</w:t>
            </w:r>
          </w:p>
        </w:tc>
        <w:tc>
          <w:tcPr>
            <w:tcW w:w="512" w:type="pct"/>
            <w:vAlign w:val="center"/>
          </w:tcPr>
          <w:p w14:paraId="21820FB3">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增加</w:t>
            </w:r>
          </w:p>
        </w:tc>
        <w:tc>
          <w:tcPr>
            <w:tcW w:w="1401" w:type="dxa"/>
            <w:vAlign w:val="center"/>
          </w:tcPr>
          <w:p w14:paraId="6E2D6701">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1.55</w:t>
            </w:r>
          </w:p>
        </w:tc>
        <w:tc>
          <w:tcPr>
            <w:tcW w:w="725" w:type="pct"/>
            <w:vAlign w:val="center"/>
          </w:tcPr>
          <w:p w14:paraId="67B9D36E">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1.87</w:t>
            </w:r>
          </w:p>
        </w:tc>
        <w:tc>
          <w:tcPr>
            <w:tcW w:w="431" w:type="pct"/>
            <w:vAlign w:val="center"/>
          </w:tcPr>
          <w:p w14:paraId="18804E65">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增加</w:t>
            </w:r>
          </w:p>
        </w:tc>
      </w:tr>
      <w:tr w14:paraId="7584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2114794B">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4</w:t>
            </w:r>
          </w:p>
        </w:tc>
        <w:tc>
          <w:tcPr>
            <w:tcW w:w="761" w:type="pct"/>
            <w:vAlign w:val="center"/>
          </w:tcPr>
          <w:p w14:paraId="26FCFA2E">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r>
              <w:rPr>
                <w:rFonts w:hint="eastAsia"/>
                <w:color w:val="000000"/>
                <w:kern w:val="0"/>
                <w:sz w:val="21"/>
                <w:szCs w:val="21"/>
                <w:shd w:val="clear" w:color="auto" w:fill="FFFFFF"/>
              </w:rPr>
              <w:t>会议费</w:t>
            </w:r>
          </w:p>
        </w:tc>
        <w:tc>
          <w:tcPr>
            <w:tcW w:w="765" w:type="pct"/>
            <w:vAlign w:val="center"/>
          </w:tcPr>
          <w:p w14:paraId="27805085">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0.00</w:t>
            </w:r>
          </w:p>
        </w:tc>
        <w:tc>
          <w:tcPr>
            <w:tcW w:w="741" w:type="pct"/>
            <w:vAlign w:val="center"/>
          </w:tcPr>
          <w:p w14:paraId="23AF8B8C">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0.00</w:t>
            </w:r>
          </w:p>
        </w:tc>
        <w:tc>
          <w:tcPr>
            <w:tcW w:w="512" w:type="pct"/>
            <w:vAlign w:val="center"/>
          </w:tcPr>
          <w:p w14:paraId="43BF2C31">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持平</w:t>
            </w:r>
          </w:p>
        </w:tc>
        <w:tc>
          <w:tcPr>
            <w:tcW w:w="1401" w:type="dxa"/>
            <w:vAlign w:val="center"/>
          </w:tcPr>
          <w:p w14:paraId="01911EED">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0.00</w:t>
            </w:r>
          </w:p>
        </w:tc>
        <w:tc>
          <w:tcPr>
            <w:tcW w:w="725" w:type="pct"/>
            <w:vAlign w:val="center"/>
          </w:tcPr>
          <w:p w14:paraId="03C5B696">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0.00</w:t>
            </w:r>
          </w:p>
        </w:tc>
        <w:tc>
          <w:tcPr>
            <w:tcW w:w="431" w:type="pct"/>
            <w:vAlign w:val="center"/>
          </w:tcPr>
          <w:p w14:paraId="2EB87AF8">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持平</w:t>
            </w:r>
          </w:p>
        </w:tc>
      </w:tr>
      <w:tr w14:paraId="7C87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2F3E238F">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5</w:t>
            </w:r>
          </w:p>
        </w:tc>
        <w:tc>
          <w:tcPr>
            <w:tcW w:w="761" w:type="pct"/>
            <w:vAlign w:val="center"/>
          </w:tcPr>
          <w:p w14:paraId="7DBC2F04">
            <w:pPr>
              <w:keepNext w:val="0"/>
              <w:keepLines w:val="0"/>
              <w:pageBreakBefore w:val="0"/>
              <w:kinsoku/>
              <w:wordWrap/>
              <w:overflowPunct/>
              <w:topLinePunct w:val="0"/>
              <w:autoSpaceDE/>
              <w:autoSpaceDN/>
              <w:bidi w:val="0"/>
              <w:adjustRightInd w:val="0"/>
              <w:snapToGrid w:val="0"/>
              <w:spacing w:line="560" w:lineRule="exact"/>
              <w:contextualSpacing/>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信息网络及软件</w:t>
            </w:r>
          </w:p>
        </w:tc>
        <w:tc>
          <w:tcPr>
            <w:tcW w:w="765" w:type="pct"/>
            <w:vAlign w:val="center"/>
          </w:tcPr>
          <w:p w14:paraId="2623E9BE">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741" w:type="pct"/>
            <w:vAlign w:val="center"/>
          </w:tcPr>
          <w:p w14:paraId="7C3A2BF7">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512" w:type="pct"/>
            <w:vAlign w:val="center"/>
          </w:tcPr>
          <w:p w14:paraId="2D50B1D4">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rPr>
              <w:t>持平</w:t>
            </w:r>
          </w:p>
        </w:tc>
        <w:tc>
          <w:tcPr>
            <w:tcW w:w="1401" w:type="dxa"/>
            <w:vAlign w:val="center"/>
          </w:tcPr>
          <w:p w14:paraId="50F742F7">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725" w:type="pct"/>
            <w:vAlign w:val="center"/>
          </w:tcPr>
          <w:p w14:paraId="04057F6F">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431" w:type="pct"/>
            <w:vAlign w:val="center"/>
          </w:tcPr>
          <w:p w14:paraId="369AFF9E">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增加</w:t>
            </w:r>
          </w:p>
        </w:tc>
      </w:tr>
      <w:tr w14:paraId="5121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70D6217A">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6</w:t>
            </w:r>
          </w:p>
        </w:tc>
        <w:tc>
          <w:tcPr>
            <w:tcW w:w="761" w:type="pct"/>
            <w:vAlign w:val="center"/>
          </w:tcPr>
          <w:p w14:paraId="696B3619">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r>
              <w:rPr>
                <w:color w:val="000000"/>
                <w:kern w:val="0"/>
                <w:sz w:val="21"/>
                <w:szCs w:val="21"/>
                <w:shd w:val="clear" w:color="auto" w:fill="FFFFFF"/>
              </w:rPr>
              <w:t>办公设备</w:t>
            </w:r>
          </w:p>
          <w:p w14:paraId="1F7DF359">
            <w:pPr>
              <w:keepNext w:val="0"/>
              <w:keepLines w:val="0"/>
              <w:pageBreakBefore w:val="0"/>
              <w:kinsoku/>
              <w:wordWrap/>
              <w:overflowPunct/>
              <w:topLinePunct w:val="0"/>
              <w:autoSpaceDE/>
              <w:autoSpaceDN/>
              <w:bidi w:val="0"/>
              <w:adjustRightInd w:val="0"/>
              <w:snapToGrid w:val="0"/>
              <w:spacing w:line="560" w:lineRule="exact"/>
              <w:contextualSpacing/>
              <w:rPr>
                <w:color w:val="000000"/>
                <w:kern w:val="0"/>
                <w:sz w:val="21"/>
                <w:szCs w:val="21"/>
                <w:shd w:val="clear" w:color="auto" w:fill="FFFFFF"/>
              </w:rPr>
            </w:pPr>
            <w:r>
              <w:rPr>
                <w:color w:val="000000"/>
                <w:kern w:val="0"/>
                <w:sz w:val="21"/>
                <w:szCs w:val="21"/>
                <w:shd w:val="clear" w:color="auto" w:fill="FFFFFF"/>
              </w:rPr>
              <w:t>购置经费</w:t>
            </w:r>
          </w:p>
        </w:tc>
        <w:tc>
          <w:tcPr>
            <w:tcW w:w="765" w:type="pct"/>
            <w:vAlign w:val="center"/>
          </w:tcPr>
          <w:p w14:paraId="1E56A32D">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0.00</w:t>
            </w:r>
          </w:p>
        </w:tc>
        <w:tc>
          <w:tcPr>
            <w:tcW w:w="741" w:type="pct"/>
            <w:vAlign w:val="center"/>
          </w:tcPr>
          <w:p w14:paraId="2FB9F4A6">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0.00</w:t>
            </w:r>
          </w:p>
        </w:tc>
        <w:tc>
          <w:tcPr>
            <w:tcW w:w="512" w:type="pct"/>
            <w:vAlign w:val="center"/>
          </w:tcPr>
          <w:p w14:paraId="095496AB">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持平</w:t>
            </w:r>
          </w:p>
        </w:tc>
        <w:tc>
          <w:tcPr>
            <w:tcW w:w="1401" w:type="dxa"/>
            <w:vAlign w:val="center"/>
          </w:tcPr>
          <w:p w14:paraId="12D71456">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0.00</w:t>
            </w:r>
          </w:p>
        </w:tc>
        <w:tc>
          <w:tcPr>
            <w:tcW w:w="725" w:type="pct"/>
            <w:vAlign w:val="center"/>
          </w:tcPr>
          <w:p w14:paraId="6D57FBEF">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0.00</w:t>
            </w:r>
          </w:p>
        </w:tc>
        <w:tc>
          <w:tcPr>
            <w:tcW w:w="431" w:type="pct"/>
            <w:vAlign w:val="center"/>
          </w:tcPr>
          <w:p w14:paraId="2BD1B94D">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持平</w:t>
            </w:r>
          </w:p>
        </w:tc>
      </w:tr>
      <w:tr w14:paraId="2D5A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45AEB22B">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7</w:t>
            </w:r>
          </w:p>
        </w:tc>
        <w:tc>
          <w:tcPr>
            <w:tcW w:w="761" w:type="pct"/>
            <w:vAlign w:val="center"/>
          </w:tcPr>
          <w:p w14:paraId="4DE2C6FC">
            <w:pPr>
              <w:keepNext w:val="0"/>
              <w:keepLines w:val="0"/>
              <w:pageBreakBefore w:val="0"/>
              <w:kinsoku/>
              <w:wordWrap/>
              <w:overflowPunct/>
              <w:topLinePunct w:val="0"/>
              <w:autoSpaceDE/>
              <w:autoSpaceDN/>
              <w:bidi w:val="0"/>
              <w:adjustRightInd w:val="0"/>
              <w:snapToGrid w:val="0"/>
              <w:spacing w:line="560" w:lineRule="exact"/>
              <w:contextualSpacing/>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购置更新</w:t>
            </w:r>
          </w:p>
        </w:tc>
        <w:tc>
          <w:tcPr>
            <w:tcW w:w="765" w:type="pct"/>
            <w:vAlign w:val="center"/>
          </w:tcPr>
          <w:p w14:paraId="7CB30F8C">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741" w:type="pct"/>
            <w:vAlign w:val="center"/>
          </w:tcPr>
          <w:p w14:paraId="51921F7D">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512" w:type="pct"/>
            <w:vAlign w:val="center"/>
          </w:tcPr>
          <w:p w14:paraId="79DCF106">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rPr>
              <w:t>持平</w:t>
            </w:r>
          </w:p>
        </w:tc>
        <w:tc>
          <w:tcPr>
            <w:tcW w:w="1401" w:type="dxa"/>
            <w:vAlign w:val="center"/>
          </w:tcPr>
          <w:p w14:paraId="76DCFC12">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725" w:type="pct"/>
            <w:vAlign w:val="center"/>
          </w:tcPr>
          <w:p w14:paraId="65EC87D1">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431" w:type="pct"/>
            <w:vAlign w:val="center"/>
          </w:tcPr>
          <w:p w14:paraId="7C1E633E">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持平</w:t>
            </w:r>
          </w:p>
        </w:tc>
      </w:tr>
      <w:tr w14:paraId="1F68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1D6BC2BF">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8</w:t>
            </w:r>
          </w:p>
        </w:tc>
        <w:tc>
          <w:tcPr>
            <w:tcW w:w="761" w:type="pct"/>
            <w:vAlign w:val="center"/>
          </w:tcPr>
          <w:p w14:paraId="6D70C6F6">
            <w:pPr>
              <w:keepNext w:val="0"/>
              <w:keepLines w:val="0"/>
              <w:pageBreakBefore w:val="0"/>
              <w:kinsoku/>
              <w:wordWrap/>
              <w:overflowPunct/>
              <w:topLinePunct w:val="0"/>
              <w:autoSpaceDE/>
              <w:autoSpaceDN/>
              <w:bidi w:val="0"/>
              <w:adjustRightInd w:val="0"/>
              <w:snapToGrid w:val="0"/>
              <w:spacing w:line="560" w:lineRule="exact"/>
              <w:contextualSpacing/>
              <w:rPr>
                <w:rFonts w:hint="eastAsia"/>
                <w:color w:val="000000"/>
                <w:kern w:val="0"/>
                <w:sz w:val="21"/>
                <w:szCs w:val="21"/>
                <w:shd w:val="clear" w:color="auto" w:fill="FFFFFF"/>
                <w:lang w:eastAsia="zh-CN"/>
              </w:rPr>
            </w:pPr>
            <w:r>
              <w:rPr>
                <w:rFonts w:hint="eastAsia"/>
                <w:color w:val="000000"/>
                <w:kern w:val="0"/>
                <w:sz w:val="21"/>
                <w:szCs w:val="21"/>
                <w:shd w:val="clear" w:color="auto" w:fill="FFFFFF"/>
                <w:lang w:eastAsia="zh-CN"/>
              </w:rPr>
              <w:t>课题经费</w:t>
            </w:r>
          </w:p>
        </w:tc>
        <w:tc>
          <w:tcPr>
            <w:tcW w:w="765" w:type="pct"/>
            <w:vAlign w:val="center"/>
          </w:tcPr>
          <w:p w14:paraId="2B541128">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741" w:type="pct"/>
            <w:vAlign w:val="center"/>
          </w:tcPr>
          <w:p w14:paraId="3F75CC8F">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512" w:type="pct"/>
            <w:vAlign w:val="center"/>
          </w:tcPr>
          <w:p w14:paraId="53BDAEDD">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lang w:eastAsia="zh-CN"/>
              </w:rPr>
            </w:pPr>
            <w:r>
              <w:rPr>
                <w:rFonts w:hint="eastAsia"/>
                <w:color w:val="000000"/>
                <w:kern w:val="0"/>
                <w:sz w:val="21"/>
                <w:szCs w:val="21"/>
                <w:shd w:val="clear" w:color="auto" w:fill="FFFFFF"/>
              </w:rPr>
              <w:t>持平</w:t>
            </w:r>
          </w:p>
        </w:tc>
        <w:tc>
          <w:tcPr>
            <w:tcW w:w="1401" w:type="dxa"/>
            <w:vAlign w:val="center"/>
          </w:tcPr>
          <w:p w14:paraId="44C473D5">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725" w:type="pct"/>
            <w:vAlign w:val="center"/>
          </w:tcPr>
          <w:p w14:paraId="00C96358">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0.00</w:t>
            </w:r>
          </w:p>
        </w:tc>
        <w:tc>
          <w:tcPr>
            <w:tcW w:w="431" w:type="pct"/>
            <w:vAlign w:val="center"/>
          </w:tcPr>
          <w:p w14:paraId="3CFC208E">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color w:val="000000"/>
                <w:kern w:val="0"/>
                <w:sz w:val="21"/>
                <w:szCs w:val="21"/>
                <w:shd w:val="clear" w:color="auto" w:fill="FFFFFF"/>
              </w:rPr>
            </w:pPr>
            <w:r>
              <w:rPr>
                <w:rFonts w:hint="eastAsia"/>
                <w:color w:val="000000"/>
                <w:kern w:val="0"/>
                <w:sz w:val="21"/>
                <w:szCs w:val="21"/>
                <w:shd w:val="clear" w:color="auto" w:fill="FFFFFF"/>
              </w:rPr>
              <w:t>持平</w:t>
            </w:r>
          </w:p>
        </w:tc>
      </w:tr>
      <w:tr w14:paraId="4882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 w:type="pct"/>
            <w:vAlign w:val="center"/>
          </w:tcPr>
          <w:p w14:paraId="3C56E3FC">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val="en-US" w:eastAsia="zh-CN"/>
              </w:rPr>
              <w:t>9</w:t>
            </w:r>
          </w:p>
        </w:tc>
        <w:tc>
          <w:tcPr>
            <w:tcW w:w="761" w:type="pct"/>
            <w:vAlign w:val="center"/>
          </w:tcPr>
          <w:p w14:paraId="6D3F9037">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color w:val="000000"/>
                <w:kern w:val="0"/>
                <w:sz w:val="21"/>
                <w:szCs w:val="21"/>
                <w:shd w:val="clear" w:color="auto" w:fill="FFFFFF"/>
              </w:rPr>
              <w:t>合计</w:t>
            </w:r>
          </w:p>
        </w:tc>
        <w:tc>
          <w:tcPr>
            <w:tcW w:w="765" w:type="pct"/>
            <w:vAlign w:val="center"/>
          </w:tcPr>
          <w:p w14:paraId="68788AC7">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11.07</w:t>
            </w:r>
          </w:p>
        </w:tc>
        <w:tc>
          <w:tcPr>
            <w:tcW w:w="741" w:type="pct"/>
            <w:vAlign w:val="center"/>
          </w:tcPr>
          <w:p w14:paraId="67756459">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i/>
                <w:iCs/>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11.96</w:t>
            </w:r>
          </w:p>
        </w:tc>
        <w:tc>
          <w:tcPr>
            <w:tcW w:w="512" w:type="pct"/>
            <w:vAlign w:val="center"/>
          </w:tcPr>
          <w:p w14:paraId="762F4F5A">
            <w:pPr>
              <w:keepNext w:val="0"/>
              <w:keepLines w:val="0"/>
              <w:pageBreakBefore w:val="0"/>
              <w:kinsoku/>
              <w:wordWrap/>
              <w:overflowPunct/>
              <w:topLinePunct w:val="0"/>
              <w:autoSpaceDE/>
              <w:autoSpaceDN/>
              <w:bidi w:val="0"/>
              <w:adjustRightInd w:val="0"/>
              <w:snapToGrid w:val="0"/>
              <w:spacing w:line="560" w:lineRule="exact"/>
              <w:contextualSpacing/>
              <w:jc w:val="center"/>
              <w:rPr>
                <w:color w:val="000000"/>
                <w:kern w:val="0"/>
                <w:sz w:val="21"/>
                <w:szCs w:val="21"/>
                <w:shd w:val="clear" w:color="auto" w:fill="FFFFFF"/>
              </w:rPr>
            </w:pPr>
            <w:r>
              <w:rPr>
                <w:rFonts w:hint="eastAsia"/>
                <w:color w:val="000000"/>
                <w:kern w:val="0"/>
                <w:sz w:val="21"/>
                <w:szCs w:val="21"/>
                <w:shd w:val="clear" w:color="auto" w:fill="FFFFFF"/>
              </w:rPr>
              <w:t>增加</w:t>
            </w:r>
          </w:p>
        </w:tc>
        <w:tc>
          <w:tcPr>
            <w:tcW w:w="1401" w:type="dxa"/>
            <w:vAlign w:val="center"/>
          </w:tcPr>
          <w:p w14:paraId="0F87F22F">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11.14</w:t>
            </w:r>
          </w:p>
        </w:tc>
        <w:tc>
          <w:tcPr>
            <w:tcW w:w="725" w:type="pct"/>
            <w:vAlign w:val="center"/>
          </w:tcPr>
          <w:p w14:paraId="7326BDAE">
            <w:pPr>
              <w:keepNext w:val="0"/>
              <w:keepLines w:val="0"/>
              <w:pageBreakBefore w:val="0"/>
              <w:kinsoku/>
              <w:wordWrap/>
              <w:overflowPunct/>
              <w:topLinePunct w:val="0"/>
              <w:autoSpaceDE/>
              <w:autoSpaceDN/>
              <w:bidi w:val="0"/>
              <w:adjustRightInd w:val="0"/>
              <w:snapToGrid w:val="0"/>
              <w:spacing w:line="560" w:lineRule="exact"/>
              <w:contextualSpacing/>
              <w:jc w:val="center"/>
              <w:rPr>
                <w:rFonts w:hint="default" w:eastAsia="仿宋_GB2312"/>
                <w:color w:val="000000"/>
                <w:kern w:val="0"/>
                <w:sz w:val="21"/>
                <w:szCs w:val="21"/>
                <w:shd w:val="clear" w:color="auto" w:fill="FFFFFF"/>
                <w:lang w:val="en-US" w:eastAsia="zh-CN"/>
              </w:rPr>
            </w:pPr>
            <w:r>
              <w:rPr>
                <w:rFonts w:hint="eastAsia"/>
                <w:color w:val="000000"/>
                <w:kern w:val="0"/>
                <w:sz w:val="21"/>
                <w:szCs w:val="21"/>
                <w:shd w:val="clear" w:color="auto" w:fill="FFFFFF"/>
                <w:lang w:val="en-US" w:eastAsia="zh-CN"/>
              </w:rPr>
              <w:t>7.9</w:t>
            </w:r>
          </w:p>
        </w:tc>
        <w:tc>
          <w:tcPr>
            <w:tcW w:w="431" w:type="pct"/>
            <w:vAlign w:val="center"/>
          </w:tcPr>
          <w:p w14:paraId="2929C5A7">
            <w:pPr>
              <w:keepNext w:val="0"/>
              <w:keepLines w:val="0"/>
              <w:pageBreakBefore w:val="0"/>
              <w:kinsoku/>
              <w:wordWrap/>
              <w:overflowPunct/>
              <w:topLinePunct w:val="0"/>
              <w:autoSpaceDE/>
              <w:autoSpaceDN/>
              <w:bidi w:val="0"/>
              <w:adjustRightInd w:val="0"/>
              <w:snapToGrid w:val="0"/>
              <w:spacing w:line="560" w:lineRule="exact"/>
              <w:contextualSpacing/>
              <w:jc w:val="center"/>
              <w:rPr>
                <w:rFonts w:hint="eastAsia" w:eastAsia="仿宋_GB2312"/>
                <w:color w:val="000000"/>
                <w:kern w:val="0"/>
                <w:sz w:val="21"/>
                <w:szCs w:val="21"/>
                <w:shd w:val="clear" w:color="auto" w:fill="FFFFFF"/>
                <w:lang w:eastAsia="zh-CN"/>
              </w:rPr>
            </w:pPr>
            <w:r>
              <w:rPr>
                <w:rFonts w:hint="eastAsia"/>
                <w:color w:val="000000"/>
                <w:kern w:val="0"/>
                <w:sz w:val="21"/>
                <w:szCs w:val="21"/>
                <w:shd w:val="clear" w:color="auto" w:fill="FFFFFF"/>
                <w:lang w:eastAsia="zh-CN"/>
              </w:rPr>
              <w:t>减少</w:t>
            </w:r>
          </w:p>
        </w:tc>
      </w:tr>
    </w:tbl>
    <w:p w14:paraId="7C6DAD2C">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综上，根据评分标准，该项指标扣</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rPr>
        <w:t>分，得</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zh-CN"/>
        </w:rPr>
        <w:t>分。</w:t>
      </w:r>
    </w:p>
    <w:p w14:paraId="54F207B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w:t>
      </w:r>
      <w:r>
        <w:rPr>
          <w:rFonts w:hint="eastAsia" w:ascii="Times New Roman" w:hAnsi="Times New Roman" w:eastAsia="仿宋_GB2312" w:cs="仿宋_GB2312"/>
          <w:sz w:val="32"/>
          <w:szCs w:val="32"/>
          <w:lang w:val="zh-CN"/>
        </w:rPr>
        <w:t>建立完善的财务管理制度，明确财务岗位的职责分工，确保资金使用的合规性和效率。每一笔支出都需要有明确的用途和合理的依据，以提高资金使用的透明度和效益。</w:t>
      </w:r>
    </w:p>
    <w:p w14:paraId="76D03C4B">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w:t>
      </w:r>
    </w:p>
    <w:p w14:paraId="24FCD82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（1）人均资产变化率</w:t>
      </w:r>
    </w:p>
    <w:p w14:paraId="32A5011D">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我单位20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lang w:val="zh-CN"/>
        </w:rPr>
        <w:t>年末实有人数为</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lang w:val="zh-CN"/>
        </w:rPr>
        <w:t>人，固定资产和无形资产净值合计</w:t>
      </w:r>
      <w:r>
        <w:rPr>
          <w:rFonts w:hint="eastAsia" w:ascii="Times New Roman" w:hAnsi="Times New Roman" w:eastAsia="仿宋_GB2312" w:cs="仿宋_GB2312"/>
          <w:sz w:val="32"/>
          <w:szCs w:val="32"/>
          <w:lang w:val="en-US" w:eastAsia="zh-CN"/>
        </w:rPr>
        <w:t>50.72</w:t>
      </w:r>
      <w:r>
        <w:rPr>
          <w:rFonts w:hint="eastAsia" w:ascii="Times New Roman" w:hAnsi="Times New Roman" w:eastAsia="仿宋_GB2312" w:cs="仿宋_GB2312"/>
          <w:sz w:val="32"/>
          <w:szCs w:val="32"/>
          <w:lang w:val="zh-CN"/>
        </w:rPr>
        <w:t>万元；202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年末实有人数为</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lang w:val="zh-CN"/>
        </w:rPr>
        <w:t>人，固定资产和无形资产净值合计</w:t>
      </w:r>
      <w:r>
        <w:rPr>
          <w:rFonts w:hint="eastAsia" w:ascii="Times New Roman" w:hAnsi="Times New Roman" w:eastAsia="仿宋_GB2312" w:cs="仿宋_GB2312"/>
          <w:sz w:val="32"/>
          <w:szCs w:val="32"/>
          <w:lang w:val="en-US" w:eastAsia="zh-CN"/>
        </w:rPr>
        <w:t>42.55</w:t>
      </w:r>
      <w:r>
        <w:rPr>
          <w:rFonts w:hint="eastAsia" w:ascii="Times New Roman" w:hAnsi="Times New Roman" w:eastAsia="仿宋_GB2312" w:cs="仿宋_GB2312"/>
          <w:sz w:val="32"/>
          <w:szCs w:val="32"/>
          <w:lang w:val="zh-CN"/>
        </w:rPr>
        <w:t>万元。</w:t>
      </w:r>
    </w:p>
    <w:p w14:paraId="6BACC948">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根据评价标准，我单位202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zh-CN"/>
        </w:rPr>
        <w:t>年人均占有资产=</w:t>
      </w:r>
      <w:r>
        <w:rPr>
          <w:rFonts w:hint="eastAsia" w:ascii="Times New Roman" w:hAnsi="Times New Roman" w:eastAsia="仿宋_GB2312" w:cs="仿宋_GB2312"/>
          <w:sz w:val="32"/>
          <w:szCs w:val="32"/>
          <w:lang w:val="en-US" w:eastAsia="zh-CN"/>
        </w:rPr>
        <w:t>50.72</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5.07</w:t>
      </w:r>
      <w:r>
        <w:rPr>
          <w:rFonts w:hint="eastAsia" w:ascii="Times New Roman" w:hAnsi="Times New Roman" w:eastAsia="仿宋_GB2312" w:cs="仿宋_GB2312"/>
          <w:sz w:val="32"/>
          <w:szCs w:val="32"/>
          <w:lang w:val="zh-CN"/>
        </w:rPr>
        <w:t>（万元/人），202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年人均占有资产=</w:t>
      </w:r>
      <w:r>
        <w:rPr>
          <w:rFonts w:hint="eastAsia" w:ascii="Times New Roman" w:hAnsi="Times New Roman" w:eastAsia="仿宋_GB2312" w:cs="仿宋_GB2312"/>
          <w:sz w:val="32"/>
          <w:szCs w:val="32"/>
          <w:lang w:val="en-US" w:eastAsia="zh-CN"/>
        </w:rPr>
        <w:t>42.55</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4.26</w:t>
      </w:r>
      <w:r>
        <w:rPr>
          <w:rFonts w:hint="eastAsia" w:ascii="Times New Roman" w:hAnsi="Times New Roman" w:eastAsia="仿宋_GB2312" w:cs="仿宋_GB2312"/>
          <w:sz w:val="32"/>
          <w:szCs w:val="32"/>
          <w:lang w:val="zh-CN"/>
        </w:rPr>
        <w:t>（万元/人），202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年我单位人均资产变化率=（</w:t>
      </w:r>
      <w:r>
        <w:rPr>
          <w:rFonts w:hint="eastAsia" w:ascii="Times New Roman" w:hAnsi="Times New Roman" w:eastAsia="仿宋_GB2312" w:cs="仿宋_GB2312"/>
          <w:sz w:val="32"/>
          <w:szCs w:val="32"/>
          <w:lang w:val="en-US" w:eastAsia="zh-CN"/>
        </w:rPr>
        <w:t>4.26</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5.07</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5.07</w:t>
      </w:r>
      <w:r>
        <w:rPr>
          <w:rFonts w:hint="eastAsia" w:ascii="Times New Roman" w:hAnsi="Times New Roman" w:eastAsia="仿宋_GB2312" w:cs="仿宋_GB2312"/>
          <w:sz w:val="32"/>
          <w:szCs w:val="32"/>
          <w:lang w:val="zh-CN"/>
        </w:rPr>
        <w:t>×100.00%=-</w:t>
      </w:r>
      <w:r>
        <w:rPr>
          <w:rFonts w:hint="eastAsia" w:ascii="Times New Roman" w:hAnsi="Times New Roman" w:eastAsia="仿宋_GB2312" w:cs="仿宋_GB2312"/>
          <w:sz w:val="32"/>
          <w:szCs w:val="32"/>
          <w:lang w:val="en-US" w:eastAsia="zh-CN"/>
        </w:rPr>
        <w:t>15.98</w:t>
      </w:r>
      <w:r>
        <w:rPr>
          <w:rFonts w:hint="eastAsia" w:ascii="Times New Roman" w:hAnsi="Times New Roman" w:eastAsia="仿宋_GB2312" w:cs="仿宋_GB2312"/>
          <w:sz w:val="32"/>
          <w:szCs w:val="32"/>
          <w:lang w:val="zh-CN"/>
        </w:rPr>
        <w:t>%，小于202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年阿坝州州直行政事业单位人均资产变化率</w:t>
      </w:r>
      <w:r>
        <w:rPr>
          <w:rFonts w:hint="eastAsia" w:ascii="Times New Roman" w:hAnsi="Times New Roman" w:eastAsia="仿宋_GB2312" w:cs="仿宋_GB2312"/>
          <w:sz w:val="32"/>
          <w:szCs w:val="32"/>
          <w:lang w:val="en-US" w:eastAsia="zh-CN"/>
        </w:rPr>
        <w:t>24.28</w:t>
      </w:r>
      <w:r>
        <w:rPr>
          <w:rFonts w:hint="eastAsia" w:ascii="Times New Roman" w:hAnsi="Times New Roman" w:eastAsia="仿宋_GB2312" w:cs="仿宋_GB2312"/>
          <w:sz w:val="32"/>
          <w:szCs w:val="32"/>
          <w:lang w:val="zh-CN"/>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年我单位人均资产增长率=（</w:t>
      </w:r>
      <w:r>
        <w:rPr>
          <w:rFonts w:hint="eastAsia" w:ascii="Times New Roman" w:hAnsi="Times New Roman" w:eastAsia="仿宋_GB2312" w:cs="仿宋_GB2312"/>
          <w:sz w:val="32"/>
          <w:szCs w:val="32"/>
          <w:lang w:val="en-US" w:eastAsia="zh-CN"/>
        </w:rPr>
        <w:t>4.26</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5.07</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5.07</w:t>
      </w:r>
      <w:r>
        <w:rPr>
          <w:rFonts w:hint="eastAsia" w:ascii="Times New Roman" w:hAnsi="Times New Roman" w:eastAsia="仿宋_GB2312" w:cs="仿宋_GB2312"/>
          <w:sz w:val="32"/>
          <w:szCs w:val="32"/>
          <w:lang w:val="zh-CN"/>
        </w:rPr>
        <w:t>×100.00%=-</w:t>
      </w:r>
      <w:r>
        <w:rPr>
          <w:rFonts w:hint="eastAsia" w:ascii="Times New Roman" w:hAnsi="Times New Roman" w:eastAsia="仿宋_GB2312" w:cs="仿宋_GB2312"/>
          <w:sz w:val="32"/>
          <w:szCs w:val="32"/>
          <w:lang w:val="en-US" w:eastAsia="zh-CN"/>
        </w:rPr>
        <w:t>15.98</w:t>
      </w:r>
      <w:r>
        <w:rPr>
          <w:rFonts w:hint="eastAsia" w:ascii="Times New Roman" w:hAnsi="Times New Roman" w:eastAsia="仿宋_GB2312" w:cs="仿宋_GB2312"/>
          <w:sz w:val="32"/>
          <w:szCs w:val="32"/>
          <w:lang w:val="zh-CN"/>
        </w:rPr>
        <w:t>%，小于202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年阿坝州州级财政收入增长率</w:t>
      </w:r>
      <w:r>
        <w:rPr>
          <w:rFonts w:hint="eastAsia" w:ascii="Times New Roman" w:hAnsi="Times New Roman" w:eastAsia="仿宋_GB2312" w:cs="仿宋_GB2312"/>
          <w:sz w:val="32"/>
          <w:szCs w:val="32"/>
          <w:lang w:val="en-US" w:eastAsia="zh-CN"/>
        </w:rPr>
        <w:t>30.5</w:t>
      </w:r>
      <w:r>
        <w:rPr>
          <w:rFonts w:hint="eastAsia" w:ascii="Times New Roman" w:hAnsi="Times New Roman" w:eastAsia="仿宋_GB2312" w:cs="仿宋_GB2312"/>
          <w:sz w:val="32"/>
          <w:szCs w:val="32"/>
          <w:lang w:val="zh-CN"/>
        </w:rPr>
        <w:t>%。</w:t>
      </w:r>
    </w:p>
    <w:p w14:paraId="0EE577D2">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综上，根据评分标准，该项指标不扣分，得3分。</w:t>
      </w:r>
    </w:p>
    <w:p w14:paraId="40CCC198">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（2）资产利用率</w:t>
      </w:r>
    </w:p>
    <w:p w14:paraId="6A8822E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我单位超最低使用年限的办公家具账面价值为2.78万元，办公家具账面价值为4.8万元，办公家具超最低使用年限资产利用率为58%，大于202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年资产利用率的阿坝州州直行政事业单位平均值</w:t>
      </w:r>
      <w:r>
        <w:rPr>
          <w:rFonts w:hint="eastAsia" w:ascii="Times New Roman" w:hAnsi="Times New Roman" w:eastAsia="仿宋_GB2312" w:cs="仿宋_GB2312"/>
          <w:sz w:val="32"/>
          <w:szCs w:val="32"/>
          <w:lang w:val="en-US" w:eastAsia="zh-CN"/>
        </w:rPr>
        <w:t>10.03</w:t>
      </w:r>
      <w:r>
        <w:rPr>
          <w:rFonts w:hint="eastAsia" w:ascii="Times New Roman" w:hAnsi="Times New Roman" w:eastAsia="仿宋_GB2312" w:cs="仿宋_GB2312"/>
          <w:sz w:val="32"/>
          <w:szCs w:val="32"/>
          <w:lang w:val="zh-CN"/>
        </w:rPr>
        <w:t>%， 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年办公设备超最低使用年限账面价值为6.15万元，办公设备账面价值为56.45万元，办公设备超最低使用年限资产利用率为11%，小于阿坝州州直行政事业单位平均值</w:t>
      </w:r>
      <w:r>
        <w:rPr>
          <w:rFonts w:hint="eastAsia" w:ascii="Times New Roman" w:hAnsi="Times New Roman" w:eastAsia="仿宋_GB2312" w:cs="仿宋_GB2312"/>
          <w:sz w:val="32"/>
          <w:szCs w:val="32"/>
          <w:lang w:val="en-US" w:eastAsia="zh-CN"/>
        </w:rPr>
        <w:t>47.86</w:t>
      </w:r>
      <w:r>
        <w:rPr>
          <w:rFonts w:hint="eastAsia" w:ascii="Times New Roman" w:hAnsi="Times New Roman" w:eastAsia="仿宋_GB2312" w:cs="仿宋_GB2312"/>
          <w:sz w:val="32"/>
          <w:szCs w:val="32"/>
          <w:lang w:val="zh-CN"/>
        </w:rPr>
        <w:t>%。</w:t>
      </w:r>
    </w:p>
    <w:p w14:paraId="0DFC5F83">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综上，根据评分标准，该项指标不扣分，得3分。</w:t>
      </w:r>
    </w:p>
    <w:p w14:paraId="19EF7DDF">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（3）资产盘活率</w:t>
      </w:r>
    </w:p>
    <w:p w14:paraId="6FEA8912">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zh-CN"/>
        </w:rPr>
        <w:t>年、202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年均无闲置资产。</w:t>
      </w:r>
    </w:p>
    <w:p w14:paraId="30C904B4">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综上，根据评分标准，该项指标不扣分，得3分。</w:t>
      </w:r>
    </w:p>
    <w:p w14:paraId="01FA43B4">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5.采购管理。支持中小企业发展，优先选择符合质量要求的中小企业作为供应商，促进产业链的健康发展。提升采购执行率需要建立高效的采购流程和严格的供应商管理体系，确保采购活动的及时性和合规性。</w:t>
      </w:r>
    </w:p>
    <w:p w14:paraId="296D8A59">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14:paraId="3CDAA77D">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常年项目绩效分析。该类项目总数</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个，涉及预算总金额</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CN"/>
        </w:rPr>
        <w:t>5</w:t>
      </w:r>
      <w:r>
        <w:rPr>
          <w:rFonts w:ascii="Times New Roman" w:hAnsi="Times New Roman" w:eastAsia="仿宋_GB2312" w:cs="仿宋_GB2312"/>
          <w:sz w:val="32"/>
          <w:szCs w:val="32"/>
          <w:lang w:val="zh-CN"/>
        </w:rPr>
        <w:t>万元，1</w:t>
      </w:r>
      <w:r>
        <w:rPr>
          <w:rFonts w:hint="eastAsia" w:ascii="Times New Roman" w:hAnsi="Times New Roman" w:eastAsia="仿宋_GB2312" w:cs="仿宋_GB2312"/>
          <w:sz w:val="32"/>
          <w:szCs w:val="32"/>
          <w:lang w:val="zh-CN"/>
        </w:rPr>
        <w:t>—</w:t>
      </w:r>
      <w:r>
        <w:rPr>
          <w:rFonts w:ascii="Times New Roman" w:hAnsi="Times New Roman" w:eastAsia="仿宋_GB2312" w:cs="仿宋_GB2312"/>
          <w:sz w:val="32"/>
          <w:szCs w:val="32"/>
          <w:lang w:val="zh-CN"/>
        </w:rPr>
        <w:t>12月预算执行总体进度为</w:t>
      </w:r>
      <w:r>
        <w:rPr>
          <w:rFonts w:hint="eastAsia" w:ascii="Times New Roman" w:hAnsi="Times New Roman" w:eastAsia="仿宋_GB2312" w:cs="仿宋_GB2312"/>
          <w:sz w:val="32"/>
          <w:szCs w:val="32"/>
          <w:lang w:val="en-US" w:eastAsia="zh-CN"/>
        </w:rPr>
        <w:t>90.38</w:t>
      </w:r>
      <w:r>
        <w:rPr>
          <w:rFonts w:ascii="Times New Roman" w:hAnsi="Times New Roman" w:eastAsia="仿宋_GB2312" w:cs="仿宋_GB2312"/>
          <w:sz w:val="32"/>
          <w:szCs w:val="32"/>
          <w:lang w:val="zh-CN"/>
        </w:rPr>
        <w:t>%，其中：预算结余率大于10%的项目共计</w:t>
      </w:r>
      <w:r>
        <w:rPr>
          <w:rFonts w:hint="eastAsia" w:ascii="Times New Roman" w:hAnsi="Times New Roman" w:eastAsia="仿宋_GB2312" w:cs="仿宋_GB2312"/>
          <w:sz w:val="32"/>
          <w:szCs w:val="32"/>
          <w:lang w:val="zh-CN"/>
        </w:rPr>
        <w:t>0</w:t>
      </w:r>
      <w:r>
        <w:rPr>
          <w:rFonts w:ascii="Times New Roman" w:hAnsi="Times New Roman" w:eastAsia="仿宋_GB2312" w:cs="仿宋_GB2312"/>
          <w:sz w:val="32"/>
          <w:szCs w:val="32"/>
          <w:lang w:val="zh-CN"/>
        </w:rPr>
        <w:t>个。</w:t>
      </w:r>
    </w:p>
    <w:p w14:paraId="68BDACDD">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color w:val="000000"/>
          <w:kern w:val="0"/>
          <w:szCs w:val="32"/>
          <w:shd w:val="clear" w:color="auto" w:fill="FFFFFF"/>
          <w:lang w:val="zh-CN"/>
        </w:rPr>
      </w:pPr>
      <w:r>
        <w:rPr>
          <w:rFonts w:ascii="Times New Roman" w:hAnsi="Times New Roman" w:eastAsia="仿宋_GB2312" w:cs="仿宋_GB2312"/>
          <w:sz w:val="32"/>
          <w:szCs w:val="32"/>
          <w:lang w:val="zh-CN"/>
        </w:rPr>
        <w:t>阶段</w:t>
      </w:r>
      <w:r>
        <w:rPr>
          <w:rFonts w:hint="eastAsia" w:ascii="Times New Roman" w:hAnsi="Times New Roman" w:eastAsia="仿宋_GB2312" w:cs="仿宋_GB2312"/>
          <w:sz w:val="32"/>
          <w:szCs w:val="32"/>
          <w:lang w:val="zh-CN"/>
        </w:rPr>
        <w:t>（</w:t>
      </w:r>
      <w:r>
        <w:rPr>
          <w:rFonts w:ascii="Times New Roman" w:hAnsi="Times New Roman" w:eastAsia="仿宋_GB2312" w:cs="仿宋_GB2312"/>
          <w:sz w:val="32"/>
          <w:szCs w:val="32"/>
          <w:lang w:val="zh-CN"/>
        </w:rPr>
        <w:t>一次性</w:t>
      </w:r>
      <w:r>
        <w:rPr>
          <w:rFonts w:hint="eastAsia" w:ascii="Times New Roman" w:hAnsi="Times New Roman" w:eastAsia="仿宋_GB2312" w:cs="仿宋_GB2312"/>
          <w:sz w:val="32"/>
          <w:szCs w:val="32"/>
          <w:lang w:val="zh-CN"/>
        </w:rPr>
        <w:t>）</w:t>
      </w:r>
      <w:r>
        <w:rPr>
          <w:rFonts w:ascii="Times New Roman" w:hAnsi="Times New Roman" w:eastAsia="仿宋_GB2312" w:cs="仿宋_GB2312"/>
          <w:sz w:val="32"/>
          <w:szCs w:val="32"/>
          <w:lang w:val="zh-CN"/>
        </w:rPr>
        <w:t xml:space="preserve">项目绩效分析。该类项目总数 </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个，涉及预算总金额</w:t>
      </w:r>
      <w:r>
        <w:rPr>
          <w:rFonts w:hint="eastAsia" w:ascii="Times New Roman" w:hAnsi="Times New Roman" w:eastAsia="仿宋_GB2312" w:cs="仿宋_GB2312"/>
          <w:sz w:val="32"/>
          <w:szCs w:val="32"/>
          <w:lang w:val="zh-CN"/>
        </w:rPr>
        <w:t>10</w:t>
      </w:r>
      <w:r>
        <w:rPr>
          <w:rFonts w:ascii="Times New Roman" w:hAnsi="Times New Roman" w:eastAsia="仿宋_GB2312" w:cs="仿宋_GB2312"/>
          <w:sz w:val="32"/>
          <w:szCs w:val="32"/>
          <w:lang w:val="zh-CN"/>
        </w:rPr>
        <w:t>万元，1</w:t>
      </w:r>
      <w:r>
        <w:rPr>
          <w:rFonts w:hint="eastAsia" w:ascii="Times New Roman" w:hAnsi="Times New Roman" w:eastAsia="仿宋_GB2312" w:cs="仿宋_GB2312"/>
          <w:sz w:val="32"/>
          <w:szCs w:val="32"/>
          <w:lang w:val="zh-CN"/>
        </w:rPr>
        <w:t>—</w:t>
      </w:r>
      <w:r>
        <w:rPr>
          <w:rFonts w:ascii="Times New Roman" w:hAnsi="Times New Roman" w:eastAsia="仿宋_GB2312" w:cs="仿宋_GB2312"/>
          <w:sz w:val="32"/>
          <w:szCs w:val="32"/>
          <w:lang w:val="zh-CN"/>
        </w:rPr>
        <w:t>12月预算执行总体进度为</w:t>
      </w:r>
      <w:r>
        <w:rPr>
          <w:rFonts w:hint="eastAsia" w:ascii="Times New Roman" w:hAnsi="Times New Roman" w:eastAsia="仿宋_GB2312" w:cs="仿宋_GB2312"/>
          <w:sz w:val="32"/>
          <w:szCs w:val="32"/>
          <w:lang w:val="zh-CN"/>
        </w:rPr>
        <w:t>100</w:t>
      </w:r>
      <w:r>
        <w:rPr>
          <w:rFonts w:ascii="Times New Roman" w:hAnsi="Times New Roman" w:eastAsia="仿宋_GB2312" w:cs="仿宋_GB2312"/>
          <w:sz w:val="32"/>
          <w:szCs w:val="32"/>
          <w:lang w:val="zh-CN"/>
        </w:rPr>
        <w:t xml:space="preserve">%，其中：预算结余率大于10%的项目共计 </w:t>
      </w:r>
      <w:r>
        <w:rPr>
          <w:rFonts w:hint="eastAsia" w:ascii="Times New Roman" w:hAnsi="Times New Roman" w:eastAsia="仿宋_GB2312" w:cs="仿宋_GB2312"/>
          <w:sz w:val="32"/>
          <w:szCs w:val="32"/>
          <w:lang w:val="zh-CN"/>
        </w:rPr>
        <w:t>0</w:t>
      </w:r>
      <w:r>
        <w:rPr>
          <w:rFonts w:ascii="Times New Roman" w:hAnsi="Times New Roman" w:eastAsia="仿宋_GB2312" w:cs="仿宋_GB2312"/>
          <w:sz w:val="32"/>
          <w:szCs w:val="32"/>
          <w:lang w:val="zh-CN"/>
        </w:rPr>
        <w:t>个</w:t>
      </w:r>
      <w:r>
        <w:rPr>
          <w:color w:val="000000"/>
          <w:kern w:val="0"/>
          <w:szCs w:val="32"/>
          <w:shd w:val="clear" w:color="auto" w:fill="FFFFFF"/>
          <w:lang w:val="zh-CN"/>
        </w:rPr>
        <w:t>。</w:t>
      </w:r>
    </w:p>
    <w:p w14:paraId="20223ABB">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1.项目决策</w:t>
      </w:r>
      <w:r>
        <w:rPr>
          <w:rFonts w:hint="eastAsia" w:ascii="Times New Roman" w:hAnsi="Times New Roman" w:eastAsia="仿宋_GB2312" w:cs="仿宋_GB2312"/>
          <w:sz w:val="32"/>
          <w:szCs w:val="32"/>
          <w:lang w:val="zh-CN"/>
        </w:rPr>
        <w:t>。</w:t>
      </w:r>
    </w:p>
    <w:p w14:paraId="3F5271A1">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（1）决策程序</w:t>
      </w:r>
    </w:p>
    <w:p w14:paraId="5112B397">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预算阶段项目（含一次性项目）总数为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个，无未履行事前评估程序的部门预算阶段项目。</w:t>
      </w:r>
    </w:p>
    <w:p w14:paraId="703E0E79">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1AE47BB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（2）目标设置</w:t>
      </w:r>
    </w:p>
    <w:p w14:paraId="7ACD4942">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预算阶段项目（含一次性项目）总数为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个，无绩效目标与计划期内的任务量、预算安排不相匹配的部门预算阶段项目（含一次性项目）</w:t>
      </w:r>
      <w:r>
        <w:rPr>
          <w:rFonts w:hint="eastAsia" w:ascii="Times New Roman" w:hAnsi="Times New Roman" w:eastAsia="仿宋_GB2312" w:cs="仿宋_GB2312"/>
          <w:sz w:val="32"/>
          <w:szCs w:val="32"/>
          <w:lang w:val="zh-CN"/>
        </w:rPr>
        <w:t>。</w:t>
      </w:r>
    </w:p>
    <w:p w14:paraId="25A3BD2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233D8BCF">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（3）项目入库</w:t>
      </w:r>
    </w:p>
    <w:p w14:paraId="6292EF28">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预算阶段项目（含一次性项目）总数为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个，均已在规定时间内入财政库。</w:t>
      </w:r>
    </w:p>
    <w:p w14:paraId="305B3BA4">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7AE0EBF0">
      <w:pPr>
        <w:keepNext w:val="0"/>
        <w:keepLines w:val="0"/>
        <w:pageBreakBefore w:val="0"/>
        <w:numPr>
          <w:ilvl w:val="0"/>
          <w:numId w:val="6"/>
        </w:numPr>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项目执行。</w:t>
      </w:r>
    </w:p>
    <w:p w14:paraId="07F2976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（1）资金执行同向</w:t>
      </w:r>
    </w:p>
    <w:p w14:paraId="39AA0C29">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预算阶段项目（含一次性项目）总数为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个，无实际列支内容与绩效目标设置方向不相符的部门预算阶段项目（含一次性项目）。</w:t>
      </w:r>
    </w:p>
    <w:p w14:paraId="07FB8DDA">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511DED3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（2）项目调整</w:t>
      </w:r>
    </w:p>
    <w:p w14:paraId="08B84BE4">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我单位不涉及</w:t>
      </w:r>
      <w:r>
        <w:rPr>
          <w:rFonts w:ascii="Times New Roman" w:hAnsi="Times New Roman" w:eastAsia="仿宋_GB2312" w:cs="仿宋_GB2312"/>
          <w:sz w:val="32"/>
          <w:szCs w:val="32"/>
          <w:lang w:val="zh-CN"/>
        </w:rPr>
        <w:t>应采取未采取收回预算、调整目标等处置措施的部门预算阶段项目（含一次性项目）</w:t>
      </w:r>
      <w:r>
        <w:rPr>
          <w:rFonts w:hint="eastAsia" w:ascii="Times New Roman" w:hAnsi="Times New Roman" w:eastAsia="仿宋_GB2312" w:cs="仿宋_GB2312"/>
          <w:sz w:val="32"/>
          <w:szCs w:val="32"/>
          <w:lang w:val="zh-CN"/>
        </w:rPr>
        <w:t>。</w:t>
      </w:r>
    </w:p>
    <w:p w14:paraId="3A831C4C">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2576611B">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（3）执行结果</w:t>
      </w:r>
    </w:p>
    <w:p w14:paraId="2BE0E57D">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预算结余率小于10%的常年项目数量为</w:t>
      </w:r>
      <w:r>
        <w:rPr>
          <w:rFonts w:hint="eastAsia" w:ascii="Times New Roman" w:hAnsi="Times New Roman" w:eastAsia="仿宋_GB2312" w:cs="仿宋_GB2312"/>
          <w:sz w:val="32"/>
          <w:szCs w:val="32"/>
          <w:lang w:val="zh-CN"/>
        </w:rPr>
        <w:t>2</w:t>
      </w:r>
      <w:r>
        <w:rPr>
          <w:rFonts w:ascii="Times New Roman" w:hAnsi="Times New Roman" w:eastAsia="仿宋_GB2312" w:cs="仿宋_GB2312"/>
          <w:sz w:val="32"/>
          <w:szCs w:val="32"/>
          <w:lang w:val="zh-CN"/>
        </w:rPr>
        <w:t>个，部门预算常年项目总数为</w:t>
      </w:r>
      <w:r>
        <w:rPr>
          <w:rFonts w:hint="eastAsia" w:ascii="Times New Roman" w:hAnsi="Times New Roman" w:eastAsia="仿宋_GB2312" w:cs="仿宋_GB2312"/>
          <w:sz w:val="32"/>
          <w:szCs w:val="32"/>
          <w:lang w:val="en-US" w:eastAsia="zh-CN"/>
        </w:rPr>
        <w:t>0</w:t>
      </w:r>
      <w:r>
        <w:rPr>
          <w:rFonts w:ascii="Times New Roman" w:hAnsi="Times New Roman" w:eastAsia="仿宋_GB2312" w:cs="仿宋_GB2312"/>
          <w:sz w:val="32"/>
          <w:szCs w:val="32"/>
          <w:lang w:val="zh-CN"/>
        </w:rPr>
        <w:t>个，预算结余率小于10%的一次性项目和阶段项目数量为0个，部门预算一次性项目和阶段项目总数为</w:t>
      </w:r>
      <w:r>
        <w:rPr>
          <w:rFonts w:hint="eastAsia" w:ascii="Times New Roman" w:hAnsi="Times New Roman" w:eastAsia="仿宋_GB2312" w:cs="仿宋_GB2312"/>
          <w:sz w:val="32"/>
          <w:szCs w:val="32"/>
          <w:lang w:val="en-US" w:eastAsia="zh-CN"/>
        </w:rPr>
        <w:t>0</w:t>
      </w:r>
      <w:r>
        <w:rPr>
          <w:rFonts w:ascii="Times New Roman" w:hAnsi="Times New Roman" w:eastAsia="仿宋_GB2312" w:cs="仿宋_GB2312"/>
          <w:sz w:val="32"/>
          <w:szCs w:val="32"/>
          <w:lang w:val="zh-CN"/>
        </w:rPr>
        <w:t>个。</w:t>
      </w:r>
    </w:p>
    <w:p w14:paraId="336D1BF3">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综上，根据评分标准，该项指标得</w:t>
      </w:r>
      <w:r>
        <w:rPr>
          <w:rFonts w:hint="eastAsia" w:ascii="Times New Roman" w:hAnsi="Times New Roman" w:eastAsia="仿宋_GB2312" w:cs="仿宋_GB2312"/>
          <w:sz w:val="32"/>
          <w:szCs w:val="32"/>
          <w:lang w:val="zh-CN"/>
        </w:rPr>
        <w:t>4</w:t>
      </w:r>
      <w:r>
        <w:rPr>
          <w:rFonts w:ascii="Times New Roman" w:hAnsi="Times New Roman" w:eastAsia="仿宋_GB2312" w:cs="仿宋_GB2312"/>
          <w:sz w:val="32"/>
          <w:szCs w:val="32"/>
          <w:lang w:val="zh-CN"/>
        </w:rPr>
        <w:t>分。</w:t>
      </w:r>
    </w:p>
    <w:p w14:paraId="2383621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3.目标实现。</w:t>
      </w:r>
    </w:p>
    <w:p w14:paraId="02883BAB">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（1）目标完成</w:t>
      </w:r>
    </w:p>
    <w:p w14:paraId="2064D7EC">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预算阶段项目（含一次性项目）总数为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个，已完成绩效目标数量指标的部门预算阶段项目（含一次性项目）数量为</w:t>
      </w:r>
      <w:r>
        <w:rPr>
          <w:rFonts w:hint="eastAsia" w:ascii="Times New Roman" w:hAnsi="Times New Roman" w:eastAsia="仿宋_GB2312" w:cs="仿宋_GB2312"/>
          <w:sz w:val="32"/>
          <w:szCs w:val="32"/>
          <w:lang w:val="en-US" w:eastAsia="zh-CN"/>
        </w:rPr>
        <w:t>0</w:t>
      </w:r>
      <w:r>
        <w:rPr>
          <w:rFonts w:ascii="Times New Roman" w:hAnsi="Times New Roman" w:eastAsia="仿宋_GB2312" w:cs="仿宋_GB2312"/>
          <w:sz w:val="32"/>
          <w:szCs w:val="32"/>
          <w:lang w:val="zh-CN"/>
        </w:rPr>
        <w:t>个。</w:t>
      </w:r>
    </w:p>
    <w:p w14:paraId="449AFFBD">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6C980C49">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（2）目标偏离</w:t>
      </w:r>
    </w:p>
    <w:p w14:paraId="42C138EA">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已完成预期指标值的数量指标中偏离度在30%内的指标个数为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个，已完成预期指标值的数量指标个数为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w:t>
      </w:r>
    </w:p>
    <w:p w14:paraId="70F8E836">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综上，根据评分标准，该项指标不扣分，得4分。</w:t>
      </w:r>
    </w:p>
    <w:p w14:paraId="66222F01">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（3）实现效果</w:t>
      </w:r>
    </w:p>
    <w:p w14:paraId="3284E33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预算阶段项目（含一次性项目）总数为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个，完成绩效目标效益指标的部门预算阶段项目（含一次性项目）数量为</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lang w:val="zh-CN"/>
        </w:rPr>
        <w:t>个，我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预算项目绩效目标效益指标实施效果较好，均已达到设定指标值。</w:t>
      </w:r>
    </w:p>
    <w:p w14:paraId="567D66F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综上，根据评分标准，该项指标得3分。</w:t>
      </w:r>
    </w:p>
    <w:p w14:paraId="3FE6C5F6">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rPr>
          <w:rFonts w:ascii="Times New Roman" w:hAnsi="Times New Roman" w:eastAsia="仿宋_GB2312" w:cs="仿宋_GB2312"/>
          <w:sz w:val="32"/>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严格按照</w:t>
      </w:r>
      <w:r>
        <w:rPr>
          <w:rFonts w:hint="eastAsia" w:ascii="Times New Roman" w:hAnsi="Times New Roman" w:eastAsia="仿宋_GB2312" w:cs="仿宋_GB2312"/>
          <w:sz w:val="32"/>
          <w:szCs w:val="32"/>
          <w:lang w:val="zh-CN"/>
        </w:rPr>
        <w:t>财务管理制度</w:t>
      </w:r>
      <w:r>
        <w:rPr>
          <w:rFonts w:ascii="Times New Roman" w:hAnsi="Times New Roman" w:eastAsia="仿宋_GB2312" w:cs="仿宋_GB2312"/>
          <w:sz w:val="32"/>
          <w:szCs w:val="32"/>
          <w:lang w:val="zh-CN"/>
        </w:rPr>
        <w:t>规定，将项目绩效与预算资金安排挂钩；项目实施不及效果、预算执行进度不符合要求的，进行通报并作为年度评优时的参考依据；对于造成财政资金损失的，按照有关规定追究责任。明确预算编制、预算分解、预算执行与分析、预算调整、决算管理、预算绩效管理及预决算信息公开管理等业务环节的管理要求，加强预算业务各环节的风险管控，促进预算业务在提高单位各项业务管理过程中发挥积极作用。</w:t>
      </w:r>
    </w:p>
    <w:p w14:paraId="6E94219B">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sz w:val="32"/>
          <w:szCs w:val="32"/>
          <w:lang w:val="zh-CN"/>
        </w:rPr>
      </w:pPr>
      <w:r>
        <w:rPr>
          <w:rFonts w:ascii="Times New Roman" w:hAnsi="Times New Roman" w:eastAsia="仿宋_GB2312" w:cs="仿宋_GB2312"/>
          <w:sz w:val="32"/>
          <w:szCs w:val="32"/>
          <w:lang w:val="zh-CN"/>
        </w:rPr>
        <w:t>我</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严格按照</w:t>
      </w:r>
      <w:r>
        <w:rPr>
          <w:rFonts w:hint="eastAsia" w:ascii="Times New Roman" w:hAnsi="Times New Roman" w:eastAsia="仿宋_GB2312" w:cs="仿宋_GB2312"/>
          <w:sz w:val="32"/>
          <w:szCs w:val="32"/>
          <w:lang w:val="zh-CN"/>
        </w:rPr>
        <w:t>财务管理制度</w:t>
      </w:r>
      <w:r>
        <w:rPr>
          <w:rFonts w:ascii="Times New Roman" w:hAnsi="Times New Roman" w:eastAsia="仿宋_GB2312" w:cs="仿宋_GB2312"/>
          <w:sz w:val="32"/>
          <w:szCs w:val="32"/>
          <w:lang w:val="zh-CN"/>
        </w:rPr>
        <w:t>规定</w:t>
      </w:r>
      <w:r>
        <w:rPr>
          <w:rFonts w:hint="eastAsia" w:ascii="Times New Roman" w:hAnsi="Times New Roman" w:eastAsia="仿宋_GB2312" w:cs="仿宋_GB2312"/>
          <w:sz w:val="32"/>
          <w:szCs w:val="32"/>
          <w:lang w:val="zh-CN"/>
        </w:rPr>
        <w:t>编制预算</w:t>
      </w:r>
      <w:r>
        <w:rPr>
          <w:rFonts w:ascii="Times New Roman" w:hAnsi="Times New Roman" w:eastAsia="仿宋_GB2312" w:cs="仿宋_GB2312"/>
          <w:sz w:val="32"/>
          <w:szCs w:val="32"/>
          <w:lang w:val="zh-CN"/>
        </w:rPr>
        <w:t>，根据财政批复的预算安排各项收支，确保预算严格有效执行。根据各科室的职责和分工，对批复的预算进行指标分解、规范内部预算执行程序，发挥预算对经济活动的控制作用。</w:t>
      </w:r>
    </w:p>
    <w:p w14:paraId="42FA01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4FBED2D2">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rPr>
          <w:rFonts w:eastAsia="仿宋_GB2312"/>
          <w:sz w:val="32"/>
          <w:szCs w:val="32"/>
          <w:lang w:bidi="ar"/>
        </w:rPr>
      </w:pPr>
      <w:r>
        <w:rPr>
          <w:rFonts w:eastAsia="楷体_GB2312"/>
          <w:b/>
          <w:bCs/>
          <w:color w:val="000000"/>
          <w:kern w:val="0"/>
          <w:sz w:val="32"/>
          <w:szCs w:val="32"/>
          <w:shd w:val="clear" w:color="auto" w:fill="FFFFFF"/>
          <w:lang w:val="zh-CN"/>
        </w:rPr>
        <w:t>（一）评价结论。</w:t>
      </w:r>
      <w:r>
        <w:rPr>
          <w:rFonts w:hint="eastAsia" w:ascii="Times New Roman" w:hAnsi="Times New Roman" w:eastAsia="仿宋_GB2312" w:cs="仿宋_GB2312"/>
          <w:sz w:val="32"/>
          <w:szCs w:val="32"/>
          <w:lang w:val="zh-CN"/>
        </w:rPr>
        <w:t>我单位</w:t>
      </w:r>
      <w:r>
        <w:rPr>
          <w:rFonts w:ascii="Times New Roman" w:hAnsi="Times New Roman" w:eastAsia="仿宋_GB2312" w:cs="仿宋_GB2312"/>
          <w:sz w:val="32"/>
          <w:szCs w:val="32"/>
          <w:lang w:val="zh-CN"/>
        </w:rPr>
        <w:t>履职效果和预算管理效果较好，财务管理、资产管理、采购管理规范，项目决策程序严格，项目执行进度良好，绩效目标实现程度良好。根据《阿坝州财政</w:t>
      </w:r>
      <w:r>
        <w:rPr>
          <w:rFonts w:hint="eastAsia" w:ascii="Times New Roman" w:hAnsi="Times New Roman" w:eastAsia="仿宋_GB2312" w:cs="仿宋_GB2312"/>
          <w:sz w:val="32"/>
          <w:szCs w:val="32"/>
          <w:lang w:val="zh-CN"/>
        </w:rPr>
        <w:t>单位</w:t>
      </w:r>
      <w:r>
        <w:rPr>
          <w:rFonts w:ascii="Times New Roman" w:hAnsi="Times New Roman" w:eastAsia="仿宋_GB2312" w:cs="仿宋_GB2312"/>
          <w:sz w:val="32"/>
          <w:szCs w:val="32"/>
          <w:lang w:val="zh-CN"/>
        </w:rPr>
        <w:t>关于开展202</w:t>
      </w:r>
      <w:r>
        <w:rPr>
          <w:rFonts w:hint="eastAsia" w:ascii="Times New Roman" w:hAnsi="Times New Roman" w:eastAsia="仿宋_GB2312" w:cs="仿宋_GB2312"/>
          <w:sz w:val="32"/>
          <w:szCs w:val="32"/>
          <w:lang w:val="en-US" w:eastAsia="zh-CN"/>
        </w:rPr>
        <w:t>5</w:t>
      </w:r>
      <w:r>
        <w:rPr>
          <w:rFonts w:ascii="Times New Roman" w:hAnsi="Times New Roman" w:eastAsia="仿宋_GB2312" w:cs="仿宋_GB2312"/>
          <w:sz w:val="32"/>
          <w:szCs w:val="32"/>
          <w:lang w:val="zh-CN"/>
        </w:rPr>
        <w:t>年州级部门绩效自评工作的通知》中部门整体支出绩效评价指标体系，202</w:t>
      </w:r>
      <w:r>
        <w:rPr>
          <w:rFonts w:hint="eastAsia" w:ascii="Times New Roman" w:hAnsi="Times New Roman" w:eastAsia="仿宋_GB2312" w:cs="仿宋_GB2312"/>
          <w:sz w:val="32"/>
          <w:szCs w:val="32"/>
          <w:lang w:val="en-US" w:eastAsia="zh-CN"/>
        </w:rPr>
        <w:t>4</w:t>
      </w:r>
      <w:r>
        <w:rPr>
          <w:rFonts w:ascii="Times New Roman" w:hAnsi="Times New Roman" w:eastAsia="仿宋_GB2312" w:cs="仿宋_GB2312"/>
          <w:sz w:val="32"/>
          <w:szCs w:val="32"/>
          <w:lang w:val="zh-CN"/>
        </w:rPr>
        <w:t>年度自评得分</w:t>
      </w:r>
      <w:r>
        <w:rPr>
          <w:rFonts w:hint="eastAsia" w:ascii="Times New Roman" w:hAnsi="Times New Roman" w:eastAsia="仿宋_GB2312" w:cs="仿宋_GB2312"/>
          <w:sz w:val="32"/>
          <w:szCs w:val="32"/>
          <w:lang w:val="en-US" w:eastAsia="zh-CN"/>
        </w:rPr>
        <w:t>89</w:t>
      </w:r>
      <w:r>
        <w:rPr>
          <w:rFonts w:ascii="Times New Roman" w:hAnsi="Times New Roman" w:eastAsia="仿宋_GB2312" w:cs="仿宋_GB2312"/>
          <w:sz w:val="32"/>
          <w:szCs w:val="32"/>
          <w:lang w:val="zh-CN"/>
        </w:rPr>
        <w:t>分。</w:t>
      </w:r>
    </w:p>
    <w:p w14:paraId="4C75E661">
      <w:pPr>
        <w:pStyle w:val="12"/>
        <w:keepNext w:val="0"/>
        <w:keepLines w:val="0"/>
        <w:pageBreakBefore w:val="0"/>
        <w:numPr>
          <w:ilvl w:val="0"/>
          <w:numId w:val="5"/>
        </w:numPr>
        <w:kinsoku/>
        <w:wordWrap/>
        <w:overflowPunct/>
        <w:topLinePunct w:val="0"/>
        <w:autoSpaceDE/>
        <w:autoSpaceDN/>
        <w:bidi w:val="0"/>
        <w:spacing w:line="560" w:lineRule="exact"/>
        <w:ind w:left="0" w:leftChars="0" w:firstLine="643" w:firstLineChars="200"/>
        <w:jc w:val="both"/>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存在问题。</w:t>
      </w:r>
    </w:p>
    <w:p w14:paraId="7E11975A">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kern w:val="2"/>
          <w:sz w:val="32"/>
          <w:szCs w:val="32"/>
          <w:lang w:val="zh-CN" w:eastAsia="zh-CN" w:bidi="ar-SA"/>
        </w:rPr>
        <w:t>预算编制不够准确</w:t>
      </w:r>
    </w:p>
    <w:p w14:paraId="5D0D86C7">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2.</w:t>
      </w:r>
      <w:r>
        <w:rPr>
          <w:rFonts w:ascii="Times New Roman" w:hAnsi="Times New Roman" w:eastAsia="仿宋_GB2312" w:cs="仿宋_GB2312"/>
          <w:kern w:val="2"/>
          <w:sz w:val="32"/>
          <w:szCs w:val="32"/>
          <w:lang w:val="zh-CN" w:eastAsia="zh-CN" w:bidi="ar-SA"/>
        </w:rPr>
        <w:t>一般性支出管理有待加强</w:t>
      </w:r>
    </w:p>
    <w:p w14:paraId="0710FE1A">
      <w:pPr>
        <w:pStyle w:val="12"/>
        <w:keepNext w:val="0"/>
        <w:keepLines w:val="0"/>
        <w:pageBreakBefore w:val="0"/>
        <w:kinsoku/>
        <w:wordWrap/>
        <w:overflowPunct/>
        <w:topLinePunct w:val="0"/>
        <w:autoSpaceDE/>
        <w:autoSpaceDN/>
        <w:bidi w:val="0"/>
        <w:spacing w:line="560" w:lineRule="exact"/>
        <w:ind w:firstLine="640" w:firstLineChars="200"/>
        <w:jc w:val="both"/>
        <w:rPr>
          <w:rFonts w:ascii="Times New Roman" w:hAnsi="Times New Roman" w:eastAsia="仿宋_GB2312" w:cs="仿宋_GB2312"/>
          <w:kern w:val="2"/>
          <w:sz w:val="32"/>
          <w:szCs w:val="32"/>
          <w:lang w:val="zh-CN" w:eastAsia="zh-CN" w:bidi="ar-SA"/>
        </w:rPr>
      </w:pPr>
      <w:r>
        <w:rPr>
          <w:rFonts w:ascii="Times New Roman" w:hAnsi="Times New Roman" w:eastAsia="仿宋_GB2312" w:cs="仿宋_GB2312"/>
          <w:kern w:val="2"/>
          <w:sz w:val="32"/>
          <w:szCs w:val="32"/>
          <w:lang w:val="zh-CN" w:eastAsia="zh-CN" w:bidi="ar-SA"/>
        </w:rPr>
        <w:t>我</w:t>
      </w:r>
      <w:r>
        <w:rPr>
          <w:rFonts w:hint="eastAsia" w:ascii="Times New Roman" w:hAnsi="Times New Roman" w:eastAsia="仿宋_GB2312" w:cs="仿宋_GB2312"/>
          <w:kern w:val="2"/>
          <w:sz w:val="32"/>
          <w:szCs w:val="32"/>
          <w:lang w:val="zh-CN" w:eastAsia="zh-CN" w:bidi="ar-SA"/>
        </w:rPr>
        <w:t>单位</w:t>
      </w:r>
      <w:r>
        <w:rPr>
          <w:rFonts w:ascii="Times New Roman" w:hAnsi="Times New Roman" w:eastAsia="仿宋_GB2312" w:cs="仿宋_GB2312"/>
          <w:kern w:val="2"/>
          <w:sz w:val="32"/>
          <w:szCs w:val="32"/>
          <w:lang w:val="zh-CN" w:eastAsia="zh-CN" w:bidi="ar-SA"/>
        </w:rPr>
        <w:t>一般性支出202</w:t>
      </w:r>
      <w:r>
        <w:rPr>
          <w:rFonts w:hint="eastAsia" w:ascii="Times New Roman" w:hAnsi="Times New Roman" w:eastAsia="仿宋_GB2312" w:cs="仿宋_GB2312"/>
          <w:kern w:val="2"/>
          <w:sz w:val="32"/>
          <w:szCs w:val="32"/>
          <w:lang w:val="en-US" w:eastAsia="zh-CN" w:bidi="ar-SA"/>
        </w:rPr>
        <w:t>4</w:t>
      </w:r>
      <w:r>
        <w:rPr>
          <w:rFonts w:ascii="Times New Roman" w:hAnsi="Times New Roman" w:eastAsia="仿宋_GB2312" w:cs="仿宋_GB2312"/>
          <w:kern w:val="2"/>
          <w:sz w:val="32"/>
          <w:szCs w:val="32"/>
          <w:lang w:val="zh-CN" w:eastAsia="zh-CN" w:bidi="ar-SA"/>
        </w:rPr>
        <w:t>年财政拨款预算执行数较202</w:t>
      </w:r>
      <w:r>
        <w:rPr>
          <w:rFonts w:hint="eastAsia" w:ascii="Times New Roman" w:hAnsi="Times New Roman" w:eastAsia="仿宋_GB2312" w:cs="仿宋_GB2312"/>
          <w:kern w:val="2"/>
          <w:sz w:val="32"/>
          <w:szCs w:val="32"/>
          <w:lang w:val="en-US" w:eastAsia="zh-CN" w:bidi="ar-SA"/>
        </w:rPr>
        <w:t>3</w:t>
      </w:r>
      <w:r>
        <w:rPr>
          <w:rFonts w:ascii="Times New Roman" w:hAnsi="Times New Roman" w:eastAsia="仿宋_GB2312" w:cs="仿宋_GB2312"/>
          <w:kern w:val="2"/>
          <w:sz w:val="32"/>
          <w:szCs w:val="32"/>
          <w:lang w:val="zh-CN" w:eastAsia="zh-CN" w:bidi="ar-SA"/>
        </w:rPr>
        <w:t>年有所增加，</w:t>
      </w:r>
      <w:r>
        <w:rPr>
          <w:rFonts w:hint="eastAsia" w:ascii="Times New Roman" w:hAnsi="Times New Roman" w:eastAsia="仿宋_GB2312" w:cs="仿宋_GB2312"/>
          <w:kern w:val="2"/>
          <w:sz w:val="32"/>
          <w:szCs w:val="32"/>
          <w:lang w:val="zh-CN" w:eastAsia="zh-CN" w:bidi="ar-SA"/>
        </w:rPr>
        <w:t>主要原因为：202</w:t>
      </w:r>
      <w:r>
        <w:rPr>
          <w:rFonts w:hint="eastAsia" w:ascii="Times New Roman" w:hAnsi="Times New Roman"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zh-CN" w:eastAsia="zh-CN" w:bidi="ar-SA"/>
        </w:rPr>
        <w:t>年新进一人，人员经费增加；二是人员经正常增资</w:t>
      </w:r>
      <w:r>
        <w:rPr>
          <w:rFonts w:ascii="Times New Roman" w:hAnsi="Times New Roman" w:eastAsia="仿宋_GB2312" w:cs="仿宋_GB2312"/>
          <w:kern w:val="2"/>
          <w:sz w:val="32"/>
          <w:szCs w:val="32"/>
          <w:lang w:val="zh-CN" w:eastAsia="zh-CN" w:bidi="ar-SA"/>
        </w:rPr>
        <w:t>。</w:t>
      </w:r>
    </w:p>
    <w:p w14:paraId="07B6ECEE">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3" w:firstLineChars="20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改进建议。</w:t>
      </w:r>
      <w:bookmarkStart w:id="51" w:name="_Hlk110546638"/>
    </w:p>
    <w:p w14:paraId="6BD1403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zh-CN" w:eastAsia="zh-CN" w:bidi="ar-SA"/>
        </w:rPr>
        <w:t>1.提高预算编制的科学性和准确性</w:t>
      </w:r>
    </w:p>
    <w:p w14:paraId="7E960AB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zh-CN" w:eastAsia="zh-CN" w:bidi="ar-SA"/>
        </w:rPr>
        <w:t>我单位将提高预算编制准确性、科学性和合理性。加强预算管理理念，提升全单位预算管理意识，进一步提高预算编制的准确性、科学性和合理性，严格按照预算数执行，提高预算执行进度，减小预算调剂金额，缩小预决算偏离程度。</w:t>
      </w:r>
    </w:p>
    <w:p w14:paraId="432DEDA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zh-CN" w:eastAsia="zh-CN" w:bidi="ar-SA"/>
        </w:rPr>
        <w:t>2</w:t>
      </w:r>
      <w:r>
        <w:rPr>
          <w:rFonts w:ascii="Times New Roman" w:hAnsi="Times New Roman" w:eastAsia="仿宋_GB2312" w:cs="仿宋_GB2312"/>
          <w:kern w:val="2"/>
          <w:sz w:val="32"/>
          <w:szCs w:val="32"/>
          <w:lang w:val="zh-CN" w:eastAsia="zh-CN" w:bidi="ar-SA"/>
        </w:rPr>
        <w:t>.严控一般性支出</w:t>
      </w:r>
    </w:p>
    <w:p w14:paraId="6B5496B6">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zh-CN" w:eastAsia="zh-CN" w:bidi="ar-SA"/>
        </w:rPr>
        <w:t>我单位</w:t>
      </w:r>
      <w:r>
        <w:rPr>
          <w:rFonts w:ascii="Times New Roman" w:hAnsi="Times New Roman" w:eastAsia="仿宋_GB2312" w:cs="仿宋_GB2312"/>
          <w:kern w:val="2"/>
          <w:sz w:val="32"/>
          <w:szCs w:val="32"/>
          <w:lang w:val="zh-CN" w:eastAsia="zh-CN" w:bidi="ar-SA"/>
        </w:rPr>
        <w:t>将增强</w:t>
      </w:r>
      <w:r>
        <w:rPr>
          <w:rFonts w:hint="eastAsia" w:ascii="Times New Roman" w:hAnsi="Times New Roman" w:eastAsia="仿宋_GB2312" w:cs="仿宋_GB2312"/>
          <w:kern w:val="2"/>
          <w:sz w:val="32"/>
          <w:szCs w:val="32"/>
          <w:lang w:val="zh-CN" w:eastAsia="zh-CN" w:bidi="ar-SA"/>
        </w:rPr>
        <w:t>“</w:t>
      </w:r>
      <w:r>
        <w:rPr>
          <w:rFonts w:ascii="Times New Roman" w:hAnsi="Times New Roman" w:eastAsia="仿宋_GB2312" w:cs="仿宋_GB2312"/>
          <w:kern w:val="2"/>
          <w:sz w:val="32"/>
          <w:szCs w:val="32"/>
          <w:lang w:val="zh-CN" w:eastAsia="zh-CN" w:bidi="ar-SA"/>
        </w:rPr>
        <w:t>过紧日子</w:t>
      </w:r>
      <w:r>
        <w:rPr>
          <w:rFonts w:hint="eastAsia" w:ascii="Times New Roman" w:hAnsi="Times New Roman" w:eastAsia="仿宋_GB2312" w:cs="仿宋_GB2312"/>
          <w:kern w:val="2"/>
          <w:sz w:val="32"/>
          <w:szCs w:val="32"/>
          <w:lang w:val="zh-CN" w:eastAsia="zh-CN" w:bidi="ar-SA"/>
        </w:rPr>
        <w:t>”</w:t>
      </w:r>
      <w:r>
        <w:rPr>
          <w:rFonts w:ascii="Times New Roman" w:hAnsi="Times New Roman" w:eastAsia="仿宋_GB2312" w:cs="仿宋_GB2312"/>
          <w:kern w:val="2"/>
          <w:sz w:val="32"/>
          <w:szCs w:val="32"/>
          <w:lang w:val="zh-CN" w:eastAsia="zh-CN" w:bidi="ar-SA"/>
        </w:rPr>
        <w:t>思想意识，充分认识</w:t>
      </w:r>
      <w:r>
        <w:rPr>
          <w:rFonts w:hint="eastAsia" w:ascii="Times New Roman" w:hAnsi="Times New Roman" w:eastAsia="仿宋_GB2312" w:cs="仿宋_GB2312"/>
          <w:kern w:val="2"/>
          <w:sz w:val="32"/>
          <w:szCs w:val="32"/>
          <w:lang w:val="zh-CN" w:eastAsia="zh-CN" w:bidi="ar-SA"/>
        </w:rPr>
        <w:t>“</w:t>
      </w:r>
      <w:r>
        <w:rPr>
          <w:rFonts w:ascii="Times New Roman" w:hAnsi="Times New Roman" w:eastAsia="仿宋_GB2312" w:cs="仿宋_GB2312"/>
          <w:kern w:val="2"/>
          <w:sz w:val="32"/>
          <w:szCs w:val="32"/>
          <w:lang w:val="zh-CN" w:eastAsia="zh-CN" w:bidi="ar-SA"/>
        </w:rPr>
        <w:t>过紧日子</w:t>
      </w:r>
      <w:r>
        <w:rPr>
          <w:rFonts w:hint="eastAsia" w:ascii="Times New Roman" w:hAnsi="Times New Roman" w:eastAsia="仿宋_GB2312" w:cs="仿宋_GB2312"/>
          <w:kern w:val="2"/>
          <w:sz w:val="32"/>
          <w:szCs w:val="32"/>
          <w:lang w:val="zh-CN" w:eastAsia="zh-CN" w:bidi="ar-SA"/>
        </w:rPr>
        <w:t>”</w:t>
      </w:r>
      <w:r>
        <w:rPr>
          <w:rFonts w:ascii="Times New Roman" w:hAnsi="Times New Roman" w:eastAsia="仿宋_GB2312" w:cs="仿宋_GB2312"/>
          <w:kern w:val="2"/>
          <w:sz w:val="32"/>
          <w:szCs w:val="32"/>
          <w:lang w:val="zh-CN" w:eastAsia="zh-CN" w:bidi="ar-SA"/>
        </w:rPr>
        <w:t>的重要性和必要性，</w:t>
      </w:r>
      <w:r>
        <w:rPr>
          <w:rFonts w:hint="eastAsia" w:ascii="Times New Roman" w:hAnsi="Times New Roman" w:eastAsia="仿宋_GB2312" w:cs="仿宋_GB2312"/>
          <w:kern w:val="2"/>
          <w:sz w:val="32"/>
          <w:szCs w:val="32"/>
          <w:lang w:val="zh-CN" w:eastAsia="zh-CN" w:bidi="ar-SA"/>
        </w:rPr>
        <w:t>减少非必要的培训及出差人员数量。</w:t>
      </w:r>
      <w:r>
        <w:rPr>
          <w:rFonts w:ascii="Times New Roman" w:hAnsi="Times New Roman" w:eastAsia="仿宋_GB2312" w:cs="仿宋_GB2312"/>
          <w:kern w:val="2"/>
          <w:sz w:val="32"/>
          <w:szCs w:val="32"/>
          <w:lang w:val="zh-CN" w:eastAsia="zh-CN" w:bidi="ar-SA"/>
        </w:rPr>
        <w:t>相关领导要以身作则，做好表率，层层压实责任，确保</w:t>
      </w:r>
      <w:r>
        <w:rPr>
          <w:rFonts w:hint="eastAsia" w:ascii="Times New Roman" w:hAnsi="Times New Roman" w:eastAsia="仿宋_GB2312" w:cs="仿宋_GB2312"/>
          <w:kern w:val="2"/>
          <w:sz w:val="32"/>
          <w:szCs w:val="32"/>
          <w:lang w:val="zh-CN" w:eastAsia="zh-CN" w:bidi="ar-SA"/>
        </w:rPr>
        <w:t>“</w:t>
      </w:r>
      <w:r>
        <w:rPr>
          <w:rFonts w:ascii="Times New Roman" w:hAnsi="Times New Roman" w:eastAsia="仿宋_GB2312" w:cs="仿宋_GB2312"/>
          <w:kern w:val="2"/>
          <w:sz w:val="32"/>
          <w:szCs w:val="32"/>
          <w:lang w:val="zh-CN" w:eastAsia="zh-CN" w:bidi="ar-SA"/>
        </w:rPr>
        <w:t>过紧日子</w:t>
      </w:r>
      <w:r>
        <w:rPr>
          <w:rFonts w:hint="eastAsia" w:ascii="Times New Roman" w:hAnsi="Times New Roman" w:eastAsia="仿宋_GB2312" w:cs="仿宋_GB2312"/>
          <w:kern w:val="2"/>
          <w:sz w:val="32"/>
          <w:szCs w:val="32"/>
          <w:lang w:val="zh-CN" w:eastAsia="zh-CN" w:bidi="ar-SA"/>
        </w:rPr>
        <w:t>”</w:t>
      </w:r>
      <w:r>
        <w:rPr>
          <w:rFonts w:ascii="Times New Roman" w:hAnsi="Times New Roman" w:eastAsia="仿宋_GB2312" w:cs="仿宋_GB2312"/>
          <w:kern w:val="2"/>
          <w:sz w:val="32"/>
          <w:szCs w:val="32"/>
          <w:lang w:val="zh-CN" w:eastAsia="zh-CN" w:bidi="ar-SA"/>
        </w:rPr>
        <w:t>思想深入人心，厉行节约措施落实到位。</w:t>
      </w:r>
    </w:p>
    <w:p w14:paraId="796D3C43">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3</w:t>
      </w:r>
      <w:r>
        <w:rPr>
          <w:rFonts w:ascii="Times New Roman" w:hAnsi="Times New Roman" w:eastAsia="仿宋_GB2312" w:cs="仿宋_GB2312"/>
          <w:kern w:val="2"/>
          <w:sz w:val="32"/>
          <w:szCs w:val="32"/>
          <w:lang w:val="zh-CN" w:eastAsia="zh-CN" w:bidi="ar-SA"/>
        </w:rPr>
        <w:t>.加强资产管理基础</w:t>
      </w:r>
    </w:p>
    <w:p w14:paraId="258FAB91">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zh-CN" w:eastAsia="zh-CN" w:bidi="ar-SA"/>
        </w:rPr>
        <w:t>一是</w:t>
      </w:r>
      <w:r>
        <w:rPr>
          <w:rFonts w:ascii="Times New Roman" w:hAnsi="Times New Roman" w:eastAsia="仿宋_GB2312" w:cs="仿宋_GB2312"/>
          <w:kern w:val="2"/>
          <w:sz w:val="32"/>
          <w:szCs w:val="32"/>
          <w:lang w:val="zh-CN" w:eastAsia="zh-CN" w:bidi="ar-SA"/>
        </w:rPr>
        <w:t>将加强资产管理人员的培训，增强管理人员的专业能力，并建立个人绩效考核机制，明确将资产的管理效果与个人考核挂钩，从制度上约束部门及个人的资产管理行为，促进资产管理的合理化、科学化。</w:t>
      </w:r>
      <w:r>
        <w:rPr>
          <w:rFonts w:hint="eastAsia" w:ascii="Times New Roman" w:hAnsi="Times New Roman" w:eastAsia="仿宋_GB2312" w:cs="仿宋_GB2312"/>
          <w:kern w:val="2"/>
          <w:sz w:val="32"/>
          <w:szCs w:val="32"/>
          <w:lang w:val="zh-CN" w:eastAsia="zh-CN" w:bidi="ar-SA"/>
        </w:rPr>
        <w:t>二是</w:t>
      </w:r>
      <w:r>
        <w:rPr>
          <w:rFonts w:ascii="Times New Roman" w:hAnsi="Times New Roman" w:eastAsia="仿宋_GB2312" w:cs="仿宋_GB2312"/>
          <w:kern w:val="2"/>
          <w:sz w:val="32"/>
          <w:szCs w:val="32"/>
          <w:lang w:val="zh-CN" w:eastAsia="zh-CN" w:bidi="ar-SA"/>
        </w:rPr>
        <w:t>贯彻落实固定资产管理制度，组织落实固定资产管理，定期组织设备的清点，保证账、卡、物三相符，定期组织固定资产的盘点。</w:t>
      </w:r>
      <w:r>
        <w:rPr>
          <w:rFonts w:hint="eastAsia" w:ascii="Times New Roman" w:hAnsi="Times New Roman" w:eastAsia="仿宋_GB2312" w:cs="仿宋_GB2312"/>
          <w:kern w:val="2"/>
          <w:sz w:val="32"/>
          <w:szCs w:val="32"/>
          <w:lang w:val="zh-CN" w:eastAsia="zh-CN" w:bidi="ar-SA"/>
        </w:rPr>
        <w:t>三是</w:t>
      </w:r>
      <w:r>
        <w:rPr>
          <w:rFonts w:ascii="Times New Roman" w:hAnsi="Times New Roman" w:eastAsia="仿宋_GB2312" w:cs="仿宋_GB2312"/>
          <w:kern w:val="2"/>
          <w:sz w:val="32"/>
          <w:szCs w:val="32"/>
          <w:lang w:val="zh-CN" w:eastAsia="zh-CN" w:bidi="ar-SA"/>
        </w:rPr>
        <w:t>将相关责任落实到具体负责人，加强固定资产卡片管理，做到有物必登、登记到人、一物一卡、不重不漏，并定期与固定资产卡片进行核对，确保账卡相符。对于新购资产，应当及时建立并登记固定资产卡片，明确资产基本信息及使用信息，并随资产生命周期管理动态更新。</w:t>
      </w:r>
    </w:p>
    <w:p w14:paraId="292A338B">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zh-CN" w:eastAsia="zh-CN" w:bidi="ar-SA"/>
        </w:rPr>
        <w:t>.加强财务工作的规范性</w:t>
      </w:r>
    </w:p>
    <w:p w14:paraId="108D1D6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hint="eastAsia"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zh-CN" w:eastAsia="zh-CN" w:bidi="ar-SA"/>
        </w:rPr>
        <w:t>我单位后续财务人员严格遵守《阿坝州民政单位</w:t>
      </w:r>
      <w:r>
        <w:rPr>
          <w:rFonts w:ascii="Times New Roman" w:hAnsi="Times New Roman" w:eastAsia="仿宋_GB2312" w:cs="仿宋_GB2312"/>
          <w:kern w:val="2"/>
          <w:sz w:val="32"/>
          <w:szCs w:val="32"/>
          <w:lang w:val="zh-CN" w:eastAsia="zh-CN" w:bidi="ar-SA"/>
        </w:rPr>
        <w:t>财务管理制度</w:t>
      </w:r>
      <w:r>
        <w:rPr>
          <w:rFonts w:hint="eastAsia" w:ascii="Times New Roman" w:hAnsi="Times New Roman" w:eastAsia="仿宋_GB2312" w:cs="仿宋_GB2312"/>
          <w:kern w:val="2"/>
          <w:sz w:val="32"/>
          <w:szCs w:val="32"/>
          <w:lang w:val="zh-CN" w:eastAsia="zh-CN" w:bidi="ar-SA"/>
        </w:rPr>
        <w:t>》相关规定，加强票据审核，在单位名称变更后及时更新开票信息，确保开票信息与单位名称一致。对记载不准确、不完整的原始凭证予以退回重开。</w:t>
      </w:r>
      <w:bookmarkEnd w:id="51"/>
    </w:p>
    <w:p w14:paraId="0E41EC2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rPr>
          <w:rFonts w:hint="eastAsia" w:ascii="Times New Roman" w:hAnsi="Times New Roman" w:eastAsia="仿宋_GB2312" w:cs="仿宋_GB2312"/>
          <w:kern w:val="2"/>
          <w:sz w:val="32"/>
          <w:szCs w:val="32"/>
          <w:lang w:val="zh-CN" w:eastAsia="zh-CN" w:bidi="ar-SA"/>
        </w:rPr>
      </w:pPr>
    </w:p>
    <w:p w14:paraId="5B72C019">
      <w:pPr>
        <w:pStyle w:val="7"/>
        <w:keepNext w:val="0"/>
        <w:keepLines w:val="0"/>
        <w:pageBreakBefore w:val="0"/>
        <w:kinsoku/>
        <w:wordWrap/>
        <w:overflowPunct/>
        <w:topLinePunct w:val="0"/>
        <w:autoSpaceDE/>
        <w:autoSpaceDN/>
        <w:bidi w:val="0"/>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36EC5B4C">
      <w:pPr>
        <w:pStyle w:val="7"/>
        <w:keepNext w:val="0"/>
        <w:keepLines w:val="0"/>
        <w:pageBreakBefore w:val="0"/>
        <w:kinsoku/>
        <w:wordWrap/>
        <w:overflowPunct/>
        <w:topLinePunct w:val="0"/>
        <w:autoSpaceDE/>
        <w:autoSpaceDN/>
        <w:bidi w:val="0"/>
        <w:spacing w:line="560" w:lineRule="exact"/>
        <w:ind w:left="0" w:leftChars="0" w:firstLine="640"/>
        <w:rPr>
          <w:rFonts w:ascii="Times New Roman" w:eastAsia="仿宋_GB2312" w:cs="仿宋_GB2312"/>
          <w:kern w:val="0"/>
          <w:sz w:val="32"/>
          <w:lang w:val="zh-CN"/>
        </w:rPr>
      </w:pPr>
      <w:r>
        <w:rPr>
          <w:rFonts w:hint="eastAsia" w:ascii="Times New Roman" w:eastAsia="仿宋_GB2312" w:cs="仿宋_GB2312"/>
          <w:kern w:val="0"/>
          <w:sz w:val="32"/>
        </w:rPr>
        <w:t>（注：按照绩效自评工作安排，各部门已在预算管理一体化系统绩效自评模块上传“部门预算项目支出绩效自评表（2024年度）”，该表格应作为附表予以公开）</w:t>
      </w:r>
    </w:p>
    <w:p w14:paraId="6FA3E27D">
      <w:pPr>
        <w:pStyle w:val="7"/>
        <w:keepNext w:val="0"/>
        <w:keepLines w:val="0"/>
        <w:pageBreakBefore w:val="0"/>
        <w:kinsoku/>
        <w:wordWrap/>
        <w:overflowPunct/>
        <w:topLinePunct w:val="0"/>
        <w:autoSpaceDE/>
        <w:autoSpaceDN/>
        <w:bidi w:val="0"/>
        <w:spacing w:line="560" w:lineRule="exact"/>
        <w:ind w:left="0" w:leftChars="0" w:firstLine="0" w:firstLineChars="0"/>
        <w:rPr>
          <w:rFonts w:ascii="Times New Roman"/>
          <w:sz w:val="32"/>
          <w:highlight w:val="yellow"/>
          <w:lang w:val="zh-CN"/>
        </w:rPr>
      </w:pPr>
    </w:p>
    <w:p w14:paraId="3F495731">
      <w:pPr>
        <w:pStyle w:val="5"/>
        <w:keepNext w:val="0"/>
        <w:keepLines w:val="0"/>
        <w:pageBreakBefore w:val="0"/>
        <w:kinsoku/>
        <w:wordWrap/>
        <w:overflowPunct/>
        <w:topLinePunct w:val="0"/>
        <w:autoSpaceDE/>
        <w:autoSpaceDN/>
        <w:bidi w:val="0"/>
        <w:spacing w:before="93" w:line="560" w:lineRule="exact"/>
        <w:rPr>
          <w:rFonts w:ascii="Times New Roman" w:cs="宋体"/>
          <w:color w:val="FF0000"/>
          <w:sz w:val="32"/>
          <w:szCs w:val="32"/>
          <w:highlight w:val="yellow"/>
          <w:shd w:val="clear" w:color="auto" w:fill="FFFFFF"/>
          <w:lang w:val="zh-CN"/>
        </w:rPr>
      </w:pPr>
    </w:p>
    <w:p w14:paraId="0BF36035">
      <w:pPr>
        <w:keepNext w:val="0"/>
        <w:keepLines w:val="0"/>
        <w:pageBreakBefore w:val="0"/>
        <w:kinsoku/>
        <w:wordWrap/>
        <w:overflowPunct/>
        <w:topLinePunct w:val="0"/>
        <w:autoSpaceDE/>
        <w:autoSpaceDN/>
        <w:bidi w:val="0"/>
        <w:spacing w:line="560" w:lineRule="exact"/>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78173F2">
      <w:pPr>
        <w:pStyle w:val="5"/>
        <w:keepNext w:val="0"/>
        <w:keepLines w:val="0"/>
        <w:pageBreakBefore w:val="0"/>
        <w:kinsoku/>
        <w:wordWrap/>
        <w:overflowPunct/>
        <w:topLinePunct w:val="0"/>
        <w:autoSpaceDE/>
        <w:autoSpaceDN/>
        <w:bidi w:val="0"/>
        <w:spacing w:before="93" w:line="560" w:lineRule="exact"/>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390FFE7">
      <w:pPr>
        <w:pStyle w:val="35"/>
        <w:keepNext w:val="0"/>
        <w:keepLines w:val="0"/>
        <w:pageBreakBefore w:val="0"/>
        <w:kinsoku/>
        <w:wordWrap/>
        <w:overflowPunct/>
        <w:topLinePunct w:val="0"/>
        <w:autoSpaceDE/>
        <w:autoSpaceDN/>
        <w:bidi w:val="0"/>
        <w:spacing w:line="560" w:lineRule="exact"/>
        <w:jc w:val="center"/>
        <w:rPr>
          <w:rFonts w:ascii="Times New Roman" w:hAnsi="Times New Roman" w:eastAsia="方正小标宋简体" w:cs="方正小标宋简体"/>
          <w:color w:val="auto"/>
          <w:kern w:val="2"/>
          <w:sz w:val="44"/>
          <w:szCs w:val="44"/>
          <w:lang w:val="en-US"/>
        </w:rPr>
      </w:pPr>
    </w:p>
    <w:p w14:paraId="0FE39652">
      <w:pPr>
        <w:pStyle w:val="35"/>
        <w:keepNext w:val="0"/>
        <w:keepLines w:val="0"/>
        <w:pageBreakBefore w:val="0"/>
        <w:kinsoku/>
        <w:wordWrap/>
        <w:overflowPunct/>
        <w:topLinePunct w:val="0"/>
        <w:autoSpaceDE/>
        <w:autoSpaceDN/>
        <w:bidi w:val="0"/>
        <w:spacing w:line="560"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635CD978">
      <w:pPr>
        <w:pStyle w:val="35"/>
        <w:keepNext w:val="0"/>
        <w:keepLines w:val="0"/>
        <w:pageBreakBefore w:val="0"/>
        <w:kinsoku/>
        <w:wordWrap/>
        <w:overflowPunct/>
        <w:topLinePunct w:val="0"/>
        <w:autoSpaceDE/>
        <w:autoSpaceDN/>
        <w:bidi w:val="0"/>
        <w:spacing w:line="560" w:lineRule="exact"/>
        <w:ind w:firstLine="640"/>
        <w:jc w:val="center"/>
        <w:rPr>
          <w:rFonts w:ascii="Times New Roman" w:hAnsi="Times New Roman"/>
          <w:color w:val="auto"/>
          <w:kern w:val="2"/>
          <w:sz w:val="32"/>
          <w:szCs w:val="32"/>
        </w:rPr>
      </w:pPr>
    </w:p>
    <w:p w14:paraId="0FA32EC9">
      <w:pPr>
        <w:keepNext w:val="0"/>
        <w:keepLines w:val="0"/>
        <w:pageBreakBefore w:val="0"/>
        <w:kinsoku/>
        <w:wordWrap/>
        <w:overflowPunct/>
        <w:topLinePunct w:val="0"/>
        <w:autoSpaceDE/>
        <w:autoSpaceDN/>
        <w:bidi w:val="0"/>
        <w:adjustRightInd w:val="0"/>
        <w:snapToGrid w:val="0"/>
        <w:spacing w:line="560"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4F25413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hint="eastAsia" w:eastAsia="仿宋_GB2312" w:cs="仿宋_GB2312"/>
          <w:kern w:val="0"/>
          <w:sz w:val="32"/>
          <w:szCs w:val="32"/>
        </w:rPr>
        <w:t>项目设立原因及背景，</w:t>
      </w:r>
      <w:r>
        <w:rPr>
          <w:rFonts w:hint="eastAsia" w:eastAsia="仿宋_GB2312" w:cs="仿宋_GB2312"/>
          <w:kern w:val="0"/>
          <w:sz w:val="32"/>
          <w:szCs w:val="32"/>
          <w:lang w:val="zh-CN"/>
        </w:rPr>
        <w:t>项目立项、资金申报的依据，项目主要内容</w:t>
      </w:r>
      <w:r>
        <w:rPr>
          <w:rFonts w:hint="eastAsia" w:eastAsia="仿宋_GB2312" w:cs="仿宋_GB2312"/>
          <w:kern w:val="0"/>
          <w:sz w:val="32"/>
          <w:szCs w:val="32"/>
        </w:rPr>
        <w:t>。</w:t>
      </w:r>
      <w:r>
        <w:rPr>
          <w:rFonts w:hint="eastAsia" w:eastAsia="仿宋_GB2312" w:cs="仿宋_GB2312"/>
          <w:kern w:val="0"/>
          <w:sz w:val="32"/>
          <w:szCs w:val="32"/>
          <w:lang w:val="zh-CN"/>
        </w:rPr>
        <w:t>主管部门职能</w:t>
      </w:r>
      <w:r>
        <w:rPr>
          <w:rFonts w:hint="eastAsia" w:eastAsia="仿宋_GB2312" w:cs="仿宋_GB2312"/>
          <w:kern w:val="0"/>
          <w:sz w:val="32"/>
          <w:szCs w:val="32"/>
          <w:shd w:val="clear" w:color="auto" w:fill="FFFFFF"/>
          <w:lang w:val="zh-CN"/>
        </w:rPr>
        <w:t>。</w:t>
      </w:r>
    </w:p>
    <w:p w14:paraId="25AD2B93">
      <w:pPr>
        <w:keepNext w:val="0"/>
        <w:keepLines w:val="0"/>
        <w:pageBreakBefore w:val="0"/>
        <w:kinsoku/>
        <w:wordWrap/>
        <w:overflowPunct/>
        <w:topLinePunct w:val="0"/>
        <w:autoSpaceDE/>
        <w:autoSpaceDN/>
        <w:bidi w:val="0"/>
        <w:adjustRightInd w:val="0"/>
        <w:snapToGrid w:val="0"/>
        <w:spacing w:line="560"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项目资金</w:t>
      </w:r>
      <w:r>
        <w:rPr>
          <w:rFonts w:hint="eastAsia" w:eastAsia="仿宋_GB2312" w:cs="仿宋_GB2312"/>
          <w:kern w:val="0"/>
          <w:sz w:val="32"/>
          <w:szCs w:val="32"/>
          <w:lang w:val="zh-CN"/>
        </w:rPr>
        <w:t>管理办法制定情况，项目实施目的和主要工作任务，项目支持方向。</w:t>
      </w:r>
    </w:p>
    <w:p w14:paraId="7C6FD1E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项目预算安排情况，项目资金分配原则及考虑因素，项目资金分配情况。</w:t>
      </w:r>
    </w:p>
    <w:p w14:paraId="30AC4E6E">
      <w:pPr>
        <w:keepNext w:val="0"/>
        <w:keepLines w:val="0"/>
        <w:pageBreakBefore w:val="0"/>
        <w:kinsoku/>
        <w:wordWrap/>
        <w:overflowPunct/>
        <w:topLinePunct w:val="0"/>
        <w:autoSpaceDE/>
        <w:autoSpaceDN/>
        <w:bidi w:val="0"/>
        <w:adjustRightInd w:val="0"/>
        <w:snapToGrid w:val="0"/>
        <w:spacing w:line="560"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项目整体、区域和具体绩效目标设置情况，项目自评工作开展情况。</w:t>
      </w:r>
    </w:p>
    <w:p w14:paraId="7E18D9A0">
      <w:pPr>
        <w:keepNext w:val="0"/>
        <w:keepLines w:val="0"/>
        <w:pageBreakBefore w:val="0"/>
        <w:kinsoku/>
        <w:wordWrap/>
        <w:overflowPunct/>
        <w:topLinePunct w:val="0"/>
        <w:autoSpaceDE/>
        <w:autoSpaceDN/>
        <w:bidi w:val="0"/>
        <w:adjustRightInd w:val="0"/>
        <w:snapToGrid w:val="0"/>
        <w:spacing w:line="560" w:lineRule="exact"/>
        <w:ind w:firstLine="640" w:firstLineChars="200"/>
        <w:rPr>
          <w:rFonts w:eastAsia="黑体"/>
          <w:sz w:val="32"/>
          <w:szCs w:val="32"/>
        </w:rPr>
      </w:pPr>
      <w:r>
        <w:rPr>
          <w:rFonts w:hint="eastAsia" w:eastAsia="黑体"/>
          <w:sz w:val="32"/>
          <w:szCs w:val="32"/>
        </w:rPr>
        <w:t>二、评价实施</w:t>
      </w:r>
    </w:p>
    <w:p w14:paraId="603A2621">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通过项目绩效自评要实现的目的。</w:t>
      </w:r>
    </w:p>
    <w:p w14:paraId="7DDCAB05">
      <w:pPr>
        <w:keepNext w:val="0"/>
        <w:keepLines w:val="0"/>
        <w:pageBreakBefore w:val="0"/>
        <w:kinsoku/>
        <w:wordWrap/>
        <w:overflowPunct/>
        <w:topLinePunct w:val="0"/>
        <w:autoSpaceDE/>
        <w:autoSpaceDN/>
        <w:bidi w:val="0"/>
        <w:adjustRightInd w:val="0"/>
        <w:snapToGrid w:val="0"/>
        <w:spacing w:line="560"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按照绩效评价指标体系，对资金支出使用全过程及其实施效果进行综合评价和判断。</w:t>
      </w:r>
    </w:p>
    <w:p w14:paraId="12ED72D0">
      <w:pPr>
        <w:keepNext w:val="0"/>
        <w:keepLines w:val="0"/>
        <w:pageBreakBefore w:val="0"/>
        <w:kinsoku/>
        <w:wordWrap/>
        <w:overflowPunct/>
        <w:topLinePunct w:val="0"/>
        <w:autoSpaceDE/>
        <w:autoSpaceDN/>
        <w:bidi w:val="0"/>
        <w:spacing w:line="560" w:lineRule="exact"/>
        <w:ind w:firstLine="640"/>
        <w:rPr>
          <w:rFonts w:eastAsia="楷体_GB2312"/>
          <w:b/>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项目绩效自评所抽样点位情况。每个专项预算项目应选取专项资金分配涉及市县总数的20%、总计不超过20个的市县点位进行实地踏勘，且点位清单应作为自评附表。</w:t>
      </w:r>
    </w:p>
    <w:p w14:paraId="3A96816D">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14:paraId="188842F1">
      <w:pPr>
        <w:keepNext w:val="0"/>
        <w:keepLines w:val="0"/>
        <w:pageBreakBefore w:val="0"/>
        <w:kinsoku/>
        <w:wordWrap/>
        <w:overflowPunct/>
        <w:topLinePunct w:val="0"/>
        <w:autoSpaceDE/>
        <w:autoSpaceDN/>
        <w:bidi w:val="0"/>
        <w:spacing w:line="560" w:lineRule="exact"/>
        <w:ind w:firstLine="640"/>
        <w:rPr>
          <w:rFonts w:eastAsia="仿宋_GB2312"/>
          <w:bCs/>
        </w:rPr>
      </w:pPr>
      <w:r>
        <w:rPr>
          <w:rFonts w:hint="eastAsia" w:eastAsia="楷体_GB2312"/>
          <w:b/>
          <w:sz w:val="32"/>
          <w:szCs w:val="32"/>
          <w:lang w:val="zh-CN"/>
        </w:rPr>
        <w:t>（五）评价组织。</w:t>
      </w:r>
      <w:r>
        <w:rPr>
          <w:rFonts w:hint="eastAsia" w:eastAsia="仿宋_GB2312" w:cs="仿宋_GB2312"/>
          <w:kern w:val="0"/>
          <w:sz w:val="32"/>
          <w:szCs w:val="32"/>
          <w:lang w:val="zh-CN"/>
        </w:rPr>
        <w:t>评价组人员构成和职责分工。</w:t>
      </w:r>
    </w:p>
    <w:p w14:paraId="7C3296B0">
      <w:pPr>
        <w:keepNext w:val="0"/>
        <w:keepLines w:val="0"/>
        <w:pageBreakBefore w:val="0"/>
        <w:kinsoku/>
        <w:wordWrap/>
        <w:overflowPunct/>
        <w:topLinePunct w:val="0"/>
        <w:autoSpaceDE/>
        <w:autoSpaceDN/>
        <w:bidi w:val="0"/>
        <w:adjustRightInd w:val="0"/>
        <w:snapToGrid w:val="0"/>
        <w:spacing w:line="560"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290BD1FC">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2A7FE50F">
      <w:pPr>
        <w:keepNext w:val="0"/>
        <w:keepLines w:val="0"/>
        <w:pageBreakBefore w:val="0"/>
        <w:kinsoku/>
        <w:wordWrap/>
        <w:overflowPunct/>
        <w:topLinePunct w:val="0"/>
        <w:autoSpaceDE/>
        <w:autoSpaceDN/>
        <w:bidi w:val="0"/>
        <w:spacing w:line="560"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32656E12">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项目决策。围绕决策程序、规划论证、资金投向进行绩效分析。</w:t>
      </w:r>
    </w:p>
    <w:p w14:paraId="441F2245">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项目管理。围绕制度办法、分配管理、绩效监管进行绩效分析。</w:t>
      </w:r>
    </w:p>
    <w:p w14:paraId="2A9A9D62">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围绕预算执行、资金使用进行绩效分析。</w:t>
      </w:r>
    </w:p>
    <w:p w14:paraId="218383A8">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仿宋_GB2312" w:cs="仿宋_GB2312"/>
          <w:kern w:val="0"/>
          <w:sz w:val="32"/>
          <w:szCs w:val="32"/>
        </w:rPr>
        <w:t>4.项目结果。围绕</w:t>
      </w:r>
      <w:r>
        <w:rPr>
          <w:rFonts w:hint="eastAsia" w:eastAsia="仿宋_GB2312" w:cs="仿宋_GB2312"/>
          <w:kern w:val="0"/>
          <w:sz w:val="32"/>
          <w:szCs w:val="32"/>
          <w:lang w:val="zh-CN"/>
        </w:rPr>
        <w:t>目标完成、完成时效进行绩效分析。</w:t>
      </w:r>
    </w:p>
    <w:p w14:paraId="05301A2D">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722030B4">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1.产业发展。围绕符合性、成长性、经济性进行绩效分析。</w:t>
      </w:r>
    </w:p>
    <w:p w14:paraId="6231BDBC">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围绕区域均衡性、对象精准性、标准合理性、群众满意度进行绩效分析。</w:t>
      </w:r>
    </w:p>
    <w:p w14:paraId="6E965D78">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3.基础设施。在建项目围绕工程进度和资金拨付进行绩效分析；建成项目围绕项目验收、功能实现、后续管护进行</w:t>
      </w:r>
      <w:r>
        <w:rPr>
          <w:rFonts w:hint="eastAsia" w:eastAsia="仿宋_GB2312" w:cs="仿宋_GB2312"/>
          <w:kern w:val="0"/>
          <w:sz w:val="32"/>
          <w:szCs w:val="32"/>
          <w:lang w:val="zh-CN"/>
        </w:rPr>
        <w:t>绩效分析。</w:t>
      </w:r>
    </w:p>
    <w:p w14:paraId="3D17752D">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行政运转。围绕用途合规性、程序合规性、标准合规性进行绩效分析。</w:t>
      </w:r>
    </w:p>
    <w:p w14:paraId="0726B68E">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根据项目个性自行设定部分指标，反映该项指标执行完成情况。</w:t>
      </w:r>
    </w:p>
    <w:p w14:paraId="1172FA7F">
      <w:pPr>
        <w:keepNext w:val="0"/>
        <w:keepLines w:val="0"/>
        <w:pageBreakBefore w:val="0"/>
        <w:kinsoku/>
        <w:wordWrap/>
        <w:overflowPunct/>
        <w:topLinePunct w:val="0"/>
        <w:autoSpaceDE/>
        <w:autoSpaceDN/>
        <w:bidi w:val="0"/>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42510B41">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简要阐述专项预算项目绩效自评总体结论，包含评价总分、</w:t>
      </w:r>
      <w:r>
        <w:rPr>
          <w:rFonts w:hint="eastAsia" w:eastAsia="仿宋_GB2312" w:cs="仿宋_GB2312"/>
          <w:kern w:val="0"/>
          <w:sz w:val="32"/>
          <w:szCs w:val="32"/>
          <w:lang w:val="zh-CN"/>
        </w:rPr>
        <w:t>项目实施情况。</w:t>
      </w:r>
    </w:p>
    <w:p w14:paraId="09C04850">
      <w:pPr>
        <w:keepNext w:val="0"/>
        <w:keepLines w:val="0"/>
        <w:pageBreakBefore w:val="0"/>
        <w:kinsoku/>
        <w:wordWrap/>
        <w:overflowPunct/>
        <w:topLinePunct w:val="0"/>
        <w:autoSpaceDE/>
        <w:autoSpaceDN/>
        <w:bidi w:val="0"/>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3017D37D">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简要阐述专项预算项目绩效自评发现的主要问题。</w:t>
      </w:r>
    </w:p>
    <w:p w14:paraId="46823B19">
      <w:pPr>
        <w:keepNext w:val="0"/>
        <w:keepLines w:val="0"/>
        <w:pageBreakBefore w:val="0"/>
        <w:kinsoku/>
        <w:wordWrap/>
        <w:overflowPunct/>
        <w:topLinePunct w:val="0"/>
        <w:autoSpaceDE/>
        <w:autoSpaceDN/>
        <w:bidi w:val="0"/>
        <w:spacing w:line="560"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373F3D6C">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简要阐述专项预算项目在</w:t>
      </w:r>
      <w:r>
        <w:rPr>
          <w:rFonts w:hint="eastAsia" w:eastAsia="仿宋_GB2312" w:cs="仿宋_GB2312"/>
          <w:kern w:val="0"/>
          <w:sz w:val="32"/>
          <w:szCs w:val="32"/>
          <w:lang w:val="en"/>
        </w:rPr>
        <w:t>预算安排、完善政策、改进管理等方面的</w:t>
      </w:r>
      <w:r>
        <w:rPr>
          <w:rFonts w:hint="eastAsia" w:eastAsia="仿宋_GB2312" w:cs="仿宋_GB2312"/>
          <w:kern w:val="0"/>
          <w:sz w:val="32"/>
          <w:szCs w:val="32"/>
        </w:rPr>
        <w:t>措施</w:t>
      </w:r>
      <w:r>
        <w:rPr>
          <w:rFonts w:hint="eastAsia" w:eastAsia="仿宋_GB2312" w:cs="仿宋_GB2312"/>
          <w:kern w:val="0"/>
          <w:sz w:val="32"/>
          <w:szCs w:val="32"/>
          <w:lang w:val="en"/>
        </w:rPr>
        <w:t>建议，其中</w:t>
      </w:r>
      <w:r>
        <w:rPr>
          <w:rFonts w:hint="eastAsia" w:eastAsia="仿宋_GB2312" w:cs="仿宋_GB2312"/>
          <w:kern w:val="0"/>
          <w:sz w:val="32"/>
          <w:szCs w:val="32"/>
        </w:rPr>
        <w:t>必须对应评价发现的主要问题一一提出措施建议。</w:t>
      </w:r>
    </w:p>
    <w:p w14:paraId="00631380">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r>
        <w:rPr>
          <w:rFonts w:hint="eastAsia" w:eastAsia="仿宋_GB2312" w:cs="仿宋_GB2312"/>
          <w:kern w:val="0"/>
          <w:sz w:val="32"/>
          <w:szCs w:val="32"/>
        </w:rPr>
        <w:t>（注：以上绩效自评报告，除涉密敏感内容外，原则上都应予以公开）</w:t>
      </w:r>
    </w:p>
    <w:p w14:paraId="7A3DE6B8">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p>
    <w:p w14:paraId="4237FA01">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p>
    <w:p w14:paraId="661ABCB3">
      <w:pPr>
        <w:keepNext w:val="0"/>
        <w:keepLines w:val="0"/>
        <w:pageBreakBefore w:val="0"/>
        <w:kinsoku/>
        <w:wordWrap/>
        <w:overflowPunct/>
        <w:topLinePunct w:val="0"/>
        <w:autoSpaceDE/>
        <w:autoSpaceDN/>
        <w:bidi w:val="0"/>
        <w:spacing w:line="560" w:lineRule="exact"/>
        <w:ind w:firstLine="640"/>
        <w:rPr>
          <w:rFonts w:eastAsia="仿宋_GB2312" w:cs="仿宋_GB2312"/>
          <w:kern w:val="0"/>
          <w:sz w:val="32"/>
          <w:szCs w:val="32"/>
        </w:rPr>
      </w:pPr>
      <w:bookmarkStart w:id="52" w:name="_Toc15396618"/>
      <w:r>
        <w:rPr>
          <w:rFonts w:hint="eastAsia" w:eastAsia="仿宋_GB2312" w:cs="仿宋_GB2312"/>
          <w:kern w:val="0"/>
          <w:sz w:val="32"/>
          <w:szCs w:val="32"/>
        </w:rPr>
        <w:br w:type="page"/>
      </w:r>
    </w:p>
    <w:p w14:paraId="7BE27C7C">
      <w:pPr>
        <w:keepNext w:val="0"/>
        <w:keepLines w:val="0"/>
        <w:pageBreakBefore w:val="0"/>
        <w:widowControl/>
        <w:kinsoku/>
        <w:wordWrap/>
        <w:overflowPunct/>
        <w:topLinePunct w:val="0"/>
        <w:autoSpaceDE/>
        <w:autoSpaceDN/>
        <w:bidi w:val="0"/>
        <w:spacing w:line="560" w:lineRule="exact"/>
        <w:jc w:val="center"/>
        <w:rPr>
          <w:rFonts w:eastAsia="仿宋"/>
        </w:rPr>
      </w:pPr>
      <w:r>
        <w:rPr>
          <w:rFonts w:hint="eastAsia" w:eastAsia="黑体"/>
          <w:sz w:val="44"/>
          <w:szCs w:val="44"/>
        </w:rPr>
        <w:t>第</w:t>
      </w:r>
      <w:r>
        <w:rPr>
          <w:rStyle w:val="29"/>
          <w:rFonts w:hint="eastAsia" w:eastAsia="黑体"/>
          <w:b w:val="0"/>
        </w:rPr>
        <w:t>五部分 附表</w:t>
      </w:r>
      <w:bookmarkEnd w:id="49"/>
      <w:bookmarkEnd w:id="52"/>
      <w:bookmarkStart w:id="53" w:name="_Toc15396619"/>
    </w:p>
    <w:p w14:paraId="227BAD2B">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p>
    <w:p w14:paraId="09ED9CFC">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3"/>
    </w:p>
    <w:p w14:paraId="5254CF88">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54" w:name="_Toc15396620"/>
      <w:r>
        <w:rPr>
          <w:rFonts w:hint="eastAsia" w:eastAsia="仿宋_GB2312" w:cs="仿宋_GB2312"/>
          <w:sz w:val="32"/>
          <w:szCs w:val="32"/>
        </w:rPr>
        <w:t>二、收入决算表</w:t>
      </w:r>
      <w:bookmarkEnd w:id="54"/>
    </w:p>
    <w:p w14:paraId="2F5F2926">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55" w:name="_Toc15396621"/>
      <w:r>
        <w:rPr>
          <w:rFonts w:hint="eastAsia" w:eastAsia="仿宋_GB2312" w:cs="仿宋_GB2312"/>
          <w:sz w:val="32"/>
          <w:szCs w:val="32"/>
        </w:rPr>
        <w:t>三、支出决算表</w:t>
      </w:r>
      <w:bookmarkEnd w:id="55"/>
    </w:p>
    <w:p w14:paraId="6246EB0A">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56" w:name="_Toc15396622"/>
      <w:r>
        <w:rPr>
          <w:rFonts w:hint="eastAsia" w:eastAsia="仿宋_GB2312" w:cs="仿宋_GB2312"/>
          <w:sz w:val="32"/>
          <w:szCs w:val="32"/>
        </w:rPr>
        <w:t>四、财政拨款收入支出决算总表</w:t>
      </w:r>
      <w:bookmarkEnd w:id="56"/>
    </w:p>
    <w:p w14:paraId="6BAEB6DE">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57" w:name="_Toc15396623"/>
      <w:r>
        <w:rPr>
          <w:rFonts w:hint="eastAsia" w:eastAsia="仿宋_GB2312" w:cs="仿宋_GB2312"/>
          <w:sz w:val="32"/>
          <w:szCs w:val="32"/>
        </w:rPr>
        <w:t>五、财政拨款支出决算明细表</w:t>
      </w:r>
      <w:bookmarkEnd w:id="57"/>
      <w:bookmarkStart w:id="58" w:name="_Toc15396624"/>
    </w:p>
    <w:p w14:paraId="3D2920E5">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8"/>
    </w:p>
    <w:p w14:paraId="240F08B6">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59" w:name="_Toc15396625"/>
      <w:r>
        <w:rPr>
          <w:rFonts w:hint="eastAsia" w:eastAsia="仿宋_GB2312" w:cs="仿宋_GB2312"/>
          <w:sz w:val="32"/>
          <w:szCs w:val="32"/>
        </w:rPr>
        <w:t>七、一般公共预算财政拨款支出决算明细表</w:t>
      </w:r>
      <w:bookmarkEnd w:id="59"/>
    </w:p>
    <w:p w14:paraId="2CA8AE20">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60" w:name="_Toc15396626"/>
      <w:r>
        <w:rPr>
          <w:rFonts w:hint="eastAsia" w:eastAsia="仿宋_GB2312" w:cs="仿宋_GB2312"/>
          <w:sz w:val="32"/>
          <w:szCs w:val="32"/>
        </w:rPr>
        <w:t>八、一般公共预算财政拨款基本支出决算表</w:t>
      </w:r>
      <w:bookmarkEnd w:id="60"/>
    </w:p>
    <w:p w14:paraId="1021E5EC">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61" w:name="_Toc15396627"/>
      <w:r>
        <w:rPr>
          <w:rFonts w:hint="eastAsia" w:eastAsia="仿宋_GB2312" w:cs="仿宋_GB2312"/>
          <w:sz w:val="32"/>
          <w:szCs w:val="32"/>
        </w:rPr>
        <w:t>九、一般公共预算财政拨款项目支出决算表</w:t>
      </w:r>
      <w:bookmarkEnd w:id="61"/>
    </w:p>
    <w:p w14:paraId="07043E00">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62" w:name="_Toc15396628"/>
      <w:r>
        <w:rPr>
          <w:rFonts w:hint="eastAsia" w:eastAsia="仿宋_GB2312" w:cs="仿宋_GB2312"/>
          <w:sz w:val="32"/>
          <w:szCs w:val="32"/>
        </w:rPr>
        <w:t>十、</w:t>
      </w:r>
      <w:bookmarkEnd w:id="62"/>
      <w:r>
        <w:rPr>
          <w:rFonts w:hint="eastAsia" w:eastAsia="仿宋_GB2312" w:cs="仿宋_GB2312"/>
          <w:sz w:val="32"/>
          <w:szCs w:val="32"/>
        </w:rPr>
        <w:t>政府性基金预算财政拨款收入支出决算表</w:t>
      </w:r>
    </w:p>
    <w:p w14:paraId="7B15E922">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63" w:name="_Toc15396629"/>
      <w:r>
        <w:rPr>
          <w:rFonts w:hint="eastAsia" w:eastAsia="仿宋_GB2312" w:cs="仿宋_GB2312"/>
          <w:sz w:val="32"/>
          <w:szCs w:val="32"/>
        </w:rPr>
        <w:t>十一、</w:t>
      </w:r>
      <w:bookmarkEnd w:id="63"/>
      <w:r>
        <w:rPr>
          <w:rFonts w:hint="eastAsia" w:eastAsia="仿宋_GB2312" w:cs="仿宋_GB2312"/>
          <w:sz w:val="32"/>
          <w:szCs w:val="32"/>
        </w:rPr>
        <w:t>国有资本经营预算财政拨款收入支出决算表</w:t>
      </w:r>
    </w:p>
    <w:p w14:paraId="0F22F1B4">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64" w:name="_Toc15396630"/>
      <w:r>
        <w:rPr>
          <w:rFonts w:hint="eastAsia" w:eastAsia="仿宋_GB2312" w:cs="仿宋_GB2312"/>
          <w:sz w:val="32"/>
          <w:szCs w:val="32"/>
        </w:rPr>
        <w:t>十二、</w:t>
      </w:r>
      <w:bookmarkEnd w:id="64"/>
      <w:r>
        <w:rPr>
          <w:rFonts w:hint="eastAsia" w:eastAsia="仿宋_GB2312" w:cs="仿宋_GB2312"/>
          <w:sz w:val="32"/>
          <w:szCs w:val="32"/>
        </w:rPr>
        <w:t>国有资本经营预算财政拨款支出决算表</w:t>
      </w:r>
    </w:p>
    <w:p w14:paraId="3D830803">
      <w:pPr>
        <w:pStyle w:val="14"/>
        <w:keepNext w:val="0"/>
        <w:keepLines w:val="0"/>
        <w:pageBreakBefore w:val="0"/>
        <w:kinsoku/>
        <w:wordWrap/>
        <w:overflowPunct/>
        <w:topLinePunct w:val="0"/>
        <w:autoSpaceDE/>
        <w:autoSpaceDN/>
        <w:bidi w:val="0"/>
        <w:adjustRightInd w:val="0"/>
        <w:snapToGrid w:val="0"/>
        <w:spacing w:line="560" w:lineRule="exact"/>
        <w:jc w:val="left"/>
        <w:rPr>
          <w:rFonts w:eastAsia="仿宋_GB2312" w:cs="仿宋_GB2312"/>
          <w:sz w:val="32"/>
          <w:szCs w:val="32"/>
        </w:rPr>
      </w:pPr>
      <w:bookmarkStart w:id="65" w:name="_Toc15396631"/>
      <w:r>
        <w:rPr>
          <w:rFonts w:hint="eastAsia" w:eastAsia="仿宋_GB2312" w:cs="仿宋_GB2312"/>
          <w:sz w:val="32"/>
          <w:szCs w:val="32"/>
        </w:rPr>
        <w:t>十三、</w:t>
      </w:r>
      <w:bookmarkEnd w:id="65"/>
      <w:r>
        <w:rPr>
          <w:rFonts w:hint="eastAsia" w:eastAsia="仿宋_GB2312" w:cs="仿宋_GB2312"/>
          <w:sz w:val="32"/>
          <w:szCs w:val="32"/>
        </w:rPr>
        <w:t>财政拨款“三公”经费支出决算表</w:t>
      </w:r>
    </w:p>
    <w:p w14:paraId="46D5F740">
      <w:pPr>
        <w:keepNext w:val="0"/>
        <w:keepLines w:val="0"/>
        <w:pageBreakBefore w:val="0"/>
        <w:kinsoku/>
        <w:wordWrap/>
        <w:overflowPunct/>
        <w:topLinePunct w:val="0"/>
        <w:autoSpaceDE/>
        <w:autoSpaceDN/>
        <w:bidi w:val="0"/>
        <w:spacing w:line="560" w:lineRule="exact"/>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tbl>
      <w:tblPr>
        <w:tblStyle w:val="15"/>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87"/>
        <w:gridCol w:w="1722"/>
        <w:gridCol w:w="19"/>
        <w:gridCol w:w="1723"/>
        <w:gridCol w:w="30"/>
        <w:gridCol w:w="2191"/>
        <w:gridCol w:w="46"/>
        <w:gridCol w:w="465"/>
        <w:gridCol w:w="49"/>
        <w:gridCol w:w="1597"/>
        <w:gridCol w:w="60"/>
        <w:gridCol w:w="452"/>
        <w:gridCol w:w="66"/>
        <w:gridCol w:w="1004"/>
        <w:gridCol w:w="73"/>
        <w:gridCol w:w="422"/>
        <w:gridCol w:w="77"/>
        <w:gridCol w:w="370"/>
        <w:gridCol w:w="80"/>
        <w:gridCol w:w="2532"/>
      </w:tblGrid>
      <w:tr w14:paraId="53D8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4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9E675F7">
            <w:pPr>
              <w:pStyle w:val="20"/>
              <w:pageBreakBefore w:val="0"/>
              <w:kinsoku/>
              <w:wordWrap/>
              <w:overflowPunct/>
              <w:topLinePunct w:val="0"/>
              <w:autoSpaceDE/>
              <w:autoSpaceDN/>
              <w:bidi w:val="0"/>
              <w:spacing w:line="240" w:lineRule="auto"/>
              <w:jc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61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50EE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3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E8858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51320021T000000050928-办刊经费</w:t>
            </w:r>
          </w:p>
        </w:tc>
      </w:tr>
      <w:tr w14:paraId="2F46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C6A6F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1CCDF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州文联部门</w:t>
            </w:r>
          </w:p>
        </w:tc>
        <w:tc>
          <w:tcPr>
            <w:tcW w:w="1077" w:type="dxa"/>
            <w:gridSpan w:val="2"/>
            <w:tcBorders>
              <w:top w:val="nil"/>
              <w:left w:val="nil"/>
              <w:bottom w:val="nil"/>
              <w:right w:val="nil"/>
            </w:tcBorders>
            <w:shd w:val="clear" w:color="auto" w:fill="auto"/>
            <w:vAlign w:val="center"/>
          </w:tcPr>
          <w:p w14:paraId="05146F5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28C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《草地》编辑部</w:t>
            </w:r>
          </w:p>
        </w:tc>
      </w:tr>
      <w:tr w14:paraId="487C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FCB0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BB6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CB91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1EB7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93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B63C">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c>
          <w:tcPr>
            <w:tcW w:w="2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19C0">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c>
          <w:tcPr>
            <w:tcW w:w="6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DBB92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刊发藏汉文小说、诗歌、散文、文学评论、报告文学等文学作品。</w:t>
            </w:r>
          </w:p>
        </w:tc>
        <w:tc>
          <w:tcPr>
            <w:tcW w:w="45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92D26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14:paraId="4374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1DE4">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8168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3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C876C3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全年出版《草地》汉文6期，《邦炯》藏文2期。</w:t>
            </w:r>
          </w:p>
        </w:tc>
      </w:tr>
      <w:tr w14:paraId="4227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A0B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5C2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F9B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37A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C7B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1F11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520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A61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E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31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35A9">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5F6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F1F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A61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36.02</w:t>
            </w:r>
          </w:p>
        </w:tc>
        <w:tc>
          <w:tcPr>
            <w:tcW w:w="2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BE79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C2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B37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2BF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11D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1C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80CF">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90C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2C8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01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36.02</w:t>
            </w:r>
          </w:p>
        </w:tc>
        <w:tc>
          <w:tcPr>
            <w:tcW w:w="2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354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216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1DA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4E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1EC5">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77DB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C177">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FA9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B7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2DC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E3B8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22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80A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99E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1563">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4073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2C7E">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2B1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D59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4B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CB21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E21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365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F2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B236">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516A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6F04">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14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9AD09">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F4952">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26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AF903">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F044E">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40F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999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8396">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49E8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816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0DC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DF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6E2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AB3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DFA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2A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53C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C7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F2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7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82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04E7">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A6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2CB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D79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《邦炯》出版期数</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E1C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F1C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30F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C3A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AFB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6BB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0BB">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74EE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5119">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0C9B">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EF4C">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650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出版册数</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26B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4E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23C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万册</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19D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255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3D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4CEA">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3844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A08F">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5890">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3436">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F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《草地》出版期数</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134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54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E1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240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362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630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CF10">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77A2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FFAA">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E690">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36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408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期刊出版质量</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99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1DB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CE325">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C27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不断提升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220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CC2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4414">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4270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3FD4">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618F">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8E7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1DB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期刊出版完成时间</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BA0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E25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2024年12月底</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31F59">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DD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完成出版</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A4C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981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D26A">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2E2B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C607">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6FD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D85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3E2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文化宣传和文化贡献及传播力</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D95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64D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加大力度</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5154B">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A3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有效宣传</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39C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487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8A5D">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0BDE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2C8B2">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B6D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1CE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796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读者对期刊出版质量满意度</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07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F8C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95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60C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393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09E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28E">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56B1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C071">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55A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95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995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《草地》出版经费</w:t>
            </w:r>
          </w:p>
        </w:tc>
        <w:tc>
          <w:tcPr>
            <w:tcW w:w="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33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54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7D8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4F9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142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57D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88A">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4438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5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AA15F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809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23868">
            <w:pPr>
              <w:keepNext w:val="0"/>
              <w:keepLines w:val="0"/>
              <w:pageBreakBefore w:val="0"/>
              <w:widowControl/>
              <w:suppressLineNumbers w:val="0"/>
              <w:kinsoku/>
              <w:wordWrap/>
              <w:overflowPunct/>
              <w:topLinePunct w:val="0"/>
              <w:autoSpaceDE/>
              <w:autoSpaceDN/>
              <w:bidi w:val="0"/>
              <w:spacing w:line="240" w:lineRule="auto"/>
              <w:jc w:val="righ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DE3A">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r>
      <w:tr w14:paraId="4761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6C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6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C6A7DE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2024年度我单位按质按量完成目标任务。</w:t>
            </w:r>
          </w:p>
        </w:tc>
      </w:tr>
      <w:tr w14:paraId="7D53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3C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6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B1A108">
            <w:pPr>
              <w:pageBreakBefore w:val="0"/>
              <w:kinsoku/>
              <w:wordWrap/>
              <w:overflowPunct/>
              <w:topLinePunct w:val="0"/>
              <w:autoSpaceDE/>
              <w:autoSpaceDN/>
              <w:bidi w:val="0"/>
              <w:spacing w:line="240" w:lineRule="auto"/>
              <w:rPr>
                <w:rFonts w:hint="eastAsia" w:ascii="微软雅黑" w:hAnsi="微软雅黑" w:eastAsia="微软雅黑" w:cs="微软雅黑"/>
                <w:i/>
                <w:iCs/>
                <w:color w:val="000000"/>
                <w:sz w:val="16"/>
                <w:szCs w:val="16"/>
                <w:u w:val="none"/>
              </w:rPr>
            </w:pPr>
          </w:p>
        </w:tc>
      </w:tr>
      <w:tr w14:paraId="61BF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A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6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893B979">
            <w:pPr>
              <w:pageBreakBefore w:val="0"/>
              <w:kinsoku/>
              <w:wordWrap/>
              <w:overflowPunct/>
              <w:topLinePunct w:val="0"/>
              <w:autoSpaceDE/>
              <w:autoSpaceDN/>
              <w:bidi w:val="0"/>
              <w:spacing w:line="240" w:lineRule="auto"/>
              <w:rPr>
                <w:rFonts w:hint="eastAsia" w:ascii="微软雅黑" w:hAnsi="微软雅黑" w:eastAsia="微软雅黑" w:cs="微软雅黑"/>
                <w:i/>
                <w:iCs/>
                <w:color w:val="000000"/>
                <w:sz w:val="16"/>
                <w:szCs w:val="16"/>
                <w:u w:val="none"/>
              </w:rPr>
            </w:pPr>
          </w:p>
        </w:tc>
      </w:tr>
      <w:tr w14:paraId="2E10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4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5EF9C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黑体" w:hAnsi="宋体" w:eastAsia="黑体" w:cs="黑体"/>
                <w:b/>
                <w:bCs/>
                <w:i w:val="0"/>
                <w:iCs w:val="0"/>
                <w:color w:val="000000"/>
                <w:kern w:val="0"/>
                <w:sz w:val="30"/>
                <w:szCs w:val="30"/>
                <w:u w:val="none"/>
                <w:lang w:val="en-US" w:eastAsia="zh-CN" w:bidi="ar"/>
              </w:rPr>
            </w:pPr>
          </w:p>
          <w:p w14:paraId="5228F9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黑体" w:hAnsi="宋体" w:eastAsia="黑体" w:cs="黑体"/>
                <w:b/>
                <w:bCs/>
                <w:i w:val="0"/>
                <w:iCs w:val="0"/>
                <w:color w:val="000000"/>
                <w:kern w:val="0"/>
                <w:sz w:val="30"/>
                <w:szCs w:val="30"/>
                <w:u w:val="none"/>
                <w:lang w:val="en-US" w:eastAsia="zh-CN" w:bidi="ar"/>
              </w:rPr>
            </w:pPr>
          </w:p>
          <w:p w14:paraId="56FB8C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7F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020E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FD9A15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51320021T000000050940-创作经费</w:t>
            </w:r>
          </w:p>
        </w:tc>
      </w:tr>
      <w:tr w14:paraId="201C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4D58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4B06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州文联部门</w:t>
            </w:r>
          </w:p>
        </w:tc>
        <w:tc>
          <w:tcPr>
            <w:tcW w:w="1070" w:type="dxa"/>
            <w:gridSpan w:val="2"/>
            <w:tcBorders>
              <w:top w:val="nil"/>
              <w:left w:val="nil"/>
              <w:bottom w:val="nil"/>
              <w:right w:val="nil"/>
            </w:tcBorders>
            <w:shd w:val="clear" w:color="auto" w:fill="auto"/>
            <w:vAlign w:val="center"/>
          </w:tcPr>
          <w:p w14:paraId="401C198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707D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《草地》编辑部</w:t>
            </w:r>
          </w:p>
        </w:tc>
      </w:tr>
      <w:tr w14:paraId="3CA2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97FB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1049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12D6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4592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09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39E8">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F816">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c>
          <w:tcPr>
            <w:tcW w:w="6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47D9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开展各种文学采风、交流活动，总结创作经验；组织创作；力求出作品、出人才</w:t>
            </w:r>
          </w:p>
        </w:tc>
        <w:tc>
          <w:tcPr>
            <w:tcW w:w="46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0F4BE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14:paraId="557F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A4178">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E7F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6C56E3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开展各种文学采风、交流活动</w:t>
            </w:r>
          </w:p>
        </w:tc>
      </w:tr>
      <w:tr w14:paraId="3974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171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67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3D2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1E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6D4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F3F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2A1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9A9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B457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42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CEC8">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5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0D0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9AA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2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B2B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2B6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A58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0F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F993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AA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E517">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17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122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81F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2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41AB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E95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4F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B5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AE02">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06D6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435B">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D2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A7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7EE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6BA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4D5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AA5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C6A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E8AF">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761D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F967">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F4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C94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FD2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C080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986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C9B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33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DFF3">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67D6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26BC">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06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F4B8">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F1C5C">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2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ECEE93">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61ACD">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4BE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A5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3165">
            <w:pPr>
              <w:pageBreakBefore w:val="0"/>
              <w:kinsoku/>
              <w:wordWrap/>
              <w:overflowPunct/>
              <w:topLinePunct w:val="0"/>
              <w:autoSpaceDE/>
              <w:autoSpaceDN/>
              <w:bidi w:val="0"/>
              <w:spacing w:line="240" w:lineRule="auto"/>
              <w:rPr>
                <w:rFonts w:hint="eastAsia" w:ascii="黑体" w:hAnsi="黑体" w:eastAsia="黑体" w:cs="黑体"/>
                <w:i/>
                <w:iCs/>
                <w:color w:val="000000"/>
                <w:sz w:val="18"/>
                <w:szCs w:val="18"/>
                <w:u w:val="none"/>
              </w:rPr>
            </w:pPr>
          </w:p>
        </w:tc>
      </w:tr>
      <w:tr w14:paraId="331A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46E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1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FE9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74F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F66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6C4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FE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96F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AF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71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C29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73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E4D1">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E7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88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6F4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刊物上刊发作品数</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98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424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8F3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2BC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12A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531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75115">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6CAE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15E5">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580C">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A98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F05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出版刊物质量</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9A9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DA8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1260C">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C65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89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DE6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1B0E">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49C2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2BAE">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B20B">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9748">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D8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通过创作采风活动提升创作水平</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4C9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0D1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33B99">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87C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有效提升</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92A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8DD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225D">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35BD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FC9C">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CD4F">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96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009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作品完成时间</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26E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A37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当年12月前</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8CE4">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83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完成作品</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9B4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4CF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F7405">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2A4E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2655">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C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F3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16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培养年轻作家出作品出人才</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6A1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AD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有效培养</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35A6B">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400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有效培养</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7F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599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C17C">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6126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805D">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F5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891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07F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对刊物出版满意度</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A36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F6E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7FD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0CF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23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C2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39C30">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796A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4C31">
            <w:pPr>
              <w:pageBreakBefore w:val="0"/>
              <w:kinsoku/>
              <w:wordWrap/>
              <w:overflowPunct/>
              <w:topLinePunct w:val="0"/>
              <w:autoSpaceDE/>
              <w:autoSpaceDN/>
              <w:bidi w:val="0"/>
              <w:spacing w:line="240" w:lineRule="auto"/>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0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2E2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1C3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创作采风活动经费</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B3C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FDC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23A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FA7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4.65</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1E1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C82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2BDB4">
            <w:pPr>
              <w:pageBreakBefore w:val="0"/>
              <w:kinsoku/>
              <w:wordWrap/>
              <w:overflowPunct/>
              <w:topLinePunct w:val="0"/>
              <w:autoSpaceDE/>
              <w:autoSpaceDN/>
              <w:bidi w:val="0"/>
              <w:spacing w:line="240" w:lineRule="auto"/>
              <w:jc w:val="center"/>
              <w:rPr>
                <w:rFonts w:hint="eastAsia" w:ascii="微软雅黑" w:hAnsi="微软雅黑" w:eastAsia="微软雅黑" w:cs="微软雅黑"/>
                <w:i/>
                <w:iCs/>
                <w:color w:val="000000"/>
                <w:sz w:val="16"/>
                <w:szCs w:val="16"/>
                <w:u w:val="none"/>
              </w:rPr>
            </w:pPr>
          </w:p>
        </w:tc>
      </w:tr>
      <w:tr w14:paraId="197C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8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D6470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EF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9C8F9">
            <w:pPr>
              <w:keepNext w:val="0"/>
              <w:keepLines w:val="0"/>
              <w:pageBreakBefore w:val="0"/>
              <w:widowControl/>
              <w:suppressLineNumbers w:val="0"/>
              <w:kinsoku/>
              <w:wordWrap/>
              <w:overflowPunct/>
              <w:topLinePunct w:val="0"/>
              <w:autoSpaceDE/>
              <w:autoSpaceDN/>
              <w:bidi w:val="0"/>
              <w:spacing w:line="240" w:lineRule="auto"/>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5AAED">
            <w:pPr>
              <w:pageBreakBefore w:val="0"/>
              <w:kinsoku/>
              <w:wordWrap/>
              <w:overflowPunct/>
              <w:topLinePunct w:val="0"/>
              <w:autoSpaceDE/>
              <w:autoSpaceDN/>
              <w:bidi w:val="0"/>
              <w:spacing w:line="240" w:lineRule="auto"/>
              <w:rPr>
                <w:rFonts w:hint="eastAsia" w:ascii="宋体" w:hAnsi="宋体" w:eastAsia="宋体" w:cs="宋体"/>
                <w:i w:val="0"/>
                <w:iCs w:val="0"/>
                <w:color w:val="000000"/>
                <w:sz w:val="18"/>
                <w:szCs w:val="18"/>
                <w:u w:val="none"/>
              </w:rPr>
            </w:pPr>
          </w:p>
        </w:tc>
      </w:tr>
      <w:tr w14:paraId="3E1A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21C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97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477650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2024年度我单位按质按量完成目标任务。</w:t>
            </w:r>
          </w:p>
        </w:tc>
      </w:tr>
      <w:tr w14:paraId="27B2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021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97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7BE80F8">
            <w:pPr>
              <w:pageBreakBefore w:val="0"/>
              <w:kinsoku/>
              <w:wordWrap/>
              <w:overflowPunct/>
              <w:topLinePunct w:val="0"/>
              <w:autoSpaceDE/>
              <w:autoSpaceDN/>
              <w:bidi w:val="0"/>
              <w:spacing w:line="240" w:lineRule="auto"/>
              <w:rPr>
                <w:rFonts w:hint="eastAsia" w:ascii="微软雅黑" w:hAnsi="微软雅黑" w:eastAsia="微软雅黑" w:cs="微软雅黑"/>
                <w:i/>
                <w:iCs/>
                <w:color w:val="000000"/>
                <w:sz w:val="16"/>
                <w:szCs w:val="16"/>
                <w:u w:val="none"/>
              </w:rPr>
            </w:pPr>
          </w:p>
        </w:tc>
      </w:tr>
      <w:tr w14:paraId="0956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E3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97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8F21F52">
            <w:pPr>
              <w:pageBreakBefore w:val="0"/>
              <w:kinsoku/>
              <w:wordWrap/>
              <w:overflowPunct/>
              <w:topLinePunct w:val="0"/>
              <w:autoSpaceDE/>
              <w:autoSpaceDN/>
              <w:bidi w:val="0"/>
              <w:spacing w:line="240" w:lineRule="auto"/>
              <w:rPr>
                <w:rFonts w:hint="eastAsia" w:ascii="微软雅黑" w:hAnsi="微软雅黑" w:eastAsia="微软雅黑" w:cs="微软雅黑"/>
                <w:i/>
                <w:iCs/>
                <w:color w:val="000000"/>
                <w:sz w:val="16"/>
                <w:szCs w:val="16"/>
                <w:u w:val="none"/>
              </w:rPr>
            </w:pPr>
          </w:p>
        </w:tc>
      </w:tr>
    </w:tbl>
    <w:p w14:paraId="1EB83E35">
      <w:pPr>
        <w:pStyle w:val="20"/>
        <w:pageBreakBefore w:val="0"/>
        <w:kinsoku/>
        <w:wordWrap/>
        <w:overflowPunct/>
        <w:topLinePunct w:val="0"/>
        <w:autoSpaceDE/>
        <w:autoSpaceDN/>
        <w:bidi w:val="0"/>
        <w:spacing w:line="240" w:lineRule="auto"/>
      </w:pPr>
    </w:p>
    <w:sectPr>
      <w:pgSz w:w="16838" w:h="11906" w:orient="landscape"/>
      <w:pgMar w:top="1800" w:right="1440" w:bottom="1800" w:left="144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7E0E">
    <w:pPr>
      <w:pStyle w:val="10"/>
      <w:jc w:val="center"/>
    </w:pPr>
  </w:p>
  <w:p w14:paraId="036783C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0"/>
      <w:jc w:val="center"/>
    </w:pPr>
  </w:p>
  <w:p w14:paraId="1C1DB24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1BF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44D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10424"/>
    <w:multiLevelType w:val="singleLevel"/>
    <w:tmpl w:val="BA910424"/>
    <w:lvl w:ilvl="0" w:tentative="0">
      <w:start w:val="2"/>
      <w:numFmt w:val="decimal"/>
      <w:lvlText w:val="%1."/>
      <w:lvlJc w:val="left"/>
      <w:pPr>
        <w:tabs>
          <w:tab w:val="left" w:pos="312"/>
        </w:tabs>
      </w:pPr>
    </w:lvl>
  </w:abstractNum>
  <w:abstractNum w:abstractNumId="1">
    <w:nsid w:val="FF09802A"/>
    <w:multiLevelType w:val="singleLevel"/>
    <w:tmpl w:val="FF09802A"/>
    <w:lvl w:ilvl="0" w:tentative="0">
      <w:start w:val="2"/>
      <w:numFmt w:val="chineseCounting"/>
      <w:suff w:val="nothing"/>
      <w:lvlText w:val="（%1）"/>
      <w:lvlJc w:val="left"/>
      <w:rPr>
        <w:rFonts w:hint="eastAsia"/>
      </w:rPr>
    </w:lvl>
  </w:abstractNum>
  <w:abstractNum w:abstractNumId="2">
    <w:nsid w:val="10692508"/>
    <w:multiLevelType w:val="singleLevel"/>
    <w:tmpl w:val="10692508"/>
    <w:lvl w:ilvl="0" w:tentative="0">
      <w:start w:val="2"/>
      <w:numFmt w:val="chineseCounting"/>
      <w:suff w:val="nothing"/>
      <w:lvlText w:val="%1、"/>
      <w:lvlJc w:val="left"/>
      <w:rPr>
        <w:rFonts w:hint="eastAsia"/>
      </w:rPr>
    </w:lvl>
  </w:abstractNum>
  <w:abstractNum w:abstractNumId="3">
    <w:nsid w:val="1764C517"/>
    <w:multiLevelType w:val="singleLevel"/>
    <w:tmpl w:val="1764C517"/>
    <w:lvl w:ilvl="0" w:tentative="0">
      <w:start w:val="1"/>
      <w:numFmt w:val="chineseCounting"/>
      <w:suff w:val="nothing"/>
      <w:lvlText w:val="%1、"/>
      <w:lvlJc w:val="left"/>
      <w:rPr>
        <w:rFonts w:hint="eastAsia"/>
      </w:rPr>
    </w:lvl>
  </w:abstractNum>
  <w:abstractNum w:abstractNumId="4">
    <w:nsid w:val="60BE46AE"/>
    <w:multiLevelType w:val="singleLevel"/>
    <w:tmpl w:val="60BE46AE"/>
    <w:lvl w:ilvl="0" w:tentative="0">
      <w:start w:val="2"/>
      <w:numFmt w:val="chineseCounting"/>
      <w:suff w:val="nothing"/>
      <w:lvlText w:val="（%1）"/>
      <w:lvlJc w:val="left"/>
      <w:rPr>
        <w:rFonts w:hint="eastAsia"/>
      </w:r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062D68"/>
    <w:rsid w:val="15344D3E"/>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7578BD"/>
    <w:rsid w:val="24C97D99"/>
    <w:rsid w:val="25A718F0"/>
    <w:rsid w:val="25BB59F6"/>
    <w:rsid w:val="260F557C"/>
    <w:rsid w:val="26970054"/>
    <w:rsid w:val="281408E2"/>
    <w:rsid w:val="29FD04D3"/>
    <w:rsid w:val="2BFF7BC6"/>
    <w:rsid w:val="2C8A61B5"/>
    <w:rsid w:val="2DF04E50"/>
    <w:rsid w:val="2E586DFA"/>
    <w:rsid w:val="2E8625C1"/>
    <w:rsid w:val="2F040D46"/>
    <w:rsid w:val="2F6B035B"/>
    <w:rsid w:val="2FAE5751"/>
    <w:rsid w:val="2FB1A395"/>
    <w:rsid w:val="2FD9A7D8"/>
    <w:rsid w:val="2FDBF714"/>
    <w:rsid w:val="30AB6865"/>
    <w:rsid w:val="319F7F4E"/>
    <w:rsid w:val="32BD1EF1"/>
    <w:rsid w:val="330334DB"/>
    <w:rsid w:val="3304709D"/>
    <w:rsid w:val="33A773CB"/>
    <w:rsid w:val="34425A0E"/>
    <w:rsid w:val="349D6851"/>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041DC9"/>
    <w:rsid w:val="419D428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2107B2E"/>
    <w:rsid w:val="537E6D0A"/>
    <w:rsid w:val="53F74C96"/>
    <w:rsid w:val="55170BA8"/>
    <w:rsid w:val="553218C9"/>
    <w:rsid w:val="567E1AA5"/>
    <w:rsid w:val="56E47B74"/>
    <w:rsid w:val="57175D52"/>
    <w:rsid w:val="57BD3DD4"/>
    <w:rsid w:val="5AF92295"/>
    <w:rsid w:val="5AFE1DDF"/>
    <w:rsid w:val="5B250254"/>
    <w:rsid w:val="5BDD79E6"/>
    <w:rsid w:val="5BF561CA"/>
    <w:rsid w:val="5BFF5DFC"/>
    <w:rsid w:val="5CD71FC4"/>
    <w:rsid w:val="5CF22286"/>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875DFC"/>
    <w:rsid w:val="67AA3209"/>
    <w:rsid w:val="698D0931"/>
    <w:rsid w:val="6A7FE5F3"/>
    <w:rsid w:val="6B053271"/>
    <w:rsid w:val="6BDD78B3"/>
    <w:rsid w:val="6C4A05C8"/>
    <w:rsid w:val="6C8742B8"/>
    <w:rsid w:val="6D656D2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203C5A"/>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图表目录1"/>
    <w:basedOn w:val="1"/>
    <w:next w:val="1"/>
    <w:autoRedefine/>
    <w:qFormat/>
    <w:uiPriority w:val="99"/>
    <w:pPr>
      <w:ind w:left="2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www.wps.cn/officeDocument/2018/webExtension" Target="webExtensions/webExtension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本年收入</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[工作簿1]Sheet1!$E$6:$E$12</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[工作簿1]Sheet1!$F$6:$F$12</c:f>
              <c:numCache>
                <c:formatCode>General</c:formatCode>
                <c:ptCount val="7"/>
                <c:pt idx="0">
                  <c:v>302.15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da8a08-05df-46b1-a114-7cb5fa2a56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[工作簿1]Sheet1!$C$7:$C$8</c:f>
              <c:strCache>
                <c:ptCount val="2"/>
                <c:pt idx="0">
                  <c:v>基本支出</c:v>
                </c:pt>
                <c:pt idx="1">
                  <c:v>项目支出</c:v>
                </c:pt>
              </c:strCache>
            </c:strRef>
          </c:cat>
          <c:val>
            <c:numRef>
              <c:f>[工作簿1]Sheet1!$D$7:$D$8</c:f>
              <c:numCache>
                <c:formatCode>General</c:formatCode>
                <c:ptCount val="2"/>
                <c:pt idx="0">
                  <c:v>261.49</c:v>
                </c:pt>
                <c:pt idx="1">
                  <c:v>40.66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c32b56-48ff-4e3b-976a-0e25e73e09f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[工作簿1]Sheet1!$C$7</c:f>
              <c:strCache>
                <c:ptCount val="1"/>
                <c:pt idx="0">
                  <c:v>财政拨款收入</c:v>
                </c:pt>
              </c:strCache>
            </c:strRef>
          </c:tx>
          <c:spPr>
            <a:solidFill>
              <a:schemeClr val="accent1"/>
            </a:solidFill>
            <a:ln>
              <a:noFill/>
            </a:ln>
            <a:effectLst/>
          </c:spPr>
          <c:invertIfNegative val="0"/>
          <c:dLbls>
            <c:numFmt formatCode="General" sourceLinked="1"/>
            <c:spPr>
              <a:noFill/>
              <a:ln>
                <a:solidFill>
                  <a:schemeClr val="accent1"/>
                </a:solid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accent1">
                        <a:lumMod val="7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[工作簿1]Sheet1!$D$6:$E$6</c:f>
              <c:numCache>
                <c:formatCode>General</c:formatCode>
                <c:ptCount val="2"/>
                <c:pt idx="0">
                  <c:v>2024</c:v>
                </c:pt>
                <c:pt idx="1">
                  <c:v>2023</c:v>
                </c:pt>
              </c:numCache>
            </c:numRef>
          </c:cat>
          <c:val>
            <c:numRef>
              <c:f>[工作簿1]Sheet1!$D$7:$E$7</c:f>
              <c:numCache>
                <c:formatCode>General</c:formatCode>
                <c:ptCount val="2"/>
                <c:pt idx="0">
                  <c:v>302.15</c:v>
                </c:pt>
                <c:pt idx="1">
                  <c:v>289.54</c:v>
                </c:pt>
              </c:numCache>
            </c:numRef>
          </c:val>
        </c:ser>
        <c:ser>
          <c:idx val="1"/>
          <c:order val="1"/>
          <c:tx>
            <c:strRef>
              <c:f>[工作簿1]Sheet1!$C$8</c:f>
              <c:strCache>
                <c:ptCount val="1"/>
                <c:pt idx="0">
                  <c:v>财政拨款支出</c:v>
                </c:pt>
              </c:strCache>
            </c:strRef>
          </c:tx>
          <c:spPr>
            <a:solidFill>
              <a:schemeClr val="accent2"/>
            </a:solidFill>
            <a:ln>
              <a:noFill/>
            </a:ln>
            <a:effectLst/>
          </c:spPr>
          <c:invertIfNegative val="0"/>
          <c:dLbls>
            <c:numFmt formatCode="General" sourceLinked="1"/>
            <c:spPr>
              <a:noFill/>
              <a:ln>
                <a:solidFill>
                  <a:schemeClr val="accent2"/>
                </a:solid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accent2">
                        <a:lumMod val="7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[工作簿1]Sheet1!$D$6:$E$6</c:f>
              <c:numCache>
                <c:formatCode>General</c:formatCode>
                <c:ptCount val="2"/>
                <c:pt idx="0">
                  <c:v>2024</c:v>
                </c:pt>
                <c:pt idx="1">
                  <c:v>2023</c:v>
                </c:pt>
              </c:numCache>
            </c:numRef>
          </c:cat>
          <c:val>
            <c:numRef>
              <c:f>[工作簿1]Sheet1!$D$8:$E$8</c:f>
              <c:numCache>
                <c:formatCode>General</c:formatCode>
                <c:ptCount val="2"/>
                <c:pt idx="0">
                  <c:v>302.15</c:v>
                </c:pt>
                <c:pt idx="1">
                  <c:v>289.54</c:v>
                </c:pt>
              </c:numCache>
            </c:numRef>
          </c:val>
        </c:ser>
        <c:dLbls>
          <c:showLegendKey val="0"/>
          <c:showVal val="1"/>
          <c:showCatName val="0"/>
          <c:showSerName val="0"/>
          <c:showPercent val="0"/>
          <c:showBubbleSize val="0"/>
        </c:dLbls>
        <c:gapWidth val="219"/>
        <c:overlap val="-27"/>
        <c:axId val="583289818"/>
        <c:axId val="283131814"/>
      </c:barChart>
      <c:catAx>
        <c:axId val="583289818"/>
        <c:scaling>
          <c:orientation val="minMax"/>
        </c:scaling>
        <c:delete val="0"/>
        <c:axPos val="b"/>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15000"/>
                <a:lumOff val="85000"/>
                <a:alpha val="30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83131814"/>
        <c:crosses val="autoZero"/>
        <c:auto val="1"/>
        <c:lblAlgn val="ctr"/>
        <c:lblOffset val="100"/>
        <c:noMultiLvlLbl val="0"/>
      </c:catAx>
      <c:valAx>
        <c:axId val="28313181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583289818"/>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2df70a-114b-4b7f-8f5c-88c3c330aa5e}"/>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[工作簿1]Sheet1!$C$7</c:f>
              <c:strCache>
                <c:ptCount val="1"/>
                <c:pt idx="0">
                  <c:v>一般公共预算财政拨款支出</c:v>
                </c:pt>
              </c:strCache>
            </c:strRef>
          </c:tx>
          <c:spPr>
            <a:solidFill>
              <a:schemeClr val="accent1"/>
            </a:solidFill>
            <a:ln>
              <a:noFill/>
            </a:ln>
            <a:effectLst/>
          </c:spPr>
          <c:invertIfNegative val="0"/>
          <c:dLbls>
            <c:numFmt formatCode="General" sourceLinked="1"/>
            <c:spPr>
              <a:noFill/>
              <a:ln>
                <a:solidFill>
                  <a:schemeClr val="accent1"/>
                </a:solid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accent1">
                        <a:lumMod val="7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[工作簿1]Sheet1!$D$6:$E$6</c:f>
              <c:numCache>
                <c:formatCode>General</c:formatCode>
                <c:ptCount val="2"/>
                <c:pt idx="0">
                  <c:v>2024</c:v>
                </c:pt>
                <c:pt idx="1">
                  <c:v>2023</c:v>
                </c:pt>
              </c:numCache>
            </c:numRef>
          </c:cat>
          <c:val>
            <c:numRef>
              <c:f>[工作簿1]Sheet1!$D$7:$E$7</c:f>
              <c:numCache>
                <c:formatCode>General</c:formatCode>
                <c:ptCount val="2"/>
                <c:pt idx="0">
                  <c:v>302.15</c:v>
                </c:pt>
                <c:pt idx="1">
                  <c:v>289.54</c:v>
                </c:pt>
              </c:numCache>
            </c:numRef>
          </c:val>
        </c:ser>
        <c:ser>
          <c:idx val="1"/>
          <c:order val="1"/>
          <c:tx>
            <c:strRef>
              <c:f>[工作簿1]Sheet1!$C$8</c:f>
              <c:strCache>
                <c:ptCount val="1"/>
                <c:pt idx="0">
                  <c:v/>
                </c:pt>
              </c:strCache>
            </c:strRef>
          </c:tx>
          <c:spPr>
            <a:solidFill>
              <a:schemeClr val="accent2"/>
            </a:solidFill>
            <a:ln>
              <a:noFill/>
            </a:ln>
            <a:effectLst/>
          </c:spPr>
          <c:invertIfNegative val="0"/>
          <c:dLbls>
            <c:numFmt formatCode="General" sourceLinked="1"/>
            <c:spPr>
              <a:noFill/>
              <a:ln>
                <a:solidFill>
                  <a:schemeClr val="accent2"/>
                </a:solid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accent2">
                        <a:lumMod val="7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[工作簿1]Sheet1!$D$6:$E$6</c:f>
              <c:numCache>
                <c:formatCode>General</c:formatCode>
                <c:ptCount val="2"/>
                <c:pt idx="0">
                  <c:v>2024</c:v>
                </c:pt>
                <c:pt idx="1">
                  <c:v>2023</c:v>
                </c:pt>
              </c:numCache>
            </c:numRef>
          </c:cat>
          <c:val>
            <c:numRef>
              <c:f>[工作簿1]Sheet1!$D$8:$E$8</c:f>
              <c:numCache>
                <c:formatCode>General</c:formatCode>
                <c:ptCount val="2"/>
              </c:numCache>
            </c:numRef>
          </c:val>
        </c:ser>
        <c:dLbls>
          <c:showLegendKey val="0"/>
          <c:showVal val="1"/>
          <c:showCatName val="0"/>
          <c:showSerName val="0"/>
          <c:showPercent val="0"/>
          <c:showBubbleSize val="0"/>
        </c:dLbls>
        <c:gapWidth val="219"/>
        <c:overlap val="-27"/>
        <c:axId val="583289818"/>
        <c:axId val="283131814"/>
      </c:barChart>
      <c:catAx>
        <c:axId val="583289818"/>
        <c:scaling>
          <c:orientation val="minMax"/>
        </c:scaling>
        <c:delete val="0"/>
        <c:axPos val="b"/>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15000"/>
                <a:lumOff val="85000"/>
                <a:alpha val="30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83131814"/>
        <c:crosses val="autoZero"/>
        <c:auto val="1"/>
        <c:lblAlgn val="ctr"/>
        <c:lblOffset val="100"/>
        <c:noMultiLvlLbl val="0"/>
      </c:catAx>
      <c:valAx>
        <c:axId val="28313181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583289818"/>
        <c:crosses val="autoZero"/>
        <c:crossBetween val="between"/>
      </c:valAx>
      <c:spPr>
        <a:noFill/>
        <a:ln w="25400">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ce19e5-e5ad-4512-83bb-77bf3979fa93}"/>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p>
        </c:rich>
      </c:tx>
      <c:layout/>
      <c:overlay val="0"/>
      <c:spPr>
        <a:noFill/>
        <a:ln>
          <a:noFill/>
        </a:ln>
        <a:effectLst/>
      </c:spPr>
    </c:title>
    <c:autoTitleDeleted val="0"/>
    <c:plotArea>
      <c:layout/>
      <c:pieChart>
        <c:varyColors val="1"/>
        <c:ser>
          <c:idx val="0"/>
          <c:order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explosion val="0"/>
          <c:dPt>
            <c:idx val="0"/>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Pt>
            <c:idx val="1"/>
            <c:bubble3D val="0"/>
            <c:spPr>
              <a:solidFill>
                <a:schemeClr val="accent1">
                  <a:lumMod val="60000"/>
                  <a:lumOff val="40000"/>
                </a:schemeClr>
              </a:solidFill>
              <a:ln w="25400">
                <a:solidFill>
                  <a:schemeClr val="bg1"/>
                </a:solidFill>
              </a:ln>
              <a:effectLst>
                <a:outerShdw blurRad="63500" sx="104000" sy="104000" algn="ctr" rotWithShape="0">
                  <a:schemeClr val="bg1">
                    <a:alpha val="33000"/>
                  </a:schemeClr>
                </a:outerShdw>
              </a:effectLst>
              <a:sp3d contourW="25400"/>
            </c:spPr>
          </c:dPt>
          <c:dPt>
            <c:idx val="2"/>
            <c:bubble3D val="0"/>
            <c:spPr>
              <a:solidFill>
                <a:schemeClr val="accent1">
                  <a:lumMod val="40000"/>
                  <a:lumOff val="60000"/>
                </a:schemeClr>
              </a:solidFill>
              <a:ln w="25400">
                <a:solidFill>
                  <a:schemeClr val="bg1"/>
                </a:solidFill>
              </a:ln>
              <a:effectLst>
                <a:outerShdw blurRad="63500" sx="104000" sy="104000" algn="ctr" rotWithShape="0">
                  <a:schemeClr val="bg1">
                    <a:alpha val="33000"/>
                  </a:schemeClr>
                </a:outerShdw>
              </a:effectLst>
              <a:sp3d contourW="25400"/>
            </c:spPr>
          </c:dPt>
          <c:dPt>
            <c:idx val="3"/>
            <c:bubble3D val="0"/>
            <c:spPr>
              <a:solidFill>
                <a:schemeClr val="accent1">
                  <a:lumMod val="20000"/>
                  <a:lumOff val="80000"/>
                </a:schemeClr>
              </a:solidFill>
              <a:ln w="25400">
                <a:solidFill>
                  <a:schemeClr val="bg1"/>
                </a:solidFill>
              </a:ln>
              <a:effectLst>
                <a:outerShdw blurRad="63500" sx="104000" sy="104000" algn="ctr" rotWithShape="0">
                  <a:schemeClr val="bg1">
                    <a:alpha val="33000"/>
                  </a:schemeClr>
                </a:outerShdw>
              </a:effectLst>
              <a:sp3d contourW="25400"/>
            </c:spPr>
          </c:dPt>
          <c:dPt>
            <c:idx val="4"/>
            <c:bubble3D val="0"/>
            <c:spPr>
              <a:solidFill>
                <a:schemeClr val="accent1">
                  <a:lumMod val="50000"/>
                </a:schemeClr>
              </a:solidFill>
              <a:ln w="25400">
                <a:solidFill>
                  <a:schemeClr val="bg1"/>
                </a:solidFill>
              </a:ln>
              <a:effectLst>
                <a:outerShdw blurRad="63500" sx="104000" sy="104000" algn="ctr" rotWithShape="0">
                  <a:schemeClr val="bg1">
                    <a:alpha val="33000"/>
                  </a:schemeClr>
                </a:outerShdw>
              </a:effectLst>
              <a:sp3d contourW="25400"/>
            </c:spPr>
          </c:dPt>
          <c:dPt>
            <c:idx val="5"/>
            <c:bubble3D val="0"/>
            <c:spPr>
              <a:solidFill>
                <a:schemeClr val="accent1">
                  <a:lumMod val="75000"/>
                </a:schemeClr>
              </a:solidFill>
              <a:ln w="25400">
                <a:solidFill>
                  <a:schemeClr val="bg1"/>
                </a:solidFill>
              </a:ln>
              <a:effectLst>
                <a:outerShdw blurRad="63500" sx="104000" sy="104000" algn="ctr" rotWithShape="0">
                  <a:schemeClr val="bg1">
                    <a:alpha val="33000"/>
                  </a:schemeClr>
                </a:outerShdw>
              </a:effectLst>
              <a:sp3d contourW="25400"/>
            </c:spPr>
          </c:dPt>
          <c:dPt>
            <c:idx val="6"/>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[工作簿1]Sheet1!$C$5:$C$11</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[工作簿1]Sheet1!$D$5:$D$11</c:f>
              <c:numCache>
                <c:formatCode>General</c:formatCode>
                <c:ptCount val="7"/>
                <c:pt idx="0">
                  <c:v>0</c:v>
                </c:pt>
                <c:pt idx="1">
                  <c:v>0</c:v>
                </c:pt>
                <c:pt idx="2">
                  <c:v>0</c:v>
                </c:pt>
                <c:pt idx="3">
                  <c:v>239.59</c:v>
                </c:pt>
                <c:pt idx="4">
                  <c:v>33.05</c:v>
                </c:pt>
                <c:pt idx="5">
                  <c:v>12.36</c:v>
                </c:pt>
                <c:pt idx="6">
                  <c:v>17.15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14c8286-a628-4f81-84d5-a400d77c6ded}"/>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“三公”经费财政拨款支出结构</a:t>
            </a:r>
          </a:p>
        </c:rich>
      </c:tx>
      <c:layout/>
      <c:overlay val="0"/>
      <c:spPr>
        <a:noFill/>
        <a:ln>
          <a:noFill/>
        </a:ln>
        <a:effectLst/>
      </c:spPr>
    </c:title>
    <c:autoTitleDeleted val="0"/>
    <c:plotArea>
      <c:layout/>
      <c:pieChart>
        <c:varyColors val="1"/>
        <c:ser>
          <c:idx val="0"/>
          <c:order val="0"/>
          <c:tx>
            <c:strRef>
              <c:f>[工作簿1]Sheet1!$D$5</c:f>
              <c:strCache>
                <c:ptCount val="1"/>
                <c:pt idx="0">
                  <c:v>2024</c:v>
                </c:pt>
              </c:strCache>
            </c:strRef>
          </c:tx>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Pt>
            <c:idx val="2"/>
            <c:bubble3D val="0"/>
            <c:spPr>
              <a:solidFill>
                <a:schemeClr val="accent3"/>
              </a:solidFill>
              <a:ln w="19050">
                <a:solidFill>
                  <a:schemeClr val="bg1"/>
                </a:solidFill>
              </a:ln>
              <a:effectLst>
                <a:outerShdw blurRad="63500" sx="102000" sy="102000" algn="ctr" rotWithShape="0">
                  <a:schemeClr val="accent3">
                    <a:lumMod val="75000"/>
                    <a:alpha val="40000"/>
                  </a:schemeClr>
                </a:outerShdw>
              </a:effectLst>
            </c:spPr>
          </c:dPt>
          <c:dLbls>
            <c:dLbl>
              <c:idx val="1"/>
              <c:layout/>
              <c:numFmt formatCode="General" sourceLinked="1"/>
              <c:spPr>
                <a:no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[工作簿1]Sheet1!$C$6:$C$8</c:f>
              <c:strCache>
                <c:ptCount val="3"/>
                <c:pt idx="0">
                  <c:v>公务用车购置及运行维护费支出</c:v>
                </c:pt>
                <c:pt idx="1">
                  <c:v>因公出国（境）费支出决算</c:v>
                </c:pt>
                <c:pt idx="2">
                  <c:v>公务接待费支出</c:v>
                </c:pt>
              </c:strCache>
            </c:strRef>
          </c:cat>
          <c:val>
            <c:numRef>
              <c:f>[工作簿1]Sheet1!$D$6:$D$8</c:f>
              <c:numCache>
                <c:formatCode>General</c:formatCode>
                <c:ptCount val="3"/>
                <c:pt idx="0">
                  <c:v>5.04</c:v>
                </c:pt>
                <c:pt idx="1">
                  <c:v>0</c:v>
                </c:pt>
                <c:pt idx="2">
                  <c:v>0</c:v>
                </c:pt>
              </c:numCache>
            </c:numRef>
          </c:val>
        </c:ser>
        <c:ser>
          <c:idx val="1"/>
          <c:order val="1"/>
          <c:tx>
            <c:strRef>
              <c:f>[工作簿1]Sheet1!$E$5</c:f>
              <c:strCache>
                <c:ptCount val="1"/>
                <c:pt idx="0">
                  <c:v>2023</c:v>
                </c:pt>
              </c:strCache>
            </c:strRef>
          </c:tx>
          <c:spPr>
            <a:ln w="19050">
              <a:solidFill>
                <a:schemeClr val="bg1"/>
              </a:solidFill>
            </a:ln>
            <a:effectLst>
              <a:outerShdw blurRad="63500" sx="102000" sy="102000" algn="ctr" rotWithShape="0">
                <a:schemeClr val="accent1">
                  <a:lumMod val="75000"/>
                  <a:alpha val="40000"/>
                </a:schemeClr>
              </a:outerShdw>
            </a:effectLst>
          </c:spPr>
          <c:explosion val="0"/>
          <c:dPt>
            <c:idx val="0"/>
            <c:bubble3D val="0"/>
            <c:explosion val="10"/>
            <c:spPr>
              <a:solidFill>
                <a:schemeClr val="accent1"/>
              </a:solidFill>
              <a:ln w="19050">
                <a:solidFill>
                  <a:schemeClr val="bg1"/>
                </a:solidFill>
              </a:ln>
              <a:effectLst>
                <a:outerShdw blurRad="63500" sx="102000" sy="102000" algn="ctr" rotWithShape="0">
                  <a:schemeClr val="accent1">
                    <a:lumMod val="75000"/>
                    <a:alpha val="40000"/>
                  </a:schemeClr>
                </a:outerShdw>
              </a:effectLst>
            </c:spPr>
          </c:dPt>
          <c:dPt>
            <c:idx val="1"/>
            <c:bubble3D val="0"/>
            <c:spPr>
              <a:solidFill>
                <a:schemeClr val="accent2"/>
              </a:solidFill>
              <a:ln w="19050">
                <a:solidFill>
                  <a:schemeClr val="bg1"/>
                </a:solidFill>
              </a:ln>
              <a:effectLst>
                <a:outerShdw blurRad="63500" sx="102000" sy="102000" algn="ctr" rotWithShape="0">
                  <a:schemeClr val="accent2">
                    <a:lumMod val="75000"/>
                    <a:alpha val="40000"/>
                  </a:schemeClr>
                </a:outerShdw>
              </a:effectLst>
            </c:spPr>
          </c:dPt>
          <c:dPt>
            <c:idx val="2"/>
            <c:bubble3D val="0"/>
            <c:spPr>
              <a:solidFill>
                <a:schemeClr val="accent3"/>
              </a:solidFill>
              <a:ln w="19050">
                <a:solidFill>
                  <a:schemeClr val="bg1"/>
                </a:solidFill>
              </a:ln>
              <a:effectLst>
                <a:outerShdw blurRad="63500" sx="102000" sy="102000" algn="ctr" rotWithShape="0">
                  <a:schemeClr val="accent3">
                    <a:lumMod val="75000"/>
                    <a:alpha val="4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[工作簿1]Sheet1!$C$6:$C$8</c:f>
              <c:strCache>
                <c:ptCount val="3"/>
                <c:pt idx="0">
                  <c:v>公务用车购置及运行维护费支出</c:v>
                </c:pt>
                <c:pt idx="1">
                  <c:v>因公出国（境）费支出决算</c:v>
                </c:pt>
                <c:pt idx="2">
                  <c:v>公务接待费支出</c:v>
                </c:pt>
              </c:strCache>
            </c:strRef>
          </c:cat>
          <c:val>
            <c:numRef>
              <c:f>[工作簿1]Sheet1!$E$6:$E$8</c:f>
              <c:numCache>
                <c:formatCode>General</c:formatCode>
                <c:ptCount val="3"/>
                <c:pt idx="0">
                  <c:v>6.98</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6ebdac25-1508-4582-a710-851dbf3da85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多彩-04">
    <a:dk1>
      <a:srgbClr val="000000"/>
    </a:dk1>
    <a:lt1>
      <a:srgbClr val="FFFFFF"/>
    </a:lt1>
    <a:dk2>
      <a:srgbClr val="000000"/>
    </a:dk2>
    <a:lt2>
      <a:srgbClr val="FEFFFF"/>
    </a:lt2>
    <a:accent1>
      <a:srgbClr val="FFB143"/>
    </a:accent1>
    <a:accent2>
      <a:srgbClr val="FE7B48"/>
    </a:accent2>
    <a:accent3>
      <a:srgbClr val="5FB6FF"/>
    </a:accent3>
    <a:accent4>
      <a:srgbClr val="3787FF"/>
    </a:accent4>
    <a:accent5>
      <a:srgbClr val="06BB9A"/>
    </a:accent5>
    <a:accent6>
      <a:srgbClr val="8E7EF1"/>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117">
    <a:dk1>
      <a:srgbClr val="000000"/>
    </a:dk1>
    <a:lt1>
      <a:srgbClr val="FFFFFF"/>
    </a:lt1>
    <a:dk2>
      <a:srgbClr val="44546A"/>
    </a:dk2>
    <a:lt2>
      <a:srgbClr val="E7E6E6"/>
    </a:lt2>
    <a:accent1>
      <a:srgbClr val="FF7E33"/>
    </a:accent1>
    <a:accent2>
      <a:srgbClr val="F0423E"/>
    </a:accent2>
    <a:accent3>
      <a:srgbClr val="6FBDFF"/>
    </a:accent3>
    <a:accent4>
      <a:srgbClr val="4F7FFF"/>
    </a:accent4>
    <a:accent5>
      <a:srgbClr val="FFC619"/>
    </a:accent5>
    <a:accent6>
      <a:srgbClr val="74B83D"/>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24037;&#20316;&#31807;1" TargetMode="External"/></Relationships>
</file>

<file path=word/webExtensions/webExtension1.xml><?xml version="1.0" encoding="utf-8"?>
<wpswe:webExtension xmlns:wpswe="http://www.wps.cn/officeDocument/2018/webExtension" xmlns:webet="https://web.wps.cn/et/2018/main" webet:type="Normal" type="0" webet:id="">
  <wpswe:extSource id="webchart" version="3.0"/>
  <wpswe:properties>
    <wpswe:property key="demoData" value="{&quot;category&quot;:[&quot;类别1&quot;,&quot;类别2&quot;,&quot;类别3&quot;,&quot;类别4&quot;],&quot;data&quot;:[[&quot;&quot;,&quot;系列1&quot;,&quot;系列2&quot;,&quot;系列3&quot;],[&quot;类别1&quot;,4,5,6],[&quot;类别2&quot;,3,4,5],[&quot;类别3&quot;,2,3,4],[&quot;类别4&quot;,1,2,3]],&quot;series&quot;:[&quot;系列1&quot;,&quot;系列2&quot;,&quot;系列3&quot;]}"/>
    <wpswe:property key="extStyle" value="{&quot;series&quot;:[{&quot;data&quot;:[[0,2,6],[1,2,5],[2,2,4],[3,2,3]],&quot;itemStyle&quot;:{&quot;color&quot;:{&quot;rgb&quot;:&quot;#00F5D4&quot;,&quot;row&quot;:0,&quot;themeIndex&quot;:14,&quot;type&quot;:0},&quot;opacity&quot;:0.85},&quot;name&quot;:&quot;系列3&quot;,&quot;shading&quot;:&quot;lambert&quot;,&quot;type&quot;:&quot;bar3D&quot;},{&quot;data&quot;:[[0,1,5],[1,1,4],[2,1,3],[3,1,2]],&quot;itemStyle&quot;:{&quot;color&quot;:{&quot;rgb&quot;:&quot;#00BBF9&quot;,&quot;row&quot;:0,&quot;themeIndex&quot;:13,&quot;type&quot;:0},&quot;opacity&quot;:0.85},&quot;name&quot;:&quot;系列2&quot;,&quot;shading&quot;:&quot;lambert&quot;,&quot;type&quot;:&quot;bar3D&quot;},{&quot;data&quot;:[[0,0,4],[1,0,3],[2,0,2],[3,0,1]],&quot;itemStyle&quot;:{&quot;color&quot;:{&quot;rgb&quot;:&quot;#9381FF&quot;,&quot;row&quot;:0,&quot;themeIndex&quot;:12,&quot;type&quot;:0},&quot;opacity&quot;:0.85},&quot;name&quot;:&quot;系列1&quot;,&quot;shading&quot;:&quot;lambert&quot;,&quot;type&quot;:&quot;bar3D&quot;}],&quot;tooltip&quot;:{&quot;backgroundColor&quot;:{&quot;rgb&quot;:&quot;rgba(51,51,51,0.7)&quot;,&quot;row&quot;:-1,&quot;themeIndex&quot;:-1,&quot;type&quot;:0},&quot;borderWidth&quot;:0,&quot;confine&quot;:true,&quot;extraCssText&quot;:&quot;max-width: calc(100vw - 36px); overflow: hidden; white-space: nowrap; text-overflow: ellipsis; margin-left: 8px;&quot;},&quot;xAxis3D&quot;:{&quot;axisLabel&quot;:{&quot;margin&quot;:20},&quot;splitLine&quot;:{&quot;interval&quot;:0}},&quot;yAxis3D&quot;:{&quot;axisLabel&quot;:{&quot;margin&quot;:8},&quot;splitLine&quot;:{&quot;interval&quot;:0}},&quot;zAxis3D&quot;:{&quot;axisLabel&quot;:{&quot;margin&quot;:20},&quot;splitLine&quot;:{&quot;interval&quot;:0}}}"/>
    <wpswe:property key="isUseCommonErrorPage" value="false"/>
    <wpswe:property key="loadingImage" value="res:/icons/WebChartLoading_et.svg"/>
    <wpswe:property key="renderer" value="echarts"/>
    <wpswe:property key="resId" value="40000078"/>
    <wpswe:property key="sourceTheme" value="{&quot;colors&quot;:[&quot;#000000&quot;,&quot;#ffffff&quot;,&quot;#44546a&quot;,&quot;#e7e6e6&quot;,&quot;#4874cb&quot;,&quot;#ee822f&quot;,&quot;#f2ba02&quot;,&quot;#75bd42&quot;,&quot;#30c0b4&quot;,&quot;#e54c5e&quot;,&quot;#0026e5&quot;,&quot;#7e1fad&quot;,&quot;#000000&quot;,&quot;#ffffff&quot;,&quot;#44546a&quot;,&quot;#e7e6e6&quot;],&quot;fonts&quot;:[&quot;Calibri Light&quot;,&quot;宋体&quot;,&quot;Calibri&quot;,&quot;宋体&quot;]}"/>
    <wpswe:property key="style" value="{&quot;animation&quot;:false,&quot;backgroundColor&quot;:{&quot;rgb&quot;:&quot;#FFFFFF&quot;,&quot;row&quot;:0,&quot;themeIndex&quot;:13,&quot;type&quot;:1},&quot;borderColor&quot;:{&quot;rgb&quot;:&quot;#D9D9D9&quot;,&quot;row&quot;:2,&quot;themeIndex&quot;:13,&quot;type&quot;:1},&quot;global&quot;:{&quot;text&quot;:{&quot;bold&quot;:0,&quot;font&quot;:{&quot;name&quot;:&quot;宋体&quot;,&quot;nameType&quot;:2,&quot;langType&quot;:3},&quot;fontSize&quot;:10,&quot;italic&quot;:0}},&quot;grid3D&quot;:{&quot;axisPointer&quot;:{&quot;show&quot;:false},&quot;light&quot;:{&quot;main&quot;:{&quot;alpha&quot;:30,&quot;beta&quot;:10,&quot;intensity&quot;:0.75}},&quot;viewControl&quot;:{&quot;alpha&quot;:7,&quot;beta&quot;:20,&quot;projection&quot;:&quot;orthographic&quot;,&quot;rAngAx&quot;:true,&quot;rotateSensitivity&quot;:0,&quot;zoomSensitivity&quot;:0}},&quot;interval&quot;:5,&quot;isTransformDateAxis&quot;:0,&quot;label&quot;:{&quot;show&quot;:true,&quot;textStyle&quot;:{&quot;color&quot;:{&quot;rgb&quot;:&quot;#404040&quot;,&quot;row&quot;:3,&quot;themeIndex&quot;:12,&quot;type&quot;:1},&quot;fontFamily&quot;:{&quot;name&quot;:&quot;宋体&quot;,&quot;themeIndex&quot;:3,&quot;type&quot;:1},&quot;fontSize&quot;:9,&quot;fontStyle&quot;:&quot;normal&quot;,&quot;fontWeight&quot;:&quot;noraml&quot;}},&quot;legend&quot;:{&quot;position&quot;:&quot;bottomCenter&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max&quot;:305,&quot;min&quot;:280,&quot;seriesThemeColor&quot;:[&quot;#9381FF&quot;,&quot;#00BBF9&quot;,&quot;#00F5D4&quot;,&quot;#FE9C54&quot;,&quot;#FF735F&quot;,&quot;#FACF35&quot;],&quot;title&quot;:{&quot;position&quot;:&quot;topCenter&quot;,&quot;show&quot;:true,&quot;text&quot;:&quot;收入、支出决算总计变动情况图&quot;,&quot;textStyle&quot;:{&quot;color&quot;:{&quot;rgb&quot;:&quot;#404040&quot;,&quot;row&quot;:3,&quot;themeIndex&quot;:12,&quot;type&quot;:1},&quot;fontFamily&quot;:{&quot;name&quot;:&quot;宋体&quot;,&quot;themeIndex&quot;:3,&quot;type&quot;:1},&quot;fontSize&quot;:14,&quot;fontStyle&quot;:&quot;normal&quot;,&quot;fontWeight&quot;:&quot;bold&quot;}},&quot;tooltip&quot;:{&quot;show&quot;:true,&quot;textStyle&quot;:{&quot;color&quot;:{&quot;rgb&quot;:&quot;#FFFFFF&quot;,&quot;row&quot;:-1,&quot;themeIndex&quot;:-1,&quot;type&quot;:0},&quot;fontFamily&quot;:{&quot;name&quot;:&quot;宋体&quot;,&quot;themeIndex&quot;:3,&quot;type&quot;:1},&quot;fontSize&quot;:9,&quot;fontStyle&quot;:&quot;normal&quot;,&quot;fontWeight&quot;:&quot;normal&quot;}},&quot;xAxis&quot;:{&quot;axisLabel&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axisLine&quot;:{&quot;lineStyle&quot;:{&quot;color&quot;:{&quot;rgb&quot;:&quot;#D9D9D9&quot;,&quot;row&quot;:2,&quot;themeIndex&quot;:13,&quot;type&quot;:1},&quot;width&quot;:1},&quot;show&quot;:true},&quot;axisTick&quot;:{&quot;show&quot;:false},&quot;data&quot;:[&quot;类别1&quot;,&quot;类别2&quot;,&quot;类别3&quot;,&quot;类别4&quot;],&quot;name&quot;:{&quot;show&quot;:false,&quot;text&quot;:&quot;X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D9D9D9&quot;,&quot;row&quot;:2,&quot;themeIndex&quot;:13,&quot;type&quot;:1},&quot;width&quot;:1},&quot;show&quot;:false},&quot;type&quot;:&quot;category&quot;},&quot;yAxis&quot;:{&quot;axisLabel&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axisLine&quot;:{&quot;lineStyle&quot;:{&quot;color&quot;:{&quot;rgb&quot;:&quot;#D9D9D9&quot;,&quot;row&quot;:2,&quot;themeIndex&quot;:13,&quot;type&quot;:1},&quot;width&quot;:1},&quot;show&quot;:true},&quot;axisTick&quot;:{&quot;show&quot;:false},&quot;data&quot;:[&quot;系列1&quot;,&quot;系列2&quot;,&quot;系列3&quot;],&quot;name&quot;:{&quot;show&quot;:false,&quot;text&quot;:&quot;Y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D9D9D9&quot;,&quot;row&quot;:2,&quot;themeIndex&quot;:13,&quot;type&quot;:1},&quot;width&quot;:1},&quot;show&quot;:false},&quot;type&quot;:&quot;category&quot;},&quot;zAxis&quot;:{&quot;axisLabel&quot;:{&quot;show&quot;:true,&quot;textStyle&quot;:{&quot;color&quot;:{&quot;rgb&quot;:&quot;#595959&quot;,&quot;row&quot;:2,&quot;themeIndex&quot;:12,&quot;type&quot;:1},&quot;fontFamily&quot;:{&quot;name&quot;:&quot;宋体&quot;,&quot;themeIndex&quot;:3,&quot;type&quot;:1},&quot;fontSize&quot;:9,&quot;fontStyle&quot;:&quot;normal&quot;,&quot;fontWeight&quot;:&quot;normal&quot;}},&quot;axisLine&quot;:{&quot;lineStyle&quot;:{&quot;color&quot;:{&quot;rgb&quot;:&quot;#D9D9D9&quot;,&quot;row&quot;:2,&quot;themeIndex&quot;:13,&quot;type&quot;:1},&quot;width&quot;:1},&quot;show&quot;:false},&quot;axisTick&quot;:{&quot;show&quot;:false},&quot;name&quot;:{&quot;show&quot;:false,&quot;text&quot;:&quot;Z轴&quot;,&quot;textStyle&quot;:{&quot;color&quot;:{&quot;rgb&quot;:&quot;#595959&quot;,&quot;row&quot;:2,&quot;themeIndex&quot;:12,&quot;type&quot;:1},&quot;fontFamily&quot;:{&quot;name&quot;:&quot;宋体&quot;,&quot;themeIndex&quot;:3,&quot;type&quot;:1},&quot;fontSize&quot;:9,&quot;fontStyle&quot;:&quot;normal&quot;,&quot;fontWeight&quot;:&quot;normal&quot;}},&quot;splitLine&quot;:{&quot;lineStyle&quot;:{&quot;color&quot;:{&quot;rgb&quot;:&quot;#D9D9D9&quot;,&quot;row&quot;:2,&quot;themeIndex&quot;:13,&quot;type&quot;:1},&quot;width&quot;:1},&quot;show&quot;:true}},&quot;divideType&quot;:&quot;leftTop&quot;,&quot;max_origin&quot;:305,&quot;min_origin&quot;:280,&quot;interval_origin&quot;:5,&quot;seriesDir&quot;:&quot;row&quot;}"/>
    <wpswe:property key="themeOverride" value="false"/>
    <wpswe:property key="type" value="3d-column"/>
  </wpswe:properties>
  <wpswe:watchingCache>
    <wpswe:linkPath>工作簿1</wpswe:linkPath>
    <wpswe:dataRange>
      <wpswe:key>webchart</wpswe:key>
      <wpswe:context>Sheet1!$A$5:$C$7</wpswe:context>
      <wpswe:count>3</wpswe:count>
      <wpswe:cells wpswe:idx="0">
        <wpswe:count>3</wpswe:count>
        <wpswe:formatCode>General</wpswe:formatCode>
        <wpswe:cell wpswe:idx="1" wpswe:formatCode="General">
          <wpswe:value>收入</wpswe:value>
        </wpswe:cell>
        <wpswe:cell wpswe:idx="2" wpswe:formatCode="General">
          <wpswe:value>支出</wpswe:value>
        </wpswe:cell>
      </wpswe:cells>
      <wpswe:cells wpswe:idx="1">
        <wpswe:count>3</wpswe:count>
        <wpswe:formatCode>General</wpswe:formatCode>
        <wpswe:cell wpswe:idx="0">
          <wpswe:value>2024</wpswe:value>
        </wpswe:cell>
        <wpswe:cell wpswe:idx="1">
          <wpswe:value>302.15</wpswe:value>
        </wpswe:cell>
        <wpswe:cell wpswe:idx="2">
          <wpswe:value>302.15</wpswe:value>
        </wpswe:cell>
      </wpswe:cells>
      <wpswe:cells wpswe:idx="2">
        <wpswe:count>3</wpswe:count>
        <wpswe:formatCode>General</wpswe:formatCode>
        <wpswe:cell wpswe:idx="0">
          <wpswe:value>2023</wpswe:value>
        </wpswe:cell>
        <wpswe:cell wpswe:idx="1">
          <wpswe:value>289.54</wpswe:value>
        </wpswe:cell>
        <wpswe:cell wpswe:idx="2">
          <wpswe:value>289.54</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https://clientweb.docer.wps.cn/web-chart/v1/web-shape.html#/home</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12346</Words>
  <Characters>13557</Characters>
  <Lines>60</Lines>
  <Paragraphs>17</Paragraphs>
  <TotalTime>40</TotalTime>
  <ScaleCrop>false</ScaleCrop>
  <LinksUpToDate>false</LinksUpToDate>
  <CharactersWithSpaces>13595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傻丫头</cp:lastModifiedBy>
  <cp:lastPrinted>2025-09-15T09:37:00Z</cp:lastPrinted>
  <dcterms:modified xsi:type="dcterms:W3CDTF">2025-09-17T08:35:28Z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F301273D264342EBB4DEFE7207F38D1B_13</vt:lpwstr>
  </property>
  <property fmtid="{D5CDD505-2E9C-101B-9397-08002B2CF9AE}" pid="4" name="KSOTemplateDocerSaveRecord">
    <vt:lpwstr>eyJoZGlkIjoiZTJkOTAyZmQ5MWI0YjJlNjYxOTlmNDM1YThjYmNhODgiLCJ1c2VySWQiOiI1Njg1OTQyNzYifQ==</vt:lpwstr>
  </property>
</Properties>
</file>