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webExtensions/webExtension1.xml" ContentType="application/vnd.wps-officedocument.webExtension+xml"/>
  <Override PartName="/word/webExtensions/webExtension2.xml" ContentType="application/vnd.wps-officedocument.webExtension+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EC909">
      <w:pPr>
        <w:pStyle w:val="5"/>
        <w:pageBreakBefore w:val="0"/>
        <w:kinsoku/>
        <w:wordWrap/>
        <w:overflowPunct/>
        <w:topLinePunct w:val="0"/>
        <w:autoSpaceDE/>
        <w:autoSpaceDN/>
        <w:bidi w:val="0"/>
        <w:spacing w:line="240" w:lineRule="auto"/>
        <w:textAlignment w:val="auto"/>
        <w:rPr>
          <w:rFonts w:hint="eastAsia" w:ascii="黑体" w:hAnsi="黑体" w:eastAsia="黑体" w:cs="黑体"/>
          <w:color w:val="auto"/>
          <w:kern w:val="2"/>
          <w:sz w:val="32"/>
          <w:szCs w:val="32"/>
          <w:highlight w:val="none"/>
          <w:lang w:val="en-US" w:eastAsia="zh-CN" w:bidi="ar-SA"/>
        </w:rPr>
      </w:pPr>
      <w:bookmarkStart w:id="0" w:name="_Toc15377193"/>
      <w:bookmarkStart w:id="1" w:name="_Toc15396475"/>
      <w:bookmarkStart w:id="2" w:name="_Toc15377425"/>
      <w:bookmarkStart w:id="3" w:name="_Toc15396597"/>
      <w:bookmarkStart w:id="4" w:name="_Toc15378441"/>
      <w:bookmarkStart w:id="5" w:name="_Toc15306267"/>
      <w:r>
        <w:rPr>
          <w:rFonts w:hint="eastAsia" w:ascii="黑体" w:hAnsi="黑体" w:eastAsia="黑体" w:cs="黑体"/>
          <w:color w:val="auto"/>
          <w:kern w:val="2"/>
          <w:sz w:val="32"/>
          <w:szCs w:val="32"/>
          <w:highlight w:val="none"/>
          <w:lang w:val="en-US" w:eastAsia="zh-CN" w:bidi="ar-SA"/>
        </w:rPr>
        <w:t>附件4</w:t>
      </w:r>
    </w:p>
    <w:p w14:paraId="48439689">
      <w:pPr>
        <w:pStyle w:val="5"/>
        <w:pageBreakBefore w:val="0"/>
        <w:kinsoku/>
        <w:wordWrap/>
        <w:overflowPunct/>
        <w:topLinePunct w:val="0"/>
        <w:autoSpaceDE/>
        <w:autoSpaceDN/>
        <w:bidi w:val="0"/>
        <w:spacing w:line="240" w:lineRule="auto"/>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30F1EED1">
      <w:pPr>
        <w:pStyle w:val="5"/>
        <w:pageBreakBefore w:val="0"/>
        <w:kinsoku/>
        <w:wordWrap/>
        <w:overflowPunct/>
        <w:topLinePunct w:val="0"/>
        <w:autoSpaceDE/>
        <w:autoSpaceDN/>
        <w:bidi w:val="0"/>
        <w:spacing w:line="240" w:lineRule="auto"/>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6E71B645">
      <w:pPr>
        <w:pStyle w:val="5"/>
        <w:pageBreakBefore w:val="0"/>
        <w:kinsoku/>
        <w:wordWrap/>
        <w:overflowPunct/>
        <w:topLinePunct w:val="0"/>
        <w:autoSpaceDE/>
        <w:autoSpaceDN/>
        <w:bidi w:val="0"/>
        <w:spacing w:line="240" w:lineRule="auto"/>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70E85226">
      <w:pPr>
        <w:pStyle w:val="5"/>
        <w:pageBreakBefore w:val="0"/>
        <w:kinsoku/>
        <w:wordWrap/>
        <w:overflowPunct/>
        <w:topLinePunct w:val="0"/>
        <w:autoSpaceDE/>
        <w:autoSpaceDN/>
        <w:bidi w:val="0"/>
        <w:spacing w:line="240" w:lineRule="auto"/>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5F3B1A1F">
      <w:pPr>
        <w:pStyle w:val="5"/>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2025年度州</w:t>
      </w:r>
      <w:r>
        <w:rPr>
          <w:rFonts w:hint="eastAsia" w:ascii="Times New Roman" w:hAnsi="Times New Roman" w:eastAsia="方正小标宋简体" w:cs="Times New Roman"/>
          <w:color w:val="auto"/>
          <w:kern w:val="2"/>
          <w:sz w:val="44"/>
          <w:szCs w:val="44"/>
          <w:highlight w:val="none"/>
          <w:lang w:val="en-US" w:eastAsia="zh-CN" w:bidi="ar-SA"/>
        </w:rPr>
        <w:t>级部门</w:t>
      </w:r>
      <w:r>
        <w:rPr>
          <w:rFonts w:hint="eastAsia" w:ascii="Times New Roman" w:eastAsia="方正小标宋简体" w:cs="Times New Roman"/>
          <w:color w:val="auto"/>
          <w:kern w:val="2"/>
          <w:sz w:val="44"/>
          <w:szCs w:val="44"/>
          <w:highlight w:val="none"/>
          <w:lang w:val="en-US" w:eastAsia="zh-CN" w:bidi="ar-SA"/>
        </w:rPr>
        <w:t>草地杂志社</w:t>
      </w:r>
      <w:r>
        <w:rPr>
          <w:rFonts w:hint="eastAsia" w:ascii="Times New Roman" w:hAnsi="Times New Roman" w:eastAsia="方正小标宋简体" w:cs="Times New Roman"/>
          <w:color w:val="auto"/>
          <w:kern w:val="2"/>
          <w:sz w:val="44"/>
          <w:szCs w:val="44"/>
          <w:highlight w:val="none"/>
          <w:lang w:val="en-US" w:eastAsia="zh-CN" w:bidi="ar-SA"/>
        </w:rPr>
        <w:t>决算</w:t>
      </w:r>
    </w:p>
    <w:p w14:paraId="22191295">
      <w:pPr>
        <w:pStyle w:val="5"/>
        <w:pageBreakBefore w:val="0"/>
        <w:kinsoku/>
        <w:wordWrap/>
        <w:overflowPunct/>
        <w:topLinePunct w:val="0"/>
        <w:autoSpaceDE/>
        <w:autoSpaceDN/>
        <w:bidi w:val="0"/>
        <w:spacing w:line="240" w:lineRule="auto"/>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2349B97F">
      <w:pPr>
        <w:pageBreakBefore w:val="0"/>
        <w:kinsoku/>
        <w:wordWrap/>
        <w:overflowPunct/>
        <w:topLinePunct w:val="0"/>
        <w:autoSpaceDE/>
        <w:autoSpaceDN/>
        <w:bidi w:val="0"/>
        <w:spacing w:line="240" w:lineRule="auto"/>
        <w:jc w:val="center"/>
        <w:textAlignment w:val="auto"/>
        <w:outlineLvl w:val="0"/>
        <w:rPr>
          <w:rFonts w:ascii="Times New Roman" w:hAnsi="Times New Roman" w:eastAsia="方正小标宋简体"/>
          <w:color w:val="auto"/>
          <w:sz w:val="72"/>
          <w:szCs w:val="72"/>
          <w:highlight w:val="none"/>
        </w:rPr>
      </w:pPr>
    </w:p>
    <w:p w14:paraId="292A6B03">
      <w:pPr>
        <w:pStyle w:val="20"/>
        <w:pageBreakBefore w:val="0"/>
        <w:kinsoku/>
        <w:wordWrap/>
        <w:overflowPunct/>
        <w:topLinePunct w:val="0"/>
        <w:autoSpaceDE/>
        <w:autoSpaceDN/>
        <w:bidi w:val="0"/>
        <w:spacing w:line="240" w:lineRule="auto"/>
        <w:textAlignment w:val="auto"/>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0D62AFB">
      <w:pPr>
        <w:pageBreakBefore w:val="0"/>
        <w:kinsoku/>
        <w:wordWrap/>
        <w:overflowPunct/>
        <w:topLinePunct w:val="0"/>
        <w:autoSpaceDE/>
        <w:autoSpaceDN/>
        <w:bidi w:val="0"/>
        <w:spacing w:line="240" w:lineRule="auto"/>
        <w:textAlignment w:val="auto"/>
        <w:rPr>
          <w:rFonts w:ascii="Times New Roman" w:hAnsi="Times New Roman"/>
        </w:rPr>
      </w:pPr>
    </w:p>
    <w:p w14:paraId="60FA8CF4">
      <w:pPr>
        <w:pStyle w:val="5"/>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53C8DC82">
      <w:pPr>
        <w:pStyle w:val="5"/>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4BDDC6CA">
      <w:pPr>
        <w:pStyle w:val="5"/>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p w14:paraId="6448F64E">
      <w:pPr>
        <w:pStyle w:val="5"/>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C9ECADC">
      <w:pPr>
        <w:pStyle w:val="5"/>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78442"/>
      <w:bookmarkStart w:id="8" w:name="_Toc15396598"/>
      <w:bookmarkStart w:id="9" w:name="_Toc15396476"/>
      <w:bookmarkStart w:id="10" w:name="_Toc15377426"/>
      <w:r>
        <w:rPr>
          <w:rFonts w:hint="eastAsia" w:ascii="Times New Roman" w:eastAsia="方正小标宋简体" w:cs="Times New Roman"/>
          <w:color w:val="auto"/>
          <w:kern w:val="2"/>
          <w:sz w:val="44"/>
          <w:szCs w:val="44"/>
          <w:highlight w:val="none"/>
          <w:lang w:val="en-US" w:eastAsia="zh-CN" w:bidi="ar-SA"/>
        </w:rPr>
        <w:t>2025年度阿坝州</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草地杂志社</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r>
        <w:rPr>
          <w:rFonts w:hint="eastAsia" w:ascii="Times New Roman" w:eastAsia="方正小标宋简体" w:cs="Times New Roman"/>
          <w:color w:val="auto"/>
          <w:kern w:val="2"/>
          <w:sz w:val="44"/>
          <w:szCs w:val="44"/>
          <w:highlight w:val="none"/>
          <w:lang w:val="en-US" w:eastAsia="zh-CN" w:bidi="ar-SA"/>
        </w:rPr>
        <w:t>公开</w:t>
      </w:r>
    </w:p>
    <w:p w14:paraId="2C2D7C1D">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2CB118F1">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4B7E7132">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530D9B29">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30DF6E2F">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688A99DB">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0BE1186D">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46AC42F4">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52CD495F">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4303EDDA">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52C183F1">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2E2552BC">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47D55C69">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1C1FC902">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6B8758E7">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黑体"/>
          <w:color w:val="auto"/>
          <w:sz w:val="48"/>
          <w:szCs w:val="48"/>
          <w:highlight w:val="none"/>
        </w:rPr>
      </w:pPr>
    </w:p>
    <w:p w14:paraId="72B89E4D">
      <w:pPr>
        <w:pageBreakBefore w:val="0"/>
        <w:widowControl/>
        <w:kinsoku/>
        <w:wordWrap/>
        <w:overflowPunct/>
        <w:topLinePunct w:val="0"/>
        <w:autoSpaceDE/>
        <w:autoSpaceDN/>
        <w:bidi w:val="0"/>
        <w:spacing w:line="240" w:lineRule="auto"/>
        <w:jc w:val="center"/>
        <w:textAlignment w:val="auto"/>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0F94C13">
      <w:pPr>
        <w:pageBreakBefore w:val="0"/>
        <w:widowControl/>
        <w:kinsoku/>
        <w:wordWrap/>
        <w:overflowPunct/>
        <w:topLinePunct w:val="0"/>
        <w:autoSpaceDE/>
        <w:autoSpaceDN/>
        <w:bidi w:val="0"/>
        <w:spacing w:line="240" w:lineRule="auto"/>
        <w:jc w:val="center"/>
        <w:textAlignment w:val="auto"/>
        <w:rPr>
          <w:rFonts w:ascii="Times New Roman" w:hAnsi="Times New Roman" w:eastAsia="黑体" w:cstheme="minorBidi"/>
          <w:color w:val="auto"/>
          <w:sz w:val="28"/>
          <w:szCs w:val="28"/>
          <w:highlight w:val="none"/>
        </w:rPr>
      </w:pPr>
    </w:p>
    <w:p w14:paraId="7EEA1B10">
      <w:pPr>
        <w:pStyle w:val="12"/>
        <w:pageBreakBefore w:val="0"/>
        <w:kinsoku/>
        <w:wordWrap/>
        <w:overflowPunct/>
        <w:topLinePunct w:val="0"/>
        <w:autoSpaceDE/>
        <w:autoSpaceDN/>
        <w:bidi w:val="0"/>
        <w:spacing w:line="240" w:lineRule="auto"/>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日</w:t>
      </w:r>
    </w:p>
    <w:p w14:paraId="26D0F943">
      <w:pPr>
        <w:pageBreakBefore w:val="0"/>
        <w:kinsoku/>
        <w:wordWrap/>
        <w:overflowPunct/>
        <w:topLinePunct w:val="0"/>
        <w:autoSpaceDE/>
        <w:autoSpaceDN/>
        <w:bidi w:val="0"/>
        <w:spacing w:line="240" w:lineRule="auto"/>
        <w:textAlignment w:val="auto"/>
        <w:rPr>
          <w:rFonts w:ascii="Times New Roman" w:hAnsi="Times New Roman"/>
          <w:color w:val="auto"/>
          <w:highlight w:val="none"/>
        </w:rPr>
      </w:pPr>
    </w:p>
    <w:p w14:paraId="42E987A8">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p>
    <w:p w14:paraId="7400536E">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单位</w:t>
      </w:r>
      <w:r>
        <w:rPr>
          <w:rFonts w:hint="eastAsia" w:ascii="Times New Roman" w:hAnsi="Times New Roman" w:eastAsia="仿宋_GB2312" w:cs="仿宋_GB2312"/>
          <w:color w:val="auto"/>
          <w:sz w:val="32"/>
          <w:szCs w:val="32"/>
          <w:highlight w:val="none"/>
          <w:lang w:eastAsia="zh-CN"/>
        </w:rPr>
        <w:t>职责</w:t>
      </w:r>
    </w:p>
    <w:p w14:paraId="50935E99">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F9B4863">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p>
    <w:p w14:paraId="2D8BFCF0">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2DCB556">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A598DCA">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AD8835B">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86916F6">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388FD11">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8A7BE26">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66BD3D6">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F0365D6">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9F7EAC0">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50CE2F7">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D986B9C">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1CF04FD">
      <w:pPr>
        <w:pStyle w:val="12"/>
        <w:keepNext w:val="0"/>
        <w:keepLines w:val="0"/>
        <w:pageBreakBefore w:val="0"/>
        <w:kinsoku/>
        <w:wordWrap/>
        <w:overflowPunct/>
        <w:topLinePunct w:val="0"/>
        <w:autoSpaceDE/>
        <w:autoSpaceDN/>
        <w:bidi w:val="0"/>
        <w:adjustRightInd w:val="0"/>
        <w:snapToGrid w:val="0"/>
        <w:spacing w:before="0" w:line="240" w:lineRule="auto"/>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6D46CD2">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B051463">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7D975C3">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B0FCE3A">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2A53D58">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9F718F9">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94F21A1">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A3B2AC9">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66C4BCE">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36D1C96">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20024AB">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441A262">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073B6F6">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BE49419">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C37DBA0">
      <w:pPr>
        <w:keepNext w:val="0"/>
        <w:keepLines w:val="0"/>
        <w:pageBreakBefore w:val="0"/>
        <w:widowControl/>
        <w:kinsoku/>
        <w:wordWrap/>
        <w:overflowPunct/>
        <w:topLinePunct w:val="0"/>
        <w:autoSpaceDE/>
        <w:autoSpaceDN/>
        <w:bidi w:val="0"/>
        <w:spacing w:line="240" w:lineRule="auto"/>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5E7063D0">
      <w:pPr>
        <w:pStyle w:val="2"/>
        <w:pageBreakBefore w:val="0"/>
        <w:kinsoku/>
        <w:wordWrap/>
        <w:overflowPunct/>
        <w:topLinePunct w:val="0"/>
        <w:autoSpaceDE/>
        <w:autoSpaceDN/>
        <w:bidi w:val="0"/>
        <w:spacing w:line="240" w:lineRule="auto"/>
        <w:jc w:val="center"/>
        <w:textAlignment w:val="auto"/>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eastAsia="zh-CN"/>
        </w:rPr>
        <w:t>单位</w:t>
      </w:r>
      <w:r>
        <w:rPr>
          <w:rStyle w:val="29"/>
          <w:rFonts w:hint="eastAsia" w:ascii="Times New Roman" w:hAnsi="Times New Roman" w:eastAsia="方正小标宋简体" w:cs="方正小标宋简体"/>
          <w:b w:val="0"/>
          <w:bCs w:val="0"/>
          <w:color w:val="auto"/>
          <w:highlight w:val="none"/>
        </w:rPr>
        <w:t>概况</w:t>
      </w:r>
      <w:bookmarkEnd w:id="12"/>
      <w:bookmarkEnd w:id="13"/>
    </w:p>
    <w:p w14:paraId="00CBD749">
      <w:pPr>
        <w:pageBreakBefore w:val="0"/>
        <w:widowControl/>
        <w:kinsoku/>
        <w:wordWrap/>
        <w:overflowPunct/>
        <w:topLinePunct w:val="0"/>
        <w:autoSpaceDE/>
        <w:autoSpaceDN/>
        <w:bidi w:val="0"/>
        <w:spacing w:line="240" w:lineRule="auto"/>
        <w:jc w:val="left"/>
        <w:textAlignment w:val="auto"/>
        <w:rPr>
          <w:rFonts w:ascii="Times New Roman" w:hAnsi="Times New Roman" w:eastAsia="黑体"/>
          <w:color w:val="auto"/>
          <w:sz w:val="32"/>
          <w:szCs w:val="32"/>
          <w:highlight w:val="none"/>
        </w:rPr>
      </w:pPr>
    </w:p>
    <w:p w14:paraId="3E79FC6C">
      <w:pPr>
        <w:pStyle w:val="3"/>
        <w:pageBreakBefore w:val="0"/>
        <w:numPr>
          <w:ilvl w:val="0"/>
          <w:numId w:val="1"/>
        </w:numPr>
        <w:kinsoku/>
        <w:wordWrap/>
        <w:overflowPunct/>
        <w:topLinePunct w:val="0"/>
        <w:autoSpaceDE/>
        <w:autoSpaceDN/>
        <w:bidi w:val="0"/>
        <w:spacing w:line="240" w:lineRule="auto"/>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单位职责</w:t>
      </w:r>
    </w:p>
    <w:p w14:paraId="33D1821C">
      <w:pPr>
        <w:pStyle w:val="5"/>
        <w:pageBreakBefore w:val="0"/>
        <w:kinsoku/>
        <w:wordWrap/>
        <w:overflowPunct/>
        <w:topLinePunct w:val="0"/>
        <w:autoSpaceDE/>
        <w:autoSpaceDN/>
        <w:bidi w:val="0"/>
        <w:adjustRightInd w:val="0"/>
        <w:snapToGrid w:val="0"/>
        <w:spacing w:before="93" w:line="240" w:lineRule="auto"/>
        <w:ind w:firstLine="640" w:firstLineChars="200"/>
        <w:textAlignment w:val="auto"/>
      </w:pPr>
      <w:r>
        <w:rPr>
          <w:rFonts w:ascii="Times New Roman" w:hAnsi="Times New Roman" w:eastAsia="方正仿宋_GBK"/>
          <w:bCs/>
          <w:color w:val="000000"/>
          <w:sz w:val="32"/>
          <w:szCs w:val="32"/>
        </w:rPr>
        <w:t>本单位主要职能是：编发文学作品，弘扬民族文学，刊发小说、诗歌、散文、杂文、评论、报告文学等。出版汉文版《草地》藏文版《邦炯》杂志。密切联系全州各县文学爱好者，对个别年轻作者做好重点交流和培养，做好作品推荐工作。</w:t>
      </w:r>
    </w:p>
    <w:p w14:paraId="74A5CECB">
      <w:pPr>
        <w:pStyle w:val="3"/>
        <w:pageBreakBefore w:val="0"/>
        <w:kinsoku/>
        <w:wordWrap/>
        <w:overflowPunct/>
        <w:topLinePunct w:val="0"/>
        <w:autoSpaceDE/>
        <w:autoSpaceDN/>
        <w:bidi w:val="0"/>
        <w:spacing w:line="240" w:lineRule="auto"/>
        <w:textAlignment w:val="auto"/>
        <w:rPr>
          <w:rStyle w:val="30"/>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6ED37B57">
      <w:pPr>
        <w:pageBreakBefore w:val="0"/>
        <w:numPr>
          <w:ilvl w:val="0"/>
          <w:numId w:val="0"/>
        </w:numPr>
        <w:kinsoku/>
        <w:wordWrap/>
        <w:overflowPunct/>
        <w:topLinePunct w:val="0"/>
        <w:autoSpaceDE/>
        <w:autoSpaceDN/>
        <w:bidi w:val="0"/>
        <w:spacing w:line="240" w:lineRule="auto"/>
        <w:ind w:firstLine="640" w:firstLineChars="200"/>
        <w:textAlignment w:val="auto"/>
        <w:rPr>
          <w:rFonts w:eastAsia="仿宋_GB2312" w:cs="仿宋_GB2312"/>
          <w:sz w:val="32"/>
          <w:szCs w:val="32"/>
        </w:rPr>
      </w:pPr>
      <w:r>
        <w:rPr>
          <w:rFonts w:hint="eastAsia" w:eastAsia="方正仿宋_GBK"/>
          <w:bCs/>
          <w:color w:val="000000"/>
          <w:sz w:val="32"/>
          <w:szCs w:val="32"/>
          <w:lang w:eastAsia="zh-CN"/>
        </w:rPr>
        <w:t>草地杂志社</w:t>
      </w:r>
      <w:r>
        <w:rPr>
          <w:rFonts w:ascii="Times New Roman" w:hAnsi="Times New Roman" w:eastAsia="方正仿宋_GBK"/>
          <w:bCs/>
          <w:color w:val="000000"/>
          <w:sz w:val="32"/>
          <w:szCs w:val="32"/>
        </w:rPr>
        <w:t>单位属</w:t>
      </w:r>
      <w:r>
        <w:rPr>
          <w:rFonts w:hint="eastAsia" w:eastAsia="方正仿宋_GBK"/>
          <w:bCs/>
          <w:color w:val="000000"/>
          <w:sz w:val="32"/>
          <w:szCs w:val="32"/>
          <w:lang w:eastAsia="zh-CN"/>
        </w:rPr>
        <w:t>二</w:t>
      </w:r>
      <w:r>
        <w:rPr>
          <w:rFonts w:ascii="Times New Roman" w:hAnsi="Times New Roman" w:eastAsia="方正仿宋_GBK"/>
          <w:bCs/>
          <w:color w:val="000000"/>
          <w:sz w:val="32"/>
          <w:szCs w:val="32"/>
        </w:rPr>
        <w:t>级预算单位，下属二级预算单位0个，其中：行政单位0个；参照公务员法管理的事业单位0个；其他事业单位1个。</w:t>
      </w:r>
    </w:p>
    <w:p w14:paraId="67060DE8">
      <w:pPr>
        <w:pStyle w:val="5"/>
        <w:pageBreakBefore w:val="0"/>
        <w:kinsoku/>
        <w:wordWrap/>
        <w:overflowPunct/>
        <w:topLinePunct w:val="0"/>
        <w:autoSpaceDE/>
        <w:autoSpaceDN/>
        <w:bidi w:val="0"/>
        <w:adjustRightInd w:val="0"/>
        <w:snapToGrid w:val="0"/>
        <w:spacing w:before="93" w:line="240" w:lineRule="auto"/>
        <w:ind w:firstLine="672" w:firstLineChars="210"/>
        <w:textAlignment w:val="auto"/>
        <w:rPr>
          <w:rFonts w:ascii="Times New Roman" w:cs="仿宋_GB2312"/>
          <w:sz w:val="32"/>
          <w:szCs w:val="32"/>
        </w:rPr>
      </w:pPr>
      <w:r>
        <w:rPr>
          <w:rFonts w:hint="eastAsia" w:ascii="Times New Roman" w:cs="仿宋_GB2312"/>
          <w:sz w:val="32"/>
          <w:szCs w:val="32"/>
        </w:rPr>
        <w:t>纳入</w:t>
      </w:r>
      <w:r>
        <w:rPr>
          <w:rFonts w:hint="eastAsia"/>
          <w:sz w:val="32"/>
          <w:szCs w:val="32"/>
          <w:lang w:eastAsia="zh-CN"/>
        </w:rPr>
        <w:t>州文联</w:t>
      </w:r>
      <w:r>
        <w:rPr>
          <w:rFonts w:hint="eastAsia" w:ascii="Times New Roman" w:cs="仿宋_GB2312"/>
          <w:sz w:val="32"/>
          <w:szCs w:val="32"/>
        </w:rPr>
        <w:t>202</w:t>
      </w:r>
      <w:r>
        <w:rPr>
          <w:rFonts w:hint="eastAsia" w:ascii="Times New Roman" w:cs="仿宋_GB2312"/>
          <w:sz w:val="32"/>
          <w:szCs w:val="32"/>
          <w:lang w:val="en-US" w:eastAsia="zh-CN"/>
        </w:rPr>
        <w:t>5</w:t>
      </w:r>
      <w:r>
        <w:rPr>
          <w:rFonts w:hint="eastAsia" w:ascii="Times New Roman" w:cs="仿宋_GB2312"/>
          <w:sz w:val="32"/>
          <w:szCs w:val="32"/>
        </w:rPr>
        <w:t>年度部门决算编制范围的二级预算单位包括：</w:t>
      </w:r>
    </w:p>
    <w:p w14:paraId="0993466C">
      <w:pPr>
        <w:pStyle w:val="5"/>
        <w:pageBreakBefore w:val="0"/>
        <w:numPr>
          <w:ilvl w:val="0"/>
          <w:numId w:val="2"/>
        </w:numPr>
        <w:kinsoku/>
        <w:wordWrap/>
        <w:overflowPunct/>
        <w:topLinePunct w:val="0"/>
        <w:autoSpaceDE/>
        <w:autoSpaceDN/>
        <w:bidi w:val="0"/>
        <w:adjustRightInd w:val="0"/>
        <w:snapToGrid w:val="0"/>
        <w:spacing w:before="93" w:line="240" w:lineRule="auto"/>
        <w:textAlignment w:val="auto"/>
        <w:outlineLvl w:val="2"/>
        <w:rPr>
          <w:rFonts w:ascii="Times New Roman" w:cs="仿宋_GB2312"/>
          <w:sz w:val="32"/>
          <w:szCs w:val="32"/>
        </w:rPr>
      </w:pPr>
      <w:r>
        <w:rPr>
          <w:rFonts w:hint="eastAsia" w:ascii="Times New Roman" w:cs="仿宋_GB2312"/>
          <w:sz w:val="32"/>
          <w:szCs w:val="32"/>
          <w:lang w:eastAsia="zh-CN"/>
        </w:rPr>
        <w:t>草地杂志社</w:t>
      </w:r>
    </w:p>
    <w:p w14:paraId="3D8F1BBB">
      <w:pPr>
        <w:pageBreakBefore w:val="0"/>
        <w:widowControl/>
        <w:kinsoku/>
        <w:wordWrap/>
        <w:overflowPunct/>
        <w:topLinePunct w:val="0"/>
        <w:autoSpaceDE/>
        <w:autoSpaceDN/>
        <w:bidi w:val="0"/>
        <w:spacing w:line="240" w:lineRule="auto"/>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DDDF530">
      <w:pPr>
        <w:pStyle w:val="2"/>
        <w:pageBreakBefore w:val="0"/>
        <w:kinsoku/>
        <w:wordWrap/>
        <w:overflowPunct/>
        <w:topLinePunct w:val="0"/>
        <w:autoSpaceDE/>
        <w:autoSpaceDN/>
        <w:bidi w:val="0"/>
        <w:spacing w:line="240" w:lineRule="auto"/>
        <w:jc w:val="center"/>
        <w:textAlignment w:val="auto"/>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16"/>
      <w:bookmarkEnd w:id="17"/>
    </w:p>
    <w:p w14:paraId="60536CE4">
      <w:pPr>
        <w:pageBreakBefore w:val="0"/>
        <w:kinsoku/>
        <w:wordWrap/>
        <w:overflowPunct/>
        <w:topLinePunct w:val="0"/>
        <w:autoSpaceDE/>
        <w:autoSpaceDN/>
        <w:bidi w:val="0"/>
        <w:spacing w:line="240" w:lineRule="auto"/>
        <w:textAlignment w:val="auto"/>
        <w:rPr>
          <w:rFonts w:ascii="Times New Roman" w:hAnsi="Times New Roman"/>
          <w:color w:val="auto"/>
          <w:highlight w:val="none"/>
        </w:rPr>
      </w:pPr>
    </w:p>
    <w:p w14:paraId="032582EB">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30"/>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4BF38DC5">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328.64万元。与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26.49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8.77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2025年度人员经费正常增资及调进人员1名。</w:t>
      </w:r>
    </w:p>
    <w:p w14:paraId="67759932">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347A7B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5601970" cy="3137535"/>
            <wp:effectExtent l="9525" t="9525" r="27305" b="15240"/>
            <wp:docPr id="2" name="图表 2"/>
            <wp:cNvGraphicFramePr/>
            <a:graphic xmlns:a="http://schemas.openxmlformats.org/drawingml/2006/main">
              <a:graphicData uri="http://schemas.openxmlformats.org/drawingml/2006/picture">
                <pic:pic xmlns:pic="http://schemas.openxmlformats.org/drawingml/2006/picture">
                  <pic:nvPicPr>
                    <pic:cNvPr id="2" name="图表 2"/>
                    <pic:cNvPicPr/>
                  </pic:nvPicPr>
                  <pic:blipFill>
                    <a:blip r:embed="rId9"/>
                    <a:stretch>
                      <a:fillRect/>
                    </a:stretch>
                  </pic:blipFill>
                  <pic:spPr>
                    <a:xfrm>
                      <a:off x="0" y="0"/>
                      <a:ext cx="5601970" cy="3137535"/>
                    </a:xfrm>
                    <a:prstGeom prst="rect">
                      <a:avLst/>
                    </a:prstGeom>
                    <a:ln>
                      <a:solidFill>
                        <a:srgbClr val="D9D9D9"/>
                      </a:solidFill>
                    </a:ln>
                    <a:extLst>
                      <a:ext uri="{8CAD56D8-0F58-4FB8-B24C-77498146470C}">
                        <wpswe:webExtensionRef xmlns:wpswe="http://www.wps.cn/officeDocument/2018/webExtension" r:id="rId8"/>
                      </a:ext>
                      <wpswe:webExtensionRef xmlns:wpswe="http://www.wps.cn/officeDocument/2018/webExtension" r:id="rId8"/>
                    </a:extLst>
                  </pic:spPr>
                </pic:pic>
              </a:graphicData>
            </a:graphic>
          </wp:inline>
        </w:drawing>
      </w:r>
    </w:p>
    <w:p w14:paraId="2913116E">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223CEC57">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328.64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328.64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p>
    <w:p w14:paraId="61FBB699">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1724843">
      <w:pPr>
        <w:pageBreakBefore w:val="0"/>
        <w:kinsoku/>
        <w:wordWrap/>
        <w:overflowPunct/>
        <w:topLinePunct w:val="0"/>
        <w:autoSpaceDE/>
        <w:autoSpaceDN/>
        <w:bidi w:val="0"/>
        <w:spacing w:line="240" w:lineRule="auto"/>
        <w:ind w:firstLine="525" w:firstLineChars="250"/>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BFFDF13">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30"/>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5C5FDBA7">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328.64</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286.87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87</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41.77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lang w:eastAsia="zh-CN"/>
        </w:rPr>
        <w:t>%。</w:t>
      </w:r>
    </w:p>
    <w:p w14:paraId="41C36999">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67655085">
      <w:pPr>
        <w:pageBreakBefore w:val="0"/>
        <w:kinsoku/>
        <w:wordWrap/>
        <w:overflowPunct/>
        <w:topLinePunct w:val="0"/>
        <w:autoSpaceDE/>
        <w:autoSpaceDN/>
        <w:bidi w:val="0"/>
        <w:spacing w:line="240" w:lineRule="auto"/>
        <w:ind w:firstLine="525" w:firstLineChars="250"/>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66ACD89">
      <w:pPr>
        <w:pageBreakBefore w:val="0"/>
        <w:kinsoku/>
        <w:wordWrap/>
        <w:overflowPunct/>
        <w:topLinePunct w:val="0"/>
        <w:autoSpaceDE/>
        <w:autoSpaceDN/>
        <w:bidi w:val="0"/>
        <w:spacing w:line="240" w:lineRule="auto"/>
        <w:ind w:firstLine="640" w:firstLineChars="200"/>
        <w:textAlignment w:val="auto"/>
        <w:outlineLvl w:val="1"/>
        <w:rPr>
          <w:rStyle w:val="30"/>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7A856617">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328.64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26.49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8.77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2025年度人员经费正常增资及调进人员1名。</w:t>
      </w:r>
    </w:p>
    <w:p w14:paraId="368B122C">
      <w:pPr>
        <w:pageBreakBefore w:val="0"/>
        <w:kinsoku/>
        <w:wordWrap/>
        <w:overflowPunct/>
        <w:topLinePunct w:val="0"/>
        <w:autoSpaceDE/>
        <w:autoSpaceDN/>
        <w:bidi w:val="0"/>
        <w:spacing w:line="24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0C96D2A">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14605"/>
            <wp:docPr id="5" name="图表 4" descr="7b0a202020202263686172745265734964223a202235303037333236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083FCA9">
      <w:pPr>
        <w:pageBreakBefore w:val="0"/>
        <w:kinsoku/>
        <w:wordWrap/>
        <w:overflowPunct/>
        <w:topLinePunct w:val="0"/>
        <w:autoSpaceDE/>
        <w:autoSpaceDN/>
        <w:bidi w:val="0"/>
        <w:spacing w:line="240" w:lineRule="auto"/>
        <w:ind w:firstLine="640" w:firstLineChars="200"/>
        <w:textAlignment w:val="auto"/>
        <w:outlineLvl w:val="1"/>
        <w:rPr>
          <w:rStyle w:val="30"/>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256148C1">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473AFC70">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328.64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26.49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8.77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2025年度人员经费正常增资及调进人员1名。</w:t>
      </w:r>
    </w:p>
    <w:p w14:paraId="63FECF8D">
      <w:pPr>
        <w:pageBreakBefore w:val="0"/>
        <w:kinsoku/>
        <w:wordWrap/>
        <w:overflowPunct/>
        <w:topLinePunct w:val="0"/>
        <w:autoSpaceDE/>
        <w:autoSpaceDN/>
        <w:bidi w:val="0"/>
        <w:spacing w:line="240" w:lineRule="auto"/>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CAEAAD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52705"/>
            <wp:docPr id="7" name="图表 5" descr="7b0a202020202263686172745265734964223a202232303437323232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37C572">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30381F77">
      <w:pPr>
        <w:pageBreakBefore w:val="0"/>
        <w:kinsoku/>
        <w:wordWrap/>
        <w:overflowPunct/>
        <w:topLinePunct w:val="0"/>
        <w:autoSpaceDE/>
        <w:autoSpaceDN/>
        <w:bidi w:val="0"/>
        <w:spacing w:line="240" w:lineRule="auto"/>
        <w:ind w:firstLine="640"/>
        <w:rPr>
          <w:rFonts w:hint="eastAsia" w:eastAsia="仿宋_GB2312" w:cs="仿宋_GB2312"/>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328.64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eastAsia="仿宋_GB2312" w:cs="仿宋_GB2312"/>
          <w:sz w:val="32"/>
          <w:szCs w:val="32"/>
        </w:rPr>
        <w:t>文化旅游体育与传媒支出</w:t>
      </w:r>
      <w:r>
        <w:rPr>
          <w:rFonts w:hint="eastAsia" w:eastAsia="仿宋_GB2312" w:cs="仿宋_GB2312"/>
          <w:sz w:val="32"/>
          <w:szCs w:val="32"/>
          <w:lang w:val="en-US" w:eastAsia="zh-CN"/>
        </w:rPr>
        <w:t>259.66</w:t>
      </w:r>
      <w:r>
        <w:rPr>
          <w:rFonts w:hint="eastAsia" w:eastAsia="仿宋_GB2312" w:cs="仿宋_GB2312"/>
          <w:sz w:val="32"/>
          <w:szCs w:val="32"/>
        </w:rPr>
        <w:t>万元，占</w:t>
      </w:r>
      <w:r>
        <w:rPr>
          <w:rFonts w:hint="eastAsia" w:eastAsia="仿宋_GB2312" w:cs="仿宋_GB2312"/>
          <w:sz w:val="32"/>
          <w:szCs w:val="32"/>
          <w:lang w:val="en-US" w:eastAsia="zh-CN"/>
        </w:rPr>
        <w:t>79</w:t>
      </w:r>
      <w:r>
        <w:rPr>
          <w:rFonts w:hint="eastAsia" w:eastAsia="仿宋_GB2312" w:cs="仿宋_GB2312"/>
          <w:sz w:val="32"/>
          <w:szCs w:val="32"/>
        </w:rPr>
        <w:t>%；社会保障和就业支出</w:t>
      </w:r>
      <w:r>
        <w:rPr>
          <w:rFonts w:hint="eastAsia" w:eastAsia="仿宋_GB2312" w:cs="仿宋_GB2312"/>
          <w:sz w:val="32"/>
          <w:szCs w:val="32"/>
          <w:lang w:val="en-US" w:eastAsia="zh-CN"/>
        </w:rPr>
        <w:t>35.88</w:t>
      </w:r>
      <w:r>
        <w:rPr>
          <w:rFonts w:hint="eastAsia" w:eastAsia="仿宋_GB2312" w:cs="仿宋_GB2312"/>
          <w:sz w:val="32"/>
          <w:szCs w:val="32"/>
        </w:rPr>
        <w:t>万元，占</w:t>
      </w:r>
      <w:r>
        <w:rPr>
          <w:rFonts w:hint="eastAsia" w:eastAsia="仿宋_GB2312" w:cs="仿宋_GB2312"/>
          <w:sz w:val="32"/>
          <w:szCs w:val="32"/>
          <w:lang w:val="en-US" w:eastAsia="zh-CN"/>
        </w:rPr>
        <w:t>11</w:t>
      </w:r>
      <w:r>
        <w:rPr>
          <w:rFonts w:hint="eastAsia" w:eastAsia="仿宋_GB2312" w:cs="仿宋_GB2312"/>
          <w:sz w:val="32"/>
          <w:szCs w:val="32"/>
        </w:rPr>
        <w:t>%；卫生健康支出</w:t>
      </w:r>
      <w:r>
        <w:rPr>
          <w:rFonts w:hint="eastAsia" w:eastAsia="仿宋_GB2312" w:cs="仿宋_GB2312"/>
          <w:sz w:val="32"/>
          <w:szCs w:val="32"/>
          <w:lang w:val="en-US" w:eastAsia="zh-CN"/>
        </w:rPr>
        <w:t>13.82</w:t>
      </w:r>
      <w:r>
        <w:rPr>
          <w:rFonts w:hint="eastAsia" w:eastAsia="仿宋_GB2312" w:cs="仿宋_GB2312"/>
          <w:sz w:val="32"/>
          <w:szCs w:val="32"/>
        </w:rPr>
        <w:t>万元，占</w:t>
      </w:r>
      <w:r>
        <w:rPr>
          <w:rFonts w:hint="eastAsia" w:eastAsia="仿宋_GB2312" w:cs="仿宋_GB2312"/>
          <w:sz w:val="32"/>
          <w:szCs w:val="32"/>
          <w:lang w:val="en-US" w:eastAsia="zh-CN"/>
        </w:rPr>
        <w:t>4</w:t>
      </w:r>
      <w:r>
        <w:rPr>
          <w:rFonts w:hint="eastAsia" w:eastAsia="仿宋_GB2312" w:cs="仿宋_GB2312"/>
          <w:sz w:val="32"/>
          <w:szCs w:val="32"/>
        </w:rPr>
        <w:t>%；住房保障支出</w:t>
      </w:r>
      <w:r>
        <w:rPr>
          <w:rFonts w:hint="eastAsia" w:eastAsia="仿宋_GB2312" w:cs="仿宋_GB2312"/>
          <w:sz w:val="32"/>
          <w:szCs w:val="32"/>
          <w:lang w:val="en-US" w:eastAsia="zh-CN"/>
        </w:rPr>
        <w:t>19.27</w:t>
      </w:r>
      <w:r>
        <w:rPr>
          <w:rFonts w:hint="eastAsia" w:eastAsia="仿宋_GB2312" w:cs="仿宋_GB2312"/>
          <w:sz w:val="32"/>
          <w:szCs w:val="32"/>
        </w:rPr>
        <w:t>万元，占</w:t>
      </w:r>
      <w:r>
        <w:rPr>
          <w:rFonts w:hint="eastAsia" w:eastAsia="仿宋_GB2312" w:cs="仿宋_GB2312"/>
          <w:sz w:val="32"/>
          <w:szCs w:val="32"/>
          <w:lang w:val="en-US" w:eastAsia="zh-CN"/>
        </w:rPr>
        <w:t>6</w:t>
      </w:r>
      <w:r>
        <w:rPr>
          <w:rFonts w:hint="eastAsia" w:eastAsia="仿宋_GB2312" w:cs="仿宋_GB2312"/>
          <w:sz w:val="32"/>
          <w:szCs w:val="32"/>
        </w:rPr>
        <w:t>%</w:t>
      </w:r>
      <w:r>
        <w:rPr>
          <w:rFonts w:hint="eastAsia" w:eastAsia="仿宋_GB2312" w:cs="仿宋_GB2312"/>
          <w:sz w:val="32"/>
          <w:szCs w:val="32"/>
          <w:lang w:eastAsia="zh-CN"/>
        </w:rPr>
        <w:t>。</w:t>
      </w:r>
    </w:p>
    <w:p w14:paraId="1111D80E">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F51E8D">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52705"/>
            <wp:docPr id="8" name="图表 6" descr="7b0a202020202263686172745265734964223a2022323034363835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FEA1CFC">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678EF2E9">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31" w:name="_Toc15377444"/>
      <w:bookmarkStart w:id="32" w:name="_Toc15377213"/>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328.64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4E56F344">
      <w:pPr>
        <w:pageBreakBefore w:val="0"/>
        <w:kinsoku/>
        <w:wordWrap/>
        <w:overflowPunct/>
        <w:topLinePunct w:val="0"/>
        <w:autoSpaceDE/>
        <w:autoSpaceDN/>
        <w:bidi w:val="0"/>
        <w:spacing w:line="240" w:lineRule="auto"/>
        <w:ind w:firstLine="640" w:firstLineChars="200"/>
        <w:rPr>
          <w:rFonts w:ascii="Times New Roman" w:hAnsi="Times New Roman" w:eastAsia="方正仿宋_GBK"/>
          <w:b/>
          <w:sz w:val="32"/>
          <w:szCs w:val="32"/>
        </w:rPr>
      </w:pPr>
      <w:r>
        <w:rPr>
          <w:rFonts w:hint="eastAsia" w:eastAsia="仿宋_GB2312" w:cs="仿宋_GB2312"/>
          <w:sz w:val="32"/>
          <w:szCs w:val="32"/>
          <w:lang w:val="en-US" w:eastAsia="zh-CN"/>
        </w:rPr>
        <w:t>1</w:t>
      </w:r>
      <w:r>
        <w:rPr>
          <w:rFonts w:hint="eastAsia" w:eastAsia="仿宋_GB2312" w:cs="仿宋_GB2312"/>
          <w:sz w:val="32"/>
          <w:szCs w:val="32"/>
        </w:rPr>
        <w:t>.文化旅游体育与传媒（207）文化和旅游（01）文化创作与保护（11）: 支出决算为</w:t>
      </w:r>
      <w:r>
        <w:rPr>
          <w:rFonts w:hint="eastAsia" w:eastAsia="仿宋_GB2312" w:cs="仿宋_GB2312"/>
          <w:sz w:val="32"/>
          <w:szCs w:val="32"/>
          <w:lang w:val="en-US" w:eastAsia="zh-CN"/>
        </w:rPr>
        <w:t>259.66</w:t>
      </w:r>
      <w:r>
        <w:rPr>
          <w:rFonts w:hint="eastAsia" w:eastAsia="仿宋_GB2312" w:cs="仿宋_GB2312"/>
          <w:sz w:val="32"/>
          <w:szCs w:val="32"/>
        </w:rPr>
        <w:t>万元，完成预算100%，决算数等于预算数。</w:t>
      </w:r>
    </w:p>
    <w:p w14:paraId="6BAF7000">
      <w:pPr>
        <w:pageBreakBefore w:val="0"/>
        <w:kinsoku/>
        <w:wordWrap/>
        <w:overflowPunct/>
        <w:topLinePunct w:val="0"/>
        <w:autoSpaceDE/>
        <w:autoSpaceDN/>
        <w:bidi w:val="0"/>
        <w:spacing w:line="240" w:lineRule="auto"/>
        <w:ind w:firstLine="640" w:firstLineChars="200"/>
        <w:rPr>
          <w:rFonts w:hint="eastAsia" w:eastAsia="仿宋_GB2312" w:cs="仿宋_GB2312"/>
          <w:sz w:val="32"/>
          <w:szCs w:val="32"/>
        </w:rPr>
      </w:pPr>
      <w:r>
        <w:rPr>
          <w:rFonts w:hint="eastAsia" w:eastAsia="仿宋_GB2312" w:cs="仿宋_GB2312"/>
          <w:sz w:val="32"/>
          <w:szCs w:val="32"/>
          <w:lang w:val="en-US" w:eastAsia="zh-CN"/>
        </w:rPr>
        <w:t>2</w:t>
      </w:r>
      <w:r>
        <w:rPr>
          <w:rFonts w:hint="eastAsia" w:eastAsia="仿宋_GB2312" w:cs="仿宋_GB2312"/>
          <w:sz w:val="32"/>
          <w:szCs w:val="32"/>
        </w:rPr>
        <w:t>.社会保障和就业（208）行政事业单位离退休（05）机关事业单位基本养老保险缴费支出（05）: 支出决算为</w:t>
      </w:r>
      <w:r>
        <w:rPr>
          <w:rFonts w:hint="eastAsia" w:eastAsia="仿宋_GB2312" w:cs="仿宋_GB2312"/>
          <w:sz w:val="32"/>
          <w:szCs w:val="32"/>
          <w:lang w:val="en-US" w:eastAsia="zh-CN"/>
        </w:rPr>
        <w:t>23.91</w:t>
      </w:r>
      <w:r>
        <w:rPr>
          <w:rFonts w:hint="eastAsia" w:eastAsia="仿宋_GB2312" w:cs="仿宋_GB2312"/>
          <w:sz w:val="32"/>
          <w:szCs w:val="32"/>
        </w:rPr>
        <w:t>万元，完成预算100%，决算数等于预算数。</w:t>
      </w:r>
    </w:p>
    <w:p w14:paraId="6A610A19">
      <w:pPr>
        <w:pageBreakBefore w:val="0"/>
        <w:kinsoku/>
        <w:wordWrap/>
        <w:overflowPunct/>
        <w:topLinePunct w:val="0"/>
        <w:autoSpaceDE/>
        <w:autoSpaceDN/>
        <w:bidi w:val="0"/>
        <w:spacing w:line="240" w:lineRule="auto"/>
        <w:ind w:firstLine="640" w:firstLineChars="200"/>
        <w:rPr>
          <w:rFonts w:hint="eastAsia" w:eastAsia="仿宋_GB2312" w:cs="仿宋_GB2312"/>
          <w:sz w:val="32"/>
          <w:szCs w:val="32"/>
        </w:rPr>
      </w:pPr>
      <w:r>
        <w:rPr>
          <w:rFonts w:hint="eastAsia" w:eastAsia="仿宋_GB2312" w:cs="仿宋_GB2312"/>
          <w:sz w:val="32"/>
          <w:szCs w:val="32"/>
          <w:lang w:val="en-US" w:eastAsia="zh-CN"/>
        </w:rPr>
        <w:t>3</w:t>
      </w:r>
      <w:r>
        <w:rPr>
          <w:rFonts w:hint="eastAsia" w:eastAsia="仿宋_GB2312" w:cs="仿宋_GB2312"/>
          <w:sz w:val="32"/>
          <w:szCs w:val="32"/>
        </w:rPr>
        <w:t>.社会保障和就业（208）行政事业单位离退休（05）机关事业单位职业年金缴费支出（06）: 支出决算为</w:t>
      </w:r>
      <w:r>
        <w:rPr>
          <w:rFonts w:hint="eastAsia" w:eastAsia="仿宋_GB2312" w:cs="仿宋_GB2312"/>
          <w:sz w:val="32"/>
          <w:szCs w:val="32"/>
          <w:lang w:val="en-US" w:eastAsia="zh-CN"/>
        </w:rPr>
        <w:t>11.96</w:t>
      </w:r>
      <w:r>
        <w:rPr>
          <w:rFonts w:hint="eastAsia" w:eastAsia="仿宋_GB2312" w:cs="仿宋_GB2312"/>
          <w:sz w:val="32"/>
          <w:szCs w:val="32"/>
        </w:rPr>
        <w:t>万元，完成预算100%，决算数等于预算数。</w:t>
      </w:r>
    </w:p>
    <w:p w14:paraId="251A600E">
      <w:pPr>
        <w:pageBreakBefore w:val="0"/>
        <w:kinsoku/>
        <w:wordWrap/>
        <w:overflowPunct/>
        <w:topLinePunct w:val="0"/>
        <w:autoSpaceDE/>
        <w:autoSpaceDN/>
        <w:bidi w:val="0"/>
        <w:spacing w:line="240" w:lineRule="auto"/>
        <w:ind w:firstLine="640" w:firstLineChars="200"/>
        <w:rPr>
          <w:rFonts w:hint="eastAsia"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.医疗卫生与计划生育（210）医疗保障（05）事业单位医疗（02）:支出决算为</w:t>
      </w:r>
      <w:r>
        <w:rPr>
          <w:rFonts w:hint="eastAsia" w:eastAsia="仿宋_GB2312" w:cs="仿宋_GB2312"/>
          <w:sz w:val="32"/>
          <w:szCs w:val="32"/>
          <w:lang w:val="en-US" w:eastAsia="zh-CN"/>
        </w:rPr>
        <w:t>11.26</w:t>
      </w:r>
      <w:r>
        <w:rPr>
          <w:rFonts w:hint="eastAsia" w:eastAsia="仿宋_GB2312" w:cs="仿宋_GB2312"/>
          <w:sz w:val="32"/>
          <w:szCs w:val="32"/>
        </w:rPr>
        <w:t>万元，完成预算100%，决算数等于预算数。</w:t>
      </w:r>
    </w:p>
    <w:p w14:paraId="44579187">
      <w:pPr>
        <w:pageBreakBefore w:val="0"/>
        <w:kinsoku/>
        <w:wordWrap/>
        <w:overflowPunct/>
        <w:topLinePunct w:val="0"/>
        <w:autoSpaceDE/>
        <w:autoSpaceDN/>
        <w:bidi w:val="0"/>
        <w:spacing w:line="240" w:lineRule="auto"/>
        <w:ind w:firstLine="640" w:firstLineChars="200"/>
        <w:rPr>
          <w:rFonts w:hint="eastAsia"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.医疗卫生与计划生育（210）医疗保障（05）其他行政事业单位医疗支出（99）：支出决算为</w:t>
      </w:r>
      <w:r>
        <w:rPr>
          <w:rFonts w:hint="eastAsia" w:eastAsia="仿宋_GB2312" w:cs="仿宋_GB2312"/>
          <w:sz w:val="32"/>
          <w:szCs w:val="32"/>
          <w:lang w:val="en-US" w:eastAsia="zh-CN"/>
        </w:rPr>
        <w:t>2.56</w:t>
      </w:r>
      <w:r>
        <w:rPr>
          <w:rFonts w:hint="eastAsia" w:eastAsia="仿宋_GB2312" w:cs="仿宋_GB2312"/>
          <w:sz w:val="32"/>
          <w:szCs w:val="32"/>
        </w:rPr>
        <w:t>万元，完成预算100%，决算数等于预算数。</w:t>
      </w:r>
    </w:p>
    <w:p w14:paraId="410752D3">
      <w:pPr>
        <w:pageBreakBefore w:val="0"/>
        <w:kinsoku/>
        <w:wordWrap/>
        <w:overflowPunct/>
        <w:topLinePunct w:val="0"/>
        <w:autoSpaceDE/>
        <w:autoSpaceDN/>
        <w:bidi w:val="0"/>
        <w:spacing w:line="240" w:lineRule="auto"/>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lang w:val="en-US" w:eastAsia="zh-CN"/>
        </w:rPr>
        <w:t>6</w:t>
      </w:r>
      <w:r>
        <w:rPr>
          <w:rFonts w:hint="eastAsia" w:eastAsia="仿宋_GB2312" w:cs="仿宋_GB2312"/>
          <w:sz w:val="32"/>
          <w:szCs w:val="32"/>
        </w:rPr>
        <w:t>.住房保障支出（221）住房改革支出（02）住房公积金（01）:支出决算为</w:t>
      </w:r>
      <w:r>
        <w:rPr>
          <w:rFonts w:hint="eastAsia" w:eastAsia="仿宋_GB2312" w:cs="仿宋_GB2312"/>
          <w:sz w:val="32"/>
          <w:szCs w:val="32"/>
          <w:lang w:val="en-US" w:eastAsia="zh-CN"/>
        </w:rPr>
        <w:t>19.27</w:t>
      </w:r>
      <w:r>
        <w:rPr>
          <w:rFonts w:hint="eastAsia" w:eastAsia="仿宋_GB2312" w:cs="仿宋_GB2312"/>
          <w:sz w:val="32"/>
          <w:szCs w:val="32"/>
        </w:rPr>
        <w:t>万元，完成预算100%，决算数等于预算数。</w:t>
      </w:r>
    </w:p>
    <w:p w14:paraId="35EF764D">
      <w:pPr>
        <w:pageBreakBefore w:val="0"/>
        <w:tabs>
          <w:tab w:val="right" w:pos="8306"/>
        </w:tabs>
        <w:kinsoku/>
        <w:wordWrap/>
        <w:overflowPunct/>
        <w:topLinePunct w:val="0"/>
        <w:autoSpaceDE/>
        <w:autoSpaceDN/>
        <w:bidi w:val="0"/>
        <w:spacing w:line="240" w:lineRule="auto"/>
        <w:ind w:firstLine="640"/>
        <w:textAlignment w:val="auto"/>
        <w:outlineLvl w:val="1"/>
        <w:rPr>
          <w:rStyle w:val="30"/>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4FCFA2BC">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328.64</w:t>
      </w:r>
      <w:r>
        <w:rPr>
          <w:rFonts w:hint="eastAsia" w:ascii="Times New Roman" w:hAnsi="Times New Roman" w:eastAsia="仿宋_GB2312" w:cs="仿宋_GB2312"/>
          <w:color w:val="auto"/>
          <w:kern w:val="2"/>
          <w:sz w:val="32"/>
          <w:szCs w:val="32"/>
          <w:highlight w:val="none"/>
          <w:lang w:val="en-US" w:eastAsia="zh-CN" w:bidi="ar-SA"/>
        </w:rPr>
        <w:t>万元，其中：</w:t>
      </w:r>
    </w:p>
    <w:p w14:paraId="2C26BF7B">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261.38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25.49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5A1DDF0">
      <w:pPr>
        <w:pageBreakBefore w:val="0"/>
        <w:kinsoku/>
        <w:wordWrap/>
        <w:overflowPunct/>
        <w:topLinePunct w:val="0"/>
        <w:autoSpaceDE/>
        <w:autoSpaceDN/>
        <w:bidi w:val="0"/>
        <w:spacing w:line="240" w:lineRule="auto"/>
        <w:ind w:firstLine="640"/>
        <w:textAlignment w:val="auto"/>
        <w:outlineLvl w:val="1"/>
        <w:rPr>
          <w:rStyle w:val="30"/>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6062CDC8">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698CC4F5">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6.85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97.3</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1.81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35.91</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无公务接待。</w:t>
      </w:r>
    </w:p>
    <w:p w14:paraId="7EFC015D">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14D1BA44">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6.85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42E8B9F8">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1E86D19">
      <w:pPr>
        <w:pStyle w:val="13"/>
        <w:rPr>
          <w:rFonts w:hint="eastAsia"/>
          <w:lang w:val="en-US" w:eastAsia="zh-CN"/>
        </w:rPr>
      </w:pPr>
      <w:r>
        <w:drawing>
          <wp:inline distT="0" distB="0" distL="114300" distR="114300">
            <wp:extent cx="5464810" cy="2652395"/>
            <wp:effectExtent l="9525" t="9525" r="12065" b="24130"/>
            <wp:docPr id="11" name="图表 11"/>
            <wp:cNvGraphicFramePr/>
            <a:graphic xmlns:a="http://schemas.openxmlformats.org/drawingml/2006/main">
              <a:graphicData uri="http://schemas.openxmlformats.org/drawingml/2006/picture">
                <pic:pic xmlns:pic="http://schemas.openxmlformats.org/drawingml/2006/picture">
                  <pic:nvPicPr>
                    <pic:cNvPr id="11" name="图表 11"/>
                    <pic:cNvPicPr/>
                  </pic:nvPicPr>
                  <pic:blipFill>
                    <a:blip r:embed="rId16"/>
                    <a:stretch>
                      <a:fillRect/>
                    </a:stretch>
                  </pic:blipFill>
                  <pic:spPr>
                    <a:xfrm>
                      <a:off x="0" y="0"/>
                      <a:ext cx="5464810" cy="2652395"/>
                    </a:xfrm>
                    <a:prstGeom prst="rect">
                      <a:avLst/>
                    </a:prstGeom>
                    <a:ln>
                      <a:solidFill>
                        <a:srgbClr val="D9D9D9"/>
                      </a:solidFill>
                    </a:ln>
                    <a:extLst>
                      <a:ext uri="{8CAD56D8-0F58-4FB8-B24C-77498146470C}">
                        <wpswe:webExtensionRef xmlns:wpswe="http://www.wps.cn/officeDocument/2018/webExtension" r:id="rId15"/>
                      </a:ext>
                      <wpswe:webExtensionRef xmlns:wpswe="http://www.wps.cn/officeDocument/2018/webExtension" r:id="rId15"/>
                    </a:extLst>
                  </pic:spPr>
                </pic:pic>
              </a:graphicData>
            </a:graphic>
          </wp:inline>
        </w:drawing>
      </w:r>
    </w:p>
    <w:p w14:paraId="2E5AA941">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CF94A62">
      <w:pPr>
        <w:pageBreakBefore w:val="0"/>
        <w:kinsoku/>
        <w:wordWrap/>
        <w:overflowPunct/>
        <w:topLinePunct w:val="0"/>
        <w:autoSpaceDE/>
        <w:autoSpaceDN/>
        <w:bidi w:val="0"/>
        <w:spacing w:line="240" w:lineRule="auto"/>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14:paraId="20BB536C">
      <w:pPr>
        <w:pageBreakBefore w:val="0"/>
        <w:kinsoku/>
        <w:wordWrap/>
        <w:overflowPunct/>
        <w:topLinePunct w:val="0"/>
        <w:autoSpaceDE/>
        <w:autoSpaceDN/>
        <w:bidi w:val="0"/>
        <w:spacing w:line="240" w:lineRule="auto"/>
        <w:ind w:firstLine="64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6.85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1.81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35.91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活动较上年有所增加，导致公务用车运行维护费增加。</w:t>
      </w:r>
    </w:p>
    <w:p w14:paraId="1466406D">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79BC2589">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6.85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ascii="Times New Roman" w:hAnsi="Times New Roman" w:eastAsia="方正仿宋_GBK"/>
          <w:color w:val="000000"/>
          <w:sz w:val="32"/>
          <w:szCs w:val="32"/>
        </w:rPr>
        <w:t>《草地》、《邦炯》期刊出版</w:t>
      </w:r>
      <w:r>
        <w:rPr>
          <w:rFonts w:ascii="Times New Roman" w:hAnsi="Times New Roman" w:eastAsia="方正仿宋_GBK"/>
          <w:sz w:val="32"/>
          <w:szCs w:val="32"/>
        </w:rPr>
        <w:t>工作</w:t>
      </w:r>
      <w:r>
        <w:rPr>
          <w:rFonts w:hint="eastAsia" w:eastAsia="方正仿宋_GBK"/>
          <w:sz w:val="32"/>
          <w:szCs w:val="32"/>
          <w:lang w:eastAsia="zh-CN"/>
        </w:rPr>
        <w:t>、</w:t>
      </w:r>
      <w:r>
        <w:rPr>
          <w:rFonts w:hint="eastAsia" w:eastAsia="方正仿宋_GBK"/>
          <w:color w:val="000000"/>
          <w:sz w:val="32"/>
          <w:szCs w:val="32"/>
          <w:lang w:eastAsia="zh-CN"/>
        </w:rPr>
        <w:t>采风活动</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2DC2D568">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44C50337">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A66319C">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5DA8B58">
      <w:pPr>
        <w:pageBreakBefore w:val="0"/>
        <w:kinsoku/>
        <w:wordWrap/>
        <w:overflowPunct/>
        <w:topLinePunct w:val="0"/>
        <w:autoSpaceDE/>
        <w:autoSpaceDN/>
        <w:bidi w:val="0"/>
        <w:spacing w:line="240" w:lineRule="auto"/>
        <w:ind w:firstLine="640" w:firstLineChars="200"/>
        <w:textAlignment w:val="auto"/>
        <w:outlineLvl w:val="1"/>
        <w:rPr>
          <w:rStyle w:val="30"/>
          <w:rFonts w:ascii="Times New Roman" w:hAnsi="Times New Roman" w:eastAsia="黑体"/>
          <w:color w:val="auto"/>
          <w:highlight w:val="none"/>
        </w:rPr>
      </w:pPr>
      <w:bookmarkStart w:id="40" w:name="_Toc15377218"/>
      <w:bookmarkStart w:id="41" w:name="_Toc15396610"/>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53148A58">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EDF50E5">
      <w:pPr>
        <w:pageBreakBefore w:val="0"/>
        <w:numPr>
          <w:ilvl w:val="0"/>
          <w:numId w:val="0"/>
        </w:numPr>
        <w:kinsoku/>
        <w:wordWrap/>
        <w:overflowPunct/>
        <w:topLinePunct w:val="0"/>
        <w:autoSpaceDE/>
        <w:autoSpaceDN/>
        <w:bidi w:val="0"/>
        <w:spacing w:line="240" w:lineRule="auto"/>
        <w:ind w:left="630" w:leftChars="0"/>
        <w:textAlignment w:val="auto"/>
        <w:outlineLvl w:val="1"/>
        <w:rPr>
          <w:rStyle w:val="30"/>
          <w:rFonts w:ascii="Times New Roman" w:hAnsi="Times New Roman" w:eastAsia="黑体"/>
          <w:b w:val="0"/>
          <w:color w:val="auto"/>
          <w:highlight w:val="none"/>
        </w:rPr>
      </w:pPr>
      <w:bookmarkStart w:id="42" w:name="_Toc15377219"/>
      <w:bookmarkStart w:id="43"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09193D60">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603ABEE">
      <w:pPr>
        <w:pageBreakBefore w:val="0"/>
        <w:numPr>
          <w:ilvl w:val="0"/>
          <w:numId w:val="0"/>
        </w:numPr>
        <w:kinsoku/>
        <w:wordWrap/>
        <w:overflowPunct/>
        <w:topLinePunct w:val="0"/>
        <w:autoSpaceDE/>
        <w:autoSpaceDN/>
        <w:bidi w:val="0"/>
        <w:spacing w:line="240" w:lineRule="auto"/>
        <w:ind w:left="630" w:leftChars="0"/>
        <w:textAlignment w:val="auto"/>
        <w:outlineLvl w:val="1"/>
        <w:rPr>
          <w:rStyle w:val="30"/>
          <w:rFonts w:hint="eastAsia" w:ascii="Times New Roman" w:hAnsi="Times New Roman" w:eastAsia="黑体"/>
          <w:b w:val="0"/>
          <w:color w:val="auto"/>
          <w:highlight w:val="none"/>
        </w:rPr>
      </w:pPr>
      <w:bookmarkStart w:id="44" w:name="_Toc15396612"/>
      <w:bookmarkStart w:id="45"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49EB38D8">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354B7915">
      <w:pPr>
        <w:pageBreakBefore w:val="0"/>
        <w:kinsoku/>
        <w:wordWrap/>
        <w:overflowPunct/>
        <w:topLinePunct w:val="0"/>
        <w:autoSpaceDE/>
        <w:autoSpaceDN/>
        <w:bidi w:val="0"/>
        <w:spacing w:line="240" w:lineRule="auto"/>
        <w:ind w:firstLine="640" w:firstLineChars="200"/>
        <w:textAlignment w:val="auto"/>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草地杂志社</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bookmarkStart w:id="47" w:name="_Toc15377223"/>
    </w:p>
    <w:p w14:paraId="7F661849">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7"/>
    </w:p>
    <w:p w14:paraId="4D17ED9C">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草地杂志社</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925F3B0">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5941BDA8">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草地杂志社</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ascii="Times New Roman" w:hAnsi="Times New Roman" w:eastAsia="方正仿宋_GBK"/>
          <w:color w:val="000000"/>
          <w:sz w:val="32"/>
          <w:szCs w:val="32"/>
        </w:rPr>
        <w:t>《草地》、《邦炯》期刊出版</w:t>
      </w:r>
      <w:r>
        <w:rPr>
          <w:rFonts w:ascii="Times New Roman" w:hAnsi="Times New Roman" w:eastAsia="方正仿宋_GBK"/>
          <w:sz w:val="32"/>
          <w:szCs w:val="32"/>
        </w:rPr>
        <w:t>工作</w:t>
      </w:r>
      <w:r>
        <w:rPr>
          <w:rFonts w:hint="eastAsia" w:eastAsia="方正仿宋_GBK"/>
          <w:sz w:val="32"/>
          <w:szCs w:val="32"/>
          <w:lang w:eastAsia="zh-CN"/>
        </w:rPr>
        <w:t>、</w:t>
      </w:r>
      <w:r>
        <w:rPr>
          <w:rFonts w:hint="eastAsia" w:eastAsia="方正仿宋_GBK"/>
          <w:color w:val="000000"/>
          <w:sz w:val="32"/>
          <w:szCs w:val="32"/>
          <w:lang w:eastAsia="zh-CN"/>
        </w:rPr>
        <w:t>采风活动</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62F749E0">
      <w:pPr>
        <w:pageBreakBefore w:val="0"/>
        <w:kinsoku/>
        <w:wordWrap/>
        <w:overflowPunct/>
        <w:topLinePunct w:val="0"/>
        <w:autoSpaceDE/>
        <w:autoSpaceDN/>
        <w:bidi w:val="0"/>
        <w:spacing w:line="24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4136EA4">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草地杂志社</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sz w:val="32"/>
          <w:szCs w:val="32"/>
        </w:rPr>
        <w:t>组织对</w:t>
      </w:r>
      <w:r>
        <w:rPr>
          <w:rFonts w:hint="eastAsia" w:eastAsia="仿宋_GB2312" w:cs="仿宋_GB2312"/>
          <w:sz w:val="32"/>
          <w:szCs w:val="32"/>
          <w:lang w:eastAsia="zh-CN"/>
        </w:rPr>
        <w:t>创作经费、办刊经费</w:t>
      </w:r>
      <w:r>
        <w:rPr>
          <w:rFonts w:hint="eastAsia" w:eastAsia="仿宋_GB2312" w:cs="仿宋_GB2312"/>
          <w:sz w:val="32"/>
          <w:szCs w:val="32"/>
          <w:lang w:val="en-US" w:eastAsia="zh-CN"/>
        </w:rPr>
        <w:t>2</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2</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w:t>
      </w:r>
      <w:r>
        <w:rPr>
          <w:rFonts w:hint="eastAsia" w:eastAsia="仿宋_GB2312" w:cs="仿宋_GB2312"/>
          <w:sz w:val="32"/>
          <w:szCs w:val="32"/>
        </w:rPr>
        <w:t>个项目开展绩效监控。</w:t>
      </w:r>
    </w:p>
    <w:p w14:paraId="4818AB03">
      <w:pPr>
        <w:pageBreakBefore w:val="0"/>
        <w:kinsoku/>
        <w:wordWrap/>
        <w:overflowPunct/>
        <w:topLinePunct w:val="0"/>
        <w:autoSpaceDE/>
        <w:autoSpaceDN/>
        <w:bidi w:val="0"/>
        <w:spacing w:line="240" w:lineRule="auto"/>
        <w:ind w:firstLine="640"/>
        <w:rPr>
          <w:rFonts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sz w:val="32"/>
          <w:szCs w:val="32"/>
        </w:rPr>
        <w:t>形成</w:t>
      </w:r>
      <w:r>
        <w:rPr>
          <w:rFonts w:hint="eastAsia" w:ascii="仿宋_GB2312" w:hAnsi="仿宋_GB2312" w:eastAsia="仿宋_GB2312" w:cs="仿宋_GB2312"/>
          <w:sz w:val="32"/>
          <w:szCs w:val="32"/>
          <w:lang w:val="en-US" w:eastAsia="zh-CN"/>
        </w:rPr>
        <w:t>草地杂志社</w:t>
      </w:r>
      <w:r>
        <w:rPr>
          <w:rFonts w:hint="eastAsia" w:eastAsia="仿宋_GB2312" w:cs="仿宋_GB2312"/>
          <w:sz w:val="32"/>
          <w:szCs w:val="32"/>
        </w:rPr>
        <w:t>整体绩效自评报告、</w:t>
      </w:r>
      <w:r>
        <w:rPr>
          <w:rFonts w:hint="eastAsia" w:eastAsia="仿宋_GB2312" w:cs="仿宋_GB2312"/>
          <w:sz w:val="32"/>
          <w:szCs w:val="32"/>
          <w:lang w:eastAsia="zh-CN"/>
        </w:rPr>
        <w:t>无</w:t>
      </w:r>
      <w:r>
        <w:rPr>
          <w:rFonts w:hint="eastAsia" w:eastAsia="仿宋_GB2312" w:cs="仿宋_GB2312"/>
          <w:sz w:val="32"/>
          <w:szCs w:val="32"/>
        </w:rPr>
        <w:t>专项预算项目，其中，</w:t>
      </w:r>
      <w:r>
        <w:rPr>
          <w:rFonts w:hint="eastAsia" w:ascii="仿宋_GB2312" w:hAnsi="仿宋_GB2312" w:eastAsia="仿宋_GB2312" w:cs="仿宋_GB2312"/>
          <w:sz w:val="32"/>
          <w:szCs w:val="32"/>
          <w:lang w:val="en-US" w:eastAsia="zh-CN"/>
        </w:rPr>
        <w:t>草地杂志社</w:t>
      </w:r>
      <w:r>
        <w:rPr>
          <w:rFonts w:hint="eastAsia" w:eastAsia="仿宋_GB2312" w:cs="仿宋_GB2312"/>
          <w:sz w:val="32"/>
          <w:szCs w:val="32"/>
        </w:rPr>
        <w:t>整体绩效自评得分为</w:t>
      </w:r>
      <w:r>
        <w:rPr>
          <w:rFonts w:hint="eastAsia" w:eastAsia="仿宋_GB2312" w:cs="仿宋_GB2312"/>
          <w:sz w:val="32"/>
          <w:szCs w:val="32"/>
          <w:lang w:val="en-US" w:eastAsia="zh-CN"/>
        </w:rPr>
        <w:t>89</w:t>
      </w:r>
      <w:r>
        <w:rPr>
          <w:rFonts w:hint="eastAsia" w:eastAsia="仿宋_GB2312" w:cs="仿宋_GB2312"/>
          <w:sz w:val="32"/>
          <w:szCs w:val="32"/>
        </w:rPr>
        <w:t>分，绩效自评综述</w:t>
      </w:r>
      <w:r>
        <w:rPr>
          <w:rFonts w:hint="eastAsia" w:eastAsia="仿宋_GB2312" w:cs="仿宋_GB2312"/>
          <w:sz w:val="32"/>
          <w:szCs w:val="32"/>
          <w:lang w:eastAsia="zh-CN"/>
        </w:rPr>
        <w:t>创作经费、办刊经费</w:t>
      </w:r>
      <w:r>
        <w:rPr>
          <w:rFonts w:hint="eastAsia" w:eastAsia="仿宋_GB2312" w:cs="仿宋_GB2312"/>
          <w:sz w:val="32"/>
          <w:szCs w:val="32"/>
        </w:rPr>
        <w:t>；</w:t>
      </w:r>
      <w:r>
        <w:rPr>
          <w:rFonts w:hint="eastAsia" w:ascii="仿宋_GB2312" w:hAnsi="仿宋_GB2312" w:eastAsia="仿宋_GB2312" w:cs="仿宋_GB2312"/>
          <w:sz w:val="32"/>
          <w:szCs w:val="32"/>
          <w:lang w:val="en-US" w:eastAsia="zh-CN"/>
        </w:rPr>
        <w:t>草地杂志社无</w:t>
      </w:r>
      <w:r>
        <w:rPr>
          <w:rFonts w:hint="eastAsia" w:eastAsia="仿宋_GB2312" w:cs="仿宋_GB2312"/>
          <w:sz w:val="32"/>
          <w:szCs w:val="32"/>
        </w:rPr>
        <w:t>专项预算项目。绩效自评报告详见附件。</w:t>
      </w:r>
    </w:p>
    <w:p w14:paraId="4ACD113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6E41A8B7">
      <w:pPr>
        <w:pStyle w:val="13"/>
        <w:rPr>
          <w:rFonts w:hint="eastAsia" w:ascii="Times New Roman" w:hAnsi="Times New Roman" w:eastAsia="仿宋_GB2312" w:cs="仿宋_GB2312"/>
          <w:color w:val="auto"/>
          <w:kern w:val="2"/>
          <w:sz w:val="32"/>
          <w:szCs w:val="32"/>
          <w:highlight w:val="none"/>
          <w:lang w:val="en-US" w:eastAsia="zh-CN" w:bidi="ar-SA"/>
        </w:rPr>
      </w:pPr>
    </w:p>
    <w:p w14:paraId="23324E3E">
      <w:pPr>
        <w:pStyle w:val="7"/>
        <w:rPr>
          <w:rFonts w:hint="eastAsia" w:ascii="Times New Roman" w:hAnsi="Times New Roman" w:eastAsia="仿宋_GB2312" w:cs="仿宋_GB2312"/>
          <w:color w:val="auto"/>
          <w:kern w:val="2"/>
          <w:sz w:val="32"/>
          <w:szCs w:val="32"/>
          <w:highlight w:val="none"/>
          <w:lang w:val="en-US" w:eastAsia="zh-CN" w:bidi="ar-SA"/>
        </w:rPr>
      </w:pPr>
    </w:p>
    <w:p w14:paraId="2CBA4FD6">
      <w:pPr>
        <w:rPr>
          <w:rFonts w:hint="eastAsia" w:ascii="Times New Roman" w:hAnsi="Times New Roman" w:eastAsia="仿宋_GB2312" w:cs="仿宋_GB2312"/>
          <w:color w:val="auto"/>
          <w:kern w:val="2"/>
          <w:sz w:val="32"/>
          <w:szCs w:val="32"/>
          <w:highlight w:val="none"/>
          <w:lang w:val="en-US" w:eastAsia="zh-CN" w:bidi="ar-SA"/>
        </w:rPr>
      </w:pPr>
    </w:p>
    <w:p w14:paraId="048FE48C">
      <w:pPr>
        <w:pStyle w:val="13"/>
        <w:rPr>
          <w:rFonts w:hint="eastAsia" w:ascii="Times New Roman" w:hAnsi="Times New Roman" w:eastAsia="仿宋_GB2312" w:cs="仿宋_GB2312"/>
          <w:color w:val="auto"/>
          <w:kern w:val="2"/>
          <w:sz w:val="32"/>
          <w:szCs w:val="32"/>
          <w:highlight w:val="none"/>
          <w:lang w:val="en-US" w:eastAsia="zh-CN" w:bidi="ar-SA"/>
        </w:rPr>
      </w:pPr>
    </w:p>
    <w:p w14:paraId="69AEA6A5">
      <w:pPr>
        <w:pStyle w:val="7"/>
        <w:rPr>
          <w:rFonts w:hint="eastAsia" w:ascii="Times New Roman" w:hAnsi="Times New Roman" w:eastAsia="仿宋_GB2312" w:cs="仿宋_GB2312"/>
          <w:color w:val="auto"/>
          <w:kern w:val="2"/>
          <w:sz w:val="32"/>
          <w:szCs w:val="32"/>
          <w:highlight w:val="none"/>
          <w:lang w:val="en-US" w:eastAsia="zh-CN" w:bidi="ar-SA"/>
        </w:rPr>
      </w:pPr>
    </w:p>
    <w:p w14:paraId="2F2432CA">
      <w:pPr>
        <w:rPr>
          <w:rFonts w:hint="eastAsia" w:ascii="Times New Roman" w:hAnsi="Times New Roman" w:eastAsia="仿宋_GB2312" w:cs="仿宋_GB2312"/>
          <w:color w:val="auto"/>
          <w:kern w:val="2"/>
          <w:sz w:val="32"/>
          <w:szCs w:val="32"/>
          <w:highlight w:val="none"/>
          <w:lang w:val="en-US" w:eastAsia="zh-CN" w:bidi="ar-SA"/>
        </w:rPr>
      </w:pPr>
    </w:p>
    <w:p w14:paraId="20B50278">
      <w:pPr>
        <w:pStyle w:val="13"/>
        <w:rPr>
          <w:rFonts w:hint="eastAsia" w:ascii="Times New Roman" w:hAnsi="Times New Roman" w:eastAsia="仿宋_GB2312" w:cs="仿宋_GB2312"/>
          <w:color w:val="auto"/>
          <w:kern w:val="2"/>
          <w:sz w:val="32"/>
          <w:szCs w:val="32"/>
          <w:highlight w:val="none"/>
          <w:lang w:val="en-US" w:eastAsia="zh-CN" w:bidi="ar-SA"/>
        </w:rPr>
      </w:pPr>
    </w:p>
    <w:p w14:paraId="5A53A4DE">
      <w:pPr>
        <w:pStyle w:val="7"/>
        <w:rPr>
          <w:rFonts w:hint="eastAsia" w:ascii="Times New Roman" w:hAnsi="Times New Roman" w:eastAsia="仿宋_GB2312" w:cs="仿宋_GB2312"/>
          <w:color w:val="auto"/>
          <w:kern w:val="2"/>
          <w:sz w:val="32"/>
          <w:szCs w:val="32"/>
          <w:highlight w:val="none"/>
          <w:lang w:val="en-US" w:eastAsia="zh-CN" w:bidi="ar-SA"/>
        </w:rPr>
      </w:pPr>
    </w:p>
    <w:p w14:paraId="6798DDBD">
      <w:pPr>
        <w:rPr>
          <w:rFonts w:hint="eastAsia" w:ascii="Times New Roman" w:hAnsi="Times New Roman" w:eastAsia="仿宋_GB2312" w:cs="仿宋_GB2312"/>
          <w:color w:val="auto"/>
          <w:kern w:val="2"/>
          <w:sz w:val="32"/>
          <w:szCs w:val="32"/>
          <w:highlight w:val="none"/>
          <w:lang w:val="en-US" w:eastAsia="zh-CN" w:bidi="ar-SA"/>
        </w:rPr>
      </w:pPr>
    </w:p>
    <w:p w14:paraId="774B5963">
      <w:pPr>
        <w:pStyle w:val="13"/>
        <w:rPr>
          <w:rFonts w:hint="eastAsia" w:ascii="Times New Roman" w:hAnsi="Times New Roman" w:eastAsia="仿宋_GB2312" w:cs="仿宋_GB2312"/>
          <w:color w:val="auto"/>
          <w:kern w:val="2"/>
          <w:sz w:val="32"/>
          <w:szCs w:val="32"/>
          <w:highlight w:val="none"/>
          <w:lang w:val="en-US" w:eastAsia="zh-CN" w:bidi="ar-SA"/>
        </w:rPr>
      </w:pPr>
    </w:p>
    <w:p w14:paraId="6D1CE080">
      <w:pPr>
        <w:pStyle w:val="7"/>
        <w:rPr>
          <w:rFonts w:hint="eastAsia" w:ascii="Times New Roman" w:hAnsi="Times New Roman" w:eastAsia="仿宋_GB2312" w:cs="仿宋_GB2312"/>
          <w:color w:val="auto"/>
          <w:kern w:val="2"/>
          <w:sz w:val="32"/>
          <w:szCs w:val="32"/>
          <w:highlight w:val="none"/>
          <w:lang w:val="en-US" w:eastAsia="zh-CN" w:bidi="ar-SA"/>
        </w:rPr>
      </w:pPr>
    </w:p>
    <w:p w14:paraId="4D7B6CF6">
      <w:pPr>
        <w:rPr>
          <w:rFonts w:hint="eastAsia" w:ascii="Times New Roman" w:hAnsi="Times New Roman" w:eastAsia="仿宋_GB2312" w:cs="仿宋_GB2312"/>
          <w:color w:val="auto"/>
          <w:kern w:val="2"/>
          <w:sz w:val="32"/>
          <w:szCs w:val="32"/>
          <w:highlight w:val="none"/>
          <w:lang w:val="en-US" w:eastAsia="zh-CN" w:bidi="ar-SA"/>
        </w:rPr>
      </w:pPr>
    </w:p>
    <w:p w14:paraId="674F46DD">
      <w:pPr>
        <w:pStyle w:val="13"/>
        <w:rPr>
          <w:rFonts w:hint="eastAsia" w:ascii="Times New Roman" w:hAnsi="Times New Roman" w:eastAsia="仿宋_GB2312" w:cs="仿宋_GB2312"/>
          <w:color w:val="auto"/>
          <w:kern w:val="2"/>
          <w:sz w:val="32"/>
          <w:szCs w:val="32"/>
          <w:highlight w:val="none"/>
          <w:lang w:val="en-US" w:eastAsia="zh-CN" w:bidi="ar-SA"/>
        </w:rPr>
      </w:pPr>
    </w:p>
    <w:p w14:paraId="2FCE0EDF">
      <w:pPr>
        <w:pStyle w:val="7"/>
        <w:rPr>
          <w:rFonts w:hint="eastAsia" w:ascii="Times New Roman" w:hAnsi="Times New Roman" w:eastAsia="仿宋_GB2312" w:cs="仿宋_GB2312"/>
          <w:color w:val="auto"/>
          <w:kern w:val="2"/>
          <w:sz w:val="32"/>
          <w:szCs w:val="32"/>
          <w:highlight w:val="none"/>
          <w:lang w:val="en-US" w:eastAsia="zh-CN" w:bidi="ar-SA"/>
        </w:rPr>
      </w:pPr>
    </w:p>
    <w:p w14:paraId="4B0333CA">
      <w:pPr>
        <w:rPr>
          <w:rFonts w:hint="eastAsia" w:ascii="Times New Roman" w:hAnsi="Times New Roman" w:eastAsia="仿宋_GB2312" w:cs="仿宋_GB2312"/>
          <w:color w:val="auto"/>
          <w:kern w:val="2"/>
          <w:sz w:val="32"/>
          <w:szCs w:val="32"/>
          <w:highlight w:val="none"/>
          <w:lang w:val="en-US" w:eastAsia="zh-CN" w:bidi="ar-SA"/>
        </w:rPr>
      </w:pPr>
    </w:p>
    <w:p w14:paraId="3A9824B9">
      <w:pPr>
        <w:pStyle w:val="13"/>
        <w:rPr>
          <w:rFonts w:hint="eastAsia" w:ascii="Times New Roman" w:hAnsi="Times New Roman" w:eastAsia="仿宋_GB2312" w:cs="仿宋_GB2312"/>
          <w:color w:val="auto"/>
          <w:kern w:val="2"/>
          <w:sz w:val="32"/>
          <w:szCs w:val="32"/>
          <w:highlight w:val="none"/>
          <w:lang w:val="en-US" w:eastAsia="zh-CN" w:bidi="ar-SA"/>
        </w:rPr>
      </w:pPr>
    </w:p>
    <w:p w14:paraId="461C4AA8">
      <w:pPr>
        <w:pStyle w:val="7"/>
        <w:rPr>
          <w:rFonts w:hint="eastAsia" w:ascii="Times New Roman" w:hAnsi="Times New Roman" w:eastAsia="仿宋_GB2312" w:cs="仿宋_GB2312"/>
          <w:color w:val="auto"/>
          <w:kern w:val="2"/>
          <w:sz w:val="32"/>
          <w:szCs w:val="32"/>
          <w:highlight w:val="none"/>
          <w:lang w:val="en-US" w:eastAsia="zh-CN" w:bidi="ar-SA"/>
        </w:rPr>
      </w:pPr>
    </w:p>
    <w:p w14:paraId="59DB72CC">
      <w:pPr>
        <w:rPr>
          <w:rFonts w:hint="eastAsia"/>
          <w:lang w:val="en-US" w:eastAsia="zh-CN"/>
        </w:rPr>
      </w:pPr>
    </w:p>
    <w:p w14:paraId="7D672F0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14:paraId="6687B524">
      <w:pPr>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br w:type="page"/>
      </w:r>
    </w:p>
    <w:p w14:paraId="0D07751C">
      <w:pPr>
        <w:pageBreakBefore w:val="0"/>
        <w:numPr>
          <w:ilvl w:val="0"/>
          <w:numId w:val="0"/>
        </w:numPr>
        <w:kinsoku/>
        <w:wordWrap/>
        <w:overflowPunct/>
        <w:topLinePunct w:val="0"/>
        <w:autoSpaceDE/>
        <w:autoSpaceDN/>
        <w:bidi w:val="0"/>
        <w:spacing w:line="240" w:lineRule="auto"/>
        <w:jc w:val="center"/>
        <w:textAlignment w:val="auto"/>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38C013ED">
      <w:pPr>
        <w:pageBreakBefore w:val="0"/>
        <w:kinsoku/>
        <w:wordWrap/>
        <w:overflowPunct/>
        <w:topLinePunct w:val="0"/>
        <w:autoSpaceDE/>
        <w:autoSpaceDN/>
        <w:bidi w:val="0"/>
        <w:spacing w:line="240" w:lineRule="auto"/>
        <w:jc w:val="left"/>
        <w:textAlignment w:val="auto"/>
        <w:rPr>
          <w:rFonts w:ascii="Times New Roman" w:hAnsi="Times New Roman"/>
          <w:b/>
          <w:color w:val="auto"/>
          <w:sz w:val="44"/>
          <w:szCs w:val="44"/>
          <w:highlight w:val="none"/>
        </w:rPr>
      </w:pPr>
    </w:p>
    <w:p w14:paraId="441C1BDB">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F273266">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25B5AB57">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60AA1BB8">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0CF8BDD3">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D0F7B27">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3712BA2A">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9B9BF00">
      <w:pPr>
        <w:pageBreakBefore w:val="0"/>
        <w:kinsoku/>
        <w:wordWrap/>
        <w:overflowPunct/>
        <w:topLinePunct w:val="0"/>
        <w:autoSpaceDE/>
        <w:autoSpaceDN/>
        <w:bidi w:val="0"/>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8D5BA08">
      <w:pPr>
        <w:pageBreakBefore w:val="0"/>
        <w:kinsoku/>
        <w:wordWrap/>
        <w:overflowPunct/>
        <w:topLinePunct w:val="0"/>
        <w:autoSpaceDE/>
        <w:autoSpaceDN/>
        <w:bidi w:val="0"/>
        <w:spacing w:line="240" w:lineRule="auto"/>
        <w:ind w:firstLine="640" w:firstLineChars="200"/>
        <w:rPr>
          <w:rFonts w:ascii="Times New Roman" w:hAnsi="Times New Roman" w:eastAsia="方正仿宋_GBK"/>
          <w:color w:val="000000"/>
          <w:sz w:val="32"/>
          <w:szCs w:val="32"/>
        </w:rPr>
      </w:pPr>
      <w:r>
        <w:rPr>
          <w:rFonts w:hint="eastAsia" w:eastAsia="仿宋_GB2312" w:cs="仿宋_GB2312"/>
          <w:sz w:val="32"/>
          <w:szCs w:val="32"/>
          <w:lang w:val="en-US" w:eastAsia="zh-CN"/>
        </w:rPr>
        <w:t>9</w:t>
      </w:r>
      <w:r>
        <w:rPr>
          <w:rFonts w:hint="eastAsia" w:eastAsia="仿宋_GB2312" w:cs="仿宋_GB2312"/>
          <w:sz w:val="32"/>
          <w:szCs w:val="32"/>
        </w:rPr>
        <w:t>.</w:t>
      </w:r>
      <w:r>
        <w:rPr>
          <w:rFonts w:ascii="Times New Roman" w:hAnsi="Times New Roman" w:eastAsia="方正仿宋_GBK"/>
          <w:color w:val="000000"/>
          <w:sz w:val="32"/>
          <w:szCs w:val="32"/>
        </w:rPr>
        <w:t>文化体育与传媒（207）文化（01）文化创作与保护（11）：指反映鼓励文学、艺术创作和优秀传统文化保护方面的支出。</w:t>
      </w:r>
    </w:p>
    <w:p w14:paraId="1B365CD8">
      <w:pPr>
        <w:pageBreakBefore w:val="0"/>
        <w:kinsoku/>
        <w:wordWrap/>
        <w:overflowPunct/>
        <w:topLinePunct w:val="0"/>
        <w:autoSpaceDE/>
        <w:autoSpaceDN/>
        <w:bidi w:val="0"/>
        <w:spacing w:line="240" w:lineRule="auto"/>
        <w:ind w:firstLine="640" w:firstLineChars="200"/>
        <w:rPr>
          <w:rFonts w:ascii="Times New Roman" w:hAnsi="Times New Roman" w:eastAsia="方正仿宋_GBK"/>
          <w:sz w:val="32"/>
          <w:szCs w:val="32"/>
        </w:rPr>
      </w:pPr>
      <w:r>
        <w:rPr>
          <w:rFonts w:ascii="Times New Roman" w:hAnsi="Times New Roman" w:eastAsia="方正仿宋_GBK"/>
          <w:sz w:val="32"/>
          <w:szCs w:val="32"/>
        </w:rPr>
        <w:t>1</w:t>
      </w:r>
      <w:r>
        <w:rPr>
          <w:rFonts w:hint="eastAsia" w:eastAsia="方正仿宋_GBK"/>
          <w:sz w:val="32"/>
          <w:szCs w:val="32"/>
          <w:lang w:val="en-US" w:eastAsia="zh-CN"/>
        </w:rPr>
        <w:t>0</w:t>
      </w:r>
      <w:r>
        <w:rPr>
          <w:rFonts w:ascii="Times New Roman" w:hAnsi="Times New Roman" w:eastAsia="方正仿宋_GBK"/>
          <w:sz w:val="32"/>
          <w:szCs w:val="32"/>
        </w:rPr>
        <w:t>.</w:t>
      </w:r>
      <w:r>
        <w:rPr>
          <w:rFonts w:ascii="Times New Roman" w:hAnsi="Times New Roman" w:eastAsia="方正仿宋_GBK"/>
          <w:color w:val="000000"/>
          <w:sz w:val="32"/>
          <w:szCs w:val="32"/>
        </w:rPr>
        <w:t>社会保障和就业（208）行政事业单位离退休（05）机关事业单位基本养老保险缴费支出（05）：指用于机关事业单位实施养老保险制度由单位缴纳的基本养老保险支出。</w:t>
      </w:r>
    </w:p>
    <w:p w14:paraId="61373B05">
      <w:pPr>
        <w:pageBreakBefore w:val="0"/>
        <w:kinsoku/>
        <w:wordWrap/>
        <w:overflowPunct/>
        <w:topLinePunct w:val="0"/>
        <w:autoSpaceDE/>
        <w:autoSpaceDN/>
        <w:bidi w:val="0"/>
        <w:spacing w:line="240" w:lineRule="auto"/>
        <w:ind w:firstLine="640" w:firstLineChars="200"/>
        <w:rPr>
          <w:rFonts w:ascii="Times New Roman" w:hAnsi="Times New Roman" w:eastAsia="方正仿宋_GBK"/>
          <w:color w:val="000000"/>
          <w:sz w:val="32"/>
          <w:szCs w:val="32"/>
        </w:rPr>
      </w:pPr>
      <w:r>
        <w:rPr>
          <w:rFonts w:ascii="Times New Roman" w:hAnsi="Times New Roman" w:eastAsia="方正仿宋_GBK"/>
          <w:sz w:val="32"/>
          <w:szCs w:val="32"/>
        </w:rPr>
        <w:t>1</w:t>
      </w:r>
      <w:r>
        <w:rPr>
          <w:rFonts w:hint="eastAsia" w:eastAsia="方正仿宋_GBK"/>
          <w:sz w:val="32"/>
          <w:szCs w:val="32"/>
          <w:lang w:val="en-US" w:eastAsia="zh-CN"/>
        </w:rPr>
        <w:t>1</w:t>
      </w:r>
      <w:r>
        <w:rPr>
          <w:rFonts w:ascii="Times New Roman" w:hAnsi="Times New Roman" w:eastAsia="方正仿宋_GBK"/>
          <w:sz w:val="32"/>
          <w:szCs w:val="32"/>
        </w:rPr>
        <w:t>.</w:t>
      </w:r>
      <w:r>
        <w:rPr>
          <w:rFonts w:ascii="Times New Roman" w:hAnsi="Times New Roman" w:eastAsia="方正仿宋_GBK"/>
          <w:color w:val="000000"/>
          <w:sz w:val="32"/>
          <w:szCs w:val="32"/>
        </w:rPr>
        <w:t>社会保障和就业（208）行政事业单位离退休（05）机关事业单位职业年金缴费支出（06）：指机关事业单位实施养老保险制度由单位实际缴纳的职业年金支出。</w:t>
      </w:r>
    </w:p>
    <w:p w14:paraId="37839FCD">
      <w:pPr>
        <w:pageBreakBefore w:val="0"/>
        <w:kinsoku/>
        <w:wordWrap/>
        <w:overflowPunct/>
        <w:topLinePunct w:val="0"/>
        <w:autoSpaceDE/>
        <w:autoSpaceDN/>
        <w:bidi w:val="0"/>
        <w:spacing w:line="240" w:lineRule="auto"/>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1</w:t>
      </w:r>
      <w:r>
        <w:rPr>
          <w:rFonts w:hint="eastAsia" w:eastAsia="方正仿宋_GBK"/>
          <w:color w:val="000000"/>
          <w:sz w:val="32"/>
          <w:szCs w:val="32"/>
          <w:lang w:val="en-US" w:eastAsia="zh-CN"/>
        </w:rPr>
        <w:t>2</w:t>
      </w:r>
      <w:r>
        <w:rPr>
          <w:rFonts w:ascii="Times New Roman" w:hAnsi="Times New Roman" w:eastAsia="方正仿宋_GBK"/>
          <w:color w:val="000000"/>
          <w:sz w:val="32"/>
          <w:szCs w:val="32"/>
        </w:rPr>
        <w:t>.医疗卫生与计划生育（210）行政事业单位医疗（11）行政事业单位医疗（02）：指单位基本医疗保险缴费经费，未参加医疗保险事业单位的公费医疗经费，按国家规定享受离休人员待遇的医疗经费。</w:t>
      </w:r>
    </w:p>
    <w:p w14:paraId="2C9AD401">
      <w:pPr>
        <w:pageBreakBefore w:val="0"/>
        <w:kinsoku/>
        <w:wordWrap/>
        <w:overflowPunct/>
        <w:topLinePunct w:val="0"/>
        <w:autoSpaceDE/>
        <w:autoSpaceDN/>
        <w:bidi w:val="0"/>
        <w:spacing w:line="240" w:lineRule="auto"/>
        <w:ind w:firstLine="640" w:firstLineChars="200"/>
        <w:rPr>
          <w:rFonts w:ascii="Times New Roman" w:hAnsi="Times New Roman" w:eastAsia="方正仿宋_GBK"/>
        </w:rPr>
      </w:pPr>
      <w:r>
        <w:rPr>
          <w:rFonts w:ascii="Times New Roman" w:hAnsi="Times New Roman" w:eastAsia="方正仿宋_GBK"/>
          <w:color w:val="000000"/>
          <w:sz w:val="32"/>
          <w:szCs w:val="32"/>
        </w:rPr>
        <w:t>1</w:t>
      </w:r>
      <w:r>
        <w:rPr>
          <w:rFonts w:hint="eastAsia" w:eastAsia="方正仿宋_GBK"/>
          <w:color w:val="000000"/>
          <w:sz w:val="32"/>
          <w:szCs w:val="32"/>
          <w:lang w:val="en-US" w:eastAsia="zh-CN"/>
        </w:rPr>
        <w:t>3</w:t>
      </w:r>
      <w:r>
        <w:rPr>
          <w:rFonts w:ascii="Times New Roman" w:hAnsi="Times New Roman" w:eastAsia="方正仿宋_GBK"/>
          <w:color w:val="000000"/>
          <w:sz w:val="32"/>
          <w:szCs w:val="32"/>
        </w:rPr>
        <w:t>.医疗卫生与计划生育（210）行政事业单位医疗（11）  其他行政事业单位医疗支出（99）：指其他用于行政事业单位医疗方面的支出。</w:t>
      </w:r>
    </w:p>
    <w:p w14:paraId="01139E85">
      <w:pPr>
        <w:pageBreakBefore w:val="0"/>
        <w:kinsoku/>
        <w:wordWrap/>
        <w:overflowPunct/>
        <w:topLinePunct w:val="0"/>
        <w:autoSpaceDE/>
        <w:autoSpaceDN/>
        <w:bidi w:val="0"/>
        <w:spacing w:line="240" w:lineRule="auto"/>
        <w:ind w:firstLine="640" w:firstLineChars="200"/>
        <w:rPr>
          <w:rFonts w:hint="eastAsia" w:eastAsia="仿宋_GB2312" w:cs="仿宋_GB2312"/>
          <w:sz w:val="32"/>
          <w:szCs w:val="32"/>
        </w:rPr>
      </w:pPr>
      <w:r>
        <w:rPr>
          <w:rFonts w:hint="eastAsia" w:eastAsia="方正仿宋_GBK"/>
          <w:sz w:val="32"/>
          <w:szCs w:val="32"/>
          <w:lang w:val="en-US" w:eastAsia="zh-CN"/>
        </w:rPr>
        <w:t>14</w:t>
      </w:r>
      <w:r>
        <w:rPr>
          <w:rFonts w:ascii="Times New Roman" w:hAnsi="Times New Roman" w:eastAsia="方正仿宋_GBK"/>
          <w:sz w:val="32"/>
          <w:szCs w:val="32"/>
        </w:rPr>
        <w:t>.</w:t>
      </w:r>
      <w:r>
        <w:rPr>
          <w:rFonts w:ascii="Times New Roman" w:hAnsi="Times New Roman" w:eastAsia="方正仿宋_GBK"/>
          <w:color w:val="000000"/>
          <w:sz w:val="32"/>
          <w:szCs w:val="32"/>
        </w:rPr>
        <w:t>住房保障支出（221）住房改革支出（02）住房公积金（01）：指行政事业单位按人力资源和社会保障部、财政部规定的基本工资和经补贴以及规定比例为职工缴纳的住房公积金。</w:t>
      </w:r>
    </w:p>
    <w:p w14:paraId="0AA8EFF7">
      <w:pPr>
        <w:pageBreakBefore w:val="0"/>
        <w:kinsoku/>
        <w:wordWrap/>
        <w:overflowPunct/>
        <w:topLinePunct w:val="0"/>
        <w:autoSpaceDE/>
        <w:autoSpaceDN/>
        <w:bidi w:val="0"/>
        <w:spacing w:line="240" w:lineRule="auto"/>
        <w:ind w:firstLine="640"/>
        <w:rPr>
          <w:rFonts w:eastAsia="仿宋_GB2312" w:cs="仿宋_GB2312"/>
          <w:sz w:val="32"/>
          <w:szCs w:val="32"/>
        </w:rPr>
      </w:pPr>
      <w:r>
        <w:rPr>
          <w:rFonts w:hint="eastAsia" w:eastAsia="仿宋_GB2312" w:cs="仿宋_GB2312"/>
          <w:sz w:val="32"/>
          <w:szCs w:val="32"/>
          <w:lang w:val="en-US" w:eastAsia="zh-CN"/>
        </w:rPr>
        <w:t>15</w:t>
      </w:r>
      <w:r>
        <w:rPr>
          <w:rFonts w:hint="eastAsia" w:eastAsia="仿宋_GB2312" w:cs="仿宋_GB2312"/>
          <w:sz w:val="32"/>
          <w:szCs w:val="32"/>
        </w:rPr>
        <w:t>.基本支出：指为保障机构正常运转、完成日常工作任务而发生的人员支出和公用支出。</w:t>
      </w:r>
    </w:p>
    <w:p w14:paraId="50C5AD18">
      <w:pPr>
        <w:pageBreakBefore w:val="0"/>
        <w:kinsoku/>
        <w:wordWrap/>
        <w:overflowPunct/>
        <w:topLinePunct w:val="0"/>
        <w:autoSpaceDE/>
        <w:autoSpaceDN/>
        <w:bidi w:val="0"/>
        <w:spacing w:line="240" w:lineRule="auto"/>
        <w:ind w:firstLine="640"/>
        <w:rPr>
          <w:rFonts w:eastAsia="仿宋_GB2312" w:cs="仿宋_GB2312"/>
          <w:sz w:val="32"/>
          <w:szCs w:val="32"/>
        </w:rPr>
      </w:pPr>
      <w:r>
        <w:rPr>
          <w:rFonts w:hint="eastAsia" w:eastAsia="仿宋_GB2312" w:cs="仿宋_GB2312"/>
          <w:sz w:val="32"/>
          <w:szCs w:val="32"/>
          <w:lang w:val="en-US" w:eastAsia="zh-CN"/>
        </w:rPr>
        <w:t>16</w:t>
      </w:r>
      <w:r>
        <w:rPr>
          <w:rFonts w:hint="eastAsia" w:eastAsia="仿宋_GB2312" w:cs="仿宋_GB2312"/>
          <w:sz w:val="32"/>
          <w:szCs w:val="32"/>
        </w:rPr>
        <w:t xml:space="preserve">.项目支出：指在基本支出之外为完成特定行政任务和事业发展目标所发生的支出。 </w:t>
      </w:r>
    </w:p>
    <w:p w14:paraId="2C1E157D">
      <w:pPr>
        <w:pageBreakBefore w:val="0"/>
        <w:kinsoku/>
        <w:wordWrap/>
        <w:overflowPunct/>
        <w:topLinePunct w:val="0"/>
        <w:autoSpaceDE/>
        <w:autoSpaceDN/>
        <w:bidi w:val="0"/>
        <w:spacing w:line="240" w:lineRule="auto"/>
        <w:ind w:firstLine="640"/>
        <w:rPr>
          <w:rFonts w:eastAsia="仿宋_GB2312" w:cs="仿宋_GB2312"/>
          <w:sz w:val="32"/>
          <w:szCs w:val="32"/>
        </w:rPr>
      </w:pPr>
      <w:r>
        <w:rPr>
          <w:rFonts w:hint="eastAsia" w:eastAsia="仿宋_GB2312" w:cs="仿宋_GB2312"/>
          <w:sz w:val="32"/>
          <w:szCs w:val="32"/>
          <w:lang w:val="en-US" w:eastAsia="zh-CN"/>
        </w:rPr>
        <w:t>17</w:t>
      </w:r>
      <w:r>
        <w:rPr>
          <w:rFonts w:hint="eastAsia" w:eastAsia="仿宋_GB2312" w:cs="仿宋_GB2312"/>
          <w:sz w:val="32"/>
          <w:szCs w:val="32"/>
        </w:rPr>
        <w:t>.经营支出：指事业单位在专业业务活动及其辅助活动之外开展非独立核算经营活动发生的支出。</w:t>
      </w:r>
    </w:p>
    <w:p w14:paraId="63C28601">
      <w:pPr>
        <w:pageBreakBefore w:val="0"/>
        <w:kinsoku/>
        <w:wordWrap/>
        <w:overflowPunct/>
        <w:topLinePunct w:val="0"/>
        <w:autoSpaceDE/>
        <w:autoSpaceDN/>
        <w:bidi w:val="0"/>
        <w:spacing w:line="240" w:lineRule="auto"/>
        <w:ind w:firstLine="640"/>
        <w:rPr>
          <w:rFonts w:eastAsia="仿宋_GB2312" w:cs="仿宋_GB2312"/>
          <w:sz w:val="32"/>
          <w:szCs w:val="32"/>
        </w:rPr>
      </w:pPr>
      <w:r>
        <w:rPr>
          <w:rFonts w:hint="eastAsia" w:eastAsia="仿宋_GB2312" w:cs="仿宋_GB2312"/>
          <w:sz w:val="32"/>
          <w:szCs w:val="32"/>
          <w:lang w:val="en-US" w:eastAsia="zh-CN"/>
        </w:rPr>
        <w:t>18</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6E1A17">
      <w:pPr>
        <w:pageBreakBefore w:val="0"/>
        <w:kinsoku/>
        <w:wordWrap/>
        <w:overflowPunct/>
        <w:topLinePunct w:val="0"/>
        <w:autoSpaceDE/>
        <w:autoSpaceDN/>
        <w:bidi w:val="0"/>
        <w:spacing w:line="240" w:lineRule="auto"/>
        <w:ind w:firstLine="640"/>
        <w:rPr>
          <w:rFonts w:eastAsia="仿宋_GB2312" w:cs="仿宋_GB2312"/>
          <w:sz w:val="32"/>
          <w:szCs w:val="32"/>
        </w:rPr>
      </w:pPr>
      <w:r>
        <w:rPr>
          <w:rFonts w:hint="eastAsia" w:eastAsia="仿宋_GB2312" w:cs="仿宋_GB2312"/>
          <w:sz w:val="32"/>
          <w:szCs w:val="32"/>
          <w:lang w:val="en-US" w:eastAsia="zh-CN"/>
        </w:rPr>
        <w:t>19</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D07BE49">
      <w:pPr>
        <w:pageBreakBefore w:val="0"/>
        <w:kinsoku/>
        <w:wordWrap/>
        <w:overflowPunct/>
        <w:topLinePunct w:val="0"/>
        <w:autoSpaceDE/>
        <w:autoSpaceDN/>
        <w:bidi w:val="0"/>
        <w:spacing w:line="240" w:lineRule="auto"/>
        <w:textAlignment w:val="auto"/>
        <w:rPr>
          <w:rStyle w:val="29"/>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410C4E68">
      <w:pPr>
        <w:keepNext w:val="0"/>
        <w:keepLines w:val="0"/>
        <w:pageBreakBefore w:val="0"/>
        <w:kinsoku/>
        <w:wordWrap/>
        <w:overflowPunct/>
        <w:topLinePunct w:val="0"/>
        <w:autoSpaceDE/>
        <w:autoSpaceDN/>
        <w:bidi w:val="0"/>
        <w:spacing w:line="240" w:lineRule="auto"/>
        <w:jc w:val="left"/>
        <w:textAlignment w:val="auto"/>
        <w:outlineLvl w:val="0"/>
        <w:rPr>
          <w:rFonts w:hint="eastAsia" w:ascii="Times New Roman" w:hAnsi="Times New Roman" w:eastAsia="黑体" w:cs="黑体"/>
          <w:color w:val="FF0000"/>
          <w:sz w:val="32"/>
          <w:szCs w:val="32"/>
          <w:highlight w:val="none"/>
        </w:rPr>
      </w:pPr>
    </w:p>
    <w:p w14:paraId="471B8BEC">
      <w:pPr>
        <w:keepNext w:val="0"/>
        <w:keepLines w:val="0"/>
        <w:pageBreakBefore w:val="0"/>
        <w:kinsoku/>
        <w:wordWrap/>
        <w:overflowPunct/>
        <w:topLinePunct w:val="0"/>
        <w:autoSpaceDE/>
        <w:autoSpaceDN/>
        <w:bidi w:val="0"/>
        <w:spacing w:line="240" w:lineRule="auto"/>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FC116EA">
      <w:pPr>
        <w:keepNext w:val="0"/>
        <w:keepLines w:val="0"/>
        <w:pageBreakBefore w:val="0"/>
        <w:widowControl/>
        <w:kinsoku/>
        <w:wordWrap/>
        <w:overflowPunct/>
        <w:topLinePunct w:val="0"/>
        <w:autoSpaceDE/>
        <w:autoSpaceDN/>
        <w:bidi w:val="0"/>
        <w:spacing w:line="240" w:lineRule="auto"/>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AEDB44E">
      <w:pPr>
        <w:keepNext w:val="0"/>
        <w:keepLines w:val="0"/>
        <w:pageBreakBefore w:val="0"/>
        <w:widowControl/>
        <w:kinsoku/>
        <w:wordWrap/>
        <w:overflowPunct/>
        <w:topLinePunct w:val="0"/>
        <w:autoSpaceDE/>
        <w:autoSpaceDN/>
        <w:bidi w:val="0"/>
        <w:spacing w:line="240" w:lineRule="auto"/>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6A01C845">
      <w:pPr>
        <w:keepNext w:val="0"/>
        <w:keepLines w:val="0"/>
        <w:pageBreakBefore w:val="0"/>
        <w:widowControl/>
        <w:kinsoku/>
        <w:wordWrap/>
        <w:overflowPunct/>
        <w:topLinePunct w:val="0"/>
        <w:autoSpaceDE/>
        <w:autoSpaceDN/>
        <w:bidi w:val="0"/>
        <w:adjustRightInd w:val="0"/>
        <w:snapToGrid w:val="0"/>
        <w:spacing w:line="240" w:lineRule="auto"/>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155485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单位基本情况</w:t>
      </w:r>
    </w:p>
    <w:p w14:paraId="2F6A8282">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Times New Roman"/>
          <w:sz w:val="32"/>
          <w:szCs w:val="32"/>
        </w:rPr>
        <w:t>单位性质：财政补助事业单位；财务隶属关系：二级单位；执行财务会计制度情况：事业单位会计制度。</w:t>
      </w:r>
    </w:p>
    <w:p w14:paraId="74E9D48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jc w:val="left"/>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Times New Roman"/>
          <w:sz w:val="32"/>
          <w:szCs w:val="32"/>
        </w:rPr>
        <w:t>编发文学作品，弘扬民族文学，刊发小说、诗歌、散文、杂文、评论、报告文学等。出版汉文版《草地》藏文版《邦炯》杂志。密切联系全州各县文学爱好者，对个别年轻作者做好重点交流和培养，做好作品推荐工作。</w:t>
      </w:r>
    </w:p>
    <w:p w14:paraId="5AB8A5B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jc w:val="left"/>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Times New Roman" w:hAnsi="Times New Roman" w:eastAsia="仿宋_GB2312" w:cs="Times New Roman"/>
          <w:sz w:val="32"/>
          <w:szCs w:val="32"/>
        </w:rPr>
        <w:t>总编制 13 名,其中:事业编制13名，在职人员总数</w:t>
      </w:r>
      <w:r>
        <w:rPr>
          <w:rFonts w:hint="eastAsia"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1</w:t>
      </w:r>
      <w:r>
        <w:rPr>
          <w:rFonts w:hint="eastAsia" w:ascii="Times New Roman" w:hAnsi="Times New Roman" w:eastAsia="仿宋_GB2312" w:cs="Times New Roman"/>
          <w:sz w:val="32"/>
          <w:szCs w:val="32"/>
        </w:rPr>
        <w:t>名，退休人员4人，临聘人员1人。</w:t>
      </w:r>
    </w:p>
    <w:p w14:paraId="1772C63C">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二、资金收支情况</w:t>
      </w:r>
    </w:p>
    <w:p w14:paraId="0858DF49">
      <w:pPr>
        <w:keepNext w:val="0"/>
        <w:keepLines w:val="0"/>
        <w:pageBreakBefore w:val="0"/>
        <w:widowControl/>
        <w:kinsoku/>
        <w:wordWrap/>
        <w:overflowPunct/>
        <w:topLinePunct w:val="0"/>
        <w:autoSpaceDE/>
        <w:autoSpaceDN/>
        <w:bidi w:val="0"/>
        <w:adjustRightInd w:val="0"/>
        <w:snapToGrid w:val="0"/>
        <w:spacing w:line="240" w:lineRule="auto"/>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草地杂志社</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328.64万元</w:t>
      </w:r>
      <w:r>
        <w:rPr>
          <w:rFonts w:hint="eastAsia" w:ascii="Times New Roman" w:hAnsi="Times New Roman" w:eastAsia="仿宋_GB2312" w:cs="Times New Roman"/>
          <w:sz w:val="32"/>
          <w:szCs w:val="32"/>
          <w:lang w:val="en-US" w:eastAsia="zh-CN"/>
        </w:rPr>
        <w:t>、决算报表收入</w:t>
      </w:r>
      <w:r>
        <w:rPr>
          <w:rFonts w:hint="eastAsia" w:eastAsia="仿宋_GB2312" w:cs="Times New Roman"/>
          <w:sz w:val="32"/>
          <w:szCs w:val="32"/>
          <w:lang w:val="en-US" w:eastAsia="zh-CN"/>
        </w:rPr>
        <w:t>328.64万元</w:t>
      </w:r>
      <w:r>
        <w:rPr>
          <w:rFonts w:hint="eastAsia" w:ascii="Times New Roman" w:hAnsi="Times New Roman" w:eastAsia="仿宋_GB2312" w:cs="Times New Roman"/>
          <w:sz w:val="32"/>
          <w:szCs w:val="32"/>
          <w:lang w:val="en-US" w:eastAsia="zh-CN"/>
        </w:rPr>
        <w:t>。</w:t>
      </w:r>
    </w:p>
    <w:p w14:paraId="5A94089B">
      <w:pPr>
        <w:keepNext w:val="0"/>
        <w:keepLines w:val="0"/>
        <w:pageBreakBefore w:val="0"/>
        <w:widowControl/>
        <w:kinsoku/>
        <w:wordWrap/>
        <w:overflowPunct/>
        <w:topLinePunct w:val="0"/>
        <w:autoSpaceDE/>
        <w:autoSpaceDN/>
        <w:bidi w:val="0"/>
        <w:adjustRightInd w:val="0"/>
        <w:snapToGrid w:val="0"/>
        <w:spacing w:line="240" w:lineRule="auto"/>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草地杂志社</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328.64万元</w:t>
      </w:r>
      <w:r>
        <w:rPr>
          <w:rFonts w:hint="eastAsia" w:ascii="Times New Roman" w:hAnsi="Times New Roman" w:eastAsia="仿宋_GB2312" w:cs="Times New Roman"/>
          <w:sz w:val="32"/>
          <w:szCs w:val="32"/>
          <w:lang w:val="en-US" w:eastAsia="zh-CN"/>
        </w:rPr>
        <w:t>、决算报表支出</w:t>
      </w:r>
      <w:r>
        <w:rPr>
          <w:rFonts w:hint="eastAsia" w:eastAsia="仿宋_GB2312" w:cs="Times New Roman"/>
          <w:sz w:val="32"/>
          <w:szCs w:val="32"/>
          <w:lang w:val="en-US" w:eastAsia="zh-CN"/>
        </w:rPr>
        <w:t>328.64万元</w:t>
      </w:r>
      <w:r>
        <w:rPr>
          <w:rFonts w:hint="eastAsia" w:ascii="Times New Roman" w:hAnsi="Times New Roman" w:eastAsia="仿宋_GB2312" w:cs="Times New Roman"/>
          <w:sz w:val="32"/>
          <w:szCs w:val="32"/>
          <w:lang w:val="en-US" w:eastAsia="zh-CN"/>
        </w:rPr>
        <w:t>。</w:t>
      </w:r>
    </w:p>
    <w:p w14:paraId="331342B9">
      <w:pPr>
        <w:keepNext w:val="0"/>
        <w:keepLines w:val="0"/>
        <w:pageBreakBefore w:val="0"/>
        <w:widowControl/>
        <w:kinsoku/>
        <w:wordWrap/>
        <w:overflowPunct/>
        <w:topLinePunct w:val="0"/>
        <w:autoSpaceDE/>
        <w:autoSpaceDN/>
        <w:bidi w:val="0"/>
        <w:adjustRightInd w:val="0"/>
        <w:snapToGrid w:val="0"/>
        <w:spacing w:line="240" w:lineRule="auto"/>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草地杂志社</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0万元</w:t>
      </w:r>
      <w:r>
        <w:rPr>
          <w:rFonts w:hint="default" w:ascii="Times New Roman" w:hAnsi="Times New Roman" w:eastAsia="仿宋_GB2312" w:cs="Times New Roman"/>
          <w:sz w:val="32"/>
          <w:szCs w:val="32"/>
          <w:lang w:val="en-US" w:eastAsia="zh-CN"/>
        </w:rPr>
        <w:t>。</w:t>
      </w:r>
    </w:p>
    <w:p w14:paraId="63CAC234">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三、预算绩效分析</w:t>
      </w:r>
    </w:p>
    <w:p w14:paraId="58D8652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17012AB3">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14:paraId="4DCC4A16">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color w:val="auto"/>
          <w:kern w:val="2"/>
          <w:sz w:val="32"/>
          <w:szCs w:val="32"/>
          <w:highlight w:val="none"/>
          <w:lang w:val="zh-CN" w:eastAsia="zh-CN" w:bidi="ar-SA"/>
        </w:rPr>
      </w:pPr>
      <w:r>
        <w:rPr>
          <w:rFonts w:ascii="Times New Roman" w:hAnsi="Times New Roman" w:eastAsia="仿宋_GB2312" w:cs="仿宋_GB2312"/>
          <w:sz w:val="32"/>
          <w:szCs w:val="32"/>
          <w:lang w:val="zh-CN"/>
        </w:rPr>
        <w:t>编发文学作品，弘扬民族文学，刊发小说、诗歌、散文、杂文、评论、报告文学等。出版汉文版《草地》</w:t>
      </w:r>
      <w:r>
        <w:rPr>
          <w:rFonts w:hint="eastAsia" w:ascii="Times New Roman" w:hAnsi="Times New Roman" w:eastAsia="仿宋_GB2312" w:cs="仿宋_GB2312"/>
          <w:sz w:val="32"/>
          <w:szCs w:val="32"/>
          <w:lang w:val="zh-CN"/>
        </w:rPr>
        <w:t>6期，</w:t>
      </w:r>
      <w:r>
        <w:rPr>
          <w:rFonts w:ascii="Times New Roman" w:hAnsi="Times New Roman" w:eastAsia="仿宋_GB2312" w:cs="仿宋_GB2312"/>
          <w:sz w:val="32"/>
          <w:szCs w:val="32"/>
          <w:lang w:val="zh-CN"/>
        </w:rPr>
        <w:t>藏文版《邦炯》杂志</w:t>
      </w:r>
      <w:r>
        <w:rPr>
          <w:rFonts w:hint="eastAsia" w:ascii="Times New Roman" w:hAnsi="Times New Roman" w:eastAsia="仿宋_GB2312" w:cs="仿宋_GB2312"/>
          <w:sz w:val="32"/>
          <w:szCs w:val="32"/>
          <w:lang w:val="zh-CN"/>
        </w:rPr>
        <w:t>2期</w:t>
      </w:r>
      <w:r>
        <w:rPr>
          <w:rFonts w:ascii="Times New Roman" w:hAnsi="Times New Roman" w:eastAsia="仿宋_GB2312" w:cs="仿宋_GB2312"/>
          <w:sz w:val="32"/>
          <w:szCs w:val="32"/>
          <w:lang w:val="zh-CN"/>
        </w:rPr>
        <w:t>。密切联系全州各县文学爱好者，对个别年轻作者做好重点交流和培养，做好作品推荐工作。</w:t>
      </w:r>
    </w:p>
    <w:p w14:paraId="686DD131">
      <w:pPr>
        <w:keepNext w:val="0"/>
        <w:keepLines w:val="0"/>
        <w:pageBreakBefore w:val="0"/>
        <w:numPr>
          <w:ilvl w:val="0"/>
          <w:numId w:val="2"/>
        </w:numPr>
        <w:kinsoku/>
        <w:wordWrap/>
        <w:overflowPunct/>
        <w:topLinePunct w:val="0"/>
        <w:autoSpaceDE/>
        <w:autoSpaceDN/>
        <w:bidi w:val="0"/>
        <w:adjustRightInd w:val="0"/>
        <w:snapToGrid w:val="0"/>
        <w:spacing w:line="560" w:lineRule="exact"/>
        <w:ind w:left="1152" w:leftChars="0" w:hanging="480" w:firstLineChars="0"/>
        <w:contextualSpacing/>
        <w:jc w:val="left"/>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p>
    <w:p w14:paraId="6F1A5D73">
      <w:pPr>
        <w:keepNext w:val="0"/>
        <w:keepLines w:val="0"/>
        <w:pageBreakBefore w:val="0"/>
        <w:numPr>
          <w:ilvl w:val="0"/>
          <w:numId w:val="0"/>
        </w:numPr>
        <w:kinsoku/>
        <w:wordWrap/>
        <w:overflowPunct/>
        <w:topLinePunct w:val="0"/>
        <w:autoSpaceDE/>
        <w:autoSpaceDN/>
        <w:bidi w:val="0"/>
        <w:adjustRightInd w:val="0"/>
        <w:snapToGrid w:val="0"/>
        <w:spacing w:line="560" w:lineRule="exact"/>
        <w:ind w:left="672" w:leftChars="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（1）预算编制质量</w:t>
      </w:r>
    </w:p>
    <w:p w14:paraId="1C12B5C6">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我单位财政拨款预算偏离度=（</w:t>
      </w:r>
      <w:r>
        <w:rPr>
          <w:rFonts w:hint="eastAsia" w:eastAsia="仿宋_GB2312" w:cs="仿宋_GB2312"/>
          <w:sz w:val="32"/>
          <w:szCs w:val="32"/>
          <w:lang w:val="en-US" w:eastAsia="zh-CN"/>
        </w:rPr>
        <w:t>328.64</w:t>
      </w:r>
      <w:r>
        <w:rPr>
          <w:rFonts w:hint="eastAsia" w:ascii="Times New Roman" w:hAnsi="Times New Roman" w:eastAsia="仿宋_GB2312" w:cs="仿宋_GB2312"/>
          <w:sz w:val="32"/>
          <w:szCs w:val="32"/>
          <w:lang w:val="zh-CN"/>
        </w:rPr>
        <w:t>-</w:t>
      </w:r>
      <w:r>
        <w:rPr>
          <w:rFonts w:hint="eastAsia" w:eastAsia="仿宋_GB2312" w:cs="仿宋_GB2312"/>
          <w:sz w:val="32"/>
          <w:szCs w:val="32"/>
          <w:lang w:val="en-US" w:eastAsia="zh-CN"/>
        </w:rPr>
        <w:t>355.42</w:t>
      </w:r>
      <w:r>
        <w:rPr>
          <w:rFonts w:hint="eastAsia" w:ascii="Times New Roman" w:hAnsi="Times New Roman" w:eastAsia="仿宋_GB2312" w:cs="仿宋_GB2312"/>
          <w:sz w:val="32"/>
          <w:szCs w:val="32"/>
          <w:lang w:val="zh-CN"/>
        </w:rPr>
        <w:t>）/</w:t>
      </w:r>
      <w:r>
        <w:rPr>
          <w:rFonts w:hint="eastAsia" w:eastAsia="仿宋_GB2312" w:cs="仿宋_GB2312"/>
          <w:sz w:val="32"/>
          <w:szCs w:val="32"/>
          <w:lang w:val="en-US" w:eastAsia="zh-CN"/>
        </w:rPr>
        <w:t>355.42</w:t>
      </w:r>
      <w:r>
        <w:rPr>
          <w:rFonts w:hint="eastAsia" w:ascii="Times New Roman" w:hAnsi="Times New Roman" w:eastAsia="仿宋_GB2312" w:cs="仿宋_GB2312"/>
          <w:sz w:val="32"/>
          <w:szCs w:val="32"/>
          <w:lang w:val="zh-CN"/>
        </w:rPr>
        <w:t>=</w:t>
      </w:r>
      <w:r>
        <w:rPr>
          <w:rFonts w:hint="eastAsia" w:eastAsia="仿宋_GB2312" w:cs="仿宋_GB2312"/>
          <w:sz w:val="32"/>
          <w:szCs w:val="32"/>
          <w:lang w:val="en-US" w:eastAsia="zh-CN"/>
        </w:rPr>
        <w:t>-7.53</w:t>
      </w:r>
      <w:r>
        <w:rPr>
          <w:rFonts w:hint="eastAsia" w:ascii="Times New Roman" w:hAnsi="Times New Roman" w:eastAsia="仿宋_GB2312" w:cs="仿宋_GB2312"/>
          <w:sz w:val="32"/>
          <w:szCs w:val="32"/>
          <w:lang w:val="zh-CN"/>
        </w:rPr>
        <w:t>%，资产配置预算偏离度=（0-0）/0=0%，政府采购预算偏离度=（0-0）/0=0%。</w:t>
      </w:r>
    </w:p>
    <w:p w14:paraId="79348EFF">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综上，根据评分标准，该项指标，得</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rPr>
        <w:t>分。</w:t>
      </w:r>
    </w:p>
    <w:p w14:paraId="3EA970F0">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（2）单位收入统筹</w:t>
      </w:r>
    </w:p>
    <w:p w14:paraId="3AB7F3E5">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我单位202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年无自有收入。</w:t>
      </w:r>
    </w:p>
    <w:p w14:paraId="579C6225">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综上，根据评分标准，该项指标不扣分，得4分。</w:t>
      </w:r>
    </w:p>
    <w:p w14:paraId="3CD51DB1">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（3）支出执行进度</w:t>
      </w:r>
    </w:p>
    <w:p w14:paraId="5B024A7C">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我单位1至6月预算执行数为</w:t>
      </w:r>
      <w:r>
        <w:rPr>
          <w:rFonts w:hint="eastAsia" w:eastAsia="仿宋_GB2312" w:cs="仿宋_GB2312"/>
          <w:sz w:val="32"/>
          <w:szCs w:val="32"/>
          <w:lang w:val="en-US" w:eastAsia="zh-CN"/>
        </w:rPr>
        <w:t>183.4</w:t>
      </w:r>
      <w:r>
        <w:rPr>
          <w:rFonts w:hint="eastAsia" w:ascii="Times New Roman" w:hAnsi="Times New Roman" w:eastAsia="仿宋_GB2312" w:cs="仿宋_GB2312"/>
          <w:sz w:val="32"/>
          <w:szCs w:val="32"/>
          <w:lang w:val="zh-CN"/>
        </w:rPr>
        <w:t>万元，预算数为</w:t>
      </w:r>
      <w:r>
        <w:rPr>
          <w:rFonts w:hint="eastAsia" w:eastAsia="仿宋_GB2312" w:cs="仿宋_GB2312"/>
          <w:sz w:val="32"/>
          <w:szCs w:val="32"/>
          <w:lang w:val="en-US" w:eastAsia="zh-CN"/>
        </w:rPr>
        <w:t>328.64</w:t>
      </w:r>
      <w:r>
        <w:rPr>
          <w:rFonts w:hint="eastAsia" w:ascii="Times New Roman" w:hAnsi="Times New Roman" w:eastAsia="仿宋_GB2312" w:cs="仿宋_GB2312"/>
          <w:sz w:val="32"/>
          <w:szCs w:val="32"/>
          <w:lang w:val="zh-CN"/>
        </w:rPr>
        <w:t>万元，1至6月支出预警金额为0.00万元，占比为0.00%，1至6月无支出违规金额。</w:t>
      </w:r>
    </w:p>
    <w:p w14:paraId="0D4AA3BE">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1至10月预算执行数为</w:t>
      </w:r>
      <w:r>
        <w:rPr>
          <w:rFonts w:hint="eastAsia" w:eastAsia="仿宋_GB2312" w:cs="仿宋_GB2312"/>
          <w:sz w:val="32"/>
          <w:szCs w:val="32"/>
          <w:lang w:val="en-US" w:eastAsia="zh-CN"/>
        </w:rPr>
        <w:t>271.16</w:t>
      </w:r>
      <w:r>
        <w:rPr>
          <w:rFonts w:hint="eastAsia" w:ascii="Times New Roman" w:hAnsi="Times New Roman" w:eastAsia="仿宋_GB2312" w:cs="仿宋_GB2312"/>
          <w:sz w:val="32"/>
          <w:szCs w:val="32"/>
          <w:lang w:val="zh-CN"/>
        </w:rPr>
        <w:t>万元，预算数为</w:t>
      </w:r>
      <w:r>
        <w:rPr>
          <w:rFonts w:hint="eastAsia" w:eastAsia="仿宋_GB2312" w:cs="仿宋_GB2312"/>
          <w:sz w:val="32"/>
          <w:szCs w:val="32"/>
          <w:lang w:val="en-US" w:eastAsia="zh-CN"/>
        </w:rPr>
        <w:t>328.64</w:t>
      </w:r>
      <w:r>
        <w:rPr>
          <w:rFonts w:hint="eastAsia" w:ascii="Times New Roman" w:hAnsi="Times New Roman" w:eastAsia="仿宋_GB2312" w:cs="仿宋_GB2312"/>
          <w:sz w:val="32"/>
          <w:szCs w:val="32"/>
          <w:lang w:val="zh-CN"/>
        </w:rPr>
        <w:t>万元，1至10月支出预警金额为0.00万元，占比为0.00%，1至10月无支出违规金额。</w:t>
      </w:r>
    </w:p>
    <w:p w14:paraId="61B7D099">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综上，根据评分标准，该项指标，得</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rPr>
        <w:t>分。</w:t>
      </w:r>
    </w:p>
    <w:p w14:paraId="5A905E97">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（4）预算年终结余</w:t>
      </w:r>
    </w:p>
    <w:p w14:paraId="4F39A353">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我单位预算总金额为</w:t>
      </w:r>
      <w:r>
        <w:rPr>
          <w:rFonts w:hint="eastAsia" w:eastAsia="仿宋_GB2312" w:cs="仿宋_GB2312"/>
          <w:sz w:val="32"/>
          <w:szCs w:val="32"/>
          <w:lang w:val="en-US" w:eastAsia="zh-CN"/>
        </w:rPr>
        <w:t>328.64</w:t>
      </w:r>
      <w:r>
        <w:rPr>
          <w:rFonts w:hint="eastAsia" w:ascii="Times New Roman" w:hAnsi="Times New Roman" w:eastAsia="仿宋_GB2312" w:cs="仿宋_GB2312"/>
          <w:sz w:val="32"/>
          <w:szCs w:val="32"/>
          <w:lang w:val="zh-CN"/>
        </w:rPr>
        <w:t>万元，年终部门结转金额0.00万元。</w:t>
      </w:r>
    </w:p>
    <w:p w14:paraId="1E67F26B">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综上，根据评分标准，该项指标不扣分，得2分。</w:t>
      </w:r>
    </w:p>
    <w:p w14:paraId="1D48BF68">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eastAsia="黑体"/>
          <w:sz w:val="24"/>
          <w:szCs w:val="21"/>
        </w:rPr>
      </w:pPr>
      <w:r>
        <w:rPr>
          <w:rFonts w:hint="eastAsia" w:ascii="Times New Roman" w:hAnsi="Times New Roman" w:eastAsia="仿宋_GB2312" w:cs="仿宋_GB2312"/>
          <w:sz w:val="32"/>
          <w:szCs w:val="32"/>
          <w:lang w:val="zh-CN"/>
        </w:rPr>
        <w:t>（5）严控一般性支出</w:t>
      </w:r>
    </w:p>
    <w:p w14:paraId="11ECA2F3">
      <w:pPr>
        <w:pStyle w:val="5"/>
        <w:keepNext w:val="0"/>
        <w:keepLines w:val="0"/>
        <w:pageBreakBefore w:val="0"/>
        <w:kinsoku/>
        <w:wordWrap/>
        <w:overflowPunct/>
        <w:topLinePunct w:val="0"/>
        <w:autoSpaceDE/>
        <w:autoSpaceDN/>
        <w:bidi w:val="0"/>
        <w:spacing w:line="560" w:lineRule="exact"/>
        <w:jc w:val="center"/>
        <w:rPr>
          <w:rFonts w:eastAsia="黑体"/>
          <w:sz w:val="24"/>
          <w:szCs w:val="21"/>
        </w:rPr>
      </w:pPr>
      <w:r>
        <w:rPr>
          <w:rFonts w:eastAsia="黑体"/>
          <w:sz w:val="24"/>
          <w:szCs w:val="21"/>
        </w:rPr>
        <w:t>一般性支出情况表</w:t>
      </w:r>
    </w:p>
    <w:p w14:paraId="5C34B898">
      <w:pPr>
        <w:pStyle w:val="36"/>
        <w:keepNext w:val="0"/>
        <w:keepLines w:val="0"/>
        <w:pageBreakBefore w:val="0"/>
        <w:kinsoku/>
        <w:wordWrap/>
        <w:overflowPunct/>
        <w:topLinePunct w:val="0"/>
        <w:autoSpaceDE/>
        <w:autoSpaceDN/>
        <w:bidi w:val="0"/>
        <w:spacing w:line="560" w:lineRule="exact"/>
        <w:ind w:left="1120" w:hanging="480"/>
        <w:jc w:val="right"/>
      </w:pPr>
      <w:r>
        <w:rPr>
          <w:color w:val="000000"/>
          <w:kern w:val="0"/>
          <w:sz w:val="24"/>
          <w:shd w:val="clear" w:color="auto" w:fill="FFFFFF"/>
        </w:rPr>
        <w:t>单位：万元</w:t>
      </w:r>
    </w:p>
    <w:tbl>
      <w:tblPr>
        <w:tblStyle w:val="1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
        <w:gridCol w:w="1297"/>
        <w:gridCol w:w="1304"/>
        <w:gridCol w:w="1263"/>
        <w:gridCol w:w="873"/>
        <w:gridCol w:w="1318"/>
        <w:gridCol w:w="1236"/>
        <w:gridCol w:w="735"/>
      </w:tblGrid>
      <w:tr w14:paraId="212B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88" w:type="pct"/>
            <w:vMerge w:val="restart"/>
            <w:shd w:val="clear" w:color="auto" w:fill="auto"/>
            <w:vAlign w:val="center"/>
          </w:tcPr>
          <w:p w14:paraId="48F8EB21">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序号</w:t>
            </w:r>
          </w:p>
        </w:tc>
        <w:tc>
          <w:tcPr>
            <w:tcW w:w="761" w:type="pct"/>
            <w:vMerge w:val="restart"/>
            <w:shd w:val="clear" w:color="auto" w:fill="auto"/>
            <w:vAlign w:val="center"/>
          </w:tcPr>
          <w:p w14:paraId="4F597E64">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名称</w:t>
            </w:r>
          </w:p>
        </w:tc>
        <w:tc>
          <w:tcPr>
            <w:tcW w:w="765" w:type="pct"/>
            <w:shd w:val="clear" w:color="auto" w:fill="auto"/>
            <w:vAlign w:val="center"/>
          </w:tcPr>
          <w:p w14:paraId="46F013F9">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202</w:t>
            </w:r>
            <w:r>
              <w:rPr>
                <w:rFonts w:hint="eastAsia"/>
                <w:color w:val="000000"/>
                <w:kern w:val="0"/>
                <w:sz w:val="21"/>
                <w:szCs w:val="21"/>
                <w:lang w:val="en-US" w:eastAsia="zh-CN"/>
              </w:rPr>
              <w:t>5</w:t>
            </w:r>
            <w:r>
              <w:rPr>
                <w:color w:val="000000"/>
                <w:kern w:val="0"/>
                <w:sz w:val="21"/>
                <w:szCs w:val="21"/>
              </w:rPr>
              <w:t>年度</w:t>
            </w:r>
          </w:p>
        </w:tc>
        <w:tc>
          <w:tcPr>
            <w:tcW w:w="741" w:type="pct"/>
            <w:shd w:val="clear" w:color="auto" w:fill="auto"/>
            <w:vAlign w:val="center"/>
          </w:tcPr>
          <w:p w14:paraId="66EA36AB">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202</w:t>
            </w:r>
            <w:r>
              <w:rPr>
                <w:rFonts w:hint="eastAsia"/>
                <w:color w:val="000000"/>
                <w:kern w:val="0"/>
                <w:sz w:val="21"/>
                <w:szCs w:val="21"/>
                <w:lang w:val="en-US" w:eastAsia="zh-CN"/>
              </w:rPr>
              <w:t>4</w:t>
            </w:r>
            <w:r>
              <w:rPr>
                <w:color w:val="000000"/>
                <w:kern w:val="0"/>
                <w:sz w:val="21"/>
                <w:szCs w:val="21"/>
              </w:rPr>
              <w:t>年度</w:t>
            </w:r>
          </w:p>
        </w:tc>
        <w:tc>
          <w:tcPr>
            <w:tcW w:w="512" w:type="pct"/>
            <w:vMerge w:val="restart"/>
            <w:shd w:val="clear" w:color="auto" w:fill="auto"/>
            <w:vAlign w:val="center"/>
          </w:tcPr>
          <w:p w14:paraId="71411C5E">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变动情况</w:t>
            </w:r>
          </w:p>
        </w:tc>
        <w:tc>
          <w:tcPr>
            <w:tcW w:w="773" w:type="pct"/>
            <w:shd w:val="clear" w:color="auto" w:fill="auto"/>
            <w:vAlign w:val="center"/>
          </w:tcPr>
          <w:p w14:paraId="5B61947D">
            <w:pPr>
              <w:keepNext w:val="0"/>
              <w:keepLines w:val="0"/>
              <w:pageBreakBefore w:val="0"/>
              <w:widowControl/>
              <w:kinsoku/>
              <w:wordWrap/>
              <w:overflowPunct/>
              <w:topLinePunct w:val="0"/>
              <w:autoSpaceDE/>
              <w:autoSpaceDN/>
              <w:bidi w:val="0"/>
              <w:spacing w:line="560" w:lineRule="exact"/>
              <w:textAlignment w:val="center"/>
              <w:rPr>
                <w:color w:val="000000"/>
                <w:kern w:val="0"/>
                <w:sz w:val="21"/>
                <w:szCs w:val="21"/>
              </w:rPr>
            </w:pPr>
            <w:r>
              <w:rPr>
                <w:color w:val="000000"/>
                <w:kern w:val="0"/>
                <w:sz w:val="21"/>
                <w:szCs w:val="21"/>
              </w:rPr>
              <w:t>202</w:t>
            </w:r>
            <w:r>
              <w:rPr>
                <w:rFonts w:hint="eastAsia"/>
                <w:color w:val="000000"/>
                <w:kern w:val="0"/>
                <w:sz w:val="21"/>
                <w:szCs w:val="21"/>
                <w:lang w:val="en-US" w:eastAsia="zh-CN"/>
              </w:rPr>
              <w:t>5</w:t>
            </w:r>
            <w:r>
              <w:rPr>
                <w:color w:val="000000"/>
                <w:kern w:val="0"/>
                <w:sz w:val="21"/>
                <w:szCs w:val="21"/>
              </w:rPr>
              <w:t>年度</w:t>
            </w:r>
          </w:p>
        </w:tc>
        <w:tc>
          <w:tcPr>
            <w:tcW w:w="725" w:type="pct"/>
            <w:shd w:val="clear" w:color="auto" w:fill="auto"/>
            <w:vAlign w:val="center"/>
          </w:tcPr>
          <w:p w14:paraId="3EB4AE9A">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202</w:t>
            </w:r>
            <w:r>
              <w:rPr>
                <w:rFonts w:hint="eastAsia"/>
                <w:color w:val="000000"/>
                <w:kern w:val="0"/>
                <w:sz w:val="21"/>
                <w:szCs w:val="21"/>
                <w:lang w:val="en-US" w:eastAsia="zh-CN"/>
              </w:rPr>
              <w:t>4</w:t>
            </w:r>
            <w:r>
              <w:rPr>
                <w:color w:val="000000"/>
                <w:kern w:val="0"/>
                <w:sz w:val="21"/>
                <w:szCs w:val="21"/>
              </w:rPr>
              <w:t>年度</w:t>
            </w:r>
          </w:p>
        </w:tc>
        <w:tc>
          <w:tcPr>
            <w:tcW w:w="431" w:type="pct"/>
            <w:vMerge w:val="restart"/>
            <w:shd w:val="clear" w:color="auto" w:fill="auto"/>
            <w:vAlign w:val="center"/>
          </w:tcPr>
          <w:p w14:paraId="497E3D55">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变动情况</w:t>
            </w:r>
          </w:p>
        </w:tc>
      </w:tr>
      <w:tr w14:paraId="1149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88" w:type="pct"/>
            <w:vMerge w:val="continue"/>
            <w:vAlign w:val="center"/>
          </w:tcPr>
          <w:p w14:paraId="0CFD88A3">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p>
        </w:tc>
        <w:tc>
          <w:tcPr>
            <w:tcW w:w="761" w:type="pct"/>
            <w:vMerge w:val="continue"/>
            <w:vAlign w:val="center"/>
          </w:tcPr>
          <w:p w14:paraId="47386FC2">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p>
        </w:tc>
        <w:tc>
          <w:tcPr>
            <w:tcW w:w="765" w:type="pct"/>
            <w:shd w:val="clear" w:color="auto" w:fill="auto"/>
            <w:vAlign w:val="center"/>
          </w:tcPr>
          <w:p w14:paraId="0427F985">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财政拨款年初预算数</w:t>
            </w:r>
          </w:p>
        </w:tc>
        <w:tc>
          <w:tcPr>
            <w:tcW w:w="741" w:type="pct"/>
            <w:shd w:val="clear" w:color="auto" w:fill="auto"/>
            <w:vAlign w:val="center"/>
          </w:tcPr>
          <w:p w14:paraId="1ABCF76D">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财政拨款年初预算数</w:t>
            </w:r>
          </w:p>
        </w:tc>
        <w:tc>
          <w:tcPr>
            <w:tcW w:w="512" w:type="pct"/>
            <w:vMerge w:val="continue"/>
            <w:shd w:val="clear" w:color="auto" w:fill="D7D7D7" w:themeFill="background1" w:themeFillShade="D8"/>
            <w:vAlign w:val="center"/>
          </w:tcPr>
          <w:p w14:paraId="25F67983">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p>
        </w:tc>
        <w:tc>
          <w:tcPr>
            <w:tcW w:w="773" w:type="pct"/>
            <w:shd w:val="clear" w:color="auto" w:fill="auto"/>
            <w:vAlign w:val="center"/>
          </w:tcPr>
          <w:p w14:paraId="7BE4907C">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财政拨款预算执行数</w:t>
            </w:r>
          </w:p>
        </w:tc>
        <w:tc>
          <w:tcPr>
            <w:tcW w:w="725" w:type="pct"/>
            <w:shd w:val="clear" w:color="auto" w:fill="auto"/>
            <w:vAlign w:val="center"/>
          </w:tcPr>
          <w:p w14:paraId="3B8B0802">
            <w:pPr>
              <w:keepNext w:val="0"/>
              <w:keepLines w:val="0"/>
              <w:pageBreakBefore w:val="0"/>
              <w:widowControl/>
              <w:kinsoku/>
              <w:wordWrap/>
              <w:overflowPunct/>
              <w:topLinePunct w:val="0"/>
              <w:autoSpaceDE/>
              <w:autoSpaceDN/>
              <w:bidi w:val="0"/>
              <w:spacing w:line="560" w:lineRule="exact"/>
              <w:jc w:val="center"/>
              <w:textAlignment w:val="center"/>
              <w:rPr>
                <w:color w:val="000000"/>
                <w:kern w:val="0"/>
                <w:sz w:val="21"/>
                <w:szCs w:val="21"/>
              </w:rPr>
            </w:pPr>
            <w:r>
              <w:rPr>
                <w:color w:val="000000"/>
                <w:kern w:val="0"/>
                <w:sz w:val="21"/>
                <w:szCs w:val="21"/>
              </w:rPr>
              <w:t>财政拨款预算执行数</w:t>
            </w:r>
          </w:p>
        </w:tc>
        <w:tc>
          <w:tcPr>
            <w:tcW w:w="431" w:type="pct"/>
            <w:vMerge w:val="continue"/>
            <w:vAlign w:val="center"/>
          </w:tcPr>
          <w:p w14:paraId="7B757D69">
            <w:pPr>
              <w:keepNext w:val="0"/>
              <w:keepLines w:val="0"/>
              <w:pageBreakBefore w:val="0"/>
              <w:kinsoku/>
              <w:wordWrap/>
              <w:overflowPunct/>
              <w:topLinePunct w:val="0"/>
              <w:autoSpaceDE/>
              <w:autoSpaceDN/>
              <w:bidi w:val="0"/>
              <w:adjustRightInd w:val="0"/>
              <w:snapToGrid w:val="0"/>
              <w:spacing w:line="560" w:lineRule="exact"/>
              <w:contextualSpacing/>
              <w:rPr>
                <w:color w:val="000000"/>
                <w:kern w:val="0"/>
                <w:sz w:val="21"/>
                <w:szCs w:val="21"/>
                <w:shd w:val="clear" w:color="auto" w:fill="FFFFFF"/>
              </w:rPr>
            </w:pPr>
          </w:p>
        </w:tc>
      </w:tr>
      <w:tr w14:paraId="7FAF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8" w:type="pct"/>
            <w:vAlign w:val="center"/>
          </w:tcPr>
          <w:p w14:paraId="3FC022F4">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color w:val="000000"/>
                <w:kern w:val="0"/>
                <w:sz w:val="21"/>
                <w:szCs w:val="21"/>
                <w:shd w:val="clear" w:color="auto" w:fill="FFFFFF"/>
              </w:rPr>
              <w:t>1</w:t>
            </w:r>
          </w:p>
        </w:tc>
        <w:tc>
          <w:tcPr>
            <w:tcW w:w="761" w:type="pct"/>
            <w:vAlign w:val="center"/>
          </w:tcPr>
          <w:p w14:paraId="0B2216AF">
            <w:pPr>
              <w:keepNext w:val="0"/>
              <w:keepLines w:val="0"/>
              <w:pageBreakBefore w:val="0"/>
              <w:kinsoku/>
              <w:wordWrap/>
              <w:overflowPunct/>
              <w:topLinePunct w:val="0"/>
              <w:autoSpaceDE/>
              <w:autoSpaceDN/>
              <w:bidi w:val="0"/>
              <w:adjustRightInd w:val="0"/>
              <w:snapToGrid w:val="0"/>
              <w:spacing w:line="560" w:lineRule="exact"/>
              <w:contextualSpacing/>
              <w:rPr>
                <w:color w:val="000000"/>
                <w:kern w:val="0"/>
                <w:sz w:val="21"/>
                <w:szCs w:val="21"/>
                <w:shd w:val="clear" w:color="auto" w:fill="FFFFFF"/>
              </w:rPr>
            </w:pPr>
            <w:r>
              <w:rPr>
                <w:color w:val="000000"/>
                <w:kern w:val="0"/>
                <w:sz w:val="21"/>
                <w:szCs w:val="21"/>
                <w:shd w:val="clear" w:color="auto" w:fill="FFFFFF"/>
              </w:rPr>
              <w:t>“三公”经费</w:t>
            </w:r>
          </w:p>
        </w:tc>
        <w:tc>
          <w:tcPr>
            <w:tcW w:w="765" w:type="pct"/>
            <w:vAlign w:val="center"/>
          </w:tcPr>
          <w:p w14:paraId="6E595E71">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eastAsia="仿宋_GB2312"/>
                <w:color w:val="000000"/>
                <w:kern w:val="0"/>
                <w:sz w:val="21"/>
                <w:szCs w:val="21"/>
                <w:shd w:val="clear" w:color="auto" w:fill="FFFFFF"/>
                <w:lang w:val="en-US" w:eastAsia="zh-CN"/>
              </w:rPr>
              <w:t>5.45</w:t>
            </w:r>
          </w:p>
        </w:tc>
        <w:tc>
          <w:tcPr>
            <w:tcW w:w="741" w:type="pct"/>
            <w:vAlign w:val="center"/>
          </w:tcPr>
          <w:p w14:paraId="3FD7D8A6">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lang w:val="en-US" w:eastAsia="zh-CN"/>
              </w:rPr>
              <w:t>5.41</w:t>
            </w:r>
          </w:p>
        </w:tc>
        <w:tc>
          <w:tcPr>
            <w:tcW w:w="512" w:type="pct"/>
            <w:vAlign w:val="center"/>
          </w:tcPr>
          <w:p w14:paraId="4EB6463E">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增加</w:t>
            </w:r>
          </w:p>
        </w:tc>
        <w:tc>
          <w:tcPr>
            <w:tcW w:w="1401" w:type="dxa"/>
            <w:vAlign w:val="center"/>
          </w:tcPr>
          <w:p w14:paraId="639503D0">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宋体"/>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4.85</w:t>
            </w:r>
          </w:p>
        </w:tc>
        <w:tc>
          <w:tcPr>
            <w:tcW w:w="725" w:type="pct"/>
            <w:vAlign w:val="center"/>
          </w:tcPr>
          <w:p w14:paraId="51AC5478">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5.04</w:t>
            </w:r>
          </w:p>
        </w:tc>
        <w:tc>
          <w:tcPr>
            <w:tcW w:w="431" w:type="pct"/>
            <w:vAlign w:val="center"/>
          </w:tcPr>
          <w:p w14:paraId="43AFD5A2">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lang w:eastAsia="zh-CN"/>
              </w:rPr>
              <w:t>增加</w:t>
            </w:r>
          </w:p>
        </w:tc>
      </w:tr>
      <w:tr w14:paraId="2F41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8" w:type="pct"/>
            <w:vAlign w:val="center"/>
          </w:tcPr>
          <w:p w14:paraId="04BC9966">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2</w:t>
            </w:r>
          </w:p>
        </w:tc>
        <w:tc>
          <w:tcPr>
            <w:tcW w:w="761" w:type="pct"/>
            <w:vAlign w:val="center"/>
          </w:tcPr>
          <w:p w14:paraId="1957A406">
            <w:pPr>
              <w:keepNext w:val="0"/>
              <w:keepLines w:val="0"/>
              <w:pageBreakBefore w:val="0"/>
              <w:kinsoku/>
              <w:wordWrap/>
              <w:overflowPunct/>
              <w:topLinePunct w:val="0"/>
              <w:autoSpaceDE/>
              <w:autoSpaceDN/>
              <w:bidi w:val="0"/>
              <w:adjustRightInd w:val="0"/>
              <w:snapToGrid w:val="0"/>
              <w:spacing w:line="560" w:lineRule="exact"/>
              <w:contextualSpacing/>
              <w:rPr>
                <w:color w:val="000000"/>
                <w:kern w:val="0"/>
                <w:sz w:val="21"/>
                <w:szCs w:val="21"/>
                <w:shd w:val="clear" w:color="auto" w:fill="FFFFFF"/>
              </w:rPr>
            </w:pPr>
            <w:r>
              <w:rPr>
                <w:color w:val="000000"/>
                <w:kern w:val="0"/>
                <w:sz w:val="21"/>
                <w:szCs w:val="21"/>
                <w:shd w:val="clear" w:color="auto" w:fill="FFFFFF"/>
              </w:rPr>
              <w:t>培训经费</w:t>
            </w:r>
          </w:p>
        </w:tc>
        <w:tc>
          <w:tcPr>
            <w:tcW w:w="765" w:type="pct"/>
            <w:vAlign w:val="center"/>
          </w:tcPr>
          <w:p w14:paraId="32703C4C">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eastAsia="仿宋_GB2312"/>
                <w:color w:val="000000"/>
                <w:kern w:val="0"/>
                <w:sz w:val="21"/>
                <w:szCs w:val="21"/>
                <w:shd w:val="clear" w:color="auto" w:fill="FFFFFF"/>
                <w:lang w:val="en-US" w:eastAsia="zh-CN"/>
              </w:rPr>
              <w:t>2.22</w:t>
            </w:r>
          </w:p>
        </w:tc>
        <w:tc>
          <w:tcPr>
            <w:tcW w:w="741" w:type="pct"/>
            <w:vAlign w:val="center"/>
          </w:tcPr>
          <w:p w14:paraId="04C3C945">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lang w:val="en-US" w:eastAsia="zh-CN"/>
              </w:rPr>
              <w:t>2.27</w:t>
            </w:r>
          </w:p>
        </w:tc>
        <w:tc>
          <w:tcPr>
            <w:tcW w:w="512" w:type="pct"/>
            <w:vAlign w:val="center"/>
          </w:tcPr>
          <w:p w14:paraId="7C1332F5">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增加</w:t>
            </w:r>
          </w:p>
        </w:tc>
        <w:tc>
          <w:tcPr>
            <w:tcW w:w="1401" w:type="dxa"/>
            <w:vAlign w:val="center"/>
          </w:tcPr>
          <w:p w14:paraId="31D9B9DA">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宋体"/>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1.36</w:t>
            </w:r>
          </w:p>
        </w:tc>
        <w:tc>
          <w:tcPr>
            <w:tcW w:w="725" w:type="pct"/>
            <w:vAlign w:val="center"/>
          </w:tcPr>
          <w:p w14:paraId="36D03924">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0.98</w:t>
            </w:r>
          </w:p>
        </w:tc>
        <w:tc>
          <w:tcPr>
            <w:tcW w:w="431" w:type="pct"/>
            <w:vAlign w:val="center"/>
          </w:tcPr>
          <w:p w14:paraId="527E661C">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lang w:eastAsia="zh-CN"/>
              </w:rPr>
              <w:t>增加</w:t>
            </w:r>
          </w:p>
        </w:tc>
      </w:tr>
      <w:tr w14:paraId="5193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8" w:type="pct"/>
            <w:vAlign w:val="center"/>
          </w:tcPr>
          <w:p w14:paraId="5938D123">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3</w:t>
            </w:r>
          </w:p>
        </w:tc>
        <w:tc>
          <w:tcPr>
            <w:tcW w:w="761" w:type="pct"/>
            <w:vAlign w:val="center"/>
          </w:tcPr>
          <w:p w14:paraId="15EDC592">
            <w:pPr>
              <w:keepNext w:val="0"/>
              <w:keepLines w:val="0"/>
              <w:pageBreakBefore w:val="0"/>
              <w:kinsoku/>
              <w:wordWrap/>
              <w:overflowPunct/>
              <w:topLinePunct w:val="0"/>
              <w:autoSpaceDE/>
              <w:autoSpaceDN/>
              <w:bidi w:val="0"/>
              <w:adjustRightInd w:val="0"/>
              <w:snapToGrid w:val="0"/>
              <w:spacing w:line="560" w:lineRule="exact"/>
              <w:contextualSpacing/>
              <w:rPr>
                <w:color w:val="000000"/>
                <w:kern w:val="0"/>
                <w:sz w:val="21"/>
                <w:szCs w:val="21"/>
                <w:shd w:val="clear" w:color="auto" w:fill="FFFFFF"/>
              </w:rPr>
            </w:pPr>
            <w:r>
              <w:rPr>
                <w:color w:val="000000"/>
                <w:kern w:val="0"/>
                <w:sz w:val="21"/>
                <w:szCs w:val="21"/>
                <w:shd w:val="clear" w:color="auto" w:fill="FFFFFF"/>
              </w:rPr>
              <w:t>差旅经费</w:t>
            </w:r>
          </w:p>
        </w:tc>
        <w:tc>
          <w:tcPr>
            <w:tcW w:w="765" w:type="pct"/>
            <w:vAlign w:val="center"/>
          </w:tcPr>
          <w:p w14:paraId="407A7700">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宋体"/>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5.23</w:t>
            </w:r>
          </w:p>
        </w:tc>
        <w:tc>
          <w:tcPr>
            <w:tcW w:w="741" w:type="pct"/>
            <w:vAlign w:val="center"/>
          </w:tcPr>
          <w:p w14:paraId="0A089161">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4.28</w:t>
            </w:r>
          </w:p>
        </w:tc>
        <w:tc>
          <w:tcPr>
            <w:tcW w:w="512" w:type="pct"/>
            <w:vAlign w:val="center"/>
          </w:tcPr>
          <w:p w14:paraId="21820FB3">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lang w:eastAsia="zh-CN"/>
              </w:rPr>
              <w:t>增加</w:t>
            </w:r>
          </w:p>
        </w:tc>
        <w:tc>
          <w:tcPr>
            <w:tcW w:w="1401" w:type="dxa"/>
            <w:vAlign w:val="center"/>
          </w:tcPr>
          <w:p w14:paraId="6E2D6701">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宋体"/>
                <w:color w:val="000000"/>
                <w:kern w:val="0"/>
                <w:sz w:val="21"/>
                <w:szCs w:val="21"/>
                <w:shd w:val="clear" w:color="auto" w:fill="FFFFFF"/>
                <w:lang w:val="en-US" w:eastAsia="zh-CN"/>
              </w:rPr>
            </w:pPr>
            <w:r>
              <w:rPr>
                <w:rFonts w:hint="default" w:eastAsia="宋体"/>
                <w:color w:val="000000"/>
                <w:kern w:val="0"/>
                <w:sz w:val="21"/>
                <w:szCs w:val="21"/>
                <w:shd w:val="clear" w:color="auto" w:fill="FFFFFF"/>
                <w:lang w:val="en-US" w:eastAsia="zh-CN"/>
              </w:rPr>
              <w:t>6.64</w:t>
            </w:r>
          </w:p>
        </w:tc>
        <w:tc>
          <w:tcPr>
            <w:tcW w:w="725" w:type="pct"/>
            <w:vAlign w:val="center"/>
          </w:tcPr>
          <w:p w14:paraId="67B9D36E">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1.87</w:t>
            </w:r>
          </w:p>
        </w:tc>
        <w:tc>
          <w:tcPr>
            <w:tcW w:w="431" w:type="pct"/>
            <w:vAlign w:val="center"/>
          </w:tcPr>
          <w:p w14:paraId="18804E65">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color w:val="000000"/>
                <w:kern w:val="0"/>
                <w:sz w:val="21"/>
                <w:szCs w:val="21"/>
                <w:shd w:val="clear" w:color="auto" w:fill="FFFFFF"/>
              </w:rPr>
              <w:t>增加</w:t>
            </w:r>
          </w:p>
        </w:tc>
      </w:tr>
      <w:tr w14:paraId="7584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8" w:type="pct"/>
            <w:vAlign w:val="center"/>
          </w:tcPr>
          <w:p w14:paraId="2114794B">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color w:val="000000"/>
                <w:kern w:val="0"/>
                <w:sz w:val="21"/>
                <w:szCs w:val="21"/>
                <w:shd w:val="clear" w:color="auto" w:fill="FFFFFF"/>
              </w:rPr>
            </w:pPr>
            <w:r>
              <w:rPr>
                <w:rFonts w:hint="eastAsia"/>
                <w:color w:val="000000"/>
                <w:kern w:val="0"/>
                <w:sz w:val="21"/>
                <w:szCs w:val="21"/>
                <w:shd w:val="clear" w:color="auto" w:fill="FFFFFF"/>
              </w:rPr>
              <w:t>4</w:t>
            </w:r>
          </w:p>
        </w:tc>
        <w:tc>
          <w:tcPr>
            <w:tcW w:w="761" w:type="pct"/>
            <w:vAlign w:val="center"/>
          </w:tcPr>
          <w:p w14:paraId="26FCFA2E">
            <w:pPr>
              <w:keepNext w:val="0"/>
              <w:keepLines w:val="0"/>
              <w:pageBreakBefore w:val="0"/>
              <w:kinsoku/>
              <w:wordWrap/>
              <w:overflowPunct/>
              <w:topLinePunct w:val="0"/>
              <w:autoSpaceDE/>
              <w:autoSpaceDN/>
              <w:bidi w:val="0"/>
              <w:adjustRightInd w:val="0"/>
              <w:snapToGrid w:val="0"/>
              <w:spacing w:line="560" w:lineRule="exact"/>
              <w:contextualSpacing/>
              <w:rPr>
                <w:color w:val="000000"/>
                <w:kern w:val="0"/>
                <w:sz w:val="21"/>
                <w:szCs w:val="21"/>
                <w:shd w:val="clear" w:color="auto" w:fill="FFFFFF"/>
              </w:rPr>
            </w:pPr>
            <w:r>
              <w:rPr>
                <w:rFonts w:hint="eastAsia"/>
                <w:color w:val="000000"/>
                <w:kern w:val="0"/>
                <w:sz w:val="21"/>
                <w:szCs w:val="21"/>
                <w:shd w:val="clear" w:color="auto" w:fill="FFFFFF"/>
              </w:rPr>
              <w:t>会议费</w:t>
            </w:r>
          </w:p>
        </w:tc>
        <w:tc>
          <w:tcPr>
            <w:tcW w:w="765" w:type="pct"/>
            <w:vAlign w:val="center"/>
          </w:tcPr>
          <w:p w14:paraId="27805085">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color w:val="000000"/>
                <w:kern w:val="0"/>
                <w:sz w:val="21"/>
                <w:szCs w:val="21"/>
                <w:shd w:val="clear" w:color="auto" w:fill="FFFFFF"/>
              </w:rPr>
            </w:pPr>
            <w:r>
              <w:rPr>
                <w:rFonts w:hint="eastAsia"/>
                <w:color w:val="000000"/>
                <w:kern w:val="0"/>
                <w:sz w:val="21"/>
                <w:szCs w:val="21"/>
                <w:shd w:val="clear" w:color="auto" w:fill="FFFFFF"/>
              </w:rPr>
              <w:t>0.00</w:t>
            </w:r>
          </w:p>
        </w:tc>
        <w:tc>
          <w:tcPr>
            <w:tcW w:w="741" w:type="pct"/>
            <w:vAlign w:val="center"/>
          </w:tcPr>
          <w:p w14:paraId="23AF8B8C">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color w:val="000000"/>
                <w:kern w:val="0"/>
                <w:sz w:val="21"/>
                <w:szCs w:val="21"/>
                <w:shd w:val="clear" w:color="auto" w:fill="FFFFFF"/>
              </w:rPr>
            </w:pPr>
            <w:r>
              <w:rPr>
                <w:rFonts w:hint="eastAsia"/>
                <w:color w:val="000000"/>
                <w:kern w:val="0"/>
                <w:sz w:val="21"/>
                <w:szCs w:val="21"/>
                <w:shd w:val="clear" w:color="auto" w:fill="FFFFFF"/>
              </w:rPr>
              <w:t>0.00</w:t>
            </w:r>
          </w:p>
        </w:tc>
        <w:tc>
          <w:tcPr>
            <w:tcW w:w="512" w:type="pct"/>
            <w:vAlign w:val="center"/>
          </w:tcPr>
          <w:p w14:paraId="43BF2C31">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color w:val="000000"/>
                <w:kern w:val="0"/>
                <w:sz w:val="21"/>
                <w:szCs w:val="21"/>
                <w:shd w:val="clear" w:color="auto" w:fill="FFFFFF"/>
              </w:rPr>
            </w:pPr>
            <w:r>
              <w:rPr>
                <w:rFonts w:hint="eastAsia"/>
                <w:color w:val="000000"/>
                <w:kern w:val="0"/>
                <w:sz w:val="21"/>
                <w:szCs w:val="21"/>
                <w:shd w:val="clear" w:color="auto" w:fill="FFFFFF"/>
              </w:rPr>
              <w:t>持平</w:t>
            </w:r>
          </w:p>
        </w:tc>
        <w:tc>
          <w:tcPr>
            <w:tcW w:w="1401" w:type="dxa"/>
            <w:vAlign w:val="center"/>
          </w:tcPr>
          <w:p w14:paraId="01911EED">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color w:val="000000"/>
                <w:kern w:val="0"/>
                <w:sz w:val="21"/>
                <w:szCs w:val="21"/>
                <w:shd w:val="clear" w:color="auto" w:fill="FFFFFF"/>
              </w:rPr>
            </w:pPr>
            <w:r>
              <w:rPr>
                <w:rFonts w:hint="eastAsia"/>
                <w:color w:val="000000"/>
                <w:kern w:val="0"/>
                <w:sz w:val="21"/>
                <w:szCs w:val="21"/>
                <w:shd w:val="clear" w:color="auto" w:fill="FFFFFF"/>
              </w:rPr>
              <w:t>0.00</w:t>
            </w:r>
          </w:p>
        </w:tc>
        <w:tc>
          <w:tcPr>
            <w:tcW w:w="725" w:type="pct"/>
            <w:vAlign w:val="center"/>
          </w:tcPr>
          <w:p w14:paraId="03C5B696">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color w:val="000000"/>
                <w:kern w:val="0"/>
                <w:sz w:val="21"/>
                <w:szCs w:val="21"/>
                <w:shd w:val="clear" w:color="auto" w:fill="FFFFFF"/>
              </w:rPr>
            </w:pPr>
            <w:r>
              <w:rPr>
                <w:rFonts w:hint="eastAsia"/>
                <w:color w:val="000000"/>
                <w:kern w:val="0"/>
                <w:sz w:val="21"/>
                <w:szCs w:val="21"/>
                <w:shd w:val="clear" w:color="auto" w:fill="FFFFFF"/>
              </w:rPr>
              <w:t>0.00</w:t>
            </w:r>
          </w:p>
        </w:tc>
        <w:tc>
          <w:tcPr>
            <w:tcW w:w="431" w:type="pct"/>
            <w:vAlign w:val="center"/>
          </w:tcPr>
          <w:p w14:paraId="2EB87AF8">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持平</w:t>
            </w:r>
          </w:p>
        </w:tc>
      </w:tr>
      <w:tr w14:paraId="7C87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8" w:type="pct"/>
            <w:vAlign w:val="center"/>
          </w:tcPr>
          <w:p w14:paraId="2F3E238F">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color w:val="000000"/>
                <w:kern w:val="0"/>
                <w:sz w:val="21"/>
                <w:szCs w:val="21"/>
                <w:shd w:val="clear" w:color="auto" w:fill="FFFFFF"/>
              </w:rPr>
              <w:t>5</w:t>
            </w:r>
          </w:p>
        </w:tc>
        <w:tc>
          <w:tcPr>
            <w:tcW w:w="761" w:type="pct"/>
            <w:vAlign w:val="center"/>
          </w:tcPr>
          <w:p w14:paraId="7DBC2F04">
            <w:pPr>
              <w:keepNext w:val="0"/>
              <w:keepLines w:val="0"/>
              <w:pageBreakBefore w:val="0"/>
              <w:kinsoku/>
              <w:wordWrap/>
              <w:overflowPunct/>
              <w:topLinePunct w:val="0"/>
              <w:autoSpaceDE/>
              <w:autoSpaceDN/>
              <w:bidi w:val="0"/>
              <w:adjustRightInd w:val="0"/>
              <w:snapToGrid w:val="0"/>
              <w:spacing w:line="560" w:lineRule="exact"/>
              <w:contextualSpacing/>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lang w:eastAsia="zh-CN"/>
              </w:rPr>
              <w:t>信息网络及软件</w:t>
            </w:r>
          </w:p>
        </w:tc>
        <w:tc>
          <w:tcPr>
            <w:tcW w:w="765" w:type="pct"/>
            <w:vAlign w:val="center"/>
          </w:tcPr>
          <w:p w14:paraId="2623E9BE">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741" w:type="pct"/>
            <w:vAlign w:val="center"/>
          </w:tcPr>
          <w:p w14:paraId="7C3A2BF7">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512" w:type="pct"/>
            <w:vAlign w:val="center"/>
          </w:tcPr>
          <w:p w14:paraId="2D50B1D4">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rPr>
              <w:t>持平</w:t>
            </w:r>
          </w:p>
        </w:tc>
        <w:tc>
          <w:tcPr>
            <w:tcW w:w="1401" w:type="dxa"/>
            <w:vAlign w:val="center"/>
          </w:tcPr>
          <w:p w14:paraId="50F742F7">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725" w:type="pct"/>
            <w:vAlign w:val="center"/>
          </w:tcPr>
          <w:p w14:paraId="04057F6F">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431" w:type="pct"/>
            <w:vAlign w:val="center"/>
          </w:tcPr>
          <w:p w14:paraId="369AFF9E">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rPr>
              <w:t>持平</w:t>
            </w:r>
          </w:p>
        </w:tc>
      </w:tr>
      <w:tr w14:paraId="5121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8" w:type="pct"/>
            <w:vAlign w:val="center"/>
          </w:tcPr>
          <w:p w14:paraId="70D6217A">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color w:val="000000"/>
                <w:kern w:val="0"/>
                <w:sz w:val="21"/>
                <w:szCs w:val="21"/>
                <w:shd w:val="clear" w:color="auto" w:fill="FFFFFF"/>
              </w:rPr>
              <w:t>6</w:t>
            </w:r>
          </w:p>
        </w:tc>
        <w:tc>
          <w:tcPr>
            <w:tcW w:w="761" w:type="pct"/>
            <w:vAlign w:val="center"/>
          </w:tcPr>
          <w:p w14:paraId="696B3619">
            <w:pPr>
              <w:keepNext w:val="0"/>
              <w:keepLines w:val="0"/>
              <w:pageBreakBefore w:val="0"/>
              <w:kinsoku/>
              <w:wordWrap/>
              <w:overflowPunct/>
              <w:topLinePunct w:val="0"/>
              <w:autoSpaceDE/>
              <w:autoSpaceDN/>
              <w:bidi w:val="0"/>
              <w:adjustRightInd w:val="0"/>
              <w:snapToGrid w:val="0"/>
              <w:spacing w:line="560" w:lineRule="exact"/>
              <w:contextualSpacing/>
              <w:rPr>
                <w:color w:val="000000"/>
                <w:kern w:val="0"/>
                <w:sz w:val="21"/>
                <w:szCs w:val="21"/>
                <w:shd w:val="clear" w:color="auto" w:fill="FFFFFF"/>
              </w:rPr>
            </w:pPr>
            <w:r>
              <w:rPr>
                <w:color w:val="000000"/>
                <w:kern w:val="0"/>
                <w:sz w:val="21"/>
                <w:szCs w:val="21"/>
                <w:shd w:val="clear" w:color="auto" w:fill="FFFFFF"/>
              </w:rPr>
              <w:t>办公设备</w:t>
            </w:r>
          </w:p>
          <w:p w14:paraId="1F7DF359">
            <w:pPr>
              <w:keepNext w:val="0"/>
              <w:keepLines w:val="0"/>
              <w:pageBreakBefore w:val="0"/>
              <w:kinsoku/>
              <w:wordWrap/>
              <w:overflowPunct/>
              <w:topLinePunct w:val="0"/>
              <w:autoSpaceDE/>
              <w:autoSpaceDN/>
              <w:bidi w:val="0"/>
              <w:adjustRightInd w:val="0"/>
              <w:snapToGrid w:val="0"/>
              <w:spacing w:line="560" w:lineRule="exact"/>
              <w:contextualSpacing/>
              <w:rPr>
                <w:color w:val="000000"/>
                <w:kern w:val="0"/>
                <w:sz w:val="21"/>
                <w:szCs w:val="21"/>
                <w:shd w:val="clear" w:color="auto" w:fill="FFFFFF"/>
              </w:rPr>
            </w:pPr>
            <w:r>
              <w:rPr>
                <w:color w:val="000000"/>
                <w:kern w:val="0"/>
                <w:sz w:val="21"/>
                <w:szCs w:val="21"/>
                <w:shd w:val="clear" w:color="auto" w:fill="FFFFFF"/>
              </w:rPr>
              <w:t>购置经费</w:t>
            </w:r>
          </w:p>
        </w:tc>
        <w:tc>
          <w:tcPr>
            <w:tcW w:w="765" w:type="pct"/>
            <w:vAlign w:val="center"/>
          </w:tcPr>
          <w:p w14:paraId="1E56A32D">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color w:val="000000"/>
                <w:kern w:val="0"/>
                <w:sz w:val="21"/>
                <w:szCs w:val="21"/>
                <w:shd w:val="clear" w:color="auto" w:fill="FFFFFF"/>
              </w:rPr>
              <w:t>0.00</w:t>
            </w:r>
          </w:p>
        </w:tc>
        <w:tc>
          <w:tcPr>
            <w:tcW w:w="741" w:type="pct"/>
            <w:vAlign w:val="center"/>
          </w:tcPr>
          <w:p w14:paraId="2FB9F4A6">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0.00</w:t>
            </w:r>
          </w:p>
        </w:tc>
        <w:tc>
          <w:tcPr>
            <w:tcW w:w="512" w:type="pct"/>
            <w:vAlign w:val="center"/>
          </w:tcPr>
          <w:p w14:paraId="095496AB">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color w:val="000000"/>
                <w:kern w:val="0"/>
                <w:sz w:val="21"/>
                <w:szCs w:val="21"/>
                <w:shd w:val="clear" w:color="auto" w:fill="FFFFFF"/>
              </w:rPr>
              <w:t>持平</w:t>
            </w:r>
          </w:p>
        </w:tc>
        <w:tc>
          <w:tcPr>
            <w:tcW w:w="1401" w:type="dxa"/>
            <w:vAlign w:val="center"/>
          </w:tcPr>
          <w:p w14:paraId="12D71456">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0.00</w:t>
            </w:r>
          </w:p>
        </w:tc>
        <w:tc>
          <w:tcPr>
            <w:tcW w:w="725" w:type="pct"/>
            <w:vAlign w:val="center"/>
          </w:tcPr>
          <w:p w14:paraId="6D57FBEF">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0.00</w:t>
            </w:r>
          </w:p>
        </w:tc>
        <w:tc>
          <w:tcPr>
            <w:tcW w:w="431" w:type="pct"/>
            <w:vAlign w:val="center"/>
          </w:tcPr>
          <w:p w14:paraId="2BD1B94D">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color w:val="000000"/>
                <w:kern w:val="0"/>
                <w:sz w:val="21"/>
                <w:szCs w:val="21"/>
                <w:shd w:val="clear" w:color="auto" w:fill="FFFFFF"/>
              </w:rPr>
              <w:t>持平</w:t>
            </w:r>
          </w:p>
        </w:tc>
      </w:tr>
      <w:tr w14:paraId="2D5A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8" w:type="pct"/>
            <w:vAlign w:val="center"/>
          </w:tcPr>
          <w:p w14:paraId="45AEB22B">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color w:val="000000"/>
                <w:kern w:val="0"/>
                <w:sz w:val="21"/>
                <w:szCs w:val="21"/>
                <w:shd w:val="clear" w:color="auto" w:fill="FFFFFF"/>
              </w:rPr>
              <w:t>7</w:t>
            </w:r>
          </w:p>
        </w:tc>
        <w:tc>
          <w:tcPr>
            <w:tcW w:w="761" w:type="pct"/>
            <w:vAlign w:val="center"/>
          </w:tcPr>
          <w:p w14:paraId="4DE2C6FC">
            <w:pPr>
              <w:keepNext w:val="0"/>
              <w:keepLines w:val="0"/>
              <w:pageBreakBefore w:val="0"/>
              <w:kinsoku/>
              <w:wordWrap/>
              <w:overflowPunct/>
              <w:topLinePunct w:val="0"/>
              <w:autoSpaceDE/>
              <w:autoSpaceDN/>
              <w:bidi w:val="0"/>
              <w:adjustRightInd w:val="0"/>
              <w:snapToGrid w:val="0"/>
              <w:spacing w:line="560" w:lineRule="exact"/>
              <w:contextualSpacing/>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lang w:eastAsia="zh-CN"/>
              </w:rPr>
              <w:t>购置更新</w:t>
            </w:r>
          </w:p>
        </w:tc>
        <w:tc>
          <w:tcPr>
            <w:tcW w:w="765" w:type="pct"/>
            <w:vAlign w:val="center"/>
          </w:tcPr>
          <w:p w14:paraId="7CB30F8C">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741" w:type="pct"/>
            <w:vAlign w:val="center"/>
          </w:tcPr>
          <w:p w14:paraId="51921F7D">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512" w:type="pct"/>
            <w:vAlign w:val="center"/>
          </w:tcPr>
          <w:p w14:paraId="79DCF106">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rPr>
              <w:t>持平</w:t>
            </w:r>
          </w:p>
        </w:tc>
        <w:tc>
          <w:tcPr>
            <w:tcW w:w="1401" w:type="dxa"/>
            <w:vAlign w:val="center"/>
          </w:tcPr>
          <w:p w14:paraId="76DCFC12">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725" w:type="pct"/>
            <w:vAlign w:val="center"/>
          </w:tcPr>
          <w:p w14:paraId="65EC87D1">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431" w:type="pct"/>
            <w:vAlign w:val="center"/>
          </w:tcPr>
          <w:p w14:paraId="7C1E633E">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持平</w:t>
            </w:r>
          </w:p>
        </w:tc>
      </w:tr>
      <w:tr w14:paraId="1F68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8" w:type="pct"/>
            <w:vAlign w:val="center"/>
          </w:tcPr>
          <w:p w14:paraId="1D6BC2BF">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8</w:t>
            </w:r>
          </w:p>
        </w:tc>
        <w:tc>
          <w:tcPr>
            <w:tcW w:w="761" w:type="pct"/>
            <w:vAlign w:val="center"/>
          </w:tcPr>
          <w:p w14:paraId="6D70C6F6">
            <w:pPr>
              <w:keepNext w:val="0"/>
              <w:keepLines w:val="0"/>
              <w:pageBreakBefore w:val="0"/>
              <w:kinsoku/>
              <w:wordWrap/>
              <w:overflowPunct/>
              <w:topLinePunct w:val="0"/>
              <w:autoSpaceDE/>
              <w:autoSpaceDN/>
              <w:bidi w:val="0"/>
              <w:adjustRightInd w:val="0"/>
              <w:snapToGrid w:val="0"/>
              <w:spacing w:line="560" w:lineRule="exact"/>
              <w:contextualSpacing/>
              <w:rPr>
                <w:rFonts w:hint="eastAsia"/>
                <w:color w:val="000000"/>
                <w:kern w:val="0"/>
                <w:sz w:val="21"/>
                <w:szCs w:val="21"/>
                <w:shd w:val="clear" w:color="auto" w:fill="FFFFFF"/>
                <w:lang w:eastAsia="zh-CN"/>
              </w:rPr>
            </w:pPr>
            <w:r>
              <w:rPr>
                <w:rFonts w:hint="eastAsia"/>
                <w:color w:val="000000"/>
                <w:kern w:val="0"/>
                <w:sz w:val="21"/>
                <w:szCs w:val="21"/>
                <w:shd w:val="clear" w:color="auto" w:fill="FFFFFF"/>
                <w:lang w:eastAsia="zh-CN"/>
              </w:rPr>
              <w:t>课题经费</w:t>
            </w:r>
          </w:p>
        </w:tc>
        <w:tc>
          <w:tcPr>
            <w:tcW w:w="765" w:type="pct"/>
            <w:vAlign w:val="center"/>
          </w:tcPr>
          <w:p w14:paraId="2B541128">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741" w:type="pct"/>
            <w:vAlign w:val="center"/>
          </w:tcPr>
          <w:p w14:paraId="3F75CC8F">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512" w:type="pct"/>
            <w:vAlign w:val="center"/>
          </w:tcPr>
          <w:p w14:paraId="53BDAEDD">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color w:val="000000"/>
                <w:kern w:val="0"/>
                <w:sz w:val="21"/>
                <w:szCs w:val="21"/>
                <w:shd w:val="clear" w:color="auto" w:fill="FFFFFF"/>
                <w:lang w:eastAsia="zh-CN"/>
              </w:rPr>
            </w:pPr>
            <w:r>
              <w:rPr>
                <w:rFonts w:hint="eastAsia"/>
                <w:color w:val="000000"/>
                <w:kern w:val="0"/>
                <w:sz w:val="21"/>
                <w:szCs w:val="21"/>
                <w:shd w:val="clear" w:color="auto" w:fill="FFFFFF"/>
              </w:rPr>
              <w:t>持平</w:t>
            </w:r>
          </w:p>
        </w:tc>
        <w:tc>
          <w:tcPr>
            <w:tcW w:w="1401" w:type="dxa"/>
            <w:vAlign w:val="center"/>
          </w:tcPr>
          <w:p w14:paraId="44C473D5">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725" w:type="pct"/>
            <w:vAlign w:val="center"/>
          </w:tcPr>
          <w:p w14:paraId="00C96358">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0.00</w:t>
            </w:r>
          </w:p>
        </w:tc>
        <w:tc>
          <w:tcPr>
            <w:tcW w:w="431" w:type="pct"/>
            <w:vAlign w:val="center"/>
          </w:tcPr>
          <w:p w14:paraId="3CFC208E">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color w:val="000000"/>
                <w:kern w:val="0"/>
                <w:sz w:val="21"/>
                <w:szCs w:val="21"/>
                <w:shd w:val="clear" w:color="auto" w:fill="FFFFFF"/>
              </w:rPr>
            </w:pPr>
            <w:r>
              <w:rPr>
                <w:rFonts w:hint="eastAsia"/>
                <w:color w:val="000000"/>
                <w:kern w:val="0"/>
                <w:sz w:val="21"/>
                <w:szCs w:val="21"/>
                <w:shd w:val="clear" w:color="auto" w:fill="FFFFFF"/>
              </w:rPr>
              <w:t>持平</w:t>
            </w:r>
          </w:p>
        </w:tc>
      </w:tr>
      <w:tr w14:paraId="4882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8" w:type="pct"/>
            <w:vAlign w:val="center"/>
          </w:tcPr>
          <w:p w14:paraId="3C56E3FC">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lang w:val="en-US" w:eastAsia="zh-CN"/>
              </w:rPr>
              <w:t>9</w:t>
            </w:r>
          </w:p>
        </w:tc>
        <w:tc>
          <w:tcPr>
            <w:tcW w:w="761" w:type="pct"/>
            <w:vAlign w:val="center"/>
          </w:tcPr>
          <w:p w14:paraId="6D3F9037">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color w:val="000000"/>
                <w:kern w:val="0"/>
                <w:sz w:val="21"/>
                <w:szCs w:val="21"/>
                <w:shd w:val="clear" w:color="auto" w:fill="FFFFFF"/>
              </w:rPr>
              <w:t>合计</w:t>
            </w:r>
          </w:p>
        </w:tc>
        <w:tc>
          <w:tcPr>
            <w:tcW w:w="765" w:type="pct"/>
            <w:vAlign w:val="center"/>
          </w:tcPr>
          <w:p w14:paraId="68788AC7">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12.9</w:t>
            </w:r>
          </w:p>
        </w:tc>
        <w:tc>
          <w:tcPr>
            <w:tcW w:w="741" w:type="pct"/>
            <w:vAlign w:val="center"/>
          </w:tcPr>
          <w:p w14:paraId="67756459">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i/>
                <w:iCs/>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11.96</w:t>
            </w:r>
          </w:p>
        </w:tc>
        <w:tc>
          <w:tcPr>
            <w:tcW w:w="512" w:type="pct"/>
            <w:vAlign w:val="center"/>
          </w:tcPr>
          <w:p w14:paraId="762F4F5A">
            <w:pPr>
              <w:keepNext w:val="0"/>
              <w:keepLines w:val="0"/>
              <w:pageBreakBefore w:val="0"/>
              <w:kinsoku/>
              <w:wordWrap/>
              <w:overflowPunct/>
              <w:topLinePunct w:val="0"/>
              <w:autoSpaceDE/>
              <w:autoSpaceDN/>
              <w:bidi w:val="0"/>
              <w:adjustRightInd w:val="0"/>
              <w:snapToGrid w:val="0"/>
              <w:spacing w:line="560" w:lineRule="exact"/>
              <w:contextualSpacing/>
              <w:jc w:val="center"/>
              <w:rPr>
                <w:color w:val="000000"/>
                <w:kern w:val="0"/>
                <w:sz w:val="21"/>
                <w:szCs w:val="21"/>
                <w:shd w:val="clear" w:color="auto" w:fill="FFFFFF"/>
              </w:rPr>
            </w:pPr>
            <w:r>
              <w:rPr>
                <w:rFonts w:hint="eastAsia"/>
                <w:color w:val="000000"/>
                <w:kern w:val="0"/>
                <w:sz w:val="21"/>
                <w:szCs w:val="21"/>
                <w:shd w:val="clear" w:color="auto" w:fill="FFFFFF"/>
              </w:rPr>
              <w:t>增加</w:t>
            </w:r>
          </w:p>
        </w:tc>
        <w:tc>
          <w:tcPr>
            <w:tcW w:w="1401" w:type="dxa"/>
            <w:vAlign w:val="center"/>
          </w:tcPr>
          <w:p w14:paraId="0F87F22F">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12.85</w:t>
            </w:r>
          </w:p>
        </w:tc>
        <w:tc>
          <w:tcPr>
            <w:tcW w:w="725" w:type="pct"/>
            <w:vAlign w:val="center"/>
          </w:tcPr>
          <w:p w14:paraId="7326BDAE">
            <w:pPr>
              <w:keepNext w:val="0"/>
              <w:keepLines w:val="0"/>
              <w:pageBreakBefore w:val="0"/>
              <w:kinsoku/>
              <w:wordWrap/>
              <w:overflowPunct/>
              <w:topLinePunct w:val="0"/>
              <w:autoSpaceDE/>
              <w:autoSpaceDN/>
              <w:bidi w:val="0"/>
              <w:adjustRightInd w:val="0"/>
              <w:snapToGrid w:val="0"/>
              <w:spacing w:line="560" w:lineRule="exact"/>
              <w:contextualSpacing/>
              <w:jc w:val="center"/>
              <w:rPr>
                <w:rFonts w:hint="default" w:eastAsia="仿宋_GB2312"/>
                <w:color w:val="000000"/>
                <w:kern w:val="0"/>
                <w:sz w:val="21"/>
                <w:szCs w:val="21"/>
                <w:shd w:val="clear" w:color="auto" w:fill="FFFFFF"/>
                <w:lang w:val="en-US" w:eastAsia="zh-CN"/>
              </w:rPr>
            </w:pPr>
            <w:r>
              <w:rPr>
                <w:rFonts w:hint="eastAsia"/>
                <w:color w:val="000000"/>
                <w:kern w:val="0"/>
                <w:sz w:val="21"/>
                <w:szCs w:val="21"/>
                <w:shd w:val="clear" w:color="auto" w:fill="FFFFFF"/>
                <w:lang w:val="en-US" w:eastAsia="zh-CN"/>
              </w:rPr>
              <w:t>7.9</w:t>
            </w:r>
          </w:p>
        </w:tc>
        <w:tc>
          <w:tcPr>
            <w:tcW w:w="431" w:type="pct"/>
            <w:vAlign w:val="center"/>
          </w:tcPr>
          <w:p w14:paraId="2929C5A7">
            <w:pPr>
              <w:keepNext w:val="0"/>
              <w:keepLines w:val="0"/>
              <w:pageBreakBefore w:val="0"/>
              <w:kinsoku/>
              <w:wordWrap/>
              <w:overflowPunct/>
              <w:topLinePunct w:val="0"/>
              <w:autoSpaceDE/>
              <w:autoSpaceDN/>
              <w:bidi w:val="0"/>
              <w:adjustRightInd w:val="0"/>
              <w:snapToGrid w:val="0"/>
              <w:spacing w:line="560" w:lineRule="exact"/>
              <w:contextualSpacing/>
              <w:jc w:val="center"/>
              <w:rPr>
                <w:rFonts w:hint="eastAsia" w:eastAsia="仿宋_GB2312"/>
                <w:color w:val="000000"/>
                <w:kern w:val="0"/>
                <w:sz w:val="21"/>
                <w:szCs w:val="21"/>
                <w:shd w:val="clear" w:color="auto" w:fill="FFFFFF"/>
                <w:lang w:eastAsia="zh-CN"/>
              </w:rPr>
            </w:pPr>
            <w:r>
              <w:rPr>
                <w:rFonts w:hint="eastAsia"/>
                <w:color w:val="000000"/>
                <w:kern w:val="0"/>
                <w:sz w:val="21"/>
                <w:szCs w:val="21"/>
                <w:shd w:val="clear" w:color="auto" w:fill="FFFFFF"/>
                <w:lang w:eastAsia="zh-CN"/>
              </w:rPr>
              <w:t>增加</w:t>
            </w:r>
          </w:p>
        </w:tc>
      </w:tr>
    </w:tbl>
    <w:p w14:paraId="7C6DAD2C">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eastAsia="仿宋_GB2312" w:cs="仿宋_GB2312"/>
          <w:sz w:val="32"/>
          <w:szCs w:val="32"/>
          <w:lang w:val="zh-CN"/>
        </w:rPr>
      </w:pPr>
      <w:r>
        <w:rPr>
          <w:rFonts w:hint="eastAsia" w:ascii="Times New Roman" w:hAnsi="Times New Roman" w:eastAsia="仿宋_GB2312" w:cs="仿宋_GB2312"/>
          <w:sz w:val="32"/>
          <w:szCs w:val="32"/>
          <w:lang w:val="zh-CN"/>
        </w:rPr>
        <w:t>综上，根据评分标准，该项指标扣</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zh-CN"/>
        </w:rPr>
        <w:t>分，得</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val="zh-CN"/>
        </w:rPr>
        <w:t>分。</w:t>
      </w:r>
    </w:p>
    <w:p w14:paraId="54F207B0">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eastAsia="仿宋_GB2312" w:cs="仿宋_GB2312"/>
          <w:sz w:val="32"/>
          <w:szCs w:val="32"/>
        </w:rPr>
        <w:t>3.</w:t>
      </w:r>
      <w:r>
        <w:rPr>
          <w:rFonts w:eastAsia="仿宋_GB2312" w:cs="仿宋_GB2312"/>
          <w:sz w:val="32"/>
          <w:szCs w:val="32"/>
          <w:lang w:val="zh-CN"/>
        </w:rPr>
        <w:t>财务管理</w:t>
      </w:r>
      <w:r>
        <w:rPr>
          <w:rFonts w:hint="eastAsia" w:eastAsia="仿宋_GB2312" w:cs="仿宋_GB2312"/>
          <w:sz w:val="32"/>
          <w:szCs w:val="32"/>
          <w:lang w:val="zh-CN"/>
        </w:rPr>
        <w:t>。</w:t>
      </w:r>
      <w:r>
        <w:rPr>
          <w:rFonts w:hint="eastAsia" w:ascii="Times New Roman" w:hAnsi="Times New Roman" w:eastAsia="仿宋_GB2312" w:cs="仿宋_GB2312"/>
          <w:sz w:val="32"/>
          <w:szCs w:val="32"/>
          <w:lang w:val="zh-CN"/>
        </w:rPr>
        <w:t>建立完善的财务管理制度，明确财务岗位的职责分工，确保资金使用的合规性和效率。每一笔支出都需要有明确的用途和合理的依据，以提高资金使用的透明度和效益。</w:t>
      </w:r>
    </w:p>
    <w:p w14:paraId="76D03C4B">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4.</w:t>
      </w:r>
      <w:r>
        <w:rPr>
          <w:rFonts w:eastAsia="仿宋_GB2312" w:cs="仿宋_GB2312"/>
          <w:sz w:val="32"/>
          <w:szCs w:val="32"/>
          <w:lang w:val="zh-CN"/>
        </w:rPr>
        <w:t>资产管理</w:t>
      </w:r>
      <w:r>
        <w:rPr>
          <w:rFonts w:hint="eastAsia" w:eastAsia="仿宋_GB2312" w:cs="仿宋_GB2312"/>
          <w:sz w:val="32"/>
          <w:szCs w:val="32"/>
          <w:lang w:val="zh-CN"/>
        </w:rPr>
        <w:t>。</w:t>
      </w:r>
    </w:p>
    <w:p w14:paraId="24FCD82E">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（1）人均资产变化率</w:t>
      </w:r>
    </w:p>
    <w:p w14:paraId="32A5011D">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我单位20</w:t>
      </w:r>
      <w:r>
        <w:rPr>
          <w:rFonts w:hint="eastAsia" w:ascii="Times New Roman" w:hAnsi="Times New Roman" w:eastAsia="仿宋_GB2312" w:cs="仿宋_GB2312"/>
          <w:sz w:val="32"/>
          <w:szCs w:val="32"/>
          <w:lang w:val="en-US" w:eastAsia="zh-CN"/>
        </w:rPr>
        <w:t>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年末实有人数为</w:t>
      </w:r>
      <w:r>
        <w:rPr>
          <w:rFonts w:hint="eastAsia" w:eastAsia="仿宋_GB2312" w:cs="仿宋_GB2312"/>
          <w:sz w:val="32"/>
          <w:szCs w:val="32"/>
          <w:lang w:val="en-US" w:eastAsia="zh-CN"/>
        </w:rPr>
        <w:t>11</w:t>
      </w:r>
      <w:r>
        <w:rPr>
          <w:rFonts w:hint="eastAsia" w:ascii="Times New Roman" w:hAnsi="Times New Roman" w:eastAsia="仿宋_GB2312" w:cs="仿宋_GB2312"/>
          <w:sz w:val="32"/>
          <w:szCs w:val="32"/>
          <w:lang w:val="zh-CN"/>
        </w:rPr>
        <w:t>人，固定资产和无形资产净值合计</w:t>
      </w:r>
      <w:r>
        <w:rPr>
          <w:rFonts w:hint="eastAsia" w:eastAsia="仿宋_GB2312" w:cs="仿宋_GB2312"/>
          <w:sz w:val="32"/>
          <w:szCs w:val="32"/>
          <w:lang w:val="en-US" w:eastAsia="zh-CN"/>
        </w:rPr>
        <w:t>36.37</w:t>
      </w:r>
      <w:r>
        <w:rPr>
          <w:rFonts w:hint="eastAsia" w:ascii="Times New Roman" w:hAnsi="Times New Roman" w:eastAsia="仿宋_GB2312" w:cs="仿宋_GB2312"/>
          <w:sz w:val="32"/>
          <w:szCs w:val="32"/>
          <w:lang w:val="zh-CN"/>
        </w:rPr>
        <w:t>万元；202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rPr>
        <w:t>年末实有人数为</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lang w:val="zh-CN"/>
        </w:rPr>
        <w:t>人，固定资产和无形资产净值合计</w:t>
      </w:r>
      <w:r>
        <w:rPr>
          <w:rFonts w:hint="eastAsia" w:eastAsia="仿宋_GB2312" w:cs="仿宋_GB2312"/>
          <w:sz w:val="32"/>
          <w:szCs w:val="32"/>
          <w:lang w:val="en-US" w:eastAsia="zh-CN"/>
        </w:rPr>
        <w:t>43.22</w:t>
      </w:r>
      <w:r>
        <w:rPr>
          <w:rFonts w:hint="eastAsia" w:ascii="Times New Roman" w:hAnsi="Times New Roman" w:eastAsia="仿宋_GB2312" w:cs="仿宋_GB2312"/>
          <w:sz w:val="32"/>
          <w:szCs w:val="32"/>
          <w:lang w:val="zh-CN"/>
        </w:rPr>
        <w:t>万元。</w:t>
      </w:r>
    </w:p>
    <w:p w14:paraId="6BACC948">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根据评价标准，我单位202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年人均占有资产=</w:t>
      </w:r>
      <w:r>
        <w:rPr>
          <w:rFonts w:hint="eastAsia" w:eastAsia="仿宋_GB2312" w:cs="仿宋_GB2312"/>
          <w:sz w:val="32"/>
          <w:szCs w:val="32"/>
          <w:lang w:val="en-US" w:eastAsia="zh-CN"/>
        </w:rPr>
        <w:t>36.37</w:t>
      </w:r>
      <w:r>
        <w:rPr>
          <w:rFonts w:hint="eastAsia" w:ascii="Times New Roman" w:hAnsi="Times New Roman" w:eastAsia="仿宋_GB2312" w:cs="仿宋_GB2312"/>
          <w:sz w:val="32"/>
          <w:szCs w:val="32"/>
          <w:lang w:val="zh-CN"/>
        </w:rPr>
        <w:t>/</w:t>
      </w:r>
      <w:r>
        <w:rPr>
          <w:rFonts w:hint="eastAsia" w:ascii="Times New Roman" w:hAnsi="Times New Roman" w:eastAsia="仿宋_GB2312" w:cs="仿宋_GB2312"/>
          <w:sz w:val="32"/>
          <w:szCs w:val="32"/>
          <w:lang w:val="en-US" w:eastAsia="zh-CN"/>
        </w:rPr>
        <w:t>1</w:t>
      </w:r>
      <w:r>
        <w:rPr>
          <w:rFonts w:hint="eastAsia" w:eastAsia="仿宋_GB2312" w:cs="仿宋_GB2312"/>
          <w:sz w:val="32"/>
          <w:szCs w:val="32"/>
          <w:lang w:val="en-US" w:eastAsia="zh-CN"/>
        </w:rPr>
        <w:t>1</w:t>
      </w:r>
      <w:r>
        <w:rPr>
          <w:rFonts w:hint="eastAsia" w:ascii="Times New Roman" w:hAnsi="Times New Roman" w:eastAsia="仿宋_GB2312" w:cs="仿宋_GB2312"/>
          <w:sz w:val="32"/>
          <w:szCs w:val="32"/>
          <w:lang w:val="zh-CN"/>
        </w:rPr>
        <w:t>=</w:t>
      </w:r>
      <w:r>
        <w:rPr>
          <w:rFonts w:hint="eastAsia" w:eastAsia="仿宋_GB2312" w:cs="仿宋_GB2312"/>
          <w:sz w:val="32"/>
          <w:szCs w:val="32"/>
          <w:lang w:val="en-US" w:eastAsia="zh-CN"/>
        </w:rPr>
        <w:t>3.31</w:t>
      </w:r>
      <w:r>
        <w:rPr>
          <w:rFonts w:hint="eastAsia" w:ascii="Times New Roman" w:hAnsi="Times New Roman" w:eastAsia="仿宋_GB2312" w:cs="仿宋_GB2312"/>
          <w:sz w:val="32"/>
          <w:szCs w:val="32"/>
          <w:lang w:val="zh-CN"/>
        </w:rPr>
        <w:t>（万元/人），202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rPr>
        <w:t>年人均占有资产=</w:t>
      </w:r>
      <w:r>
        <w:rPr>
          <w:rFonts w:hint="eastAsia" w:ascii="Times New Roman" w:hAnsi="Times New Roman" w:eastAsia="仿宋_GB2312" w:cs="仿宋_GB2312"/>
          <w:sz w:val="32"/>
          <w:szCs w:val="32"/>
          <w:lang w:val="en-US" w:eastAsia="zh-CN"/>
        </w:rPr>
        <w:t>4</w:t>
      </w:r>
      <w:r>
        <w:rPr>
          <w:rFonts w:hint="eastAsia" w:eastAsia="仿宋_GB2312" w:cs="仿宋_GB2312"/>
          <w:sz w:val="32"/>
          <w:szCs w:val="32"/>
          <w:lang w:val="en-US" w:eastAsia="zh-CN"/>
        </w:rPr>
        <w:t>3.22</w:t>
      </w:r>
      <w:r>
        <w:rPr>
          <w:rFonts w:hint="eastAsia" w:ascii="Times New Roman" w:hAnsi="Times New Roman" w:eastAsia="仿宋_GB2312" w:cs="仿宋_GB2312"/>
          <w:sz w:val="32"/>
          <w:szCs w:val="32"/>
          <w:lang w:val="zh-CN"/>
        </w:rPr>
        <w:t>/</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lang w:val="zh-CN"/>
        </w:rPr>
        <w:t>=</w:t>
      </w:r>
      <w:r>
        <w:rPr>
          <w:rFonts w:hint="eastAsia" w:ascii="Times New Roman" w:hAnsi="Times New Roman" w:eastAsia="仿宋_GB2312" w:cs="仿宋_GB2312"/>
          <w:sz w:val="32"/>
          <w:szCs w:val="32"/>
          <w:lang w:val="en-US" w:eastAsia="zh-CN"/>
        </w:rPr>
        <w:t>4.</w:t>
      </w:r>
      <w:r>
        <w:rPr>
          <w:rFonts w:hint="eastAsia" w:eastAsia="仿宋_GB2312" w:cs="仿宋_GB2312"/>
          <w:sz w:val="32"/>
          <w:szCs w:val="32"/>
          <w:lang w:val="en-US" w:eastAsia="zh-CN"/>
        </w:rPr>
        <w:t>32</w:t>
      </w:r>
      <w:r>
        <w:rPr>
          <w:rFonts w:hint="eastAsia" w:ascii="Times New Roman" w:hAnsi="Times New Roman" w:eastAsia="仿宋_GB2312" w:cs="仿宋_GB2312"/>
          <w:sz w:val="32"/>
          <w:szCs w:val="32"/>
          <w:lang w:val="zh-CN"/>
        </w:rPr>
        <w:t>（万元/人），202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年我单位人均资产变化率=（</w:t>
      </w:r>
      <w:r>
        <w:rPr>
          <w:rFonts w:hint="eastAsia" w:eastAsia="仿宋_GB2312" w:cs="仿宋_GB2312"/>
          <w:sz w:val="32"/>
          <w:szCs w:val="32"/>
          <w:lang w:val="en-US" w:eastAsia="zh-CN"/>
        </w:rPr>
        <w:t>3.31-</w:t>
      </w:r>
      <w:r>
        <w:rPr>
          <w:rFonts w:hint="eastAsia" w:ascii="Times New Roman" w:hAnsi="Times New Roman" w:eastAsia="仿宋_GB2312" w:cs="仿宋_GB2312"/>
          <w:sz w:val="32"/>
          <w:szCs w:val="32"/>
          <w:lang w:val="en-US" w:eastAsia="zh-CN"/>
        </w:rPr>
        <w:t>4.</w:t>
      </w:r>
      <w:r>
        <w:rPr>
          <w:rFonts w:hint="eastAsia" w:eastAsia="仿宋_GB2312" w:cs="仿宋_GB2312"/>
          <w:sz w:val="32"/>
          <w:szCs w:val="32"/>
          <w:lang w:val="en-US" w:eastAsia="zh-CN"/>
        </w:rPr>
        <w:t>32</w:t>
      </w:r>
      <w:r>
        <w:rPr>
          <w:rFonts w:hint="eastAsia" w:ascii="Times New Roman" w:hAnsi="Times New Roman" w:eastAsia="仿宋_GB2312" w:cs="仿宋_GB2312"/>
          <w:sz w:val="32"/>
          <w:szCs w:val="32"/>
          <w:lang w:val="zh-CN"/>
        </w:rPr>
        <w:t>）/</w:t>
      </w:r>
      <w:r>
        <w:rPr>
          <w:rFonts w:hint="eastAsia" w:eastAsia="仿宋_GB2312" w:cs="仿宋_GB2312"/>
          <w:sz w:val="32"/>
          <w:szCs w:val="32"/>
          <w:lang w:val="en-US" w:eastAsia="zh-CN"/>
        </w:rPr>
        <w:t>3.31</w:t>
      </w:r>
      <w:r>
        <w:rPr>
          <w:rFonts w:hint="eastAsia" w:ascii="Times New Roman" w:hAnsi="Times New Roman" w:eastAsia="仿宋_GB2312" w:cs="仿宋_GB2312"/>
          <w:sz w:val="32"/>
          <w:szCs w:val="32"/>
          <w:lang w:val="zh-CN"/>
        </w:rPr>
        <w:t>×100.00%=-</w:t>
      </w:r>
      <w:r>
        <w:rPr>
          <w:rFonts w:hint="eastAsia" w:eastAsia="仿宋_GB2312" w:cs="仿宋_GB2312"/>
          <w:sz w:val="32"/>
          <w:szCs w:val="32"/>
          <w:lang w:val="en-US" w:eastAsia="zh-CN"/>
        </w:rPr>
        <w:t>30.51</w:t>
      </w:r>
      <w:r>
        <w:rPr>
          <w:rFonts w:hint="eastAsia" w:ascii="Times New Roman" w:hAnsi="Times New Roman" w:eastAsia="仿宋_GB2312" w:cs="仿宋_GB2312"/>
          <w:sz w:val="32"/>
          <w:szCs w:val="32"/>
          <w:lang w:val="zh-CN"/>
        </w:rPr>
        <w:t>%，小于202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年阿坝州州直行政事业单位人均资产变化率</w:t>
      </w:r>
      <w:r>
        <w:rPr>
          <w:rFonts w:hint="eastAsia" w:ascii="Times New Roman" w:hAnsi="Times New Roman" w:eastAsia="仿宋_GB2312" w:cs="仿宋_GB2312"/>
          <w:sz w:val="32"/>
          <w:szCs w:val="32"/>
          <w:lang w:val="en-US" w:eastAsia="zh-CN"/>
        </w:rPr>
        <w:t>-3.49</w:t>
      </w:r>
      <w:r>
        <w:rPr>
          <w:rFonts w:hint="eastAsia" w:ascii="Times New Roman" w:hAnsi="Times New Roman" w:eastAsia="仿宋_GB2312" w:cs="仿宋_GB2312"/>
          <w:sz w:val="32"/>
          <w:szCs w:val="32"/>
          <w:lang w:val="zh-CN"/>
        </w:rPr>
        <w:t>%；202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年我单位人均资产增长率=（</w:t>
      </w:r>
      <w:r>
        <w:rPr>
          <w:rFonts w:hint="eastAsia" w:eastAsia="仿宋_GB2312" w:cs="仿宋_GB2312"/>
          <w:sz w:val="32"/>
          <w:szCs w:val="32"/>
          <w:lang w:val="en-US" w:eastAsia="zh-CN"/>
        </w:rPr>
        <w:t>3.31</w:t>
      </w:r>
      <w:r>
        <w:rPr>
          <w:rFonts w:hint="eastAsia" w:ascii="Times New Roman" w:hAnsi="Times New Roman" w:eastAsia="仿宋_GB2312" w:cs="仿宋_GB2312"/>
          <w:sz w:val="32"/>
          <w:szCs w:val="32"/>
          <w:lang w:val="zh-CN"/>
        </w:rPr>
        <w:t>-</w:t>
      </w:r>
      <w:r>
        <w:rPr>
          <w:rFonts w:hint="eastAsia" w:eastAsia="仿宋_GB2312" w:cs="仿宋_GB2312"/>
          <w:sz w:val="32"/>
          <w:szCs w:val="32"/>
          <w:lang w:val="en-US" w:eastAsia="zh-CN"/>
        </w:rPr>
        <w:t>4.32</w:t>
      </w:r>
      <w:r>
        <w:rPr>
          <w:rFonts w:hint="eastAsia" w:ascii="Times New Roman" w:hAnsi="Times New Roman" w:eastAsia="仿宋_GB2312" w:cs="仿宋_GB2312"/>
          <w:sz w:val="32"/>
          <w:szCs w:val="32"/>
          <w:lang w:val="zh-CN"/>
        </w:rPr>
        <w:t>）/</w:t>
      </w:r>
      <w:r>
        <w:rPr>
          <w:rFonts w:hint="eastAsia" w:eastAsia="仿宋_GB2312" w:cs="仿宋_GB2312"/>
          <w:sz w:val="32"/>
          <w:szCs w:val="32"/>
          <w:lang w:val="en-US" w:eastAsia="zh-CN"/>
        </w:rPr>
        <w:t>3.31</w:t>
      </w:r>
      <w:r>
        <w:rPr>
          <w:rFonts w:hint="eastAsia" w:ascii="Times New Roman" w:hAnsi="Times New Roman" w:eastAsia="仿宋_GB2312" w:cs="仿宋_GB2312"/>
          <w:sz w:val="32"/>
          <w:szCs w:val="32"/>
          <w:lang w:val="zh-CN"/>
        </w:rPr>
        <w:t>×100.00%=-</w:t>
      </w:r>
      <w:r>
        <w:rPr>
          <w:rFonts w:hint="eastAsia" w:eastAsia="仿宋_GB2312" w:cs="仿宋_GB2312"/>
          <w:sz w:val="32"/>
          <w:szCs w:val="32"/>
          <w:lang w:val="en-US" w:eastAsia="zh-CN"/>
        </w:rPr>
        <w:t>30.51</w:t>
      </w:r>
      <w:r>
        <w:rPr>
          <w:rFonts w:hint="eastAsia" w:ascii="Times New Roman" w:hAnsi="Times New Roman" w:eastAsia="仿宋_GB2312" w:cs="仿宋_GB2312"/>
          <w:sz w:val="32"/>
          <w:szCs w:val="32"/>
          <w:lang w:val="zh-CN"/>
        </w:rPr>
        <w:t>%，小于202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年阿坝州州级财政收入增长率</w:t>
      </w:r>
      <w:r>
        <w:rPr>
          <w:rFonts w:hint="eastAsia" w:eastAsia="仿宋_GB2312" w:cs="仿宋_GB2312"/>
          <w:sz w:val="32"/>
          <w:szCs w:val="32"/>
          <w:lang w:val="en-US" w:eastAsia="zh-CN"/>
        </w:rPr>
        <w:t>17.1</w:t>
      </w:r>
      <w:r>
        <w:rPr>
          <w:rFonts w:hint="eastAsia" w:ascii="Times New Roman" w:hAnsi="Times New Roman" w:eastAsia="仿宋_GB2312" w:cs="仿宋_GB2312"/>
          <w:sz w:val="32"/>
          <w:szCs w:val="32"/>
          <w:lang w:val="zh-CN"/>
        </w:rPr>
        <w:t>%。</w:t>
      </w:r>
    </w:p>
    <w:p w14:paraId="0EE577D2">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综上，根据评分标准，该项指标不扣分，得3分。</w:t>
      </w:r>
    </w:p>
    <w:p w14:paraId="40CCC198">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（2）资产利用率</w:t>
      </w:r>
    </w:p>
    <w:p w14:paraId="6A8822EE">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我单位超最低使用年限的办公家具账面价值为</w:t>
      </w:r>
      <w:r>
        <w:rPr>
          <w:rFonts w:hint="eastAsia" w:ascii="Times New Roman" w:hAnsi="Times New Roman" w:eastAsia="仿宋_GB2312" w:cs="仿宋_GB2312"/>
          <w:sz w:val="32"/>
          <w:szCs w:val="32"/>
          <w:lang w:val="en-US" w:eastAsia="zh-CN"/>
        </w:rPr>
        <w:t>3.55</w:t>
      </w:r>
      <w:r>
        <w:rPr>
          <w:rFonts w:hint="eastAsia" w:ascii="Times New Roman" w:hAnsi="Times New Roman" w:eastAsia="仿宋_GB2312" w:cs="仿宋_GB2312"/>
          <w:sz w:val="32"/>
          <w:szCs w:val="32"/>
          <w:lang w:val="zh-CN"/>
        </w:rPr>
        <w:t>万元，办公家具账面价值为</w:t>
      </w:r>
      <w:r>
        <w:rPr>
          <w:rFonts w:hint="eastAsia" w:ascii="Times New Roman" w:hAnsi="Times New Roman" w:eastAsia="仿宋_GB2312" w:cs="仿宋_GB2312"/>
          <w:sz w:val="32"/>
          <w:szCs w:val="32"/>
          <w:lang w:val="en-US" w:eastAsia="zh-CN"/>
        </w:rPr>
        <w:t>6.28</w:t>
      </w:r>
      <w:r>
        <w:rPr>
          <w:rFonts w:hint="eastAsia" w:ascii="Times New Roman" w:hAnsi="Times New Roman" w:eastAsia="仿宋_GB2312" w:cs="仿宋_GB2312"/>
          <w:sz w:val="32"/>
          <w:szCs w:val="32"/>
          <w:lang w:val="zh-CN"/>
        </w:rPr>
        <w:t>万元，办公家具超最低使用年限资产利用率为</w:t>
      </w:r>
      <w:r>
        <w:rPr>
          <w:rFonts w:hint="eastAsia" w:eastAsia="仿宋_GB2312" w:cs="仿宋_GB2312"/>
          <w:sz w:val="32"/>
          <w:szCs w:val="32"/>
          <w:lang w:val="en-US" w:eastAsia="zh-CN"/>
        </w:rPr>
        <w:t>56.53</w:t>
      </w:r>
      <w:r>
        <w:rPr>
          <w:rFonts w:hint="eastAsia" w:ascii="Times New Roman" w:hAnsi="Times New Roman" w:eastAsia="仿宋_GB2312" w:cs="仿宋_GB2312"/>
          <w:sz w:val="32"/>
          <w:szCs w:val="32"/>
          <w:lang w:val="zh-CN"/>
        </w:rPr>
        <w:t>%，大于202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年资产利用率的阿坝州州直行政事业单位平均值</w:t>
      </w:r>
      <w:r>
        <w:rPr>
          <w:rFonts w:hint="eastAsia" w:ascii="Times New Roman" w:hAnsi="Times New Roman" w:eastAsia="仿宋_GB2312" w:cs="仿宋_GB2312"/>
          <w:sz w:val="32"/>
          <w:szCs w:val="32"/>
          <w:lang w:val="en-US" w:eastAsia="zh-CN"/>
        </w:rPr>
        <w:t>12.93</w:t>
      </w:r>
      <w:r>
        <w:rPr>
          <w:rFonts w:hint="eastAsia" w:ascii="Times New Roman" w:hAnsi="Times New Roman" w:eastAsia="仿宋_GB2312" w:cs="仿宋_GB2312"/>
          <w:sz w:val="32"/>
          <w:szCs w:val="32"/>
          <w:lang w:val="zh-CN"/>
        </w:rPr>
        <w:t>%， 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年办公设备超最低使用年限账面价值为</w:t>
      </w:r>
      <w:r>
        <w:rPr>
          <w:rFonts w:hint="eastAsia" w:eastAsia="仿宋_GB2312" w:cs="仿宋_GB2312"/>
          <w:sz w:val="32"/>
          <w:szCs w:val="32"/>
          <w:lang w:val="en-US" w:eastAsia="zh-CN"/>
        </w:rPr>
        <w:t>5.57</w:t>
      </w:r>
      <w:r>
        <w:rPr>
          <w:rFonts w:hint="eastAsia" w:ascii="Times New Roman" w:hAnsi="Times New Roman" w:eastAsia="仿宋_GB2312" w:cs="仿宋_GB2312"/>
          <w:sz w:val="32"/>
          <w:szCs w:val="32"/>
          <w:lang w:val="zh-CN"/>
        </w:rPr>
        <w:t>万元，办公设备账面价值为</w:t>
      </w:r>
      <w:r>
        <w:rPr>
          <w:rFonts w:hint="eastAsia" w:eastAsia="仿宋_GB2312" w:cs="仿宋_GB2312"/>
          <w:sz w:val="32"/>
          <w:szCs w:val="32"/>
          <w:lang w:val="en-US" w:eastAsia="zh-CN"/>
        </w:rPr>
        <w:t>34.01</w:t>
      </w:r>
      <w:r>
        <w:rPr>
          <w:rFonts w:hint="eastAsia" w:ascii="Times New Roman" w:hAnsi="Times New Roman" w:eastAsia="仿宋_GB2312" w:cs="仿宋_GB2312"/>
          <w:sz w:val="32"/>
          <w:szCs w:val="32"/>
          <w:lang w:val="zh-CN"/>
        </w:rPr>
        <w:t>万元，办公设备超最低使用年限资产利用率为</w:t>
      </w:r>
      <w:r>
        <w:rPr>
          <w:rFonts w:hint="eastAsia" w:eastAsia="仿宋_GB2312" w:cs="仿宋_GB2312"/>
          <w:sz w:val="32"/>
          <w:szCs w:val="32"/>
          <w:lang w:val="en-US" w:eastAsia="zh-CN"/>
        </w:rPr>
        <w:t>16.38</w:t>
      </w:r>
      <w:r>
        <w:rPr>
          <w:rFonts w:hint="eastAsia" w:ascii="Times New Roman" w:hAnsi="Times New Roman" w:eastAsia="仿宋_GB2312" w:cs="仿宋_GB2312"/>
          <w:sz w:val="32"/>
          <w:szCs w:val="32"/>
          <w:lang w:val="zh-CN"/>
        </w:rPr>
        <w:t>%，小于阿坝州州直行政事业单位平均值</w:t>
      </w:r>
      <w:r>
        <w:rPr>
          <w:rFonts w:hint="eastAsia" w:ascii="Times New Roman" w:hAnsi="Times New Roman" w:eastAsia="仿宋_GB2312" w:cs="仿宋_GB2312"/>
          <w:sz w:val="32"/>
          <w:szCs w:val="32"/>
          <w:lang w:val="en-US" w:eastAsia="zh-CN"/>
        </w:rPr>
        <w:t>53.14</w:t>
      </w:r>
      <w:r>
        <w:rPr>
          <w:rFonts w:hint="eastAsia" w:ascii="Times New Roman" w:hAnsi="Times New Roman" w:eastAsia="仿宋_GB2312" w:cs="仿宋_GB2312"/>
          <w:sz w:val="32"/>
          <w:szCs w:val="32"/>
          <w:lang w:val="zh-CN"/>
        </w:rPr>
        <w:t>%。</w:t>
      </w:r>
    </w:p>
    <w:p w14:paraId="0DFC5F83">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综上，根据评分标准，该项指标不扣分，得3分。</w:t>
      </w:r>
    </w:p>
    <w:p w14:paraId="19EF7DDF">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（3）资产盘活率</w:t>
      </w:r>
    </w:p>
    <w:p w14:paraId="6FEA8912">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我单位202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lang w:val="zh-CN"/>
        </w:rPr>
        <w:t>年、202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rPr>
        <w:t>年均无闲置资产。</w:t>
      </w:r>
    </w:p>
    <w:p w14:paraId="30C904B4">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综上，根据评分标准，该项指标不扣分，得3分。</w:t>
      </w:r>
    </w:p>
    <w:p w14:paraId="36873A81">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sz w:val="32"/>
          <w:szCs w:val="32"/>
          <w:lang w:val="zh-CN"/>
        </w:rPr>
        <w:t>5.采购管理。支持中小企业发展，优先选择符合质量要求的中小企业作为供应商，促进产业链的健康发展。提升采购执行率需要建立高效的采购流程和严格的供应商管理体系，确保采购活动的及时性和合规性。</w:t>
      </w:r>
    </w:p>
    <w:p w14:paraId="2594718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643" w:firstLineChars="200"/>
        <w:contextualSpacing/>
        <w:jc w:val="both"/>
        <w:textAlignment w:val="auto"/>
        <w:outlineLvl w:val="9"/>
        <w:rPr>
          <w:rFonts w:hint="default" w:ascii="Times New Roman" w:hAnsi="Times New Roman" w:eastAsia="仿宋_GB2312" w:cs="仿宋_GB2312"/>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sz w:val="32"/>
          <w:szCs w:val="32"/>
          <w:lang w:val="zh-CN" w:eastAsia="zh-CN"/>
        </w:rPr>
        <w:t>填报以下数据，并</w:t>
      </w:r>
      <w:r>
        <w:rPr>
          <w:rFonts w:hint="default" w:ascii="Times New Roman" w:hAnsi="Times New Roman" w:eastAsia="仿宋_GB2312" w:cs="仿宋_GB2312"/>
          <w:sz w:val="32"/>
          <w:szCs w:val="32"/>
          <w:lang w:val="zh-CN" w:eastAsia="zh-CN"/>
        </w:rPr>
        <w:t>根据部门预算绩效评价指标体系</w:t>
      </w:r>
      <w:r>
        <w:rPr>
          <w:rFonts w:hint="eastAsia" w:ascii="Times New Roman" w:hAnsi="Times New Roman" w:eastAsia="仿宋_GB2312" w:cs="仿宋_GB2312"/>
          <w:sz w:val="32"/>
          <w:szCs w:val="32"/>
          <w:lang w:val="zh-CN" w:eastAsia="zh-CN"/>
        </w:rPr>
        <w:t>“</w:t>
      </w:r>
      <w:r>
        <w:rPr>
          <w:rFonts w:hint="default" w:ascii="Times New Roman" w:hAnsi="Times New Roman" w:eastAsia="仿宋_GB2312" w:cs="仿宋_GB2312"/>
          <w:sz w:val="32"/>
          <w:szCs w:val="32"/>
          <w:lang w:val="zh-CN" w:eastAsia="zh-CN"/>
        </w:rPr>
        <w:t>项目绩效</w:t>
      </w:r>
      <w:r>
        <w:rPr>
          <w:rFonts w:hint="eastAsia" w:ascii="Times New Roman" w:hAnsi="Times New Roman" w:eastAsia="仿宋_GB2312" w:cs="仿宋_GB2312"/>
          <w:sz w:val="32"/>
          <w:szCs w:val="32"/>
          <w:lang w:val="zh-CN" w:eastAsia="zh-CN"/>
        </w:rPr>
        <w:t>”</w:t>
      </w:r>
      <w:r>
        <w:rPr>
          <w:rFonts w:hint="default" w:ascii="Times New Roman" w:hAnsi="Times New Roman" w:eastAsia="仿宋_GB2312" w:cs="仿宋_GB2312"/>
          <w:sz w:val="32"/>
          <w:szCs w:val="32"/>
          <w:lang w:val="zh-CN" w:eastAsia="zh-CN"/>
        </w:rPr>
        <w:t>涉及</w:t>
      </w:r>
      <w:r>
        <w:rPr>
          <w:rFonts w:hint="eastAsia" w:ascii="Times New Roman" w:hAnsi="Times New Roman" w:eastAsia="仿宋_GB2312" w:cs="仿宋_GB2312"/>
          <w:sz w:val="32"/>
          <w:szCs w:val="32"/>
          <w:lang w:val="zh-CN" w:eastAsia="zh-CN"/>
        </w:rPr>
        <w:t>二、三级</w:t>
      </w:r>
      <w:r>
        <w:rPr>
          <w:rFonts w:hint="default" w:ascii="Times New Roman" w:hAnsi="Times New Roman" w:eastAsia="仿宋_GB2312" w:cs="仿宋_GB2312"/>
          <w:sz w:val="32"/>
          <w:szCs w:val="32"/>
          <w:lang w:val="zh-CN" w:eastAsia="zh-CN"/>
        </w:rPr>
        <w:t>指标进行</w:t>
      </w:r>
      <w:r>
        <w:rPr>
          <w:rFonts w:hint="eastAsia" w:ascii="Times New Roman" w:hAnsi="Times New Roman" w:eastAsia="仿宋_GB2312" w:cs="仿宋_GB2312"/>
          <w:sz w:val="32"/>
          <w:szCs w:val="32"/>
          <w:lang w:val="zh-CN" w:eastAsia="zh-CN"/>
        </w:rPr>
        <w:t>逐项</w:t>
      </w:r>
      <w:r>
        <w:rPr>
          <w:rFonts w:hint="default" w:ascii="Times New Roman" w:hAnsi="Times New Roman" w:eastAsia="仿宋_GB2312" w:cs="仿宋_GB2312"/>
          <w:sz w:val="32"/>
          <w:szCs w:val="32"/>
          <w:lang w:val="zh-CN" w:eastAsia="zh-CN"/>
        </w:rPr>
        <w:t>绩效分析</w:t>
      </w:r>
      <w:r>
        <w:rPr>
          <w:rFonts w:hint="eastAsia" w:ascii="Times New Roman" w:hAnsi="Times New Roman" w:eastAsia="仿宋_GB2312" w:cs="仿宋_GB2312"/>
          <w:sz w:val="32"/>
          <w:szCs w:val="32"/>
          <w:lang w:val="zh-CN" w:eastAsia="zh-CN"/>
        </w:rPr>
        <w:t>并评分</w:t>
      </w:r>
      <w:r>
        <w:rPr>
          <w:rFonts w:hint="default" w:ascii="Times New Roman" w:hAnsi="Times New Roman" w:eastAsia="仿宋_GB2312" w:cs="仿宋_GB2312"/>
          <w:sz w:val="32"/>
          <w:szCs w:val="32"/>
          <w:lang w:val="zh-CN" w:eastAsia="zh-CN"/>
        </w:rPr>
        <w:t>，依次包括项目</w:t>
      </w:r>
      <w:r>
        <w:rPr>
          <w:rFonts w:hint="default" w:ascii="Times New Roman" w:hAnsi="Times New Roman" w:eastAsia="仿宋_GB2312" w:cs="仿宋_GB2312"/>
          <w:sz w:val="32"/>
          <w:szCs w:val="32"/>
          <w:lang w:val="en-US" w:eastAsia="zh-CN"/>
        </w:rPr>
        <w:t>决策、项目执行、目标实现等情况</w:t>
      </w:r>
      <w:r>
        <w:rPr>
          <w:rFonts w:hint="eastAsia" w:ascii="Times New Roman" w:hAnsi="Times New Roman" w:eastAsia="仿宋_GB2312" w:cs="仿宋_GB2312"/>
          <w:sz w:val="32"/>
          <w:szCs w:val="32"/>
          <w:lang w:val="en-US" w:eastAsia="zh-CN"/>
        </w:rPr>
        <w:t>。</w:t>
      </w:r>
    </w:p>
    <w:p w14:paraId="3CDAA77D">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常年项目绩效分析。该类项目总数</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个，涉及预算总金额</w:t>
      </w:r>
      <w:r>
        <w:rPr>
          <w:rFonts w:hint="eastAsia" w:eastAsia="仿宋_GB2312" w:cs="仿宋_GB2312"/>
          <w:sz w:val="32"/>
          <w:szCs w:val="32"/>
          <w:lang w:val="en-US" w:eastAsia="zh-CN"/>
        </w:rPr>
        <w:t>47.2</w:t>
      </w:r>
      <w:r>
        <w:rPr>
          <w:rFonts w:ascii="Times New Roman" w:hAnsi="Times New Roman" w:eastAsia="仿宋_GB2312" w:cs="仿宋_GB2312"/>
          <w:sz w:val="32"/>
          <w:szCs w:val="32"/>
          <w:lang w:val="zh-CN"/>
        </w:rPr>
        <w:t>万元，1</w:t>
      </w:r>
      <w:r>
        <w:rPr>
          <w:rFonts w:hint="eastAsia" w:ascii="Times New Roman" w:hAnsi="Times New Roman" w:eastAsia="仿宋_GB2312" w:cs="仿宋_GB2312"/>
          <w:sz w:val="32"/>
          <w:szCs w:val="32"/>
          <w:lang w:val="zh-CN"/>
        </w:rPr>
        <w:t>—</w:t>
      </w:r>
      <w:r>
        <w:rPr>
          <w:rFonts w:ascii="Times New Roman" w:hAnsi="Times New Roman" w:eastAsia="仿宋_GB2312" w:cs="仿宋_GB2312"/>
          <w:sz w:val="32"/>
          <w:szCs w:val="32"/>
          <w:lang w:val="zh-CN"/>
        </w:rPr>
        <w:t>12月预算执行总体进度为</w:t>
      </w:r>
      <w:r>
        <w:rPr>
          <w:rFonts w:hint="eastAsia" w:eastAsia="仿宋_GB2312" w:cs="仿宋_GB2312"/>
          <w:sz w:val="32"/>
          <w:szCs w:val="32"/>
          <w:lang w:val="en-US" w:eastAsia="zh-CN"/>
        </w:rPr>
        <w:t>88.5</w:t>
      </w:r>
      <w:r>
        <w:rPr>
          <w:rFonts w:ascii="Times New Roman" w:hAnsi="Times New Roman" w:eastAsia="仿宋_GB2312" w:cs="仿宋_GB2312"/>
          <w:sz w:val="32"/>
          <w:szCs w:val="32"/>
          <w:lang w:val="zh-CN"/>
        </w:rPr>
        <w:t>%，其中：预算结余率大于10%的项目共计</w:t>
      </w:r>
      <w:r>
        <w:rPr>
          <w:rFonts w:hint="eastAsia" w:ascii="Times New Roman" w:hAnsi="Times New Roman" w:eastAsia="仿宋_GB2312" w:cs="仿宋_GB2312"/>
          <w:sz w:val="32"/>
          <w:szCs w:val="32"/>
          <w:lang w:val="zh-CN"/>
        </w:rPr>
        <w:t>0</w:t>
      </w:r>
      <w:r>
        <w:rPr>
          <w:rFonts w:ascii="Times New Roman" w:hAnsi="Times New Roman" w:eastAsia="仿宋_GB2312" w:cs="仿宋_GB2312"/>
          <w:sz w:val="32"/>
          <w:szCs w:val="32"/>
          <w:lang w:val="zh-CN"/>
        </w:rPr>
        <w:t>个。</w:t>
      </w:r>
    </w:p>
    <w:p w14:paraId="68BDACDD">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color w:val="000000"/>
          <w:kern w:val="0"/>
          <w:szCs w:val="32"/>
          <w:shd w:val="clear" w:color="auto" w:fill="FFFFFF"/>
          <w:lang w:val="zh-CN"/>
        </w:rPr>
      </w:pPr>
      <w:r>
        <w:rPr>
          <w:rFonts w:ascii="Times New Roman" w:hAnsi="Times New Roman" w:eastAsia="仿宋_GB2312" w:cs="仿宋_GB2312"/>
          <w:sz w:val="32"/>
          <w:szCs w:val="32"/>
          <w:lang w:val="zh-CN"/>
        </w:rPr>
        <w:t>阶段</w:t>
      </w:r>
      <w:r>
        <w:rPr>
          <w:rFonts w:hint="eastAsia" w:ascii="Times New Roman" w:hAnsi="Times New Roman" w:eastAsia="仿宋_GB2312" w:cs="仿宋_GB2312"/>
          <w:sz w:val="32"/>
          <w:szCs w:val="32"/>
          <w:lang w:val="zh-CN"/>
        </w:rPr>
        <w:t>（</w:t>
      </w:r>
      <w:r>
        <w:rPr>
          <w:rFonts w:ascii="Times New Roman" w:hAnsi="Times New Roman" w:eastAsia="仿宋_GB2312" w:cs="仿宋_GB2312"/>
          <w:sz w:val="32"/>
          <w:szCs w:val="32"/>
          <w:lang w:val="zh-CN"/>
        </w:rPr>
        <w:t>一次性</w:t>
      </w:r>
      <w:r>
        <w:rPr>
          <w:rFonts w:hint="eastAsia" w:ascii="Times New Roman" w:hAnsi="Times New Roman" w:eastAsia="仿宋_GB2312" w:cs="仿宋_GB2312"/>
          <w:sz w:val="32"/>
          <w:szCs w:val="32"/>
          <w:lang w:val="zh-CN"/>
        </w:rPr>
        <w:t>）</w:t>
      </w:r>
      <w:r>
        <w:rPr>
          <w:rFonts w:ascii="Times New Roman" w:hAnsi="Times New Roman" w:eastAsia="仿宋_GB2312" w:cs="仿宋_GB2312"/>
          <w:sz w:val="32"/>
          <w:szCs w:val="32"/>
          <w:lang w:val="zh-CN"/>
        </w:rPr>
        <w:t>项目绩效分析。该类项目总数</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个，涉及预算总金额</w:t>
      </w:r>
      <w:r>
        <w:rPr>
          <w:rFonts w:hint="eastAsia" w:eastAsia="仿宋_GB2312" w:cs="仿宋_GB2312"/>
          <w:sz w:val="32"/>
          <w:szCs w:val="32"/>
          <w:lang w:val="en-US" w:eastAsia="zh-CN"/>
        </w:rPr>
        <w:t>47.2</w:t>
      </w:r>
      <w:r>
        <w:rPr>
          <w:rFonts w:ascii="Times New Roman" w:hAnsi="Times New Roman" w:eastAsia="仿宋_GB2312" w:cs="仿宋_GB2312"/>
          <w:sz w:val="32"/>
          <w:szCs w:val="32"/>
          <w:lang w:val="zh-CN"/>
        </w:rPr>
        <w:t>万元，1</w:t>
      </w:r>
      <w:r>
        <w:rPr>
          <w:rFonts w:hint="eastAsia" w:ascii="Times New Roman" w:hAnsi="Times New Roman" w:eastAsia="仿宋_GB2312" w:cs="仿宋_GB2312"/>
          <w:sz w:val="32"/>
          <w:szCs w:val="32"/>
          <w:lang w:val="zh-CN"/>
        </w:rPr>
        <w:t>—</w:t>
      </w:r>
      <w:r>
        <w:rPr>
          <w:rFonts w:ascii="Times New Roman" w:hAnsi="Times New Roman" w:eastAsia="仿宋_GB2312" w:cs="仿宋_GB2312"/>
          <w:sz w:val="32"/>
          <w:szCs w:val="32"/>
          <w:lang w:val="zh-CN"/>
        </w:rPr>
        <w:t>12月预算执行总体进度为</w:t>
      </w:r>
      <w:r>
        <w:rPr>
          <w:rFonts w:hint="eastAsia" w:eastAsia="仿宋_GB2312" w:cs="仿宋_GB2312"/>
          <w:sz w:val="32"/>
          <w:szCs w:val="32"/>
          <w:lang w:val="en-US" w:eastAsia="zh-CN"/>
        </w:rPr>
        <w:t>88.5</w:t>
      </w:r>
      <w:r>
        <w:rPr>
          <w:rFonts w:ascii="Times New Roman" w:hAnsi="Times New Roman" w:eastAsia="仿宋_GB2312" w:cs="仿宋_GB2312"/>
          <w:sz w:val="32"/>
          <w:szCs w:val="32"/>
          <w:lang w:val="zh-CN"/>
        </w:rPr>
        <w:t xml:space="preserve">%，其中：预算结余率大于10%的项目共计 </w:t>
      </w:r>
      <w:r>
        <w:rPr>
          <w:rFonts w:hint="eastAsia" w:ascii="Times New Roman" w:hAnsi="Times New Roman" w:eastAsia="仿宋_GB2312" w:cs="仿宋_GB2312"/>
          <w:sz w:val="32"/>
          <w:szCs w:val="32"/>
          <w:lang w:val="zh-CN"/>
        </w:rPr>
        <w:t>0</w:t>
      </w:r>
      <w:r>
        <w:rPr>
          <w:rFonts w:ascii="Times New Roman" w:hAnsi="Times New Roman" w:eastAsia="仿宋_GB2312" w:cs="仿宋_GB2312"/>
          <w:sz w:val="32"/>
          <w:szCs w:val="32"/>
          <w:lang w:val="zh-CN"/>
        </w:rPr>
        <w:t>个</w:t>
      </w:r>
      <w:r>
        <w:rPr>
          <w:color w:val="000000"/>
          <w:kern w:val="0"/>
          <w:szCs w:val="32"/>
          <w:shd w:val="clear" w:color="auto" w:fill="FFFFFF"/>
          <w:lang w:val="zh-CN"/>
        </w:rPr>
        <w:t>。</w:t>
      </w:r>
    </w:p>
    <w:p w14:paraId="20223ABB">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1.项目决策</w:t>
      </w:r>
      <w:r>
        <w:rPr>
          <w:rFonts w:hint="eastAsia" w:ascii="Times New Roman" w:hAnsi="Times New Roman" w:eastAsia="仿宋_GB2312" w:cs="仿宋_GB2312"/>
          <w:sz w:val="32"/>
          <w:szCs w:val="32"/>
          <w:lang w:val="zh-CN"/>
        </w:rPr>
        <w:t>。</w:t>
      </w:r>
    </w:p>
    <w:p w14:paraId="3F5271A1">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（1）决策程序</w:t>
      </w:r>
    </w:p>
    <w:p w14:paraId="5112B397">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预算阶段项目（含一次性项目）总数为</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个，无未履行事前评估程序的部门预算阶段项目。</w:t>
      </w:r>
    </w:p>
    <w:p w14:paraId="703E0E79">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综上，根据评分标准，该项指标不扣分，得4分。</w:t>
      </w:r>
    </w:p>
    <w:p w14:paraId="1AE47BB5">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（2）目标设置</w:t>
      </w:r>
    </w:p>
    <w:p w14:paraId="7ACD4942">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预算阶段项目（含一次性项目）总数为</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个，无绩效目标与计划期内的任务量、预算安排不相匹配的部门预算阶段项目（含一次性项目）</w:t>
      </w:r>
      <w:r>
        <w:rPr>
          <w:rFonts w:hint="eastAsia" w:ascii="Times New Roman" w:hAnsi="Times New Roman" w:eastAsia="仿宋_GB2312" w:cs="仿宋_GB2312"/>
          <w:sz w:val="32"/>
          <w:szCs w:val="32"/>
          <w:lang w:val="zh-CN"/>
        </w:rPr>
        <w:t>。</w:t>
      </w:r>
    </w:p>
    <w:p w14:paraId="25A3BD25">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综上，根据评分标准，该项指标不扣分，得4分。</w:t>
      </w:r>
    </w:p>
    <w:p w14:paraId="233D8BCF">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（3）项目入库</w:t>
      </w:r>
    </w:p>
    <w:p w14:paraId="6292EF28">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预算阶段项目（含一次性项目）总数为</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个，均已在规定时间内入财政库。</w:t>
      </w:r>
    </w:p>
    <w:p w14:paraId="305B3BA4">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综上，根据评分标准，该项指标不扣分，得4分。</w:t>
      </w:r>
    </w:p>
    <w:p w14:paraId="7AE0EBF0">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项目执行。</w:t>
      </w:r>
    </w:p>
    <w:p w14:paraId="07F29768">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（1）资金执行同向</w:t>
      </w:r>
    </w:p>
    <w:p w14:paraId="39AA0C29">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预算阶段项目（含一次性项目）总数为</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个，无实际列支内容与绩效目标设置方向不相符的部门预算阶段项目（含一次性项目）。</w:t>
      </w:r>
    </w:p>
    <w:p w14:paraId="07FB8DDA">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综上，根据评分标准，该项指标不扣分，得4分。</w:t>
      </w:r>
    </w:p>
    <w:p w14:paraId="511DED30">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（2）项目调整</w:t>
      </w:r>
    </w:p>
    <w:p w14:paraId="08B84BE4">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我单位不涉及</w:t>
      </w:r>
      <w:r>
        <w:rPr>
          <w:rFonts w:ascii="Times New Roman" w:hAnsi="Times New Roman" w:eastAsia="仿宋_GB2312" w:cs="仿宋_GB2312"/>
          <w:sz w:val="32"/>
          <w:szCs w:val="32"/>
          <w:lang w:val="zh-CN"/>
        </w:rPr>
        <w:t>应采取未采取收回预算、调整目标等处置措施的部门预算阶段项目（含一次性项目）</w:t>
      </w:r>
      <w:r>
        <w:rPr>
          <w:rFonts w:hint="eastAsia" w:ascii="Times New Roman" w:hAnsi="Times New Roman" w:eastAsia="仿宋_GB2312" w:cs="仿宋_GB2312"/>
          <w:sz w:val="32"/>
          <w:szCs w:val="32"/>
          <w:lang w:val="zh-CN"/>
        </w:rPr>
        <w:t>。</w:t>
      </w:r>
    </w:p>
    <w:p w14:paraId="3A831C4C">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综上，根据评分标准，该项指标不扣分，得4分。</w:t>
      </w:r>
    </w:p>
    <w:p w14:paraId="2576611B">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（3）执行结果</w:t>
      </w:r>
    </w:p>
    <w:p w14:paraId="2BE0E57D">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预算结余率小于10%的常年项目数量为</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个，部门预算常年项目总数为</w:t>
      </w:r>
      <w:r>
        <w:rPr>
          <w:rFonts w:hint="eastAsia" w:ascii="Times New Roman" w:hAnsi="Times New Roman" w:eastAsia="仿宋_GB2312" w:cs="仿宋_GB2312"/>
          <w:sz w:val="32"/>
          <w:szCs w:val="32"/>
          <w:lang w:val="en-US" w:eastAsia="zh-CN"/>
        </w:rPr>
        <w:t>0</w:t>
      </w:r>
      <w:r>
        <w:rPr>
          <w:rFonts w:ascii="Times New Roman" w:hAnsi="Times New Roman" w:eastAsia="仿宋_GB2312" w:cs="仿宋_GB2312"/>
          <w:sz w:val="32"/>
          <w:szCs w:val="32"/>
          <w:lang w:val="zh-CN"/>
        </w:rPr>
        <w:t>个，预算结余率小于10%的一次性项目和阶段项目数量为0个，部门预算一次性项目和阶段项目总数为</w:t>
      </w:r>
      <w:r>
        <w:rPr>
          <w:rFonts w:hint="eastAsia" w:ascii="Times New Roman" w:hAnsi="Times New Roman" w:eastAsia="仿宋_GB2312" w:cs="仿宋_GB2312"/>
          <w:sz w:val="32"/>
          <w:szCs w:val="32"/>
          <w:lang w:val="en-US" w:eastAsia="zh-CN"/>
        </w:rPr>
        <w:t>0</w:t>
      </w:r>
      <w:r>
        <w:rPr>
          <w:rFonts w:ascii="Times New Roman" w:hAnsi="Times New Roman" w:eastAsia="仿宋_GB2312" w:cs="仿宋_GB2312"/>
          <w:sz w:val="32"/>
          <w:szCs w:val="32"/>
          <w:lang w:val="zh-CN"/>
        </w:rPr>
        <w:t>个。</w:t>
      </w:r>
    </w:p>
    <w:p w14:paraId="336D1BF3">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综上，根据评分标准，该项指标得</w:t>
      </w:r>
      <w:r>
        <w:rPr>
          <w:rFonts w:hint="eastAsia" w:ascii="Times New Roman" w:hAnsi="Times New Roman" w:eastAsia="仿宋_GB2312" w:cs="仿宋_GB2312"/>
          <w:sz w:val="32"/>
          <w:szCs w:val="32"/>
          <w:lang w:val="zh-CN"/>
        </w:rPr>
        <w:t>4</w:t>
      </w:r>
      <w:r>
        <w:rPr>
          <w:rFonts w:ascii="Times New Roman" w:hAnsi="Times New Roman" w:eastAsia="仿宋_GB2312" w:cs="仿宋_GB2312"/>
          <w:sz w:val="32"/>
          <w:szCs w:val="32"/>
          <w:lang w:val="zh-CN"/>
        </w:rPr>
        <w:t>分。</w:t>
      </w:r>
    </w:p>
    <w:p w14:paraId="23836215">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3.目标实现。</w:t>
      </w:r>
    </w:p>
    <w:p w14:paraId="02883BAB">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（1）目标完成</w:t>
      </w:r>
    </w:p>
    <w:p w14:paraId="2064D7EC">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预算阶段项目（含一次性项目）总数为</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个，已完成绩效目标数量指标的部门预算阶段项目（含一次性项目）数量为</w:t>
      </w:r>
      <w:r>
        <w:rPr>
          <w:rFonts w:hint="eastAsia" w:ascii="Times New Roman" w:hAnsi="Times New Roman" w:eastAsia="仿宋_GB2312" w:cs="仿宋_GB2312"/>
          <w:sz w:val="32"/>
          <w:szCs w:val="32"/>
          <w:lang w:val="en-US" w:eastAsia="zh-CN"/>
        </w:rPr>
        <w:t>0</w:t>
      </w:r>
      <w:r>
        <w:rPr>
          <w:rFonts w:ascii="Times New Roman" w:hAnsi="Times New Roman" w:eastAsia="仿宋_GB2312" w:cs="仿宋_GB2312"/>
          <w:sz w:val="32"/>
          <w:szCs w:val="32"/>
          <w:lang w:val="zh-CN"/>
        </w:rPr>
        <w:t>个。</w:t>
      </w:r>
    </w:p>
    <w:p w14:paraId="449AFFBD">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综上，根据评分标准，该项指标不扣分，得4分。</w:t>
      </w:r>
    </w:p>
    <w:p w14:paraId="6C980C49">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（2）目标偏离</w:t>
      </w:r>
    </w:p>
    <w:p w14:paraId="42C138EA">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已完成预期指标值的数量指标中偏离度在30%内的指标个数为</w:t>
      </w:r>
      <w:r>
        <w:rPr>
          <w:rFonts w:hint="eastAsia" w:eastAsia="仿宋_GB2312" w:cs="仿宋_GB2312"/>
          <w:sz w:val="32"/>
          <w:szCs w:val="32"/>
          <w:lang w:val="en-US" w:eastAsia="zh-CN"/>
        </w:rPr>
        <w:t>0</w:t>
      </w:r>
      <w:r>
        <w:rPr>
          <w:rFonts w:ascii="Times New Roman" w:hAnsi="Times New Roman" w:eastAsia="仿宋_GB2312" w:cs="仿宋_GB2312"/>
          <w:sz w:val="32"/>
          <w:szCs w:val="32"/>
          <w:lang w:val="zh-CN"/>
        </w:rPr>
        <w:t>个，已完成预期指标值的数量指标个数为</w:t>
      </w:r>
      <w:r>
        <w:rPr>
          <w:rFonts w:hint="eastAsia" w:eastAsia="仿宋_GB2312" w:cs="仿宋_GB2312"/>
          <w:sz w:val="32"/>
          <w:szCs w:val="32"/>
          <w:lang w:val="en-US" w:eastAsia="zh-CN"/>
        </w:rPr>
        <w:t>0</w:t>
      </w:r>
      <w:r>
        <w:rPr>
          <w:rFonts w:ascii="Times New Roman" w:hAnsi="Times New Roman" w:eastAsia="仿宋_GB2312" w:cs="仿宋_GB2312"/>
          <w:sz w:val="32"/>
          <w:szCs w:val="32"/>
          <w:lang w:val="zh-CN"/>
        </w:rPr>
        <w:t>个。</w:t>
      </w:r>
    </w:p>
    <w:p w14:paraId="70F8E836">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综上，根据评分标准，该项指标不扣分，得4分。</w:t>
      </w:r>
    </w:p>
    <w:p w14:paraId="66222F01">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（3）实现效果</w:t>
      </w:r>
    </w:p>
    <w:p w14:paraId="3284E330">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预算阶段项目（含一次性项目）总数为</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个，完成绩效目标效益指标的部门预算阶段项目（含一次性项目）数量为</w:t>
      </w:r>
      <w:r>
        <w:rPr>
          <w:rFonts w:hint="eastAsia" w:eastAsia="仿宋_GB2312" w:cs="仿宋_GB2312"/>
          <w:sz w:val="32"/>
          <w:szCs w:val="32"/>
          <w:lang w:val="en-US" w:eastAsia="zh-CN"/>
        </w:rPr>
        <w:t>3</w:t>
      </w:r>
      <w:r>
        <w:rPr>
          <w:rFonts w:ascii="Times New Roman" w:hAnsi="Times New Roman" w:eastAsia="仿宋_GB2312" w:cs="仿宋_GB2312"/>
          <w:sz w:val="32"/>
          <w:szCs w:val="32"/>
          <w:lang w:val="zh-CN"/>
        </w:rPr>
        <w:t>个，我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预算项目绩效目标效益指标实施效果较好，均已达到设定指标值。</w:t>
      </w:r>
    </w:p>
    <w:p w14:paraId="7A70F3D2">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hint="eastAsia" w:eastAsia="仿宋_GB2312" w:cs="仿宋_GB2312"/>
          <w:color w:val="auto"/>
          <w:kern w:val="2"/>
          <w:sz w:val="32"/>
          <w:szCs w:val="32"/>
          <w:highlight w:val="none"/>
          <w:lang w:val="en-US" w:eastAsia="zh-CN" w:bidi="ar-SA"/>
        </w:rPr>
      </w:pPr>
      <w:r>
        <w:rPr>
          <w:rFonts w:ascii="Times New Roman" w:hAnsi="Times New Roman" w:eastAsia="仿宋_GB2312" w:cs="仿宋_GB2312"/>
          <w:sz w:val="32"/>
          <w:szCs w:val="32"/>
          <w:lang w:val="zh-CN"/>
        </w:rPr>
        <w:t>综上，根据评分标准，该项指标得3分。</w:t>
      </w:r>
    </w:p>
    <w:p w14:paraId="568DD605">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3" w:firstLineChars="200"/>
        <w:contextualSpacing/>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3FE6C5F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严格按照</w:t>
      </w:r>
      <w:r>
        <w:rPr>
          <w:rFonts w:hint="eastAsia" w:ascii="Times New Roman" w:hAnsi="Times New Roman" w:eastAsia="仿宋_GB2312" w:cs="仿宋_GB2312"/>
          <w:sz w:val="32"/>
          <w:szCs w:val="32"/>
          <w:lang w:val="zh-CN"/>
        </w:rPr>
        <w:t>财务管理制度</w:t>
      </w:r>
      <w:r>
        <w:rPr>
          <w:rFonts w:ascii="Times New Roman" w:hAnsi="Times New Roman" w:eastAsia="仿宋_GB2312" w:cs="仿宋_GB2312"/>
          <w:sz w:val="32"/>
          <w:szCs w:val="32"/>
          <w:lang w:val="zh-CN"/>
        </w:rPr>
        <w:t>规定，将项目绩效与预算资金安排挂钩；项目实施不及效果、预算执行进度不符合要求的，进行通报并作为年度评优时的参考依据；对于造成财政资金损失的，按照有关规定追究责任。明确预算编制、预算分解、预算执行与分析、预算调整、决算管理、预算绩效管理及预决算信息公开管理等业务环节的管理要求，加强预算业务各环节的风险管控，促进预算业务在提高单位各项业务管理过程中发挥积极作用。</w:t>
      </w:r>
    </w:p>
    <w:p w14:paraId="4808FCD9">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hint="default"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sz w:val="32"/>
          <w:szCs w:val="32"/>
          <w:lang w:val="zh-CN"/>
        </w:rPr>
        <w:t>我</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严格按照</w:t>
      </w:r>
      <w:r>
        <w:rPr>
          <w:rFonts w:hint="eastAsia" w:ascii="Times New Roman" w:hAnsi="Times New Roman" w:eastAsia="仿宋_GB2312" w:cs="仿宋_GB2312"/>
          <w:sz w:val="32"/>
          <w:szCs w:val="32"/>
          <w:lang w:val="zh-CN"/>
        </w:rPr>
        <w:t>财务管理制度</w:t>
      </w:r>
      <w:r>
        <w:rPr>
          <w:rFonts w:ascii="Times New Roman" w:hAnsi="Times New Roman" w:eastAsia="仿宋_GB2312" w:cs="仿宋_GB2312"/>
          <w:sz w:val="32"/>
          <w:szCs w:val="32"/>
          <w:lang w:val="zh-CN"/>
        </w:rPr>
        <w:t>规定</w:t>
      </w:r>
      <w:r>
        <w:rPr>
          <w:rFonts w:hint="eastAsia" w:ascii="Times New Roman" w:hAnsi="Times New Roman" w:eastAsia="仿宋_GB2312" w:cs="仿宋_GB2312"/>
          <w:sz w:val="32"/>
          <w:szCs w:val="32"/>
          <w:lang w:val="zh-CN"/>
        </w:rPr>
        <w:t>编制预算</w:t>
      </w:r>
      <w:r>
        <w:rPr>
          <w:rFonts w:ascii="Times New Roman" w:hAnsi="Times New Roman" w:eastAsia="仿宋_GB2312" w:cs="仿宋_GB2312"/>
          <w:sz w:val="32"/>
          <w:szCs w:val="32"/>
          <w:lang w:val="zh-CN"/>
        </w:rPr>
        <w:t>，根据财政批复的预算安排各项收支，确保预算严格有效执行。根据各科室的职责和分工，对批复的预算进行指标分解、规范内部预算执行程序，发挥预算对经济活动的控制作用。</w:t>
      </w:r>
    </w:p>
    <w:p w14:paraId="03602B96">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A2A87F2">
      <w:pPr>
        <w:keepNext w:val="0"/>
        <w:keepLines w:val="0"/>
        <w:pageBreakBefore w:val="0"/>
        <w:kinsoku/>
        <w:wordWrap/>
        <w:overflowPunct/>
        <w:topLinePunct w:val="0"/>
        <w:autoSpaceDE/>
        <w:autoSpaceDN/>
        <w:bidi w:val="0"/>
        <w:adjustRightInd w:val="0"/>
        <w:snapToGrid w:val="0"/>
        <w:spacing w:line="560" w:lineRule="exact"/>
        <w:ind w:firstLine="643" w:firstLineChars="200"/>
        <w:contextualSpacing/>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4FBED2D2">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eastAsia="仿宋_GB2312"/>
          <w:sz w:val="32"/>
          <w:szCs w:val="32"/>
          <w:lang w:bidi="ar"/>
        </w:rPr>
      </w:pPr>
      <w:r>
        <w:rPr>
          <w:rFonts w:hint="eastAsia" w:ascii="Times New Roman" w:hAnsi="Times New Roman" w:eastAsia="仿宋_GB2312" w:cs="仿宋_GB2312"/>
          <w:sz w:val="32"/>
          <w:szCs w:val="32"/>
          <w:lang w:val="zh-CN"/>
        </w:rPr>
        <w:t>我单位</w:t>
      </w:r>
      <w:r>
        <w:rPr>
          <w:rFonts w:ascii="Times New Roman" w:hAnsi="Times New Roman" w:eastAsia="仿宋_GB2312" w:cs="仿宋_GB2312"/>
          <w:sz w:val="32"/>
          <w:szCs w:val="32"/>
          <w:lang w:val="zh-CN"/>
        </w:rPr>
        <w:t>履职效果和预算管理效果较好，财务管理、资产管理、采购管理规范，项目决策程序严格，项目执行进度良好，绩效目标实现程度良好。根据《阿坝州财政</w:t>
      </w:r>
      <w:r>
        <w:rPr>
          <w:rFonts w:hint="eastAsia" w:ascii="Times New Roman" w:hAnsi="Times New Roman" w:eastAsia="仿宋_GB2312" w:cs="仿宋_GB2312"/>
          <w:sz w:val="32"/>
          <w:szCs w:val="32"/>
          <w:lang w:val="zh-CN"/>
        </w:rPr>
        <w:t>单位</w:t>
      </w:r>
      <w:r>
        <w:rPr>
          <w:rFonts w:ascii="Times New Roman" w:hAnsi="Times New Roman" w:eastAsia="仿宋_GB2312" w:cs="仿宋_GB2312"/>
          <w:sz w:val="32"/>
          <w:szCs w:val="32"/>
          <w:lang w:val="zh-CN"/>
        </w:rPr>
        <w:t>关于开展202</w:t>
      </w:r>
      <w:r>
        <w:rPr>
          <w:rFonts w:hint="eastAsia" w:eastAsia="仿宋_GB2312" w:cs="仿宋_GB2312"/>
          <w:sz w:val="32"/>
          <w:szCs w:val="32"/>
          <w:lang w:val="en-US" w:eastAsia="zh-CN"/>
        </w:rPr>
        <w:t>6</w:t>
      </w:r>
      <w:r>
        <w:rPr>
          <w:rFonts w:ascii="Times New Roman" w:hAnsi="Times New Roman" w:eastAsia="仿宋_GB2312" w:cs="仿宋_GB2312"/>
          <w:sz w:val="32"/>
          <w:szCs w:val="32"/>
          <w:lang w:val="zh-CN"/>
        </w:rPr>
        <w:t>年州级部门绩效自评工作的通知》中部门整体支出绩效评价指标体系，202</w:t>
      </w:r>
      <w:r>
        <w:rPr>
          <w:rFonts w:hint="eastAsia" w:eastAsia="仿宋_GB2312" w:cs="仿宋_GB2312"/>
          <w:sz w:val="32"/>
          <w:szCs w:val="32"/>
          <w:lang w:val="en-US" w:eastAsia="zh-CN"/>
        </w:rPr>
        <w:t>5</w:t>
      </w:r>
      <w:r>
        <w:rPr>
          <w:rFonts w:ascii="Times New Roman" w:hAnsi="Times New Roman" w:eastAsia="仿宋_GB2312" w:cs="仿宋_GB2312"/>
          <w:sz w:val="32"/>
          <w:szCs w:val="32"/>
          <w:lang w:val="zh-CN"/>
        </w:rPr>
        <w:t>年度自评得分</w:t>
      </w:r>
      <w:r>
        <w:rPr>
          <w:rFonts w:hint="eastAsia" w:ascii="Times New Roman" w:hAnsi="Times New Roman" w:eastAsia="仿宋_GB2312" w:cs="仿宋_GB2312"/>
          <w:sz w:val="32"/>
          <w:szCs w:val="32"/>
          <w:lang w:val="en-US" w:eastAsia="zh-CN"/>
        </w:rPr>
        <w:t>89</w:t>
      </w:r>
      <w:r>
        <w:rPr>
          <w:rFonts w:ascii="Times New Roman" w:hAnsi="Times New Roman" w:eastAsia="仿宋_GB2312" w:cs="仿宋_GB2312"/>
          <w:sz w:val="32"/>
          <w:szCs w:val="32"/>
          <w:lang w:val="zh-CN"/>
        </w:rPr>
        <w:t>分。</w:t>
      </w:r>
    </w:p>
    <w:p w14:paraId="522923FC">
      <w:pPr>
        <w:pStyle w:val="12"/>
        <w:keepNext w:val="0"/>
        <w:keepLines w:val="0"/>
        <w:pageBreakBefore w:val="0"/>
        <w:numPr>
          <w:ilvl w:val="0"/>
          <w:numId w:val="0"/>
        </w:numPr>
        <w:kinsoku/>
        <w:wordWrap/>
        <w:overflowPunct/>
        <w:topLinePunct w:val="0"/>
        <w:autoSpaceDE/>
        <w:autoSpaceDN/>
        <w:bidi w:val="0"/>
        <w:spacing w:line="560" w:lineRule="exact"/>
        <w:ind w:firstLine="643" w:firstLineChars="200"/>
        <w:jc w:val="both"/>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7E11975A">
      <w:pPr>
        <w:pStyle w:val="12"/>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1.</w:t>
      </w:r>
      <w:r>
        <w:rPr>
          <w:rFonts w:hint="eastAsia" w:ascii="Times New Roman" w:hAnsi="Times New Roman" w:eastAsia="仿宋_GB2312" w:cs="仿宋_GB2312"/>
          <w:kern w:val="2"/>
          <w:sz w:val="32"/>
          <w:szCs w:val="32"/>
          <w:lang w:val="zh-CN" w:eastAsia="zh-CN" w:bidi="ar-SA"/>
        </w:rPr>
        <w:t>预算编制不够准确</w:t>
      </w:r>
    </w:p>
    <w:p w14:paraId="5D0D86C7">
      <w:pPr>
        <w:pStyle w:val="12"/>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2.</w:t>
      </w:r>
      <w:r>
        <w:rPr>
          <w:rFonts w:ascii="Times New Roman" w:hAnsi="Times New Roman" w:eastAsia="仿宋_GB2312" w:cs="仿宋_GB2312"/>
          <w:kern w:val="2"/>
          <w:sz w:val="32"/>
          <w:szCs w:val="32"/>
          <w:lang w:val="zh-CN" w:eastAsia="zh-CN" w:bidi="ar-SA"/>
        </w:rPr>
        <w:t>一般性支出管理有待加强</w:t>
      </w:r>
    </w:p>
    <w:p w14:paraId="0710FE1A">
      <w:pPr>
        <w:pStyle w:val="12"/>
        <w:keepNext w:val="0"/>
        <w:keepLines w:val="0"/>
        <w:pageBreakBefore w:val="0"/>
        <w:kinsoku/>
        <w:wordWrap/>
        <w:overflowPunct/>
        <w:topLinePunct w:val="0"/>
        <w:autoSpaceDE/>
        <w:autoSpaceDN/>
        <w:bidi w:val="0"/>
        <w:spacing w:line="560" w:lineRule="exact"/>
        <w:ind w:firstLine="640" w:firstLineChars="200"/>
        <w:jc w:val="both"/>
        <w:rPr>
          <w:rFonts w:ascii="Times New Roman" w:hAnsi="Times New Roman" w:eastAsia="仿宋_GB2312" w:cs="仿宋_GB2312"/>
          <w:kern w:val="2"/>
          <w:sz w:val="32"/>
          <w:szCs w:val="32"/>
          <w:lang w:val="zh-CN" w:eastAsia="zh-CN" w:bidi="ar-SA"/>
        </w:rPr>
      </w:pPr>
      <w:r>
        <w:rPr>
          <w:rFonts w:ascii="Times New Roman" w:hAnsi="Times New Roman" w:eastAsia="仿宋_GB2312" w:cs="仿宋_GB2312"/>
          <w:kern w:val="2"/>
          <w:sz w:val="32"/>
          <w:szCs w:val="32"/>
          <w:lang w:val="zh-CN" w:eastAsia="zh-CN" w:bidi="ar-SA"/>
        </w:rPr>
        <w:t>我</w:t>
      </w:r>
      <w:r>
        <w:rPr>
          <w:rFonts w:hint="eastAsia" w:ascii="Times New Roman" w:hAnsi="Times New Roman" w:eastAsia="仿宋_GB2312" w:cs="仿宋_GB2312"/>
          <w:kern w:val="2"/>
          <w:sz w:val="32"/>
          <w:szCs w:val="32"/>
          <w:lang w:val="zh-CN" w:eastAsia="zh-CN" w:bidi="ar-SA"/>
        </w:rPr>
        <w:t>单位</w:t>
      </w:r>
      <w:r>
        <w:rPr>
          <w:rFonts w:ascii="Times New Roman" w:hAnsi="Times New Roman" w:eastAsia="仿宋_GB2312" w:cs="仿宋_GB2312"/>
          <w:kern w:val="2"/>
          <w:sz w:val="32"/>
          <w:szCs w:val="32"/>
          <w:lang w:val="zh-CN" w:eastAsia="zh-CN" w:bidi="ar-SA"/>
        </w:rPr>
        <w:t>一般性支出202</w:t>
      </w:r>
      <w:r>
        <w:rPr>
          <w:rFonts w:hint="eastAsia" w:ascii="Times New Roman" w:hAnsi="Times New Roman" w:eastAsia="仿宋_GB2312" w:cs="仿宋_GB2312"/>
          <w:kern w:val="2"/>
          <w:sz w:val="32"/>
          <w:szCs w:val="32"/>
          <w:lang w:val="en-US" w:eastAsia="zh-CN" w:bidi="ar-SA"/>
        </w:rPr>
        <w:t>5</w:t>
      </w:r>
      <w:r>
        <w:rPr>
          <w:rFonts w:ascii="Times New Roman" w:hAnsi="Times New Roman" w:eastAsia="仿宋_GB2312" w:cs="仿宋_GB2312"/>
          <w:kern w:val="2"/>
          <w:sz w:val="32"/>
          <w:szCs w:val="32"/>
          <w:lang w:val="zh-CN" w:eastAsia="zh-CN" w:bidi="ar-SA"/>
        </w:rPr>
        <w:t>年财政拨款预算执行数较202</w:t>
      </w:r>
      <w:r>
        <w:rPr>
          <w:rFonts w:hint="eastAsia" w:ascii="Times New Roman" w:hAnsi="Times New Roman" w:eastAsia="仿宋_GB2312" w:cs="仿宋_GB2312"/>
          <w:kern w:val="2"/>
          <w:sz w:val="32"/>
          <w:szCs w:val="32"/>
          <w:lang w:val="en-US" w:eastAsia="zh-CN" w:bidi="ar-SA"/>
        </w:rPr>
        <w:t>4</w:t>
      </w:r>
      <w:r>
        <w:rPr>
          <w:rFonts w:ascii="Times New Roman" w:hAnsi="Times New Roman" w:eastAsia="仿宋_GB2312" w:cs="仿宋_GB2312"/>
          <w:kern w:val="2"/>
          <w:sz w:val="32"/>
          <w:szCs w:val="32"/>
          <w:lang w:val="zh-CN" w:eastAsia="zh-CN" w:bidi="ar-SA"/>
        </w:rPr>
        <w:t>年有所增加，</w:t>
      </w:r>
      <w:r>
        <w:rPr>
          <w:rFonts w:hint="eastAsia" w:ascii="Times New Roman" w:hAnsi="Times New Roman" w:eastAsia="仿宋_GB2312" w:cs="仿宋_GB2312"/>
          <w:kern w:val="2"/>
          <w:sz w:val="32"/>
          <w:szCs w:val="32"/>
          <w:lang w:val="zh-CN" w:eastAsia="zh-CN" w:bidi="ar-SA"/>
        </w:rPr>
        <w:t>主要原因为：202</w:t>
      </w:r>
      <w:r>
        <w:rPr>
          <w:rFonts w:hint="eastAsia" w:ascii="Times New Roman" w:hAnsi="Times New Roman" w:eastAsia="仿宋_GB2312" w:cs="仿宋_GB2312"/>
          <w:kern w:val="2"/>
          <w:sz w:val="32"/>
          <w:szCs w:val="32"/>
          <w:lang w:val="en-US" w:eastAsia="zh-CN" w:bidi="ar-SA"/>
        </w:rPr>
        <w:t>5</w:t>
      </w:r>
      <w:r>
        <w:rPr>
          <w:rFonts w:hint="eastAsia" w:ascii="Times New Roman" w:hAnsi="Times New Roman" w:eastAsia="仿宋_GB2312" w:cs="仿宋_GB2312"/>
          <w:kern w:val="2"/>
          <w:sz w:val="32"/>
          <w:szCs w:val="32"/>
          <w:lang w:val="zh-CN" w:eastAsia="zh-CN" w:bidi="ar-SA"/>
        </w:rPr>
        <w:t>年调进一人，人员经费增加；二是人员经费正常增资</w:t>
      </w:r>
      <w:r>
        <w:rPr>
          <w:rFonts w:ascii="Times New Roman" w:hAnsi="Times New Roman" w:eastAsia="仿宋_GB2312" w:cs="仿宋_GB2312"/>
          <w:kern w:val="2"/>
          <w:sz w:val="32"/>
          <w:szCs w:val="32"/>
          <w:lang w:val="zh-CN" w:eastAsia="zh-CN" w:bidi="ar-SA"/>
        </w:rPr>
        <w:t>。</w:t>
      </w:r>
    </w:p>
    <w:p w14:paraId="7A3E8648">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left="0" w:leftChars="0" w:firstLine="643" w:firstLineChars="200"/>
        <w:contextualSpacing/>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bookmarkStart w:id="53" w:name="_Hlk110546638"/>
    </w:p>
    <w:p w14:paraId="6BD1403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200" w:firstLine="320" w:firstLineChars="100"/>
        <w:contextualSpacing/>
        <w:rPr>
          <w:rFonts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1.提高预算编制的科学性和准确性</w:t>
      </w:r>
    </w:p>
    <w:p w14:paraId="7E960AB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我单位将提高预算编制准确性、科学性和合理性。加强预算管理理念，提升全单位预算管理意识，进一步提高预算编制的准确性、科学性和合理性，严格按照预算数执行，提高预算执行进度，减小预算调剂金额，缩小预决算偏离程度。</w:t>
      </w:r>
    </w:p>
    <w:p w14:paraId="432DEDA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2</w:t>
      </w:r>
      <w:r>
        <w:rPr>
          <w:rFonts w:ascii="Times New Roman" w:hAnsi="Times New Roman" w:eastAsia="仿宋_GB2312" w:cs="仿宋_GB2312"/>
          <w:kern w:val="2"/>
          <w:sz w:val="32"/>
          <w:szCs w:val="32"/>
          <w:lang w:val="zh-CN" w:eastAsia="zh-CN" w:bidi="ar-SA"/>
        </w:rPr>
        <w:t>.严控一般性支出</w:t>
      </w:r>
    </w:p>
    <w:p w14:paraId="6B5496B6">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我单位</w:t>
      </w:r>
      <w:r>
        <w:rPr>
          <w:rFonts w:ascii="Times New Roman" w:hAnsi="Times New Roman" w:eastAsia="仿宋_GB2312" w:cs="仿宋_GB2312"/>
          <w:kern w:val="2"/>
          <w:sz w:val="32"/>
          <w:szCs w:val="32"/>
          <w:lang w:val="zh-CN" w:eastAsia="zh-CN" w:bidi="ar-SA"/>
        </w:rPr>
        <w:t>将增强</w:t>
      </w:r>
      <w:r>
        <w:rPr>
          <w:rFonts w:hint="eastAsia" w:ascii="Times New Roman" w:hAnsi="Times New Roman" w:eastAsia="仿宋_GB2312" w:cs="仿宋_GB2312"/>
          <w:kern w:val="2"/>
          <w:sz w:val="32"/>
          <w:szCs w:val="32"/>
          <w:lang w:val="zh-CN" w:eastAsia="zh-CN" w:bidi="ar-SA"/>
        </w:rPr>
        <w:t>“</w:t>
      </w:r>
      <w:r>
        <w:rPr>
          <w:rFonts w:ascii="Times New Roman" w:hAnsi="Times New Roman" w:eastAsia="仿宋_GB2312" w:cs="仿宋_GB2312"/>
          <w:kern w:val="2"/>
          <w:sz w:val="32"/>
          <w:szCs w:val="32"/>
          <w:lang w:val="zh-CN" w:eastAsia="zh-CN" w:bidi="ar-SA"/>
        </w:rPr>
        <w:t>过紧日子</w:t>
      </w:r>
      <w:r>
        <w:rPr>
          <w:rFonts w:hint="eastAsia" w:ascii="Times New Roman" w:hAnsi="Times New Roman" w:eastAsia="仿宋_GB2312" w:cs="仿宋_GB2312"/>
          <w:kern w:val="2"/>
          <w:sz w:val="32"/>
          <w:szCs w:val="32"/>
          <w:lang w:val="zh-CN" w:eastAsia="zh-CN" w:bidi="ar-SA"/>
        </w:rPr>
        <w:t>”</w:t>
      </w:r>
      <w:r>
        <w:rPr>
          <w:rFonts w:ascii="Times New Roman" w:hAnsi="Times New Roman" w:eastAsia="仿宋_GB2312" w:cs="仿宋_GB2312"/>
          <w:kern w:val="2"/>
          <w:sz w:val="32"/>
          <w:szCs w:val="32"/>
          <w:lang w:val="zh-CN" w:eastAsia="zh-CN" w:bidi="ar-SA"/>
        </w:rPr>
        <w:t>思想意识，充分认识</w:t>
      </w:r>
      <w:r>
        <w:rPr>
          <w:rFonts w:hint="eastAsia" w:ascii="Times New Roman" w:hAnsi="Times New Roman" w:eastAsia="仿宋_GB2312" w:cs="仿宋_GB2312"/>
          <w:kern w:val="2"/>
          <w:sz w:val="32"/>
          <w:szCs w:val="32"/>
          <w:lang w:val="zh-CN" w:eastAsia="zh-CN" w:bidi="ar-SA"/>
        </w:rPr>
        <w:t>“</w:t>
      </w:r>
      <w:r>
        <w:rPr>
          <w:rFonts w:ascii="Times New Roman" w:hAnsi="Times New Roman" w:eastAsia="仿宋_GB2312" w:cs="仿宋_GB2312"/>
          <w:kern w:val="2"/>
          <w:sz w:val="32"/>
          <w:szCs w:val="32"/>
          <w:lang w:val="zh-CN" w:eastAsia="zh-CN" w:bidi="ar-SA"/>
        </w:rPr>
        <w:t>过紧日子</w:t>
      </w:r>
      <w:r>
        <w:rPr>
          <w:rFonts w:hint="eastAsia" w:ascii="Times New Roman" w:hAnsi="Times New Roman" w:eastAsia="仿宋_GB2312" w:cs="仿宋_GB2312"/>
          <w:kern w:val="2"/>
          <w:sz w:val="32"/>
          <w:szCs w:val="32"/>
          <w:lang w:val="zh-CN" w:eastAsia="zh-CN" w:bidi="ar-SA"/>
        </w:rPr>
        <w:t>”</w:t>
      </w:r>
      <w:r>
        <w:rPr>
          <w:rFonts w:ascii="Times New Roman" w:hAnsi="Times New Roman" w:eastAsia="仿宋_GB2312" w:cs="仿宋_GB2312"/>
          <w:kern w:val="2"/>
          <w:sz w:val="32"/>
          <w:szCs w:val="32"/>
          <w:lang w:val="zh-CN" w:eastAsia="zh-CN" w:bidi="ar-SA"/>
        </w:rPr>
        <w:t>的重要性和必要性，</w:t>
      </w:r>
      <w:r>
        <w:rPr>
          <w:rFonts w:hint="eastAsia" w:ascii="Times New Roman" w:hAnsi="Times New Roman" w:eastAsia="仿宋_GB2312" w:cs="仿宋_GB2312"/>
          <w:kern w:val="2"/>
          <w:sz w:val="32"/>
          <w:szCs w:val="32"/>
          <w:lang w:val="zh-CN" w:eastAsia="zh-CN" w:bidi="ar-SA"/>
        </w:rPr>
        <w:t>减少非必要的培训及出差人员数量。</w:t>
      </w:r>
      <w:r>
        <w:rPr>
          <w:rFonts w:ascii="Times New Roman" w:hAnsi="Times New Roman" w:eastAsia="仿宋_GB2312" w:cs="仿宋_GB2312"/>
          <w:kern w:val="2"/>
          <w:sz w:val="32"/>
          <w:szCs w:val="32"/>
          <w:lang w:val="zh-CN" w:eastAsia="zh-CN" w:bidi="ar-SA"/>
        </w:rPr>
        <w:t>相关领导要以身作则，做好表率，层层压实责任，确保</w:t>
      </w:r>
      <w:r>
        <w:rPr>
          <w:rFonts w:hint="eastAsia" w:ascii="Times New Roman" w:hAnsi="Times New Roman" w:eastAsia="仿宋_GB2312" w:cs="仿宋_GB2312"/>
          <w:kern w:val="2"/>
          <w:sz w:val="32"/>
          <w:szCs w:val="32"/>
          <w:lang w:val="zh-CN" w:eastAsia="zh-CN" w:bidi="ar-SA"/>
        </w:rPr>
        <w:t>“</w:t>
      </w:r>
      <w:r>
        <w:rPr>
          <w:rFonts w:ascii="Times New Roman" w:hAnsi="Times New Roman" w:eastAsia="仿宋_GB2312" w:cs="仿宋_GB2312"/>
          <w:kern w:val="2"/>
          <w:sz w:val="32"/>
          <w:szCs w:val="32"/>
          <w:lang w:val="zh-CN" w:eastAsia="zh-CN" w:bidi="ar-SA"/>
        </w:rPr>
        <w:t>过紧日子</w:t>
      </w:r>
      <w:r>
        <w:rPr>
          <w:rFonts w:hint="eastAsia" w:ascii="Times New Roman" w:hAnsi="Times New Roman" w:eastAsia="仿宋_GB2312" w:cs="仿宋_GB2312"/>
          <w:kern w:val="2"/>
          <w:sz w:val="32"/>
          <w:szCs w:val="32"/>
          <w:lang w:val="zh-CN" w:eastAsia="zh-CN" w:bidi="ar-SA"/>
        </w:rPr>
        <w:t>”</w:t>
      </w:r>
      <w:r>
        <w:rPr>
          <w:rFonts w:ascii="Times New Roman" w:hAnsi="Times New Roman" w:eastAsia="仿宋_GB2312" w:cs="仿宋_GB2312"/>
          <w:kern w:val="2"/>
          <w:sz w:val="32"/>
          <w:szCs w:val="32"/>
          <w:lang w:val="zh-CN" w:eastAsia="zh-CN" w:bidi="ar-SA"/>
        </w:rPr>
        <w:t>思想深入人心，厉行节约措施落实到位。</w:t>
      </w:r>
    </w:p>
    <w:p w14:paraId="796D3C43">
      <w:pPr>
        <w:keepNext w:val="0"/>
        <w:keepLines w:val="0"/>
        <w:pageBreakBefore w:val="0"/>
        <w:kinsoku/>
        <w:wordWrap/>
        <w:overflowPunct/>
        <w:topLinePunct w:val="0"/>
        <w:autoSpaceDE/>
        <w:autoSpaceDN/>
        <w:bidi w:val="0"/>
        <w:spacing w:line="560" w:lineRule="exact"/>
        <w:ind w:firstLine="640" w:firstLineChars="200"/>
        <w:rPr>
          <w:rFonts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3</w:t>
      </w:r>
      <w:r>
        <w:rPr>
          <w:rFonts w:ascii="Times New Roman" w:hAnsi="Times New Roman" w:eastAsia="仿宋_GB2312" w:cs="仿宋_GB2312"/>
          <w:kern w:val="2"/>
          <w:sz w:val="32"/>
          <w:szCs w:val="32"/>
          <w:lang w:val="zh-CN" w:eastAsia="zh-CN" w:bidi="ar-SA"/>
        </w:rPr>
        <w:t>.加强资产管理基础</w:t>
      </w:r>
    </w:p>
    <w:p w14:paraId="258FAB91">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一是</w:t>
      </w:r>
      <w:r>
        <w:rPr>
          <w:rFonts w:ascii="Times New Roman" w:hAnsi="Times New Roman" w:eastAsia="仿宋_GB2312" w:cs="仿宋_GB2312"/>
          <w:kern w:val="2"/>
          <w:sz w:val="32"/>
          <w:szCs w:val="32"/>
          <w:lang w:val="zh-CN" w:eastAsia="zh-CN" w:bidi="ar-SA"/>
        </w:rPr>
        <w:t>将加强资产管理人员的培训，增强管理人员的专业能力，并建立个人绩效考核机制，明确将资产的管理效果与个人考核挂钩，从制度上约束部门及个人的资产管理行为，促进资产管理的合理化、科学化。</w:t>
      </w:r>
      <w:r>
        <w:rPr>
          <w:rFonts w:hint="eastAsia" w:ascii="Times New Roman" w:hAnsi="Times New Roman" w:eastAsia="仿宋_GB2312" w:cs="仿宋_GB2312"/>
          <w:kern w:val="2"/>
          <w:sz w:val="32"/>
          <w:szCs w:val="32"/>
          <w:lang w:val="zh-CN" w:eastAsia="zh-CN" w:bidi="ar-SA"/>
        </w:rPr>
        <w:t>二是</w:t>
      </w:r>
      <w:r>
        <w:rPr>
          <w:rFonts w:ascii="Times New Roman" w:hAnsi="Times New Roman" w:eastAsia="仿宋_GB2312" w:cs="仿宋_GB2312"/>
          <w:kern w:val="2"/>
          <w:sz w:val="32"/>
          <w:szCs w:val="32"/>
          <w:lang w:val="zh-CN" w:eastAsia="zh-CN" w:bidi="ar-SA"/>
        </w:rPr>
        <w:t>贯彻落实固定资产管理制度，组织落实固定资产管理，定期组织设备的清点，保证账、卡、物三相符，定期组织固定资产的盘点。</w:t>
      </w:r>
      <w:r>
        <w:rPr>
          <w:rFonts w:hint="eastAsia" w:ascii="Times New Roman" w:hAnsi="Times New Roman" w:eastAsia="仿宋_GB2312" w:cs="仿宋_GB2312"/>
          <w:kern w:val="2"/>
          <w:sz w:val="32"/>
          <w:szCs w:val="32"/>
          <w:lang w:val="zh-CN" w:eastAsia="zh-CN" w:bidi="ar-SA"/>
        </w:rPr>
        <w:t>三是</w:t>
      </w:r>
      <w:r>
        <w:rPr>
          <w:rFonts w:ascii="Times New Roman" w:hAnsi="Times New Roman" w:eastAsia="仿宋_GB2312" w:cs="仿宋_GB2312"/>
          <w:kern w:val="2"/>
          <w:sz w:val="32"/>
          <w:szCs w:val="32"/>
          <w:lang w:val="zh-CN" w:eastAsia="zh-CN" w:bidi="ar-SA"/>
        </w:rPr>
        <w:t>将相关责任落实到具体负责人，加强固定资产卡片管理，做到有物必登、登记到人、一物一卡、不重不漏，并定期与固定资产卡片进行核对，确保账卡相符。对于新购资产，应当及时建立并登记固定资产卡片，明确资产基本信息及使用信息，并随资产生命周期管理动态更新。</w:t>
      </w:r>
    </w:p>
    <w:p w14:paraId="292A338B">
      <w:pPr>
        <w:keepNext w:val="0"/>
        <w:keepLines w:val="0"/>
        <w:pageBreakBefore w:val="0"/>
        <w:kinsoku/>
        <w:wordWrap/>
        <w:overflowPunct/>
        <w:topLinePunct w:val="0"/>
        <w:autoSpaceDE/>
        <w:autoSpaceDN/>
        <w:bidi w:val="0"/>
        <w:spacing w:line="560" w:lineRule="exact"/>
        <w:ind w:firstLine="640" w:firstLineChars="200"/>
        <w:rPr>
          <w:rFonts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en-US" w:eastAsia="zh-CN" w:bidi="ar-SA"/>
        </w:rPr>
        <w:t>4</w:t>
      </w:r>
      <w:r>
        <w:rPr>
          <w:rFonts w:hint="eastAsia" w:ascii="Times New Roman" w:hAnsi="Times New Roman" w:eastAsia="仿宋_GB2312" w:cs="仿宋_GB2312"/>
          <w:kern w:val="2"/>
          <w:sz w:val="32"/>
          <w:szCs w:val="32"/>
          <w:lang w:val="zh-CN" w:eastAsia="zh-CN" w:bidi="ar-SA"/>
        </w:rPr>
        <w:t>.加强财务工作的规范性</w:t>
      </w:r>
    </w:p>
    <w:p w14:paraId="108D1D65">
      <w:pPr>
        <w:keepNext w:val="0"/>
        <w:keepLines w:val="0"/>
        <w:pageBreakBefore w:val="0"/>
        <w:kinsoku/>
        <w:wordWrap/>
        <w:overflowPunct/>
        <w:topLinePunct w:val="0"/>
        <w:autoSpaceDE/>
        <w:autoSpaceDN/>
        <w:bidi w:val="0"/>
        <w:adjustRightInd w:val="0"/>
        <w:snapToGrid w:val="0"/>
        <w:spacing w:line="560" w:lineRule="exact"/>
        <w:ind w:firstLine="640" w:firstLineChars="200"/>
        <w:contextualSpacing/>
        <w:rPr>
          <w:rFonts w:hint="eastAsia" w:ascii="Times New Roman" w:hAnsi="Times New Roman" w:eastAsia="仿宋_GB2312" w:cs="仿宋_GB2312"/>
          <w:kern w:val="2"/>
          <w:sz w:val="32"/>
          <w:szCs w:val="32"/>
          <w:lang w:val="zh-CN" w:eastAsia="zh-CN" w:bidi="ar-SA"/>
        </w:rPr>
      </w:pPr>
      <w:r>
        <w:rPr>
          <w:rFonts w:hint="eastAsia" w:ascii="Times New Roman" w:hAnsi="Times New Roman" w:eastAsia="仿宋_GB2312" w:cs="仿宋_GB2312"/>
          <w:kern w:val="2"/>
          <w:sz w:val="32"/>
          <w:szCs w:val="32"/>
          <w:lang w:val="zh-CN" w:eastAsia="zh-CN" w:bidi="ar-SA"/>
        </w:rPr>
        <w:t>我单位后续财务人员严格遵守单位</w:t>
      </w:r>
      <w:r>
        <w:rPr>
          <w:rFonts w:ascii="Times New Roman" w:hAnsi="Times New Roman" w:eastAsia="仿宋_GB2312" w:cs="仿宋_GB2312"/>
          <w:kern w:val="2"/>
          <w:sz w:val="32"/>
          <w:szCs w:val="32"/>
          <w:lang w:val="zh-CN" w:eastAsia="zh-CN" w:bidi="ar-SA"/>
        </w:rPr>
        <w:t>财务管理制度</w:t>
      </w:r>
      <w:r>
        <w:rPr>
          <w:rFonts w:hint="eastAsia" w:ascii="Times New Roman" w:hAnsi="Times New Roman" w:eastAsia="仿宋_GB2312" w:cs="仿宋_GB2312"/>
          <w:kern w:val="2"/>
          <w:sz w:val="32"/>
          <w:szCs w:val="32"/>
          <w:lang w:val="zh-CN" w:eastAsia="zh-CN" w:bidi="ar-SA"/>
        </w:rPr>
        <w:t>相关规定，加强票据审核，在单位名称变更后及时更新开票信息，确保开票信息与单位名称一致。对记载不准确、不完整的原始凭证予以退回重开。</w:t>
      </w:r>
    </w:p>
    <w:p w14:paraId="3FE2ADEE">
      <w:pPr>
        <w:keepNext w:val="0"/>
        <w:keepLines w:val="0"/>
        <w:pageBreakBefore w:val="0"/>
        <w:widowControl/>
        <w:kinsoku/>
        <w:wordWrap/>
        <w:overflowPunct/>
        <w:topLinePunct w:val="0"/>
        <w:autoSpaceDE/>
        <w:autoSpaceDN/>
        <w:bidi w:val="0"/>
        <w:adjustRightInd w:val="0"/>
        <w:snapToGrid w:val="0"/>
        <w:spacing w:line="240" w:lineRule="auto"/>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p>
    <w:bookmarkEnd w:id="53"/>
    <w:p w14:paraId="4D838D1B">
      <w:pPr>
        <w:pStyle w:val="7"/>
        <w:keepNext w:val="0"/>
        <w:keepLines w:val="0"/>
        <w:pageBreakBefore w:val="0"/>
        <w:numPr>
          <w:ilvl w:val="0"/>
          <w:numId w:val="0"/>
        </w:numPr>
        <w:kinsoku/>
        <w:wordWrap/>
        <w:overflowPunct/>
        <w:topLinePunct w:val="0"/>
        <w:autoSpaceDE/>
        <w:autoSpaceDN/>
        <w:bidi w:val="0"/>
        <w:spacing w:line="240" w:lineRule="auto"/>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1B23225F">
      <w:pPr>
        <w:pStyle w:val="7"/>
        <w:keepNext w:val="0"/>
        <w:keepLines w:val="0"/>
        <w:pageBreakBefore w:val="0"/>
        <w:numPr>
          <w:ilvl w:val="0"/>
          <w:numId w:val="0"/>
        </w:numPr>
        <w:kinsoku/>
        <w:wordWrap/>
        <w:overflowPunct/>
        <w:topLinePunct w:val="0"/>
        <w:autoSpaceDE/>
        <w:autoSpaceDN/>
        <w:bidi w:val="0"/>
        <w:spacing w:line="240" w:lineRule="auto"/>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74E6813E">
      <w:pPr>
        <w:pStyle w:val="7"/>
        <w:keepNext w:val="0"/>
        <w:keepLines w:val="0"/>
        <w:pageBreakBefore w:val="0"/>
        <w:numPr>
          <w:ilvl w:val="0"/>
          <w:numId w:val="0"/>
        </w:numPr>
        <w:kinsoku/>
        <w:wordWrap/>
        <w:overflowPunct/>
        <w:topLinePunct w:val="0"/>
        <w:autoSpaceDE/>
        <w:autoSpaceDN/>
        <w:bidi w:val="0"/>
        <w:spacing w:line="240" w:lineRule="auto"/>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w:t>
      </w:r>
      <w:r>
        <w:rPr>
          <w:rFonts w:hint="eastAsia" w:ascii="宋体" w:hAnsi="宋体" w:eastAsia="仿宋_GB2312" w:cs="仿宋_GB2312"/>
          <w:b w:val="0"/>
          <w:sz w:val="32"/>
          <w:szCs w:val="32"/>
          <w:highlight w:val="none"/>
          <w:u w:val="none"/>
          <w:lang w:eastAsia="zh-CN"/>
        </w:rPr>
        <w:t>部门评价项目数量</w:t>
      </w:r>
      <w:r>
        <w:rPr>
          <w:rFonts w:hint="eastAsia" w:ascii="宋体" w:hAnsi="宋体" w:cs="仿宋_GB2312"/>
          <w:b w:val="0"/>
          <w:sz w:val="32"/>
          <w:szCs w:val="32"/>
          <w:highlight w:val="none"/>
          <w:u w:val="none"/>
          <w:lang w:eastAsia="zh-CN"/>
        </w:rPr>
        <w:t>在</w:t>
      </w:r>
      <w:r>
        <w:rPr>
          <w:rFonts w:hint="eastAsia" w:ascii="宋体" w:hAnsi="宋体" w:eastAsia="仿宋_GB2312" w:cs="仿宋_GB2312"/>
          <w:b w:val="0"/>
          <w:sz w:val="32"/>
          <w:szCs w:val="32"/>
          <w:highlight w:val="none"/>
          <w:u w:val="none"/>
          <w:lang w:val="en-US" w:eastAsia="zh-CN"/>
        </w:rPr>
        <w:t>3个以内的，</w:t>
      </w:r>
      <w:r>
        <w:rPr>
          <w:rFonts w:hint="eastAsia" w:ascii="宋体" w:hAnsi="宋体" w:eastAsia="仿宋_GB2312" w:cs="仿宋_GB2312"/>
          <w:sz w:val="32"/>
          <w:szCs w:val="32"/>
          <w:highlight w:val="none"/>
          <w:u w:val="none"/>
        </w:rPr>
        <w:t>至少将1个部门评价报告向社会公开</w:t>
      </w:r>
      <w:r>
        <w:rPr>
          <w:rFonts w:hint="eastAsia" w:ascii="宋体" w:hAnsi="宋体" w:eastAsia="仿宋_GB2312" w:cs="仿宋_GB2312"/>
          <w:sz w:val="32"/>
          <w:szCs w:val="32"/>
          <w:highlight w:val="none"/>
          <w:u w:val="none"/>
          <w:lang w:eastAsia="zh-CN"/>
        </w:rPr>
        <w:t>；</w:t>
      </w:r>
      <w:r>
        <w:rPr>
          <w:rFonts w:hint="eastAsia" w:ascii="宋体" w:hAnsi="宋体" w:eastAsia="仿宋_GB2312" w:cs="仿宋_GB2312"/>
          <w:b w:val="0"/>
          <w:sz w:val="32"/>
          <w:szCs w:val="32"/>
          <w:highlight w:val="none"/>
          <w:u w:val="none"/>
          <w:lang w:eastAsia="zh-CN"/>
        </w:rPr>
        <w:t>部门评价项目数量大于</w:t>
      </w:r>
      <w:r>
        <w:rPr>
          <w:rFonts w:hint="eastAsia" w:ascii="宋体" w:hAnsi="宋体" w:eastAsia="仿宋_GB2312" w:cs="仿宋_GB2312"/>
          <w:b w:val="0"/>
          <w:sz w:val="32"/>
          <w:szCs w:val="32"/>
          <w:highlight w:val="none"/>
          <w:u w:val="none"/>
          <w:lang w:val="en-US" w:eastAsia="zh-CN"/>
        </w:rPr>
        <w:t>3个的，</w:t>
      </w:r>
      <w:r>
        <w:rPr>
          <w:rFonts w:hint="eastAsia" w:ascii="宋体" w:hAnsi="宋体" w:eastAsia="仿宋_GB2312" w:cs="仿宋_GB2312"/>
          <w:sz w:val="32"/>
          <w:szCs w:val="32"/>
          <w:highlight w:val="none"/>
          <w:u w:val="none"/>
        </w:rPr>
        <w:t>至少将</w:t>
      </w:r>
      <w:r>
        <w:rPr>
          <w:rFonts w:hint="eastAsia" w:ascii="宋体" w:hAnsi="宋体" w:eastAsia="仿宋_GB2312" w:cs="仿宋_GB2312"/>
          <w:sz w:val="32"/>
          <w:szCs w:val="32"/>
          <w:highlight w:val="none"/>
          <w:u w:val="none"/>
          <w:lang w:val="en-US" w:eastAsia="zh-CN"/>
        </w:rPr>
        <w:t>2</w:t>
      </w:r>
      <w:r>
        <w:rPr>
          <w:rFonts w:hint="eastAsia" w:ascii="宋体" w:hAnsi="宋体" w:eastAsia="仿宋_GB2312" w:cs="仿宋_GB2312"/>
          <w:sz w:val="32"/>
          <w:szCs w:val="32"/>
          <w:highlight w:val="none"/>
          <w:u w:val="none"/>
        </w:rPr>
        <w:t>个部门评价报告向社会公开</w:t>
      </w:r>
      <w:r>
        <w:rPr>
          <w:rFonts w:hint="eastAsia" w:ascii="宋体" w:hAnsi="宋体" w:eastAsia="仿宋_GB2312" w:cs="仿宋_GB2312"/>
          <w:sz w:val="32"/>
          <w:szCs w:val="32"/>
          <w:highlight w:val="none"/>
          <w:u w:val="none"/>
          <w:lang w:eastAsia="zh-CN"/>
        </w:rPr>
        <w:t>。</w:t>
      </w:r>
      <w:r>
        <w:rPr>
          <w:rFonts w:hint="eastAsia" w:ascii="Times New Roman" w:eastAsia="仿宋_GB2312" w:cs="仿宋_GB2312"/>
          <w:b w:val="0"/>
          <w:bCs w:val="0"/>
          <w:kern w:val="0"/>
          <w:position w:val="0"/>
          <w:sz w:val="32"/>
          <w:szCs w:val="32"/>
          <w:highlight w:val="none"/>
          <w:lang w:val="en-US" w:eastAsia="zh-CN" w:bidi="ar-SA"/>
        </w:rPr>
        <w:t>各下属单位需公开部门预算项目支出绩效自评表（2025年度）。</w:t>
      </w:r>
    </w:p>
    <w:p w14:paraId="33DE46D6">
      <w:pPr>
        <w:pStyle w:val="7"/>
        <w:keepNext w:val="0"/>
        <w:keepLines w:val="0"/>
        <w:pageBreakBefore w:val="0"/>
        <w:numPr>
          <w:ilvl w:val="0"/>
          <w:numId w:val="0"/>
        </w:numPr>
        <w:kinsoku/>
        <w:wordWrap/>
        <w:overflowPunct/>
        <w:topLinePunct w:val="0"/>
        <w:autoSpaceDE/>
        <w:autoSpaceDN/>
        <w:bidi w:val="0"/>
        <w:spacing w:line="240" w:lineRule="auto"/>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4E9CCF21">
      <w:pPr>
        <w:pStyle w:val="7"/>
        <w:keepNext w:val="0"/>
        <w:keepLines w:val="0"/>
        <w:pageBreakBefore w:val="0"/>
        <w:numPr>
          <w:ilvl w:val="0"/>
          <w:numId w:val="0"/>
        </w:numPr>
        <w:kinsoku/>
        <w:wordWrap/>
        <w:overflowPunct/>
        <w:topLinePunct w:val="0"/>
        <w:autoSpaceDE/>
        <w:autoSpaceDN/>
        <w:bidi w:val="0"/>
        <w:spacing w:line="240" w:lineRule="auto"/>
        <w:textAlignment w:val="auto"/>
        <w:rPr>
          <w:rFonts w:hint="eastAsia" w:ascii="Times New Roman" w:hAnsi="Times New Roman" w:cs="Times New Roman"/>
          <w:sz w:val="32"/>
          <w:szCs w:val="32"/>
          <w:highlight w:val="yellow"/>
          <w:lang w:val="zh-CN" w:eastAsia="zh-CN"/>
        </w:rPr>
      </w:pPr>
    </w:p>
    <w:p w14:paraId="2816DDA3">
      <w:pPr>
        <w:pStyle w:val="5"/>
        <w:pageBreakBefore w:val="0"/>
        <w:kinsoku/>
        <w:wordWrap/>
        <w:overflowPunct/>
        <w:topLinePunct w:val="0"/>
        <w:autoSpaceDE/>
        <w:autoSpaceDN/>
        <w:bidi w:val="0"/>
        <w:spacing w:line="240" w:lineRule="auto"/>
        <w:textAlignment w:val="auto"/>
        <w:rPr>
          <w:rFonts w:hint="eastAsia" w:ascii="Times New Roman" w:hAnsi="Times New Roman" w:cs="宋体"/>
          <w:color w:val="FF0000"/>
          <w:kern w:val="0"/>
          <w:sz w:val="32"/>
          <w:szCs w:val="32"/>
          <w:highlight w:val="yellow"/>
          <w:shd w:val="clear" w:color="auto" w:fill="FFFFFF"/>
          <w:lang w:val="zh-CN"/>
        </w:rPr>
      </w:pPr>
    </w:p>
    <w:p w14:paraId="1ED98E4E">
      <w:pPr>
        <w:pageBreakBefore w:val="0"/>
        <w:kinsoku/>
        <w:wordWrap/>
        <w:overflowPunct/>
        <w:topLinePunct w:val="0"/>
        <w:autoSpaceDE/>
        <w:autoSpaceDN/>
        <w:bidi w:val="0"/>
        <w:spacing w:line="240" w:lineRule="auto"/>
        <w:textAlignment w:val="auto"/>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9835892">
      <w:pPr>
        <w:pStyle w:val="5"/>
        <w:pageBreakBefore w:val="0"/>
        <w:kinsoku/>
        <w:wordWrap/>
        <w:overflowPunct/>
        <w:topLinePunct w:val="0"/>
        <w:autoSpaceDE/>
        <w:autoSpaceDN/>
        <w:bidi w:val="0"/>
        <w:spacing w:line="240" w:lineRule="auto"/>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A7D0BB0">
      <w:pPr>
        <w:pStyle w:val="35"/>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258CB89">
      <w:pPr>
        <w:pStyle w:val="35"/>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1AC00259">
      <w:pPr>
        <w:pStyle w:val="35"/>
        <w:keepNext w:val="0"/>
        <w:keepLines w:val="0"/>
        <w:pageBreakBefore w:val="0"/>
        <w:widowControl w:val="0"/>
        <w:kinsoku/>
        <w:wordWrap/>
        <w:overflowPunct/>
        <w:topLinePunct w:val="0"/>
        <w:autoSpaceDE/>
        <w:autoSpaceDN/>
        <w:bidi w:val="0"/>
        <w:spacing w:line="240" w:lineRule="auto"/>
        <w:ind w:left="0" w:leftChars="0" w:firstLine="640"/>
        <w:jc w:val="center"/>
        <w:textAlignment w:val="auto"/>
        <w:rPr>
          <w:rFonts w:ascii="Times New Roman" w:hAnsi="Times New Roman"/>
          <w:color w:val="auto"/>
          <w:kern w:val="2"/>
          <w:sz w:val="32"/>
          <w:szCs w:val="32"/>
          <w:highlight w:val="none"/>
        </w:rPr>
      </w:pPr>
    </w:p>
    <w:p w14:paraId="22F62961">
      <w:pPr>
        <w:keepNext w:val="0"/>
        <w:keepLines w:val="0"/>
        <w:pageBreakBefore w:val="0"/>
        <w:widowControl w:val="0"/>
        <w:kinsoku/>
        <w:wordWrap/>
        <w:overflowPunct/>
        <w:topLinePunct w:val="0"/>
        <w:autoSpaceDE/>
        <w:autoSpaceDN/>
        <w:bidi w:val="0"/>
        <w:adjustRightInd w:val="0"/>
        <w:snapToGrid w:val="0"/>
        <w:spacing w:line="240" w:lineRule="auto"/>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363F308F">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633CA0C2">
      <w:pPr>
        <w:keepNext w:val="0"/>
        <w:keepLines w:val="0"/>
        <w:pageBreakBefore w:val="0"/>
        <w:kinsoku/>
        <w:wordWrap/>
        <w:overflowPunct/>
        <w:topLinePunct w:val="0"/>
        <w:autoSpaceDE/>
        <w:autoSpaceDN/>
        <w:bidi w:val="0"/>
        <w:adjustRightInd w:val="0"/>
        <w:snapToGrid w:val="0"/>
        <w:spacing w:line="240" w:lineRule="auto"/>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4D74D81D">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27F0756B">
      <w:pPr>
        <w:keepNext w:val="0"/>
        <w:keepLines w:val="0"/>
        <w:pageBreakBefore w:val="0"/>
        <w:kinsoku/>
        <w:wordWrap/>
        <w:overflowPunct/>
        <w:topLinePunct w:val="0"/>
        <w:autoSpaceDE/>
        <w:autoSpaceDN/>
        <w:bidi w:val="0"/>
        <w:adjustRightInd w:val="0"/>
        <w:snapToGrid w:val="0"/>
        <w:spacing w:line="240" w:lineRule="auto"/>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1D5B9D74">
      <w:pPr>
        <w:keepNext w:val="0"/>
        <w:keepLines w:val="0"/>
        <w:pageBreakBefore w:val="0"/>
        <w:widowControl w:val="0"/>
        <w:kinsoku/>
        <w:wordWrap/>
        <w:overflowPunct/>
        <w:topLinePunct w:val="0"/>
        <w:autoSpaceDE/>
        <w:autoSpaceDN/>
        <w:bidi w:val="0"/>
        <w:adjustRightInd w:val="0"/>
        <w:snapToGrid w:val="0"/>
        <w:spacing w:line="240" w:lineRule="auto"/>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4DB0DC5D">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24357C44">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0B71D3C4">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59181316">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14:paraId="31CABD3E">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165EE9BF">
      <w:pPr>
        <w:keepNext w:val="0"/>
        <w:keepLines w:val="0"/>
        <w:pageBreakBefore w:val="0"/>
        <w:kinsoku/>
        <w:wordWrap/>
        <w:overflowPunct/>
        <w:topLinePunct w:val="0"/>
        <w:autoSpaceDE/>
        <w:autoSpaceDN/>
        <w:bidi w:val="0"/>
        <w:adjustRightInd w:val="0"/>
        <w:snapToGrid w:val="0"/>
        <w:spacing w:line="240" w:lineRule="auto"/>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25D8AF6B">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43460391">
      <w:pPr>
        <w:keepNext w:val="0"/>
        <w:keepLines w:val="0"/>
        <w:pageBreakBefore w:val="0"/>
        <w:widowControl w:val="0"/>
        <w:kinsoku/>
        <w:wordWrap/>
        <w:overflowPunct/>
        <w:topLinePunct w:val="0"/>
        <w:autoSpaceDE/>
        <w:autoSpaceDN/>
        <w:bidi w:val="0"/>
        <w:adjustRightInd/>
        <w:snapToGrid/>
        <w:spacing w:line="240" w:lineRule="auto"/>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5E6F138">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03709C5A">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08154467">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2CFBA72F">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735F82EE">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5A6F54DC">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3A3A27A2">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1B1C7D49">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51B92C1E">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440D6065">
      <w:pPr>
        <w:keepNext w:val="0"/>
        <w:keepLines w:val="0"/>
        <w:pageBreakBefore w:val="0"/>
        <w:widowControl w:val="0"/>
        <w:kinsoku/>
        <w:wordWrap/>
        <w:overflowPunct/>
        <w:topLinePunct w:val="0"/>
        <w:autoSpaceDE/>
        <w:autoSpaceDN/>
        <w:bidi w:val="0"/>
        <w:adjustRightInd/>
        <w:snapToGrid/>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4F58C094">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1721B564">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4CC6960D">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7605F534">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28F4FF4E">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10421CAA">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3FEA708A">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16037550">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0CA5E40">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A4860E2">
      <w:pPr>
        <w:keepNext w:val="0"/>
        <w:keepLines w:val="0"/>
        <w:pageBreakBefore w:val="0"/>
        <w:widowControl w:val="0"/>
        <w:kinsoku/>
        <w:wordWrap/>
        <w:overflowPunct/>
        <w:topLinePunct w:val="0"/>
        <w:autoSpaceDE/>
        <w:autoSpaceDN/>
        <w:bidi w:val="0"/>
        <w:spacing w:line="240" w:lineRule="auto"/>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29E4F2F7">
      <w:pPr>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4"/>
      <w:bookmarkStart w:id="55" w:name="_Toc15396619"/>
    </w:p>
    <w:p w14:paraId="35FBE7F5">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40EAB37F">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4B99B856">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53C29BF4">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43FBDB62">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763171BE">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6C410C14">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4EB52868">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25505003">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26362D44">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5E69EB48">
      <w:pPr>
        <w:rPr>
          <w:rFonts w:hint="eastAsia"/>
          <w:lang w:eastAsia="zh-CN"/>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tbl>
      <w:tblPr>
        <w:tblStyle w:val="15"/>
        <w:tblW w:w="136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8"/>
        <w:gridCol w:w="12"/>
        <w:gridCol w:w="2000"/>
        <w:gridCol w:w="55"/>
        <w:gridCol w:w="1682"/>
        <w:gridCol w:w="88"/>
        <w:gridCol w:w="2129"/>
        <w:gridCol w:w="136"/>
        <w:gridCol w:w="385"/>
        <w:gridCol w:w="140"/>
        <w:gridCol w:w="1508"/>
        <w:gridCol w:w="172"/>
        <w:gridCol w:w="525"/>
        <w:gridCol w:w="59"/>
        <w:gridCol w:w="1036"/>
        <w:gridCol w:w="52"/>
        <w:gridCol w:w="458"/>
        <w:gridCol w:w="51"/>
        <w:gridCol w:w="639"/>
        <w:gridCol w:w="49"/>
        <w:gridCol w:w="1452"/>
        <w:gridCol w:w="14"/>
      </w:tblGrid>
      <w:tr w14:paraId="0A687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 w:type="dxa"/>
          <w:trHeight w:val="904" w:hRule="atLeast"/>
        </w:trPr>
        <w:tc>
          <w:tcPr>
            <w:tcW w:w="13606"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479C8">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14:paraId="02542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286" w:hRule="atLeast"/>
        </w:trPr>
        <w:tc>
          <w:tcPr>
            <w:tcW w:w="2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62C96">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0616"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55809">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51320021T000000050928-办刊经费</w:t>
            </w:r>
          </w:p>
        </w:tc>
      </w:tr>
      <w:tr w14:paraId="05A0E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512" w:hRule="atLeast"/>
        </w:trPr>
        <w:tc>
          <w:tcPr>
            <w:tcW w:w="2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B27ED">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879"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EDFF">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088" w:type="dxa"/>
            <w:gridSpan w:val="2"/>
            <w:tcBorders>
              <w:top w:val="nil"/>
              <w:left w:val="nil"/>
              <w:bottom w:val="nil"/>
              <w:right w:val="nil"/>
            </w:tcBorders>
            <w:shd w:val="clear" w:color="auto" w:fill="auto"/>
            <w:noWrap/>
            <w:vAlign w:val="center"/>
          </w:tcPr>
          <w:p w14:paraId="50CA24C2">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实施单位 （盖章）</w:t>
            </w:r>
          </w:p>
        </w:tc>
        <w:tc>
          <w:tcPr>
            <w:tcW w:w="264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060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草地杂志社</w:t>
            </w:r>
          </w:p>
        </w:tc>
      </w:tr>
      <w:tr w14:paraId="391EB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286" w:hRule="atLeast"/>
        </w:trPr>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91C8">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20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70B6">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879"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E16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373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19EB1">
            <w:pPr>
              <w:keepNext w:val="0"/>
              <w:keepLines w:val="0"/>
              <w:widowControl/>
              <w:suppressLineNumbers w:val="0"/>
              <w:jc w:val="center"/>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年度目标完成情况</w:t>
            </w:r>
          </w:p>
        </w:tc>
      </w:tr>
      <w:tr w14:paraId="5B350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708"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9AB3"/>
        </w:tc>
        <w:tc>
          <w:tcPr>
            <w:tcW w:w="20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D6244"/>
        </w:tc>
        <w:tc>
          <w:tcPr>
            <w:tcW w:w="6879"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19DE">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　刊发藏汉文小说、诗歌、散文、文学评论、报告文学等文学作品。全年出版汉文6期，藏文2期。通过刊发优秀文学作品，促进民族文化交流与传播。</w:t>
            </w:r>
          </w:p>
        </w:tc>
        <w:tc>
          <w:tcPr>
            <w:tcW w:w="373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0A62">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完成年度目标任务</w:t>
            </w:r>
          </w:p>
        </w:tc>
      </w:tr>
      <w:tr w14:paraId="6CD38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693"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164D"/>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1A1A">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0616"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C2A0">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全年出版《草地》汉文6期，《邦炯》藏文2期。</w:t>
            </w:r>
          </w:p>
        </w:tc>
      </w:tr>
      <w:tr w14:paraId="0EB6A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61" w:hRule="atLeast"/>
        </w:trPr>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382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9B0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6885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A59E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E220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8E4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B56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9A3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551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14:paraId="19722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46"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7295"/>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FA6C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3515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40.00</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940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35.31</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618F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35.31</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3E0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CCB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03F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8.83</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9A86">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黑体"/>
                <w:i/>
                <w:iCs/>
                <w:color w:val="000000"/>
                <w:sz w:val="18"/>
                <w:szCs w:val="18"/>
                <w:u w:val="none"/>
              </w:rPr>
            </w:pPr>
            <w:r>
              <w:rPr>
                <w:rFonts w:eastAsia="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70F2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91"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AC7DF"/>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548B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B1A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40.00</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01B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35.31</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0A1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35.31</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B94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95E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921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0107"/>
        </w:tc>
      </w:tr>
      <w:tr w14:paraId="32234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407"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167A"/>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346C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682B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2138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3AD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6E71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30B8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176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B491"/>
        </w:tc>
      </w:tr>
      <w:tr w14:paraId="60DD8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61"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65B6"/>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6A0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267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AE0D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E36D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ECD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8EBB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95E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4D824"/>
        </w:tc>
      </w:tr>
      <w:tr w14:paraId="7F82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39"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40174"/>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0F8D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BB8F">
            <w:pPr>
              <w:jc w:val="center"/>
              <w:rPr>
                <w:rFonts w:eastAsia="微软雅黑"/>
                <w:i/>
                <w:iCs/>
                <w:color w:val="000000"/>
                <w:sz w:val="16"/>
                <w:szCs w:val="16"/>
                <w:u w:val="none"/>
              </w:rPr>
            </w:pP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0B5B">
            <w:pPr>
              <w:jc w:val="center"/>
              <w:rPr>
                <w:rFonts w:eastAsia="微软雅黑"/>
                <w:i/>
                <w:iCs/>
                <w:color w:val="000000"/>
                <w:sz w:val="16"/>
                <w:szCs w:val="16"/>
                <w:u w:val="none"/>
              </w:rPr>
            </w:pP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0B23D">
            <w:pPr>
              <w:jc w:val="center"/>
              <w:rPr>
                <w:rFonts w:eastAsia="微软雅黑"/>
                <w:i/>
                <w:iCs/>
                <w:color w:val="000000"/>
                <w:sz w:val="16"/>
                <w:szCs w:val="16"/>
                <w:u w:val="none"/>
              </w:rPr>
            </w:pP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3EB9C">
            <w:pPr>
              <w:jc w:val="center"/>
              <w:rPr>
                <w:rFonts w:eastAsia="微软雅黑"/>
                <w:i/>
                <w:iCs/>
                <w:color w:val="000000"/>
                <w:sz w:val="16"/>
                <w:szCs w:val="16"/>
                <w:u w:val="none"/>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B3E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9907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C0BF"/>
        </w:tc>
      </w:tr>
      <w:tr w14:paraId="2869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452" w:hRule="atLeast"/>
        </w:trPr>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9A71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C4B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EE6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1D0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DE3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A0B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9931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度量单位</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7F7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F73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D42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BD0E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14:paraId="7BF2C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452"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652D"/>
        </w:tc>
        <w:tc>
          <w:tcPr>
            <w:tcW w:w="20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1AE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产出指标</w:t>
            </w:r>
          </w:p>
        </w:tc>
        <w:tc>
          <w:tcPr>
            <w:tcW w:w="173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BF5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数量指标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C79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《邦炯》出版期数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CE4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D21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47B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期/年</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7B25A">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2</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15C8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08B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AE94">
            <w:pPr>
              <w:jc w:val="center"/>
              <w:rPr>
                <w:rFonts w:eastAsia="微软雅黑"/>
                <w:i/>
                <w:iCs/>
                <w:color w:val="000000"/>
                <w:sz w:val="16"/>
                <w:szCs w:val="16"/>
                <w:u w:val="none"/>
              </w:rPr>
            </w:pPr>
          </w:p>
        </w:tc>
      </w:tr>
      <w:tr w14:paraId="3A5AD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452"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E540"/>
        </w:tc>
        <w:tc>
          <w:tcPr>
            <w:tcW w:w="20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82C5D"/>
        </w:tc>
        <w:tc>
          <w:tcPr>
            <w:tcW w:w="17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9B4A"/>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83B5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《草地》出版期数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78C4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3EC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6</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115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期/年</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BC677">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6</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1BA8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AC5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ACB0">
            <w:pPr>
              <w:jc w:val="center"/>
              <w:rPr>
                <w:rFonts w:eastAsia="微软雅黑"/>
                <w:i/>
                <w:iCs/>
                <w:color w:val="000000"/>
                <w:sz w:val="16"/>
                <w:szCs w:val="16"/>
                <w:u w:val="none"/>
              </w:rPr>
            </w:pPr>
          </w:p>
        </w:tc>
      </w:tr>
      <w:tr w14:paraId="0C958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39"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A3B0"/>
        </w:tc>
        <w:tc>
          <w:tcPr>
            <w:tcW w:w="20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8B83"/>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D8F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质量指标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0E4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期刊出版质量优质率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E86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6B1D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90</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1FE8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3227">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90</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297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9FE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A1A4">
            <w:pPr>
              <w:jc w:val="center"/>
              <w:rPr>
                <w:rFonts w:eastAsia="微软雅黑"/>
                <w:i/>
                <w:iCs/>
                <w:color w:val="000000"/>
                <w:sz w:val="16"/>
                <w:szCs w:val="16"/>
                <w:u w:val="none"/>
              </w:rPr>
            </w:pPr>
          </w:p>
        </w:tc>
      </w:tr>
      <w:tr w14:paraId="1DA2F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39"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6249"/>
        </w:tc>
        <w:tc>
          <w:tcPr>
            <w:tcW w:w="20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F530"/>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FEB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时效指标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510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期刊出版完成时间</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A50E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E02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当年年底</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8A782">
            <w:pPr>
              <w:jc w:val="center"/>
              <w:rPr>
                <w:rFonts w:eastAsia="宋体"/>
                <w:i w:val="0"/>
                <w:iCs w:val="0"/>
                <w:color w:val="000000"/>
                <w:sz w:val="18"/>
                <w:szCs w:val="18"/>
                <w:u w:val="none"/>
              </w:rPr>
            </w:pP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E510">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完成出版</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9AB6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568E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56B40">
            <w:pPr>
              <w:jc w:val="center"/>
              <w:rPr>
                <w:rFonts w:eastAsia="微软雅黑"/>
                <w:i/>
                <w:iCs/>
                <w:color w:val="000000"/>
                <w:sz w:val="16"/>
                <w:szCs w:val="16"/>
                <w:u w:val="none"/>
              </w:rPr>
            </w:pPr>
          </w:p>
        </w:tc>
      </w:tr>
      <w:tr w14:paraId="56AF2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452"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D97E"/>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AED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效益指标</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73AA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社会效益指标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660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文化宣传和文化贡献</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3916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1B5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促进民族文化交流与传播</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3E23B">
            <w:pPr>
              <w:jc w:val="center"/>
              <w:rPr>
                <w:rFonts w:eastAsia="宋体"/>
                <w:i w:val="0"/>
                <w:iCs w:val="0"/>
                <w:color w:val="000000"/>
                <w:sz w:val="18"/>
                <w:szCs w:val="18"/>
                <w:u w:val="none"/>
              </w:rPr>
            </w:pP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ACD3F">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有效促进民族文化交流与传播</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D5C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88EB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4352">
            <w:pPr>
              <w:jc w:val="center"/>
              <w:rPr>
                <w:rFonts w:eastAsia="微软雅黑"/>
                <w:i/>
                <w:iCs/>
                <w:color w:val="000000"/>
                <w:sz w:val="16"/>
                <w:szCs w:val="16"/>
                <w:u w:val="none"/>
              </w:rPr>
            </w:pPr>
          </w:p>
        </w:tc>
      </w:tr>
      <w:tr w14:paraId="786D1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452"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FB245"/>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BE5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8870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服务对象满意度指标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B43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读者对期刊出版质量满意度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E8D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155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85</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BC41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E9E65">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85</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2069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64E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CB836">
            <w:pPr>
              <w:jc w:val="center"/>
              <w:rPr>
                <w:rFonts w:eastAsia="微软雅黑"/>
                <w:i/>
                <w:iCs/>
                <w:color w:val="000000"/>
                <w:sz w:val="16"/>
                <w:szCs w:val="16"/>
                <w:u w:val="none"/>
              </w:rPr>
            </w:pPr>
          </w:p>
        </w:tc>
      </w:tr>
      <w:tr w14:paraId="1C42C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39"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9811"/>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97DB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成本指标</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B1F0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经济成本指标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B93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《草地》出版经费金额</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EC2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A6F6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25</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AF9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万元</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2D9A">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25</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817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BA2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306C">
            <w:pPr>
              <w:jc w:val="center"/>
              <w:rPr>
                <w:rFonts w:eastAsia="微软雅黑"/>
                <w:i/>
                <w:iCs/>
                <w:color w:val="000000"/>
                <w:sz w:val="16"/>
                <w:szCs w:val="16"/>
                <w:u w:val="none"/>
              </w:rPr>
            </w:pPr>
          </w:p>
        </w:tc>
      </w:tr>
      <w:tr w14:paraId="35E3C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286" w:hRule="atLeast"/>
        </w:trPr>
        <w:tc>
          <w:tcPr>
            <w:tcW w:w="10957"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3E93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3BC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53389">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98.83</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B574">
            <w:pPr>
              <w:rPr>
                <w:rFonts w:eastAsia="宋体"/>
                <w:i w:val="0"/>
                <w:iCs w:val="0"/>
                <w:color w:val="000000"/>
                <w:sz w:val="18"/>
                <w:szCs w:val="18"/>
                <w:u w:val="none"/>
              </w:rPr>
            </w:pPr>
          </w:p>
        </w:tc>
      </w:tr>
      <w:tr w14:paraId="7A0E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603" w:hRule="atLeast"/>
        </w:trPr>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99CC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262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2712">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14:paraId="471D9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00" w:hRule="atLeast"/>
        </w:trPr>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260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262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D4D41">
            <w:pPr>
              <w:rPr>
                <w:rFonts w:eastAsia="微软雅黑"/>
                <w:i/>
                <w:iCs/>
                <w:color w:val="000000"/>
                <w:sz w:val="16"/>
                <w:szCs w:val="16"/>
                <w:u w:val="none"/>
              </w:rPr>
            </w:pPr>
          </w:p>
        </w:tc>
      </w:tr>
      <w:tr w14:paraId="2D2C7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346" w:hRule="atLeast"/>
        </w:trPr>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82C9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2628"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54043">
            <w:pPr>
              <w:rPr>
                <w:rFonts w:eastAsia="微软雅黑"/>
                <w:i/>
                <w:iCs/>
                <w:color w:val="000000"/>
                <w:sz w:val="16"/>
                <w:szCs w:val="16"/>
                <w:u w:val="none"/>
              </w:rPr>
            </w:pPr>
          </w:p>
        </w:tc>
      </w:tr>
      <w:tr w14:paraId="5F9C4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dxa"/>
          <w:trHeight w:val="286" w:hRule="atLeast"/>
        </w:trPr>
        <w:tc>
          <w:tcPr>
            <w:tcW w:w="746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53A6">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项目负责人：蓝士开</w:t>
            </w:r>
          </w:p>
        </w:tc>
        <w:tc>
          <w:tcPr>
            <w:tcW w:w="6141"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82BC">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财务负责人：蓝士开</w:t>
            </w:r>
          </w:p>
        </w:tc>
      </w:tr>
      <w:tr w14:paraId="76085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3620"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06AB1">
            <w:pPr>
              <w:keepNext w:val="0"/>
              <w:keepLines w:val="0"/>
              <w:widowControl/>
              <w:suppressLineNumbers w:val="0"/>
              <w:jc w:val="center"/>
              <w:textAlignment w:val="center"/>
              <w:rPr>
                <w:rFonts w:eastAsia="黑体"/>
                <w:b/>
                <w:bCs/>
                <w:i w:val="0"/>
                <w:iCs w:val="0"/>
                <w:color w:val="000000"/>
                <w:sz w:val="30"/>
                <w:szCs w:val="30"/>
                <w:u w:val="none"/>
              </w:rPr>
            </w:pPr>
            <w:bookmarkStart w:id="68" w:name="_GoBack"/>
            <w:bookmarkEnd w:id="68"/>
            <w:r>
              <w:rPr>
                <w:rFonts w:eastAsia="黑体"/>
                <w:b/>
                <w:bCs/>
                <w:i w:val="0"/>
                <w:iCs w:val="0"/>
                <w:color w:val="000000"/>
                <w:kern w:val="0"/>
                <w:sz w:val="30"/>
                <w:szCs w:val="30"/>
                <w:u w:val="none"/>
                <w:lang w:val="en-US" w:eastAsia="zh-CN"/>
              </w:rPr>
              <w:t>部门预算项目支出绩效自评表（2025年度）</w:t>
            </w:r>
          </w:p>
        </w:tc>
      </w:tr>
      <w:tr w14:paraId="505EC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851DC">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0630"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B086">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51320021T000000050940-创作经费</w:t>
            </w:r>
          </w:p>
        </w:tc>
      </w:tr>
      <w:tr w14:paraId="3C787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7B6D">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879"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C8FB">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088" w:type="dxa"/>
            <w:gridSpan w:val="2"/>
            <w:tcBorders>
              <w:top w:val="nil"/>
              <w:left w:val="nil"/>
              <w:bottom w:val="nil"/>
              <w:right w:val="nil"/>
            </w:tcBorders>
            <w:shd w:val="clear" w:color="auto" w:fill="auto"/>
            <w:noWrap/>
            <w:vAlign w:val="center"/>
          </w:tcPr>
          <w:p w14:paraId="0D61428A">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实施单位 （盖章）</w:t>
            </w:r>
          </w:p>
        </w:tc>
        <w:tc>
          <w:tcPr>
            <w:tcW w:w="266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D3E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草地杂志社</w:t>
            </w:r>
          </w:p>
        </w:tc>
      </w:tr>
      <w:tr w14:paraId="6B361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3495">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20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E8F2">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879"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078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375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58FB">
            <w:pPr>
              <w:keepNext w:val="0"/>
              <w:keepLines w:val="0"/>
              <w:widowControl/>
              <w:suppressLineNumbers w:val="0"/>
              <w:jc w:val="center"/>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年度目标完成情况</w:t>
            </w:r>
          </w:p>
        </w:tc>
      </w:tr>
      <w:tr w14:paraId="7A02D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6C31"/>
        </w:tc>
        <w:tc>
          <w:tcPr>
            <w:tcW w:w="20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4A6F1"/>
        </w:tc>
        <w:tc>
          <w:tcPr>
            <w:tcW w:w="6879"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7288">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　开展各种文学采风、交流活动，总结创作经验；组织创作；力求出作品、出人才</w:t>
            </w:r>
          </w:p>
        </w:tc>
        <w:tc>
          <w:tcPr>
            <w:tcW w:w="375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BC08B">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完成年度目标任务</w:t>
            </w:r>
          </w:p>
        </w:tc>
      </w:tr>
      <w:tr w14:paraId="48F6E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4EEA"/>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00C8A">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0630"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E110D">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开展各种文学采风、交流活动</w:t>
            </w:r>
          </w:p>
        </w:tc>
      </w:tr>
      <w:tr w14:paraId="38C45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EA3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CDB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634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A163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D0D7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1ABE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D09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019A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463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14:paraId="084CB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93ED"/>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447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F7BF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5.00</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493A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4.60</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8EC8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4.60</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C20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0F2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7B8C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9.2</w:t>
            </w:r>
          </w:p>
        </w:tc>
        <w:tc>
          <w:tcPr>
            <w:tcW w:w="14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A24D7">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黑体"/>
                <w:i/>
                <w:iCs/>
                <w:color w:val="000000"/>
                <w:sz w:val="18"/>
                <w:szCs w:val="18"/>
                <w:u w:val="none"/>
              </w:rPr>
            </w:pPr>
            <w:r>
              <w:rPr>
                <w:rFonts w:eastAsia="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DBCA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9E294"/>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232A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6AE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5.00</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AD1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4.60</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305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4.60</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9F3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EC6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B51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4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F2003"/>
        </w:tc>
      </w:tr>
      <w:tr w14:paraId="4D6CB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35EB"/>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B7E3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D6D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A24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5EA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ECD5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79B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53A3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4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5077"/>
        </w:tc>
      </w:tr>
      <w:tr w14:paraId="6EB3C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9B0F"/>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A7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7F9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5E80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411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92B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7E3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B9E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4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DB647"/>
        </w:tc>
      </w:tr>
      <w:tr w14:paraId="5A4DB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F913"/>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58A1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3894">
            <w:pPr>
              <w:jc w:val="center"/>
              <w:rPr>
                <w:rFonts w:eastAsia="微软雅黑"/>
                <w:i/>
                <w:iCs/>
                <w:color w:val="000000"/>
                <w:sz w:val="16"/>
                <w:szCs w:val="16"/>
                <w:u w:val="none"/>
              </w:rPr>
            </w:pP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3BC5">
            <w:pPr>
              <w:jc w:val="center"/>
              <w:rPr>
                <w:rFonts w:eastAsia="微软雅黑"/>
                <w:i/>
                <w:iCs/>
                <w:color w:val="000000"/>
                <w:sz w:val="16"/>
                <w:szCs w:val="16"/>
                <w:u w:val="none"/>
              </w:rPr>
            </w:pPr>
          </w:p>
        </w:tc>
        <w:tc>
          <w:tcPr>
            <w:tcW w:w="29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3638">
            <w:pPr>
              <w:jc w:val="center"/>
              <w:rPr>
                <w:rFonts w:eastAsia="微软雅黑"/>
                <w:i/>
                <w:iCs/>
                <w:color w:val="000000"/>
                <w:sz w:val="16"/>
                <w:szCs w:val="16"/>
                <w:u w:val="none"/>
              </w:rPr>
            </w:pP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F7C3B">
            <w:pPr>
              <w:jc w:val="center"/>
              <w:rPr>
                <w:rFonts w:eastAsia="微软雅黑"/>
                <w:i/>
                <w:iCs/>
                <w:color w:val="000000"/>
                <w:sz w:val="16"/>
                <w:szCs w:val="16"/>
                <w:u w:val="none"/>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4724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1D3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4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F50C"/>
        </w:tc>
      </w:tr>
      <w:tr w14:paraId="2374E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564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C2C6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79A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05EC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464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D82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1CF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度量单位</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1F38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0E99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27E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B1C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14:paraId="42D29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F4E38"/>
        </w:tc>
        <w:tc>
          <w:tcPr>
            <w:tcW w:w="20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A88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产出指标</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A04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数量指标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1D2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刊物上刊发作品数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BA19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B90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6</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3C4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篇（部）</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E4BC">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6</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715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AD4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4D1F">
            <w:pPr>
              <w:jc w:val="center"/>
              <w:rPr>
                <w:rFonts w:eastAsia="微软雅黑"/>
                <w:i/>
                <w:iCs/>
                <w:color w:val="000000"/>
                <w:sz w:val="16"/>
                <w:szCs w:val="16"/>
                <w:u w:val="none"/>
              </w:rPr>
            </w:pPr>
          </w:p>
        </w:tc>
      </w:tr>
      <w:tr w14:paraId="7D672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D285"/>
        </w:tc>
        <w:tc>
          <w:tcPr>
            <w:tcW w:w="20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B0B0"/>
        </w:tc>
        <w:tc>
          <w:tcPr>
            <w:tcW w:w="173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135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质量指标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368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刊发作品获得文学奖项数目</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EDF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3F6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351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人/年</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A3C5">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2</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24FF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8CF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CE350">
            <w:pPr>
              <w:jc w:val="center"/>
              <w:rPr>
                <w:rFonts w:eastAsia="微软雅黑"/>
                <w:i/>
                <w:iCs/>
                <w:color w:val="000000"/>
                <w:sz w:val="16"/>
                <w:szCs w:val="16"/>
                <w:u w:val="none"/>
              </w:rPr>
            </w:pPr>
          </w:p>
        </w:tc>
      </w:tr>
      <w:tr w14:paraId="4E9A8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56705"/>
        </w:tc>
        <w:tc>
          <w:tcPr>
            <w:tcW w:w="20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E7E4"/>
        </w:tc>
        <w:tc>
          <w:tcPr>
            <w:tcW w:w="17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776F"/>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EEB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提升作家创作能力</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8BF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C78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作家创作作品数较上年增加10%</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16C9">
            <w:pPr>
              <w:jc w:val="center"/>
              <w:rPr>
                <w:rFonts w:eastAsia="宋体"/>
                <w:i w:val="0"/>
                <w:iCs w:val="0"/>
                <w:color w:val="000000"/>
                <w:sz w:val="18"/>
                <w:szCs w:val="18"/>
                <w:u w:val="none"/>
              </w:rPr>
            </w:pP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9AF8">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作品数较上年增加</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62C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416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35BC">
            <w:pPr>
              <w:jc w:val="center"/>
              <w:rPr>
                <w:rFonts w:eastAsia="微软雅黑"/>
                <w:i/>
                <w:iCs/>
                <w:color w:val="000000"/>
                <w:sz w:val="16"/>
                <w:szCs w:val="16"/>
                <w:u w:val="none"/>
              </w:rPr>
            </w:pPr>
          </w:p>
        </w:tc>
      </w:tr>
      <w:tr w14:paraId="4339C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20DE"/>
        </w:tc>
        <w:tc>
          <w:tcPr>
            <w:tcW w:w="20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E2BF"/>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0E9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时效指标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463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作品完成时间</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A070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626A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在计划时间内完成</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0402F">
            <w:pPr>
              <w:jc w:val="center"/>
              <w:rPr>
                <w:rFonts w:eastAsia="宋体"/>
                <w:i w:val="0"/>
                <w:iCs w:val="0"/>
                <w:color w:val="000000"/>
                <w:sz w:val="18"/>
                <w:szCs w:val="18"/>
                <w:u w:val="none"/>
              </w:rPr>
            </w:pP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F7605">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已完成</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261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BC5C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AFDF2">
            <w:pPr>
              <w:jc w:val="center"/>
              <w:rPr>
                <w:rFonts w:eastAsia="微软雅黑"/>
                <w:i/>
                <w:iCs/>
                <w:color w:val="000000"/>
                <w:sz w:val="16"/>
                <w:szCs w:val="16"/>
                <w:u w:val="none"/>
              </w:rPr>
            </w:pPr>
          </w:p>
        </w:tc>
      </w:tr>
      <w:tr w14:paraId="43ABC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98B0"/>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291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效益指标</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CD4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社会效益指标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23C7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培养年轻作家出作品、</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9ED9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13C2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好、一般、差</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946C">
            <w:pPr>
              <w:jc w:val="center"/>
              <w:rPr>
                <w:rFonts w:eastAsia="宋体"/>
                <w:i w:val="0"/>
                <w:iCs w:val="0"/>
                <w:color w:val="000000"/>
                <w:sz w:val="18"/>
                <w:szCs w:val="18"/>
                <w:u w:val="none"/>
              </w:rPr>
            </w:pP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B0D7">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好</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7454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0E0B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8789A">
            <w:pPr>
              <w:jc w:val="center"/>
              <w:rPr>
                <w:rFonts w:eastAsia="微软雅黑"/>
                <w:i/>
                <w:iCs/>
                <w:color w:val="000000"/>
                <w:sz w:val="16"/>
                <w:szCs w:val="16"/>
                <w:u w:val="none"/>
              </w:rPr>
            </w:pPr>
          </w:p>
        </w:tc>
      </w:tr>
      <w:tr w14:paraId="0F67E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FA35"/>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9A8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424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服务对象满意度指标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104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对刊物出版满意度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8771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DAAD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95</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D25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EFA39">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95</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CDC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7A9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0402F">
            <w:pPr>
              <w:jc w:val="center"/>
              <w:rPr>
                <w:rFonts w:eastAsia="微软雅黑"/>
                <w:i/>
                <w:iCs/>
                <w:color w:val="000000"/>
                <w:sz w:val="16"/>
                <w:szCs w:val="16"/>
                <w:u w:val="none"/>
              </w:rPr>
            </w:pPr>
          </w:p>
        </w:tc>
      </w:tr>
      <w:tr w14:paraId="01C7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8A93A"/>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C4F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成本指标</w:t>
            </w:r>
          </w:p>
        </w:tc>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D734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经济成本指标</w:t>
            </w:r>
          </w:p>
        </w:tc>
        <w:tc>
          <w:tcPr>
            <w:tcW w:w="22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1BD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创作采风活动经费</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1BB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EC3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7101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万元</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7049">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4.6</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FDB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466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18.4</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5C0AE">
            <w:pPr>
              <w:jc w:val="center"/>
              <w:rPr>
                <w:rFonts w:eastAsia="微软雅黑"/>
                <w:i/>
                <w:iCs/>
                <w:color w:val="000000"/>
                <w:sz w:val="16"/>
                <w:szCs w:val="16"/>
                <w:u w:val="none"/>
              </w:rPr>
            </w:pPr>
          </w:p>
        </w:tc>
      </w:tr>
      <w:tr w14:paraId="750CA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957"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CE35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067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9188">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97.6</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7BF8">
            <w:pPr>
              <w:rPr>
                <w:rFonts w:eastAsia="宋体"/>
                <w:i w:val="0"/>
                <w:iCs w:val="0"/>
                <w:color w:val="000000"/>
                <w:sz w:val="18"/>
                <w:szCs w:val="18"/>
                <w:u w:val="none"/>
              </w:rPr>
            </w:pPr>
          </w:p>
        </w:tc>
      </w:tr>
      <w:tr w14:paraId="2F1BF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F3A5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2642"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4CEA">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14:paraId="7AD57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EC5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2642"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F6B8E">
            <w:pPr>
              <w:rPr>
                <w:rFonts w:eastAsia="微软雅黑"/>
                <w:i/>
                <w:iCs/>
                <w:color w:val="000000"/>
                <w:sz w:val="16"/>
                <w:szCs w:val="16"/>
                <w:u w:val="none"/>
              </w:rPr>
            </w:pPr>
          </w:p>
        </w:tc>
      </w:tr>
      <w:tr w14:paraId="6F81B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FC8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2642"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EFCD">
            <w:pPr>
              <w:rPr>
                <w:rFonts w:eastAsia="微软雅黑"/>
                <w:i/>
                <w:iCs/>
                <w:color w:val="000000"/>
                <w:sz w:val="16"/>
                <w:szCs w:val="16"/>
                <w:u w:val="none"/>
              </w:rPr>
            </w:pPr>
          </w:p>
        </w:tc>
      </w:tr>
      <w:tr w14:paraId="298C4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46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6B13">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项目负责人：蓝士开</w:t>
            </w:r>
          </w:p>
        </w:tc>
        <w:tc>
          <w:tcPr>
            <w:tcW w:w="6155" w:type="dxa"/>
            <w:gridSpan w:val="1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186A5">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财务负责人：蓝士开</w:t>
            </w:r>
          </w:p>
        </w:tc>
      </w:tr>
      <w:tr w14:paraId="60007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3620"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095A">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14:paraId="43ABA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0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2EF45">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0575"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1CD8F">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51320025T000012480800-州级离休干部困难补助</w:t>
            </w:r>
          </w:p>
        </w:tc>
      </w:tr>
      <w:tr w14:paraId="16550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0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DB9C">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81B2">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095" w:type="dxa"/>
            <w:gridSpan w:val="2"/>
            <w:tcBorders>
              <w:top w:val="nil"/>
              <w:left w:val="nil"/>
              <w:bottom w:val="nil"/>
              <w:right w:val="nil"/>
            </w:tcBorders>
            <w:shd w:val="clear" w:color="auto" w:fill="auto"/>
            <w:noWrap/>
            <w:vAlign w:val="center"/>
          </w:tcPr>
          <w:p w14:paraId="19473000">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实施单位 （盖章）</w:t>
            </w: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6A3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草地杂志社</w:t>
            </w:r>
          </w:p>
        </w:tc>
      </w:tr>
      <w:tr w14:paraId="2CAC2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7E7E">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20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3F535">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76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EE9F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381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FCB2">
            <w:pPr>
              <w:keepNext w:val="0"/>
              <w:keepLines w:val="0"/>
              <w:widowControl/>
              <w:suppressLineNumbers w:val="0"/>
              <w:jc w:val="center"/>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年度目标完成情况</w:t>
            </w:r>
          </w:p>
        </w:tc>
      </w:tr>
      <w:tr w14:paraId="155F0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5F82"/>
        </w:tc>
        <w:tc>
          <w:tcPr>
            <w:tcW w:w="20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0341"/>
        </w:tc>
        <w:tc>
          <w:tcPr>
            <w:tcW w:w="676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C2AE4">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为1名建国初期参加革命工作退休干部提供每月1520元，通过困难补助提高退休干部生活水平，持续保障其基本生活需求。</w:t>
            </w:r>
          </w:p>
        </w:tc>
        <w:tc>
          <w:tcPr>
            <w:tcW w:w="381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3FE2">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完成年度目标任务</w:t>
            </w:r>
          </w:p>
        </w:tc>
      </w:tr>
      <w:tr w14:paraId="7D5F8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76823"/>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2219F">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0575"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64D8">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建国初期参加革命工作退休干部困难补助发放</w:t>
            </w:r>
          </w:p>
        </w:tc>
      </w:tr>
      <w:tr w14:paraId="26E25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FB72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AAB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9AC5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481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73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7EED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7ACD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6DF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F5E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AA7C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14:paraId="66195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6706"/>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0A33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975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EEC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1.87</w:t>
            </w:r>
          </w:p>
        </w:tc>
        <w:tc>
          <w:tcPr>
            <w:tcW w:w="273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C0B0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1.87</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30B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851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B9C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8.5</w:t>
            </w:r>
          </w:p>
        </w:tc>
        <w:tc>
          <w:tcPr>
            <w:tcW w:w="15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91316">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黑体"/>
                <w:i/>
                <w:iCs/>
                <w:color w:val="000000"/>
                <w:sz w:val="18"/>
                <w:szCs w:val="18"/>
                <w:u w:val="none"/>
              </w:rPr>
            </w:pPr>
            <w:r>
              <w:rPr>
                <w:rFonts w:eastAsia="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7F8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8A37"/>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8058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4B91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D220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1.87</w:t>
            </w:r>
          </w:p>
        </w:tc>
        <w:tc>
          <w:tcPr>
            <w:tcW w:w="273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DC3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1.87</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E599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912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51A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5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611B"/>
        </w:tc>
      </w:tr>
      <w:tr w14:paraId="5CF8D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05A6"/>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23E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E5A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943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8A8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4F3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D8D2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17FB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5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7DFCF"/>
        </w:tc>
      </w:tr>
      <w:tr w14:paraId="111EC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FD77"/>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E024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B86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688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1E4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6D9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6448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D111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5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B6A6"/>
        </w:tc>
      </w:tr>
      <w:tr w14:paraId="5274C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187A"/>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77C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F605F">
            <w:pPr>
              <w:jc w:val="center"/>
              <w:rPr>
                <w:rFonts w:eastAsia="微软雅黑"/>
                <w:i/>
                <w:iCs/>
                <w:color w:val="000000"/>
                <w:sz w:val="16"/>
                <w:szCs w:val="16"/>
                <w:u w:val="none"/>
              </w:rPr>
            </w:pP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C433">
            <w:pPr>
              <w:jc w:val="center"/>
              <w:rPr>
                <w:rFonts w:eastAsia="微软雅黑"/>
                <w:i/>
                <w:iCs/>
                <w:color w:val="000000"/>
                <w:sz w:val="16"/>
                <w:szCs w:val="16"/>
                <w:u w:val="none"/>
              </w:rPr>
            </w:pPr>
          </w:p>
        </w:tc>
        <w:tc>
          <w:tcPr>
            <w:tcW w:w="273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3BFA">
            <w:pPr>
              <w:jc w:val="center"/>
              <w:rPr>
                <w:rFonts w:eastAsia="微软雅黑"/>
                <w:i/>
                <w:iCs/>
                <w:color w:val="000000"/>
                <w:sz w:val="16"/>
                <w:szCs w:val="16"/>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75F2">
            <w:pPr>
              <w:jc w:val="center"/>
              <w:rPr>
                <w:rFonts w:eastAsia="微软雅黑"/>
                <w:i/>
                <w:iCs/>
                <w:color w:val="000000"/>
                <w:sz w:val="16"/>
                <w:szCs w:val="16"/>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A7A0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39F8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5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AD17"/>
        </w:tc>
      </w:tr>
      <w:tr w14:paraId="607C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8FEA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9F3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5A5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8F79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C41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4230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9BB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7A3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ECD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934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E20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14:paraId="0C40D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2F3EA"/>
        </w:tc>
        <w:tc>
          <w:tcPr>
            <w:tcW w:w="20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0BB4">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产出指标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E50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数量指标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3E0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发放对象人数</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8A12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3FB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934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人数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93C2">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571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67AC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5B86">
            <w:pPr>
              <w:jc w:val="center"/>
              <w:rPr>
                <w:rFonts w:eastAsia="微软雅黑"/>
                <w:i/>
                <w:iCs/>
                <w:color w:val="000000"/>
                <w:sz w:val="16"/>
                <w:szCs w:val="16"/>
                <w:u w:val="none"/>
              </w:rPr>
            </w:pPr>
          </w:p>
        </w:tc>
      </w:tr>
      <w:tr w14:paraId="19222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203E"/>
        </w:tc>
        <w:tc>
          <w:tcPr>
            <w:tcW w:w="20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A418"/>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461C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质量指标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2AE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人员信息准确率</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0C0CA">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95F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546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F11D">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C1FC">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6F3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E17E">
            <w:pPr>
              <w:jc w:val="center"/>
              <w:rPr>
                <w:rFonts w:eastAsia="微软雅黑"/>
                <w:i/>
                <w:iCs/>
                <w:color w:val="000000"/>
                <w:sz w:val="16"/>
                <w:szCs w:val="16"/>
                <w:u w:val="none"/>
              </w:rPr>
            </w:pPr>
          </w:p>
        </w:tc>
      </w:tr>
      <w:tr w14:paraId="4BC45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898C9"/>
        </w:tc>
        <w:tc>
          <w:tcPr>
            <w:tcW w:w="20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969E"/>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4227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时效指标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5840E">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补助金发放及时性</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AEA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2B0C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每月按时发放</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A73B3">
            <w:pPr>
              <w:jc w:val="center"/>
              <w:rPr>
                <w:rFonts w:eastAsia="宋体"/>
                <w:i w:val="0"/>
                <w:iCs w:val="0"/>
                <w:color w:val="000000"/>
                <w:sz w:val="18"/>
                <w:szCs w:val="18"/>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270C">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按时发放</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A796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592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32F11">
            <w:pPr>
              <w:jc w:val="center"/>
              <w:rPr>
                <w:rFonts w:eastAsia="微软雅黑"/>
                <w:i/>
                <w:iCs/>
                <w:color w:val="000000"/>
                <w:sz w:val="16"/>
                <w:szCs w:val="16"/>
                <w:u w:val="none"/>
              </w:rPr>
            </w:pPr>
          </w:p>
        </w:tc>
      </w:tr>
      <w:tr w14:paraId="3D8B5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65AF"/>
        </w:tc>
        <w:tc>
          <w:tcPr>
            <w:tcW w:w="20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0F11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效益指标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AA3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社会效益指标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7075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提高困难职工生活水平</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810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34E7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生活水平明显提升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D596">
            <w:pPr>
              <w:jc w:val="center"/>
              <w:rPr>
                <w:rFonts w:eastAsia="宋体"/>
                <w:i w:val="0"/>
                <w:iCs w:val="0"/>
                <w:color w:val="000000"/>
                <w:sz w:val="18"/>
                <w:szCs w:val="18"/>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F33A">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明显提升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DA87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48F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72ED5">
            <w:pPr>
              <w:jc w:val="center"/>
              <w:rPr>
                <w:rFonts w:eastAsia="微软雅黑"/>
                <w:i/>
                <w:iCs/>
                <w:color w:val="000000"/>
                <w:sz w:val="16"/>
                <w:szCs w:val="16"/>
                <w:u w:val="none"/>
              </w:rPr>
            </w:pPr>
          </w:p>
        </w:tc>
      </w:tr>
      <w:tr w14:paraId="462FB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570B"/>
        </w:tc>
        <w:tc>
          <w:tcPr>
            <w:tcW w:w="20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CE49"/>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61B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可持续影响指标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744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保障困难职工生活</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31378">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C89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保障困难职工生活</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21478">
            <w:pPr>
              <w:jc w:val="center"/>
              <w:rPr>
                <w:rFonts w:eastAsia="宋体"/>
                <w:i w:val="0"/>
                <w:iCs w:val="0"/>
                <w:color w:val="000000"/>
                <w:sz w:val="18"/>
                <w:szCs w:val="18"/>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2A2B">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有效保障</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7A8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D930">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44D3">
            <w:pPr>
              <w:jc w:val="center"/>
              <w:rPr>
                <w:rFonts w:eastAsia="微软雅黑"/>
                <w:i/>
                <w:iCs/>
                <w:color w:val="000000"/>
                <w:sz w:val="16"/>
                <w:szCs w:val="16"/>
                <w:u w:val="none"/>
              </w:rPr>
            </w:pPr>
          </w:p>
        </w:tc>
      </w:tr>
      <w:tr w14:paraId="33639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D8817"/>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DA56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8723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服务对象满意度指标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54E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保障对象满意度</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B337">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5E3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C67F">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3A168">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204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F8A6">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0A54C">
            <w:pPr>
              <w:jc w:val="center"/>
              <w:rPr>
                <w:rFonts w:eastAsia="微软雅黑"/>
                <w:i/>
                <w:iCs/>
                <w:color w:val="000000"/>
                <w:sz w:val="16"/>
                <w:szCs w:val="16"/>
                <w:u w:val="none"/>
              </w:rPr>
            </w:pPr>
          </w:p>
        </w:tc>
      </w:tr>
      <w:tr w14:paraId="3447E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96A2E"/>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3F7B">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成本指标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43CA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经济成本指标</w:t>
            </w:r>
          </w:p>
        </w:tc>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5B18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困难补助资金支出金额</w:t>
            </w:r>
          </w:p>
        </w:tc>
        <w:tc>
          <w:tcPr>
            <w:tcW w:w="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B16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BF49">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1520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97A2">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元/月</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84DE">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1520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8D4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535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24D7">
            <w:pPr>
              <w:jc w:val="center"/>
              <w:rPr>
                <w:rFonts w:eastAsia="微软雅黑"/>
                <w:i/>
                <w:iCs/>
                <w:color w:val="000000"/>
                <w:sz w:val="16"/>
                <w:szCs w:val="16"/>
                <w:u w:val="none"/>
              </w:rPr>
            </w:pPr>
          </w:p>
        </w:tc>
      </w:tr>
      <w:tr w14:paraId="28C84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90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2E5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88B1">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80FD">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98.5</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29E3">
            <w:pPr>
              <w:rPr>
                <w:rFonts w:eastAsia="宋体"/>
                <w:i w:val="0"/>
                <w:iCs w:val="0"/>
                <w:color w:val="000000"/>
                <w:sz w:val="18"/>
                <w:szCs w:val="18"/>
                <w:u w:val="none"/>
              </w:rPr>
            </w:pPr>
          </w:p>
        </w:tc>
      </w:tr>
      <w:tr w14:paraId="31C42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0439D">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2630"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A8604">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14:paraId="2F6A7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4C23">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2630"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2FEF5">
            <w:pPr>
              <w:rPr>
                <w:rFonts w:eastAsia="微软雅黑"/>
                <w:i/>
                <w:iCs/>
                <w:color w:val="000000"/>
                <w:sz w:val="16"/>
                <w:szCs w:val="16"/>
                <w:u w:val="none"/>
              </w:rPr>
            </w:pPr>
          </w:p>
        </w:tc>
      </w:tr>
      <w:tr w14:paraId="611C1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08985">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2630"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1235">
            <w:pPr>
              <w:rPr>
                <w:rFonts w:eastAsia="微软雅黑"/>
                <w:i/>
                <w:iCs/>
                <w:color w:val="000000"/>
                <w:sz w:val="16"/>
                <w:szCs w:val="16"/>
                <w:u w:val="none"/>
              </w:rPr>
            </w:pPr>
          </w:p>
        </w:tc>
      </w:tr>
      <w:tr w14:paraId="3B146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60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CCA8">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项目负责人：苟丽莎</w:t>
            </w:r>
          </w:p>
        </w:tc>
        <w:tc>
          <w:tcPr>
            <w:tcW w:w="6015"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529C8">
            <w:pPr>
              <w:keepNext w:val="0"/>
              <w:keepLines w:val="0"/>
              <w:widowControl/>
              <w:suppressLineNumbers w:val="0"/>
              <w:jc w:val="left"/>
              <w:textAlignment w:val="center"/>
              <w:rPr>
                <w:rFonts w:eastAsia="黑体"/>
                <w:i w:val="0"/>
                <w:iCs w:val="0"/>
                <w:color w:val="000000"/>
                <w:sz w:val="18"/>
                <w:szCs w:val="18"/>
                <w:u w:val="none"/>
              </w:rPr>
            </w:pPr>
            <w:r>
              <w:rPr>
                <w:rFonts w:eastAsia="黑体"/>
                <w:i w:val="0"/>
                <w:iCs w:val="0"/>
                <w:color w:val="000000"/>
                <w:kern w:val="0"/>
                <w:sz w:val="18"/>
                <w:szCs w:val="18"/>
                <w:u w:val="none"/>
                <w:lang w:val="en-US" w:eastAsia="zh-CN"/>
              </w:rPr>
              <w:t>财务负责人：蓝士开</w:t>
            </w:r>
          </w:p>
        </w:tc>
      </w:tr>
    </w:tbl>
    <w:p w14:paraId="77DAC270">
      <w:pPr>
        <w:pStyle w:val="13"/>
        <w:rPr>
          <w:rFonts w:hint="eastAsia"/>
          <w:lang w:eastAsia="zh-CN"/>
        </w:rPr>
      </w:pPr>
    </w:p>
    <w:sectPr>
      <w:pgSz w:w="16838" w:h="11906" w:orient="landscape"/>
      <w:pgMar w:top="1800" w:right="1440" w:bottom="1800" w:left="144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4011">
    <w:pPr>
      <w:pStyle w:val="10"/>
      <w:jc w:val="center"/>
    </w:pPr>
  </w:p>
  <w:p w14:paraId="533140F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0"/>
      <w:jc w:val="center"/>
    </w:pPr>
  </w:p>
  <w:p w14:paraId="66082FB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10424"/>
    <w:multiLevelType w:val="singleLevel"/>
    <w:tmpl w:val="BA910424"/>
    <w:lvl w:ilvl="0" w:tentative="0">
      <w:start w:val="2"/>
      <w:numFmt w:val="decimal"/>
      <w:lvlText w:val="%1."/>
      <w:lvlJc w:val="left"/>
      <w:pPr>
        <w:tabs>
          <w:tab w:val="left" w:pos="312"/>
        </w:tabs>
      </w:pPr>
    </w:lvl>
  </w:abstractNum>
  <w:abstractNum w:abstractNumId="1">
    <w:nsid w:val="0BD5C8C9"/>
    <w:multiLevelType w:val="singleLevel"/>
    <w:tmpl w:val="0BD5C8C9"/>
    <w:lvl w:ilvl="0" w:tentative="0">
      <w:start w:val="3"/>
      <w:numFmt w:val="chineseCounting"/>
      <w:suff w:val="nothing"/>
      <w:lvlText w:val="（%1）"/>
      <w:lvlJc w:val="left"/>
      <w:rPr>
        <w:rFonts w:hint="eastAsia"/>
      </w:rPr>
    </w:lvl>
  </w:abstractNum>
  <w:abstractNum w:abstractNumId="2">
    <w:nsid w:val="467D3E44"/>
    <w:multiLevelType w:val="singleLevel"/>
    <w:tmpl w:val="467D3E44"/>
    <w:lvl w:ilvl="0" w:tentative="0">
      <w:start w:val="1"/>
      <w:numFmt w:val="chineseCounting"/>
      <w:suff w:val="nothing"/>
      <w:lvlText w:val="%1、"/>
      <w:lvlJc w:val="left"/>
      <w:rPr>
        <w:rFonts w:hint="eastAsia"/>
      </w:r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43467F3"/>
    <w:rsid w:val="061E35DE"/>
    <w:rsid w:val="066E0107"/>
    <w:rsid w:val="07996F6E"/>
    <w:rsid w:val="07DFD8BA"/>
    <w:rsid w:val="08DB07E4"/>
    <w:rsid w:val="09867E8F"/>
    <w:rsid w:val="0A2032A3"/>
    <w:rsid w:val="0C6C4794"/>
    <w:rsid w:val="0CA8290A"/>
    <w:rsid w:val="0D35B1ED"/>
    <w:rsid w:val="0DE07E2B"/>
    <w:rsid w:val="0E6A6D6F"/>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CE43C8A"/>
    <w:rsid w:val="1D155CEE"/>
    <w:rsid w:val="1E740ACF"/>
    <w:rsid w:val="1F62156A"/>
    <w:rsid w:val="1FF35744"/>
    <w:rsid w:val="1FF6BC77"/>
    <w:rsid w:val="21962A9E"/>
    <w:rsid w:val="21AE7C77"/>
    <w:rsid w:val="22BC3C41"/>
    <w:rsid w:val="23860B96"/>
    <w:rsid w:val="240371BF"/>
    <w:rsid w:val="260F557C"/>
    <w:rsid w:val="281408E2"/>
    <w:rsid w:val="29FD04D3"/>
    <w:rsid w:val="2B940F71"/>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3F0C95"/>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1F80FC6"/>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CD25D33"/>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DE1B46"/>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图表目录1"/>
    <w:basedOn w:val="1"/>
    <w:next w:val="1"/>
    <w:autoRedefine/>
    <w:qFormat/>
    <w:uiPriority w:val="99"/>
    <w:pPr>
      <w:ind w:left="200" w:leftChars="200" w:hanging="200" w:hanging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www.wps.cn/officeDocument/2018/webExtension" Target="webExtensions/webExtension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www.wps.cn/officeDocument/2018/webExtension" Target="webExtensions/webExtension2.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2"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2"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1.xml"/><Relationship Id="rId1" Type="http://schemas.openxmlformats.org/officeDocument/2006/relationships/oleObject" Target="&#24037;&#20316;&#31807;2" TargetMode="External"/></Relationships>
</file>

<file path=word/charts/_rels/chart4.xml.rels><?xml version="1.0" encoding="UTF-8" standalone="yes"?>
<Relationships xmlns="http://schemas.openxmlformats.org/package/2006/relationships"><Relationship Id="rId5" Type="http://schemas.microsoft.com/office/2011/relationships/chartColorStyle" Target="colors4.xml"/><Relationship Id="rId4" Type="http://schemas.microsoft.com/office/2011/relationships/chartStyle" Target="style4.xml"/><Relationship Id="rId3" Type="http://schemas.openxmlformats.org/officeDocument/2006/relationships/image" Target="../media/image3.png"/><Relationship Id="rId2" Type="http://schemas.openxmlformats.org/officeDocument/2006/relationships/themeOverride" Target="../theme/themeOverride2.xml"/><Relationship Id="rId1" Type="http://schemas.openxmlformats.org/officeDocument/2006/relationships/oleObject" Target="&#24037;&#20316;&#31807;2"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3.xml"/><Relationship Id="rId1" Type="http://schemas.openxmlformats.org/officeDocument/2006/relationships/oleObject" Target="&#24037;&#20316;&#31807;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[工作簿2]Sheet1!$C$7</c:f>
              <c:strCache>
                <c:ptCount val="1"/>
                <c:pt idx="0">
                  <c:v>一般公共预算财政拨款收入</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1"/>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[工作簿2]Sheet1!$D$7</c:f>
              <c:numCache>
                <c:formatCode>General</c:formatCode>
                <c:ptCount val="1"/>
                <c:pt idx="0">
                  <c:v>328.64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1cef837f-6cdd-4ac6-a9ec-c6fa36ad644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manualLayout>
          <c:xMode val="edge"/>
          <c:yMode val="edge"/>
          <c:x val="0.347368421052632"/>
          <c:y val="0.0347222222222222"/>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[工作簿2]Sheet1!$C$7:$C$8</c:f>
              <c:strCache>
                <c:ptCount val="2"/>
                <c:pt idx="0">
                  <c:v>基本支出</c:v>
                </c:pt>
                <c:pt idx="1">
                  <c:v>项目支出</c:v>
                </c:pt>
              </c:strCache>
            </c:strRef>
          </c:cat>
          <c:val>
            <c:numRef>
              <c:f>[工作簿2]Sheet1!$D$7:$D$8</c:f>
              <c:numCache>
                <c:formatCode>General</c:formatCode>
                <c:ptCount val="2"/>
                <c:pt idx="0">
                  <c:v>286.87</c:v>
                </c:pt>
                <c:pt idx="1">
                  <c:v>41.77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078d9f-63f5-49bf-8730-07e38201abb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财政拨款收、支决算总计变动情况</a:t>
            </a:r>
          </a:p>
        </c:rich>
      </c:tx>
      <c:layout>
        <c:manualLayout>
          <c:xMode val="edge"/>
          <c:yMode val="edge"/>
          <c:x val="0.191315789473684"/>
          <c:y val="0.0416666666666667"/>
        </c:manualLayout>
      </c:layout>
      <c:overlay val="0"/>
      <c:spPr>
        <a:noFill/>
        <a:ln>
          <a:noFill/>
        </a:ln>
        <a:effectLst/>
      </c:spPr>
    </c:title>
    <c:autoTitleDeleted val="0"/>
    <c:plotArea>
      <c:layout/>
      <c:barChart>
        <c:barDir val="col"/>
        <c:grouping val="clustered"/>
        <c:varyColors val="0"/>
        <c:ser>
          <c:idx val="0"/>
          <c:order val="0"/>
          <c:tx>
            <c:strRef>
              <c:f>[工作簿2]Sheet1!$B$7</c:f>
              <c:strCache>
                <c:ptCount val="1"/>
                <c:pt idx="0">
                  <c:v>财政拨款收入</c:v>
                </c:pt>
              </c:strCache>
            </c:strRef>
          </c:tx>
          <c:spPr>
            <a:solidFill>
              <a:schemeClr val="accent1"/>
            </a:solidFill>
            <a:ln w="31750" cap="rnd">
              <a:noFill/>
              <a:round/>
            </a:ln>
            <a:effectLst/>
            <a:sp3d contourW="31750"/>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[工作簿2]Sheet1!$C$6:$D$6</c:f>
              <c:numCache>
                <c:formatCode>General</c:formatCode>
                <c:ptCount val="2"/>
                <c:pt idx="0">
                  <c:v>2025</c:v>
                </c:pt>
                <c:pt idx="1">
                  <c:v>2024</c:v>
                </c:pt>
              </c:numCache>
            </c:numRef>
          </c:cat>
          <c:val>
            <c:numRef>
              <c:f>[工作簿2]Sheet1!$C$7:$D$7</c:f>
              <c:numCache>
                <c:formatCode>General</c:formatCode>
                <c:ptCount val="2"/>
                <c:pt idx="0">
                  <c:v>328.64</c:v>
                </c:pt>
                <c:pt idx="1">
                  <c:v>302.15</c:v>
                </c:pt>
              </c:numCache>
            </c:numRef>
          </c:val>
        </c:ser>
        <c:ser>
          <c:idx val="1"/>
          <c:order val="1"/>
          <c:tx>
            <c:strRef>
              <c:f>[工作簿2]Sheet1!$B$8</c:f>
              <c:strCache>
                <c:ptCount val="1"/>
                <c:pt idx="0">
                  <c:v>财政拨款支出</c:v>
                </c:pt>
              </c:strCache>
            </c:strRef>
          </c:tx>
          <c:spPr>
            <a:solidFill>
              <a:schemeClr val="accent2"/>
            </a:solidFill>
            <a:ln w="31750" cap="rnd">
              <a:noFill/>
              <a:round/>
            </a:ln>
            <a:effectLst/>
            <a:sp3d contourW="31750"/>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[工作簿2]Sheet1!$C$6:$D$6</c:f>
              <c:numCache>
                <c:formatCode>General</c:formatCode>
                <c:ptCount val="2"/>
                <c:pt idx="0">
                  <c:v>2025</c:v>
                </c:pt>
                <c:pt idx="1">
                  <c:v>2024</c:v>
                </c:pt>
              </c:numCache>
            </c:numRef>
          </c:cat>
          <c:val>
            <c:numRef>
              <c:f>[工作簿2]Sheet1!$C$8:$D$8</c:f>
              <c:numCache>
                <c:formatCode>General</c:formatCode>
                <c:ptCount val="2"/>
                <c:pt idx="0">
                  <c:v>328.64</c:v>
                </c:pt>
                <c:pt idx="1">
                  <c:v>302.15</c:v>
                </c:pt>
              </c:numCache>
            </c:numRef>
          </c:val>
        </c:ser>
        <c:dLbls>
          <c:showLegendKey val="0"/>
          <c:showVal val="1"/>
          <c:showCatName val="0"/>
          <c:showSerName val="0"/>
          <c:showPercent val="0"/>
          <c:showBubbleSize val="0"/>
        </c:dLbls>
        <c:gapWidth val="192"/>
        <c:overlap val="-21"/>
        <c:axId val="272358141"/>
        <c:axId val="325573718"/>
      </c:barChart>
      <c:catAx>
        <c:axId val="272358141"/>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25573718"/>
        <c:crosses val="autoZero"/>
        <c:auto val="1"/>
        <c:lblAlgn val="ctr"/>
        <c:lblOffset val="100"/>
        <c:noMultiLvlLbl val="0"/>
      </c:catAx>
      <c:valAx>
        <c:axId val="325573718"/>
        <c:scaling>
          <c:orientation val="minMax"/>
        </c:scaling>
        <c:delete val="0"/>
        <c:axPos val="l"/>
        <c:minorGridlines>
          <c:spPr>
            <a:ln w="9525" cap="flat" cmpd="sng" algn="ctr">
              <a:solidFill>
                <a:schemeClr val="tx1">
                  <a:lumMod val="50000"/>
                  <a:lumOff val="50000"/>
                  <a:alpha val="10000"/>
                </a:schemeClr>
              </a:solidFill>
              <a:round/>
            </a:ln>
            <a:effectLst/>
          </c:spPr>
        </c:min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7235814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8c41ec39-b5fb-429c-84f8-258e96a3f82e}"/>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[工作簿2]Sheet1!$B$7</c:f>
              <c:strCache>
                <c:ptCount val="1"/>
                <c:pt idx="0">
                  <c:v>一般公共预算财政拨款支出</c:v>
                </c:pt>
              </c:strCache>
            </c:strRef>
          </c:tx>
          <c:spPr>
            <a:blipFill rotWithShape="1">
              <a:blip xmlns:r="http://schemas.openxmlformats.org/officeDocument/2006/relationships" r:embed="rId3">
                <a:duotone>
                  <a:schemeClr val="accent1"/>
                  <a:prstClr val="white"/>
                </a:duotone>
              </a:blip>
              <a:stretch>
                <a:fillRect/>
              </a:stretch>
            </a:blipFill>
            <a:ln>
              <a:noFill/>
            </a:ln>
            <a:effectLst>
              <a:outerShdw blurRad="76200" dir="13500000" sy="23000" kx="1200000" algn="br" rotWithShape="0">
                <a:prstClr val="black">
                  <a:alpha val="20000"/>
                </a:prstClr>
              </a:outerShdw>
            </a:effectLst>
          </c:spPr>
          <c:invertIfNegative val="0"/>
          <c:dPt>
            <c:idx val="1"/>
            <c:invertIfNegative val="0"/>
            <c:bubble3D val="0"/>
            <c:spPr>
              <a:blipFill rotWithShape="1">
                <a:blip xmlns:r="http://schemas.openxmlformats.org/officeDocument/2006/relationships" r:embed="rId3">
                  <a:duotone>
                    <a:schemeClr val="accent1"/>
                    <a:prstClr val="white"/>
                  </a:duotone>
                </a:blip>
                <a:stretch>
                  <a:fillRect/>
                </a:stretch>
              </a:blipFill>
              <a:ln>
                <a:noFill/>
              </a:ln>
              <a:effectLst>
                <a:outerShdw blurRad="76200" dir="18900000" sy="23000" kx="-1200000" algn="bl" rotWithShape="0">
                  <a:prstClr val="black">
                    <a:alpha val="20000"/>
                  </a:prstClr>
                </a:outerShdw>
              </a:effectLst>
            </c:spPr>
          </c:dPt>
          <c:dLbls>
            <c:dLbl>
              <c:idx val="0"/>
              <c:layout/>
              <c:dLblPos val="outEnd"/>
              <c:showLegendKey val="0"/>
              <c:showVal val="1"/>
              <c:showCatName val="0"/>
              <c:showSerName val="0"/>
              <c:showPercent val="0"/>
              <c:showBubbleSize val="0"/>
              <c:separator>
</c:separator>
              <c:extLst>
                <c:ext xmlns:c15="http://schemas.microsoft.com/office/drawing/2012/chart" uri="{CE6537A1-D6FC-4f65-9D91-7224C49458BB}"/>
              </c:extLst>
            </c:dLbl>
            <c:dLbl>
              <c:idx val="1"/>
              <c:layout/>
              <c:dLblPos val="outEnd"/>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[工作簿2]Sheet1!$C$6:$D$6</c:f>
              <c:numCache>
                <c:formatCode>General</c:formatCode>
                <c:ptCount val="2"/>
                <c:pt idx="0">
                  <c:v>2025</c:v>
                </c:pt>
                <c:pt idx="1">
                  <c:v>2024</c:v>
                </c:pt>
              </c:numCache>
            </c:numRef>
          </c:cat>
          <c:val>
            <c:numRef>
              <c:f>[工作簿2]Sheet1!$C$7:$D$7</c:f>
              <c:numCache>
                <c:formatCode>General</c:formatCode>
                <c:ptCount val="2"/>
                <c:pt idx="0">
                  <c:v>328.64</c:v>
                </c:pt>
                <c:pt idx="1">
                  <c:v>302.15</c:v>
                </c:pt>
              </c:numCache>
            </c:numRef>
          </c:val>
        </c:ser>
        <c:dLbls>
          <c:showLegendKey val="0"/>
          <c:showVal val="1"/>
          <c:showCatName val="0"/>
          <c:showSerName val="0"/>
          <c:showPercent val="0"/>
          <c:showBubbleSize val="0"/>
        </c:dLbls>
        <c:gapWidth val="200"/>
        <c:overlap val="-10"/>
        <c:axId val="232899723"/>
        <c:axId val="671220760"/>
      </c:barChart>
      <c:catAx>
        <c:axId val="232899723"/>
        <c:scaling>
          <c:orientation val="minMax"/>
        </c:scaling>
        <c:delete val="0"/>
        <c:axPos val="b"/>
        <c:numFmt formatCode="General" sourceLinked="1"/>
        <c:majorTickMark val="out"/>
        <c:minorTickMark val="none"/>
        <c:tickLblPos val="nextTo"/>
        <c:spPr>
          <a:noFill/>
          <a:ln w="9525" cap="flat" cmpd="sng" algn="ctr">
            <a:no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671220760"/>
        <c:crosses val="autoZero"/>
        <c:auto val="1"/>
        <c:lblAlgn val="ctr"/>
        <c:lblOffset val="100"/>
        <c:noMultiLvlLbl val="0"/>
      </c:catAx>
      <c:valAx>
        <c:axId val="671220760"/>
        <c:scaling>
          <c:orientation val="minMax"/>
        </c:scaling>
        <c:delete val="1"/>
        <c:axPos val="l"/>
        <c:numFmt formatCode="General" sourceLinked="1"/>
        <c:majorTickMark val="out"/>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32899723"/>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d0928fc4-686a-47cd-955f-a5ee26a136d9}"/>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一般公共预算财政拨款支出决算结构</a:t>
            </a:r>
          </a:p>
        </c:rich>
      </c:tx>
      <c:layout/>
      <c:overlay val="0"/>
      <c:spPr>
        <a:noFill/>
        <a:ln>
          <a:noFill/>
        </a:ln>
        <a:effectLst/>
      </c:spPr>
    </c:title>
    <c:autoTitleDeleted val="0"/>
    <c:plotArea>
      <c:layout/>
      <c:pieChart>
        <c:varyColors val="1"/>
        <c:ser>
          <c:idx val="0"/>
          <c:order val="0"/>
          <c:spPr>
            <a:solidFill>
              <a:schemeClr val="accent1"/>
            </a:solidFill>
            <a:ln w="25400">
              <a:solidFill>
                <a:schemeClr val="bg1"/>
              </a:solidFill>
            </a:ln>
            <a:effectLst>
              <a:outerShdw blurRad="63500" sx="104000" sy="104000" algn="ctr" rotWithShape="0">
                <a:schemeClr val="bg1">
                  <a:alpha val="33000"/>
                </a:schemeClr>
              </a:outerShdw>
            </a:effectLst>
            <a:sp3d contourW="25400"/>
          </c:spPr>
          <c:explosion val="0"/>
          <c:dPt>
            <c:idx val="0"/>
            <c:bubble3D val="0"/>
            <c:spPr>
              <a:solidFill>
                <a:schemeClr val="accent1"/>
              </a:solidFill>
              <a:ln w="25400">
                <a:solidFill>
                  <a:schemeClr val="bg1"/>
                </a:solidFill>
              </a:ln>
              <a:effectLst>
                <a:outerShdw blurRad="63500" sx="104000" sy="104000" algn="ctr" rotWithShape="0">
                  <a:schemeClr val="bg1">
                    <a:alpha val="33000"/>
                  </a:schemeClr>
                </a:outerShdw>
              </a:effectLst>
              <a:sp3d contourW="25400"/>
            </c:spPr>
          </c:dPt>
          <c:dPt>
            <c:idx val="1"/>
            <c:bubble3D val="0"/>
            <c:spPr>
              <a:solidFill>
                <a:schemeClr val="accent1">
                  <a:lumMod val="60000"/>
                  <a:lumOff val="40000"/>
                </a:schemeClr>
              </a:solidFill>
              <a:ln w="25400">
                <a:solidFill>
                  <a:schemeClr val="bg1"/>
                </a:solidFill>
              </a:ln>
              <a:effectLst>
                <a:outerShdw blurRad="63500" sx="104000" sy="104000" algn="ctr" rotWithShape="0">
                  <a:schemeClr val="bg1">
                    <a:alpha val="33000"/>
                  </a:schemeClr>
                </a:outerShdw>
              </a:effectLst>
              <a:sp3d contourW="25400"/>
            </c:spPr>
          </c:dPt>
          <c:dPt>
            <c:idx val="2"/>
            <c:bubble3D val="0"/>
            <c:spPr>
              <a:solidFill>
                <a:schemeClr val="accent1">
                  <a:lumMod val="40000"/>
                  <a:lumOff val="60000"/>
                </a:schemeClr>
              </a:solidFill>
              <a:ln w="25400">
                <a:solidFill>
                  <a:schemeClr val="bg1"/>
                </a:solidFill>
              </a:ln>
              <a:effectLst>
                <a:outerShdw blurRad="63500" sx="104000" sy="104000" algn="ctr" rotWithShape="0">
                  <a:schemeClr val="bg1">
                    <a:alpha val="33000"/>
                  </a:schemeClr>
                </a:outerShdw>
              </a:effectLst>
              <a:sp3d contourW="25400"/>
            </c:spPr>
          </c:dPt>
          <c:dPt>
            <c:idx val="3"/>
            <c:bubble3D val="0"/>
            <c:spPr>
              <a:solidFill>
                <a:schemeClr val="accent1">
                  <a:lumMod val="20000"/>
                  <a:lumOff val="80000"/>
                </a:schemeClr>
              </a:solidFill>
              <a:ln w="25400">
                <a:solidFill>
                  <a:schemeClr val="bg1"/>
                </a:solidFill>
              </a:ln>
              <a:effectLst>
                <a:outerShdw blurRad="63500" sx="104000" sy="104000" algn="ctr" rotWithShape="0">
                  <a:schemeClr val="bg1">
                    <a:alpha val="33000"/>
                  </a:schemeClr>
                </a:outerShdw>
              </a:effectLst>
              <a:sp3d contourW="25400"/>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accent1">
                          <a:lumMod val="7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accent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[工作簿2]Sheet1!$B$7:$B$10</c:f>
              <c:strCache>
                <c:ptCount val="4"/>
                <c:pt idx="0">
                  <c:v>文化旅游体育与传媒支出</c:v>
                </c:pt>
                <c:pt idx="1">
                  <c:v>社会保障和就业支出</c:v>
                </c:pt>
                <c:pt idx="2">
                  <c:v>卫生健康支出</c:v>
                </c:pt>
                <c:pt idx="3">
                  <c:v>住房保障支出</c:v>
                </c:pt>
              </c:strCache>
            </c:strRef>
          </c:cat>
          <c:val>
            <c:numRef>
              <c:f>[工作簿2]Sheet1!$C$7:$C$10</c:f>
              <c:numCache>
                <c:formatCode>General</c:formatCode>
                <c:ptCount val="4"/>
                <c:pt idx="0">
                  <c:v>259.66</c:v>
                </c:pt>
                <c:pt idx="1">
                  <c:v>35.88</c:v>
                </c:pt>
                <c:pt idx="2">
                  <c:v>13.82</c:v>
                </c:pt>
                <c:pt idx="3">
                  <c:v>19.27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b7a5ebdc-40c1-4e1e-b682-9310c0c4138a}"/>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果汁橙">
    <a:dk1>
      <a:srgbClr val="000000"/>
    </a:dk1>
    <a:lt1>
      <a:srgbClr val="FFFFFF"/>
    </a:lt1>
    <a:dk2>
      <a:srgbClr val="000000"/>
    </a:dk2>
    <a:lt2>
      <a:srgbClr val="F8F8F8"/>
    </a:lt2>
    <a:accent1>
      <a:srgbClr val="EE2D2D"/>
    </a:accent1>
    <a:accent2>
      <a:srgbClr val="F89A46"/>
    </a:accent2>
    <a:accent3>
      <a:srgbClr val="F9BFA6"/>
    </a:accent3>
    <a:accent4>
      <a:srgbClr val="F3621B"/>
    </a:accent4>
    <a:accent5>
      <a:srgbClr val="ECB175"/>
    </a:accent5>
    <a:accent6>
      <a:srgbClr val="F29079"/>
    </a:accent6>
    <a:hlink>
      <a:srgbClr val="5F5F5F"/>
    </a:hlink>
    <a:folHlink>
      <a:srgbClr val="919191"/>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自定义 68">
    <a:dk1>
      <a:srgbClr val="000000"/>
    </a:dk1>
    <a:lt1>
      <a:srgbClr val="FFFFFF"/>
    </a:lt1>
    <a:dk2>
      <a:srgbClr val="44546A"/>
    </a:dk2>
    <a:lt2>
      <a:srgbClr val="E7E6E6"/>
    </a:lt2>
    <a:accent1>
      <a:srgbClr val="FE7B89"/>
    </a:accent1>
    <a:accent2>
      <a:srgbClr val="FFCC25"/>
    </a:accent2>
    <a:accent3>
      <a:srgbClr val="83D686"/>
    </a:accent3>
    <a:accent4>
      <a:srgbClr val="50A2F6"/>
    </a:accent4>
    <a:accent5>
      <a:srgbClr val="27CBBB"/>
    </a:accent5>
    <a:accent6>
      <a:srgbClr val="FE9F2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自定义 27">
    <a:dk1>
      <a:srgbClr val="000000"/>
    </a:dk1>
    <a:lt1>
      <a:srgbClr val="FFFFFF"/>
    </a:lt1>
    <a:dk2>
      <a:srgbClr val="000000"/>
    </a:dk2>
    <a:lt2>
      <a:srgbClr val="FEFFFF"/>
    </a:lt2>
    <a:accent1>
      <a:srgbClr val="3B73FF"/>
    </a:accent1>
    <a:accent2>
      <a:srgbClr val="1DDC98"/>
    </a:accent2>
    <a:accent3>
      <a:srgbClr val="FFCC3E"/>
    </a:accent3>
    <a:accent4>
      <a:srgbClr val="FF7640"/>
    </a:accent4>
    <a:accent5>
      <a:srgbClr val="FC4242"/>
    </a:accent5>
    <a:accent6>
      <a:srgbClr val="A766FF"/>
    </a:accent6>
    <a:hlink>
      <a:srgbClr val="304FFE"/>
    </a:hlink>
    <a:folHlink>
      <a:srgbClr val="492067"/>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webExtension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24037;&#20316;&#31807;1" TargetMode="External"/></Relationships>
</file>

<file path=word/webExtensions/_rels/webExtension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oleObject" Target="&#24037;&#20316;&#31807;2" TargetMode="External"/></Relationships>
</file>

<file path=word/webExtensions/webExtension1.xml><?xml version="1.0" encoding="utf-8"?>
<wpswe:webExtension xmlns:wpswe="http://www.wps.cn/officeDocument/2018/webExtension" xmlns:webet="https://web.wps.cn/et/2018/main" webet:type="Normal" type="0" webet:id="">
  <wpswe:extSource id="webchart" version="3.0"/>
  <wpswe:properties>
    <wpswe:property key="demoData" value="{&quot;category&quot;:[&quot;类别1&quot;,&quot;类别2&quot;,&quot;类别3&quot;,&quot;类别4&quot;],&quot;data&quot;:[[&quot;&quot;,&quot;系列1&quot;,&quot;系列2&quot;,&quot;系列3&quot;],[&quot;类别1&quot;,4,5,6],[&quot;类别2&quot;,3,4,5],[&quot;类别3&quot;,2,3,4],[&quot;类别4&quot;,1,2,3]],&quot;series&quot;:[&quot;系列1&quot;,&quot;系列2&quot;,&quot;系列3&quot;]}"/>
    <wpswe:property key="extStyle" value="{&quot;series&quot;:[{&quot;data&quot;:[[0,2,6],[1,2,5],[2,2,4],[3,2,3]],&quot;itemStyle&quot;:{&quot;color&quot;:{&quot;rgb&quot;:&quot;#00F5D4&quot;,&quot;row&quot;:0,&quot;themeIndex&quot;:14,&quot;type&quot;:0},&quot;opacity&quot;:0.85},&quot;name&quot;:&quot;系列3&quot;,&quot;shading&quot;:&quot;lambert&quot;,&quot;type&quot;:&quot;bar3D&quot;},{&quot;data&quot;:[[0,1,5],[1,1,4],[2,1,3],[3,1,2]],&quot;itemStyle&quot;:{&quot;color&quot;:{&quot;rgb&quot;:&quot;#00BBF9&quot;,&quot;row&quot;:0,&quot;themeIndex&quot;:13,&quot;type&quot;:0},&quot;opacity&quot;:0.85},&quot;name&quot;:&quot;系列2&quot;,&quot;shading&quot;:&quot;lambert&quot;,&quot;type&quot;:&quot;bar3D&quot;},{&quot;data&quot;:[[0,0,4],[1,0,3],[2,0,2],[3,0,1]],&quot;itemStyle&quot;:{&quot;color&quot;:{&quot;rgb&quot;:&quot;#9381FF&quot;,&quot;row&quot;:0,&quot;themeIndex&quot;:12,&quot;type&quot;:0},&quot;opacity&quot;:0.85},&quot;name&quot;:&quot;系列1&quot;,&quot;shading&quot;:&quot;lambert&quot;,&quot;type&quot;:&quot;bar3D&quot;}],&quot;tooltip&quot;:{&quot;backgroundColor&quot;:{&quot;rgb&quot;:&quot;rgba(51,51,51,0.7)&quot;,&quot;row&quot;:-1,&quot;themeIndex&quot;:-1,&quot;type&quot;:0},&quot;borderWidth&quot;:0,&quot;confine&quot;:true,&quot;extraCssText&quot;:&quot;max-width: calc(100vw - 36px); overflow: hidden; white-space: nowrap; text-overflow: ellipsis; margin-left: 8px;&quot;},&quot;xAxis3D&quot;:{&quot;axisLabel&quot;:{&quot;margin&quot;:20},&quot;splitLine&quot;:{&quot;interval&quot;:0}},&quot;yAxis3D&quot;:{&quot;axisLabel&quot;:{&quot;margin&quot;:8},&quot;splitLine&quot;:{&quot;interval&quot;:0}},&quot;zAxis3D&quot;:{&quot;axisLabel&quot;:{&quot;margin&quot;:20},&quot;splitLine&quot;:{&quot;interval&quot;:0}}}"/>
    <wpswe:property key="isUseCommonErrorPage" value="false"/>
    <wpswe:property key="loadingImage" value="res:/icons/WebChartLoading.svg"/>
    <wpswe:property key="renderer" value="echarts"/>
    <wpswe:property key="resId" value="40000078"/>
    <wpswe:property key="sourceTheme" value="{&quot;colors&quot;:[&quot;#000000&quot;,&quot;#ffffff&quot;,&quot;#44546a&quot;,&quot;#e7e6e6&quot;,&quot;#4874cb&quot;,&quot;#ee822f&quot;,&quot;#f2ba02&quot;,&quot;#75bd42&quot;,&quot;#30c0b4&quot;,&quot;#e54c5e&quot;,&quot;#0026e5&quot;,&quot;#7e1fad&quot;,&quot;#000000&quot;,&quot;#ffffff&quot;,&quot;#44546a&quot;,&quot;#e7e6e6&quot;],&quot;fonts&quot;:[&quot;Calibri Light&quot;,&quot;宋体&quot;,&quot;Calibri&quot;,&quot;宋体&quot;]}"/>
    <wpswe:property key="style" value="{&quot;animation&quot;:false,&quot;backgroundColor&quot;:{&quot;rgb&quot;:&quot;#FFFFFF&quot;,&quot;row&quot;:0,&quot;themeIndex&quot;:13,&quot;type&quot;:1},&quot;borderColor&quot;:{&quot;rgb&quot;:&quot;#D9D9D9&quot;,&quot;row&quot;:2,&quot;themeIndex&quot;:13,&quot;type&quot;:1},&quot;global&quot;:{&quot;text&quot;:{&quot;bold&quot;:0,&quot;font&quot;:{&quot;name&quot;:&quot;宋体&quot;,&quot;nameType&quot;:2,&quot;langType&quot;:3},&quot;fontSize&quot;:10,&quot;italic&quot;:0}},&quot;grid3D&quot;:{&quot;axisPointer&quot;:{&quot;show&quot;:false},&quot;light&quot;:{&quot;main&quot;:{&quot;alpha&quot;:30,&quot;beta&quot;:10,&quot;intensity&quot;:0.75}},&quot;viewControl&quot;:{&quot;alpha&quot;:7,&quot;beta&quot;:20,&quot;projection&quot;:&quot;orthographic&quot;,&quot;rAngAx&quot;:true,&quot;rotateSensitivity&quot;:0,&quot;zoomSensitivity&quot;:0}},&quot;interval&quot;:5,&quot;isTransformDateAxis&quot;:0,&quot;label&quot;:{&quot;show&quot;:false,&quot;textStyle&quot;:{&quot;color&quot;:{&quot;rgb&quot;:&quot;#404040&quot;,&quot;row&quot;:3,&quot;themeIndex&quot;:12,&quot;type&quot;:1},&quot;fontFamily&quot;:{&quot;name&quot;:&quot;宋体&quot;,&quot;themeIndex&quot;:3,&quot;type&quot;:1},&quot;fontSize&quot;:9,&quot;fontStyle&quot;:&quot;normal&quot;,&quot;fontWeight&quot;:&quot;noraml&quot;}},&quot;legend&quot;:{&quot;position&quot;:&quot;bottomCenter&quot;,&quot;show&quot;:true,&quot;textStyle&quot;:{&quot;color&quot;:{&quot;rgb&quot;:&quot;#595959&quot;,&quot;row&quot;:2,&quot;themeIndex&quot;:12,&quot;type&quot;:1},&quot;fontFamily&quot;:{&quot;name&quot;:&quot;宋体&quot;,&quot;themeIndex&quot;:3,&quot;type&quot;:1},&quot;fontSize&quot;:9,&quot;fontStyle&quot;:&quot;normal&quot;,&quot;fontWeight&quot;:&quot;normal&quot;}},&quot;max&quot;:330,&quot;min&quot;:285,&quot;seriesThemeColor&quot;:[&quot;#9381FF&quot;,&quot;#00BBF9&quot;,&quot;#00F5D4&quot;,&quot;#FE9C54&quot;,&quot;#FF735F&quot;,&quot;#FACF35&quot;],&quot;title&quot;:{&quot;position&quot;:&quot;topCenter&quot;,&quot;show&quot;:true,&quot;text&quot;:&quot;收入、支出决算总计变动情况图&quot;,&quot;textStyle&quot;:{&quot;color&quot;:{&quot;rgb&quot;:&quot;#404040&quot;,&quot;row&quot;:3,&quot;themeIndex&quot;:12,&quot;type&quot;:1},&quot;fontFamily&quot;:{&quot;name&quot;:&quot;宋体&quot;,&quot;themeIndex&quot;:3,&quot;type&quot;:1},&quot;fontSize&quot;:14,&quot;fontStyle&quot;:&quot;normal&quot;,&quot;fontWeight&quot;:&quot;bold&quot;}},&quot;tooltip&quot;:{&quot;show&quot;:true,&quot;textStyle&quot;:{&quot;color&quot;:{&quot;rgb&quot;:&quot;#FFFFFF&quot;,&quot;row&quot;:-1,&quot;themeIndex&quot;:-1,&quot;type&quot;:0},&quot;fontFamily&quot;:{&quot;name&quot;:&quot;宋体&quot;,&quot;themeIndex&quot;:3,&quot;type&quot;:1},&quot;fontSize&quot;:9,&quot;fontStyle&quot;:&quot;normal&quot;,&quot;fontWeight&quot;:&quot;normal&quot;}},&quot;xAxis&quot;:{&quot;axisLabel&quot;:{&quot;show&quot;:true,&quot;textStyle&quot;:{&quot;color&quot;:{&quot;rgb&quot;:&quot;#595959&quot;,&quot;row&quot;:2,&quot;themeIndex&quot;:12,&quot;type&quot;:1},&quot;fontFamily&quot;:{&quot;name&quot;:&quot;宋体&quot;,&quot;themeIndex&quot;:3,&quot;type&quot;:1},&quot;fontSize&quot;:9,&quot;fontStyle&quot;:&quot;normal&quot;,&quot;fontWeight&quot;:&quot;normal&quot;}},&quot;axisLine&quot;:{&quot;lineStyle&quot;:{&quot;color&quot;:{&quot;rgb&quot;:&quot;#D9D9D9&quot;,&quot;row&quot;:2,&quot;themeIndex&quot;:13,&quot;type&quot;:1},&quot;width&quot;:1},&quot;show&quot;:true},&quot;axisTick&quot;:{&quot;show&quot;:false},&quot;data&quot;:[&quot;类别1&quot;,&quot;类别2&quot;,&quot;类别3&quot;,&quot;类别4&quot;],&quot;name&quot;:{&quot;show&quot;:false,&quot;text&quot;:&quot;X轴&quot;,&quot;textStyle&quot;:{&quot;color&quot;:{&quot;rgb&quot;:&quot;#595959&quot;,&quot;row&quot;:2,&quot;themeIndex&quot;:12,&quot;type&quot;:1},&quot;fontFamily&quot;:{&quot;name&quot;:&quot;宋体&quot;,&quot;themeIndex&quot;:3,&quot;type&quot;:1},&quot;fontSize&quot;:9,&quot;fontStyle&quot;:&quot;normal&quot;,&quot;fontWeight&quot;:&quot;normal&quot;}},&quot;splitLine&quot;:{&quot;lineStyle&quot;:{&quot;color&quot;:{&quot;rgb&quot;:&quot;#D9D9D9&quot;,&quot;row&quot;:2,&quot;themeIndex&quot;:13,&quot;type&quot;:1},&quot;width&quot;:1},&quot;show&quot;:false},&quot;type&quot;:&quot;category&quot;},&quot;yAxis&quot;:{&quot;axisLabel&quot;:{&quot;show&quot;:true,&quot;textStyle&quot;:{&quot;color&quot;:{&quot;rgb&quot;:&quot;#595959&quot;,&quot;row&quot;:2,&quot;themeIndex&quot;:12,&quot;type&quot;:1},&quot;fontFamily&quot;:{&quot;name&quot;:&quot;宋体&quot;,&quot;themeIndex&quot;:3,&quot;type&quot;:1},&quot;fontSize&quot;:9,&quot;fontStyle&quot;:&quot;normal&quot;,&quot;fontWeight&quot;:&quot;normal&quot;}},&quot;axisLine&quot;:{&quot;lineStyle&quot;:{&quot;color&quot;:{&quot;rgb&quot;:&quot;#D9D9D9&quot;,&quot;row&quot;:2,&quot;themeIndex&quot;:13,&quot;type&quot;:1},&quot;width&quot;:1},&quot;show&quot;:true},&quot;axisTick&quot;:{&quot;show&quot;:false},&quot;data&quot;:[&quot;系列1&quot;,&quot;系列2&quot;,&quot;系列3&quot;],&quot;name&quot;:{&quot;show&quot;:false,&quot;text&quot;:&quot;Y轴&quot;,&quot;textStyle&quot;:{&quot;color&quot;:{&quot;rgb&quot;:&quot;#595959&quot;,&quot;row&quot;:2,&quot;themeIndex&quot;:12,&quot;type&quot;:1},&quot;fontFamily&quot;:{&quot;name&quot;:&quot;宋体&quot;,&quot;themeIndex&quot;:3,&quot;type&quot;:1},&quot;fontSize&quot;:9,&quot;fontStyle&quot;:&quot;normal&quot;,&quot;fontWeight&quot;:&quot;normal&quot;}},&quot;splitLine&quot;:{&quot;lineStyle&quot;:{&quot;color&quot;:{&quot;rgb&quot;:&quot;#D9D9D9&quot;,&quot;row&quot;:2,&quot;themeIndex&quot;:13,&quot;type&quot;:1},&quot;width&quot;:1},&quot;show&quot;:false},&quot;type&quot;:&quot;category&quot;},&quot;zAxis&quot;:{&quot;axisLabel&quot;:{&quot;show&quot;:true,&quot;textStyle&quot;:{&quot;color&quot;:{&quot;rgb&quot;:&quot;#595959&quot;,&quot;row&quot;:2,&quot;themeIndex&quot;:12,&quot;type&quot;:1},&quot;fontFamily&quot;:{&quot;name&quot;:&quot;宋体&quot;,&quot;themeIndex&quot;:3,&quot;type&quot;:1},&quot;fontSize&quot;:9,&quot;fontStyle&quot;:&quot;normal&quot;,&quot;fontWeight&quot;:&quot;normal&quot;}},&quot;axisLine&quot;:{&quot;lineStyle&quot;:{&quot;color&quot;:{&quot;rgb&quot;:&quot;#D9D9D9&quot;,&quot;row&quot;:2,&quot;themeIndex&quot;:13,&quot;type&quot;:1},&quot;width&quot;:1},&quot;show&quot;:false},&quot;axisTick&quot;:{&quot;show&quot;:false},&quot;name&quot;:{&quot;show&quot;:false,&quot;text&quot;:&quot;Z轴&quot;,&quot;textStyle&quot;:{&quot;color&quot;:{&quot;rgb&quot;:&quot;#595959&quot;,&quot;row&quot;:2,&quot;themeIndex&quot;:12,&quot;type&quot;:1},&quot;fontFamily&quot;:{&quot;name&quot;:&quot;宋体&quot;,&quot;themeIndex&quot;:3,&quot;type&quot;:1},&quot;fontSize&quot;:9,&quot;fontStyle&quot;:&quot;normal&quot;,&quot;fontWeight&quot;:&quot;normal&quot;}},&quot;splitLine&quot;:{&quot;lineStyle&quot;:{&quot;color&quot;:{&quot;rgb&quot;:&quot;#D9D9D9&quot;,&quot;row&quot;:2,&quot;themeIndex&quot;:13,&quot;type&quot;:1},&quot;width&quot;:1},&quot;show&quot;:true}},&quot;animationLoop&quot;:false,&quot;animationDurationUpdate&quot;:1500,&quot;animationDuration&quot;:1500,&quot;divideType&quot;:&quot;leftTop&quot;,&quot;max_origin&quot;:330,&quot;min_origin&quot;:285,&quot;interval_origin&quot;:5,&quot;seriesDir&quot;:&quot;row&quot;}"/>
    <wpswe:property key="themeOverride" value="false"/>
    <wpswe:property key="type" value="3d-column"/>
  </wpswe:properties>
  <wpswe:watchingCache>
    <wpswe:linkPath>工作簿1</wpswe:linkPath>
    <wpswe:dataRange>
      <wpswe:key>webchart</wpswe:key>
      <wpswe:context>Sheet1!$A$6:$C$8</wpswe:context>
      <wpswe:count>3</wpswe:count>
      <wpswe:cells wpswe:idx="0">
        <wpswe:count>3</wpswe:count>
        <wpswe:formatCode>General</wpswe:formatCode>
        <wpswe:cell wpswe:idx="1" wpswe:formatCode="General">
          <wpswe:value>收入</wpswe:value>
        </wpswe:cell>
        <wpswe:cell wpswe:idx="2" wpswe:formatCode="General">
          <wpswe:value>支出</wpswe:value>
        </wpswe:cell>
      </wpswe:cells>
      <wpswe:cells wpswe:idx="1">
        <wpswe:count>3</wpswe:count>
        <wpswe:formatCode>General</wpswe:formatCode>
        <wpswe:cell wpswe:idx="0">
          <wpswe:value>2025年</wpswe:value>
        </wpswe:cell>
        <wpswe:cell wpswe:idx="1">
          <wpswe:value>328.64</wpswe:value>
        </wpswe:cell>
        <wpswe:cell wpswe:idx="2">
          <wpswe:value>328.64</wpswe:value>
        </wpswe:cell>
      </wpswe:cells>
      <wpswe:cells wpswe:idx="2">
        <wpswe:count>3</wpswe:count>
        <wpswe:formatCode>General</wpswe:formatCode>
        <wpswe:cell wpswe:idx="0">
          <wpswe:value>2024年</wpswe:value>
        </wpswe:cell>
        <wpswe:cell wpswe:idx="1">
          <wpswe:value>302.15</wpswe:value>
        </wpswe:cell>
        <wpswe:cell wpswe:idx="2">
          <wpswe:value>302.15</wpswe:value>
        </wpswe:cell>
      </wpswe:cells>
    </wpswe:dataRange>
  </wpswe:watchingCache>
  <wpswe:snapshot xmlns:r="http://schemas.openxmlformats.org/officeDocument/2006/relationships" r:embed="rId2"/>
  <wpswe:externalData xmlns:r="http://schemas.openxmlformats.org/officeDocument/2006/relationships" r:id="rId1"/>
  <wpswe:url>https://clientweb.docer.wps.cn/web-chart/v1/web-shape.html#/home</wpswe:url>
  <wpswe:constantSnapshot>false</wpswe:constantSnapshot>
</wpswe:webExtension>
</file>

<file path=word/webExtensions/webExtension2.xml><?xml version="1.0" encoding="utf-8"?>
<wpswe:webExtension xmlns:wpswe="http://www.wps.cn/officeDocument/2018/webExtension" xmlns:webet="https://web.wps.cn/et/2018/main" webet:type="Normal" type="0" webet:id="">
  <wpswe:extSource id="webchart" version="3.0"/>
  <wpswe:properties>
    <wpswe:property key="demoData" value="{&quot;category&quot;:[&quot;第一季度&quot;,&quot;第二季度&quot;,&quot;第三季度&quot;,&quot;第四季度&quot;],&quot;data&quot;:[[&quot;&quot;,&quot;销售额&quot;],[&quot;第一季度&quot;,8.2],[&quot;第二季度&quot;,5.2],[&quot;第三季度&quot;,4.2],[&quot;第四季度&quot;,3.1]],&quot;series&quot;:[&quot;&quot;,&quot;销售额&quot;]}"/>
    <wpswe:property key="extStyle" value="{&quot;series&quot;:[{&quot;emphasis&quot;:{&quot;itemStyle&quot;:{&quot;shadowBlur&quot;:0,&quot;shadowColor&quot;:&quot;rgba(0, 0, 0, 0.5)&quot;,&quot;shadowOffsetX&quot;:0}},&quot;itemStyle&quot;:{&quot;borderColor&quot;:&quot;#ffffff&quot;,&quot;borderWidth&quot;:1.8},&quot;labelLayout&quot;:{&quot;hideOverlap&quot;:false},&quot;roseType&quot;:&quot;radius&quot;,&quot;type&quot;:&quot;pie&quot;}],&quot;tooltip&quot;:{&quot;backgroundColor&quot;:{&quot;rgb&quot;:&quot;rgba(51,51,51,0.7)&quot;,&quot;row&quot;:-1,&quot;themeIndex&quot;:-1,&quot;type&quot;:0},&quot;borderWidth&quot;:0,&quot;confine&quot;:true,&quot;extraCssText&quot;:&quot;max-width: calc(100vw - 36px); overflow: hidden; white-space: nowrap; text-overflow: ellipsis; margin-left: 8px;&quot;}}"/>
    <wpswe:property key="isUseCommonErrorPage" value="false"/>
    <wpswe:property key="loadingImage" value="res:/icons/WebChartLoading.svg"/>
    <wpswe:property key="renderer" value="echarts"/>
    <wpswe:property key="resId" value="40000082"/>
    <wpswe:property key="sourceTheme" value="{&quot;colors&quot;:[&quot;#000000&quot;,&quot;#ffffff&quot;,&quot;#44546a&quot;,&quot;#e7e6e6&quot;,&quot;#4874cb&quot;,&quot;#ee822f&quot;,&quot;#f2ba02&quot;,&quot;#75bd42&quot;,&quot;#30c0b4&quot;,&quot;#e54c5e&quot;,&quot;#0026e5&quot;,&quot;#7e1fad&quot;,&quot;#000000&quot;,&quot;#ffffff&quot;,&quot;#44546a&quot;,&quot;#e7e6e6&quot;],&quot;fonts&quot;:[&quot;Calibri Light&quot;,&quot;宋体&quot;,&quot;Calibri&quot;,&quot;宋体&quot;]}"/>
    <wpswe:property key="style" value="{&quot;animation&quot;:false,&quot;backgroundColor&quot;:{&quot;rgb&quot;:&quot;#FFFFFF&quot;,&quot;row&quot;:0,&quot;themeIndex&quot;:13,&quot;type&quot;:1},&quot;borderColor&quot;:{&quot;rgb&quot;:&quot;#D9D9D9&quot;,&quot;row&quot;:2,&quot;themeIndex&quot;:13,&quot;type&quot;:1},&quot;global&quot;:{&quot;text&quot;:{&quot;bold&quot;:0,&quot;font&quot;:{&quot;name&quot;:&quot;宋体&quot;,&quot;nameType&quot;:2,&quot;langType&quot;:3},&quot;fontSize&quot;:10,&quot;italic&quot;:0}},&quot;label&quot;:{&quot;formatter&quot;:[&quot;value&quot;],&quot;position&quot;:&quot;inner&quot;,&quot;show&quot;:false,&quot;textStyle&quot;:{&quot;color&quot;:{&quot;rgb&quot;:&quot;#404040&quot;,&quot;row&quot;:3,&quot;themeIndex&quot;:12,&quot;type&quot;:1},&quot;fontFamily&quot;:{&quot;name&quot;:&quot;宋体&quot;,&quot;themeIndex&quot;:3,&quot;type&quot;:1},&quot;fontSize&quot;:9,&quot;fontStyle&quot;:&quot;normal&quot;,&quot;fontWeight&quot;:&quot;normal&quot;}},&quot;legend&quot;:{&quot;position&quot;:&quot;bottomCenter&quot;,&quot;show&quot;:true,&quot;textStyle&quot;:{&quot;color&quot;:{&quot;rgb&quot;:&quot;#595959&quot;,&quot;row&quot;:2,&quot;themeIndex&quot;:12,&quot;type&quot;:1},&quot;fontFamily&quot;:{&quot;name&quot;:&quot;宋体&quot;,&quot;themeIndex&quot;:3,&quot;type&quot;:1},&quot;fontSize&quot;:9,&quot;fontStyle&quot;:&quot;normal&quot;,&quot;fontWeight&quot;:&quot;normal&quot;}},&quot;pieType&quot;:&quot;doughnut-rose&quot;,&quot;propWin&quot;:{&quot;hide&quot;:[&quot;axis&quot;]},&quot;radius&quot;:[&quot;20%&quot;,&quot;100%&quot;],&quot;selectedOffset&quot;:0,&quot;seriesThemeColor&quot;:[&quot;#906BE9&quot;,&quot;#06C0D5&quot;,&quot;#558BF7&quot;,&quot;#FFC800&quot;,&quot;#9ADB00&quot;,&quot;#32C267&quot;],&quot;startAngle&quot;:0,&quot;title&quot;:{&quot;position&quot;:&quot;topCenter&quot;,&quot;show&quot;:true,&quot;text&quot;:&quot;财政拨款“三公”经费支出结构&quot;,&quot;textStyle&quot;:{&quot;color&quot;:{&quot;rgb&quot;:&quot;#404040&quot;,&quot;row&quot;:3,&quot;themeIndex&quot;:12,&quot;type&quot;:1},&quot;fontFamily&quot;:{&quot;name&quot;:&quot;宋体&quot;,&quot;themeIndex&quot;:3,&quot;type&quot;:1},&quot;fontSize&quot;:14,&quot;fontStyle&quot;:&quot;normal&quot;,&quot;fontWeight&quot;:&quot;bold&quot;}},&quot;tooltip&quot;:{&quot;show&quot;:true,&quot;textStyle&quot;:{&quot;color&quot;:{&quot;rgb&quot;:&quot;#FFFFFF&quot;,&quot;row&quot;:-1,&quot;themeIndex&quot;:-1,&quot;type&quot;:0},&quot;fontFamily&quot;:{&quot;name&quot;:&quot;宋体&quot;,&quot;themeIndex&quot;:3,&quot;type&quot;:1},&quot;fontSize&quot;:9,&quot;fontStyle&quot;:&quot;normal&quot;,&quot;fontWeight&quot;:&quot;normal&quot;}},&quot;animationLoop&quot;:false,&quot;animationDurationUpdate&quot;:1500,&quot;animationDuration&quot;:1500,&quot;divideType&quot;:&quot;portrait&quot;,&quot;seriesDir&quot;:&quot;row&quot;}"/>
    <wpswe:property key="themeOverride" value="false"/>
    <wpswe:property key="type" value="2d-pie"/>
  </wpswe:properties>
  <wpswe:watchingCache>
    <wpswe:linkPath>工作簿2</wpswe:linkPath>
    <wpswe:dataRange>
      <wpswe:key>webchart</wpswe:key>
      <wpswe:context>Sheet1!$C$7:$D$9</wpswe:context>
      <wpswe:count>3</wpswe:count>
      <wpswe:cells wpswe:idx="0">
        <wpswe:count>2</wpswe:count>
        <wpswe:formatCode>General</wpswe:formatCode>
        <wpswe:cell wpswe:idx="0">
          <wpswe:value>公出国（境）费支出</wpswe:value>
        </wpswe:cell>
        <wpswe:cell wpswe:idx="1">
          <wpswe:value>0</wpswe:value>
        </wpswe:cell>
      </wpswe:cells>
      <wpswe:cells wpswe:idx="1">
        <wpswe:count>2</wpswe:count>
        <wpswe:formatCode>General</wpswe:formatCode>
        <wpswe:cell wpswe:idx="0">
          <wpswe:value>公务用车购置及运行维护费支出</wpswe:value>
        </wpswe:cell>
        <wpswe:cell wpswe:idx="1">
          <wpswe:value>6.85</wpswe:value>
        </wpswe:cell>
      </wpswe:cells>
      <wpswe:cells wpswe:idx="2">
        <wpswe:count>2</wpswe:count>
        <wpswe:formatCode>General</wpswe:formatCode>
        <wpswe:cell wpswe:idx="0">
          <wpswe:value>公务接待费支出</wpswe:value>
        </wpswe:cell>
        <wpswe:cell wpswe:idx="1">
          <wpswe:value>0</wpswe:value>
        </wpswe:cell>
      </wpswe:cells>
    </wpswe:dataRange>
  </wpswe:watchingCache>
  <wpswe:snapshot xmlns:r="http://schemas.openxmlformats.org/officeDocument/2006/relationships" r:embed="rId2"/>
  <wpswe:externalData xmlns:r="http://schemas.openxmlformats.org/officeDocument/2006/relationships" r:id="rId1"/>
  <wpswe:url>https://clientweb.docer.wps.cn/web-chart/v1/web-shape.html#/home</wpswe:url>
  <wpswe:constantSnapshot>false</wpswe:constantSnapshot>
</wps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12050</Words>
  <Characters>13304</Characters>
  <Lines>61</Lines>
  <Paragraphs>17</Paragraphs>
  <TotalTime>25</TotalTime>
  <ScaleCrop>false</ScaleCrop>
  <LinksUpToDate>false</LinksUpToDate>
  <CharactersWithSpaces>13341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傻丫头</cp:lastModifiedBy>
  <cp:lastPrinted>2026-09-10T07:02:20Z</cp:lastPrinted>
  <dcterms:modified xsi:type="dcterms:W3CDTF">2026-09-10T07:18:56Z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F5F1C98C14DD49E895235C2F29D5A5F7_13</vt:lpwstr>
  </property>
  <property fmtid="{D5CDD505-2E9C-101B-9397-08002B2CF9AE}" pid="4" name="KSOTemplateDocerSaveRecord">
    <vt:lpwstr>eyJoZGlkIjoiZTJkOTAyZmQ5MWI0YjJlNjYxOTlmNDM1YThjYmNhODgiLCJ1c2VySWQiOiI1Njg1OTQyNzYifQ==</vt:lpwstr>
  </property>
</Properties>
</file>