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pPr>
    </w:p>
    <w:p>
      <w:pPr>
        <w:contextualSpacing/>
      </w:pPr>
    </w:p>
    <w:p>
      <w:pPr>
        <w:contextualSpacing/>
      </w:pPr>
    </w:p>
    <w:p>
      <w:pPr>
        <w:ind w:firstLine="1050" w:firstLineChars="500"/>
        <w:contextualSpacing/>
      </w:pPr>
    </w:p>
    <w:p>
      <w:pPr>
        <w:ind w:firstLine="1050" w:firstLineChars="500"/>
        <w:contextualSpacing/>
      </w:pPr>
    </w:p>
    <w:p>
      <w:pPr>
        <w:ind w:firstLine="1760" w:firstLineChars="400"/>
        <w:contextualSpacing/>
        <w:rPr>
          <w:rFonts w:ascii="黑体" w:eastAsia="黑体"/>
          <w:sz w:val="44"/>
          <w:szCs w:val="44"/>
        </w:rPr>
      </w:pPr>
    </w:p>
    <w:p>
      <w:pPr>
        <w:ind w:firstLine="1760" w:firstLineChars="400"/>
        <w:contextualSpacing/>
        <w:rPr>
          <w:rFonts w:ascii="黑体" w:eastAsia="黑体"/>
          <w:sz w:val="44"/>
          <w:szCs w:val="44"/>
        </w:rPr>
      </w:pPr>
    </w:p>
    <w:p>
      <w:pPr>
        <w:contextualSpacing/>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马尔康市人民法院</w:t>
      </w:r>
    </w:p>
    <w:p>
      <w:pPr>
        <w:contextualSpacing/>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2023年部门预算</w:t>
      </w:r>
    </w:p>
    <w:p>
      <w:pPr>
        <w:ind w:firstLine="1760" w:firstLineChars="400"/>
        <w:contextualSpacing/>
        <w:rPr>
          <w:rFonts w:ascii="黑体" w:eastAsia="黑体"/>
          <w:sz w:val="44"/>
          <w:szCs w:val="44"/>
        </w:rPr>
      </w:pPr>
    </w:p>
    <w:p>
      <w:pPr>
        <w:ind w:firstLine="1760" w:firstLineChars="400"/>
        <w:contextualSpacing/>
        <w:rPr>
          <w:rFonts w:ascii="黑体" w:eastAsia="黑体"/>
          <w:sz w:val="44"/>
          <w:szCs w:val="44"/>
        </w:rPr>
      </w:pPr>
    </w:p>
    <w:p>
      <w:pPr>
        <w:ind w:firstLine="1760" w:firstLineChars="400"/>
        <w:contextualSpacing/>
        <w:rPr>
          <w:rFonts w:ascii="黑体" w:eastAsia="黑体"/>
          <w:sz w:val="44"/>
          <w:szCs w:val="44"/>
        </w:rPr>
      </w:pPr>
    </w:p>
    <w:p>
      <w:pPr>
        <w:ind w:firstLine="1760" w:firstLineChars="400"/>
        <w:contextualSpacing/>
        <w:rPr>
          <w:rFonts w:ascii="黑体" w:eastAsia="黑体"/>
          <w:sz w:val="44"/>
          <w:szCs w:val="44"/>
        </w:rPr>
      </w:pPr>
    </w:p>
    <w:p>
      <w:pPr>
        <w:ind w:firstLine="1760" w:firstLineChars="400"/>
        <w:contextualSpacing/>
        <w:rPr>
          <w:rFonts w:ascii="黑体" w:eastAsia="黑体"/>
          <w:sz w:val="44"/>
          <w:szCs w:val="44"/>
        </w:rPr>
      </w:pPr>
    </w:p>
    <w:p>
      <w:pPr>
        <w:ind w:firstLine="1760" w:firstLineChars="400"/>
        <w:contextualSpacing/>
        <w:rPr>
          <w:rFonts w:ascii="黑体" w:eastAsia="黑体"/>
          <w:sz w:val="44"/>
          <w:szCs w:val="44"/>
        </w:rPr>
      </w:pPr>
    </w:p>
    <w:p>
      <w:pPr>
        <w:ind w:firstLine="1760" w:firstLineChars="400"/>
        <w:contextualSpacing/>
        <w:rPr>
          <w:rFonts w:ascii="黑体" w:eastAsia="黑体"/>
          <w:sz w:val="44"/>
          <w:szCs w:val="44"/>
        </w:rPr>
      </w:pPr>
    </w:p>
    <w:p>
      <w:pPr>
        <w:ind w:firstLine="1760" w:firstLineChars="400"/>
        <w:contextualSpacing/>
        <w:rPr>
          <w:rFonts w:ascii="黑体" w:eastAsia="黑体"/>
          <w:sz w:val="44"/>
          <w:szCs w:val="44"/>
        </w:rPr>
      </w:pPr>
    </w:p>
    <w:p>
      <w:pPr>
        <w:ind w:firstLine="1760" w:firstLineChars="400"/>
        <w:contextualSpacing/>
        <w:rPr>
          <w:rFonts w:ascii="黑体" w:eastAsia="黑体"/>
          <w:sz w:val="44"/>
          <w:szCs w:val="44"/>
        </w:rPr>
      </w:pPr>
    </w:p>
    <w:p>
      <w:pPr>
        <w:ind w:firstLine="1760" w:firstLineChars="400"/>
        <w:contextualSpacing/>
        <w:rPr>
          <w:rFonts w:ascii="黑体" w:eastAsia="黑体"/>
          <w:sz w:val="44"/>
          <w:szCs w:val="44"/>
        </w:rPr>
      </w:pPr>
    </w:p>
    <w:p>
      <w:pPr>
        <w:ind w:firstLine="1760" w:firstLineChars="400"/>
        <w:contextualSpacing/>
        <w:rPr>
          <w:rFonts w:ascii="黑体" w:eastAsia="黑体"/>
          <w:sz w:val="44"/>
          <w:szCs w:val="44"/>
        </w:rPr>
      </w:pPr>
    </w:p>
    <w:p>
      <w:pPr>
        <w:ind w:firstLine="1760" w:firstLineChars="400"/>
        <w:contextualSpacing/>
        <w:rPr>
          <w:rFonts w:ascii="黑体" w:eastAsia="黑体"/>
          <w:sz w:val="44"/>
          <w:szCs w:val="44"/>
        </w:rPr>
      </w:pPr>
    </w:p>
    <w:p>
      <w:pPr>
        <w:ind w:firstLine="1760" w:firstLineChars="400"/>
        <w:contextualSpacing/>
        <w:rPr>
          <w:rFonts w:ascii="黑体" w:eastAsia="黑体"/>
          <w:sz w:val="44"/>
          <w:szCs w:val="44"/>
        </w:rPr>
      </w:pPr>
    </w:p>
    <w:p>
      <w:pPr>
        <w:contextualSpacing/>
        <w:rPr>
          <w:rFonts w:ascii="黑体" w:eastAsia="黑体"/>
          <w:sz w:val="44"/>
          <w:szCs w:val="44"/>
        </w:rPr>
      </w:pPr>
    </w:p>
    <w:p>
      <w:pPr>
        <w:contextualSpacing/>
        <w:jc w:val="center"/>
        <w:rPr>
          <w:rFonts w:ascii="黑体" w:eastAsia="黑体"/>
          <w:sz w:val="52"/>
          <w:szCs w:val="52"/>
        </w:rPr>
      </w:pPr>
      <w:r>
        <w:rPr>
          <w:rFonts w:hint="eastAsia" w:ascii="方正小标宋_GBK" w:eastAsia="方正小标宋_GBK" w:cs="方正小标宋_GBK"/>
          <w:sz w:val="44"/>
          <w:szCs w:val="44"/>
        </w:rPr>
        <w:t>目录</w:t>
      </w:r>
    </w:p>
    <w:p>
      <w:pPr>
        <w:ind w:firstLine="3080" w:firstLineChars="700"/>
        <w:contextualSpacing/>
        <w:rPr>
          <w:rFonts w:ascii="黑体" w:eastAsia="黑体"/>
          <w:sz w:val="44"/>
          <w:szCs w:val="44"/>
        </w:rPr>
      </w:pPr>
    </w:p>
    <w:p>
      <w:pPr>
        <w:pStyle w:val="11"/>
        <w:spacing w:line="576" w:lineRule="exact"/>
        <w:ind w:firstLine="0" w:firstLineChars="0"/>
        <w:contextualSpacing/>
        <w:rPr>
          <w:rFonts w:ascii="方正黑体_GBK" w:eastAsia="方正黑体_GBK" w:cs="方正黑体_GBK"/>
          <w:sz w:val="32"/>
          <w:szCs w:val="32"/>
        </w:rPr>
      </w:pPr>
      <w:r>
        <w:rPr>
          <w:rFonts w:hint="eastAsia" w:ascii="方正黑体_GBK" w:eastAsia="方正黑体_GBK" w:cs="方正黑体_GBK"/>
          <w:sz w:val="32"/>
          <w:szCs w:val="32"/>
        </w:rPr>
        <w:t>一、基本职能及主要工作</w:t>
      </w:r>
    </w:p>
    <w:p>
      <w:pPr>
        <w:spacing w:line="576" w:lineRule="exact"/>
        <w:contextualSpacing/>
        <w:rPr>
          <w:rFonts w:ascii="方正楷体_GBK" w:eastAsia="方正楷体_GBK" w:cs="方正楷体_GBK"/>
          <w:b/>
          <w:sz w:val="32"/>
          <w:szCs w:val="32"/>
        </w:rPr>
      </w:pPr>
      <w:r>
        <w:rPr>
          <w:rFonts w:hint="eastAsia" w:ascii="方正楷体_GBK" w:eastAsia="方正楷体_GBK" w:cs="方正楷体_GBK"/>
          <w:b/>
          <w:sz w:val="32"/>
          <w:szCs w:val="32"/>
        </w:rPr>
        <w:t>（一）部门职能简介</w:t>
      </w:r>
    </w:p>
    <w:p>
      <w:pPr>
        <w:spacing w:line="576" w:lineRule="exact"/>
        <w:contextualSpacing/>
        <w:rPr>
          <w:rFonts w:ascii="方正楷体_GBK" w:eastAsia="方正楷体_GBK" w:cs="方正楷体_GBK"/>
          <w:b/>
          <w:sz w:val="32"/>
          <w:szCs w:val="32"/>
        </w:rPr>
      </w:pPr>
      <w:r>
        <w:rPr>
          <w:rFonts w:hint="eastAsia" w:ascii="方正楷体_GBK" w:eastAsia="方正楷体_GBK" w:cs="方正楷体_GBK"/>
          <w:b/>
          <w:sz w:val="32"/>
          <w:szCs w:val="32"/>
        </w:rPr>
        <w:t>（二）2023年重点工作</w:t>
      </w:r>
    </w:p>
    <w:p>
      <w:pPr>
        <w:pStyle w:val="11"/>
        <w:spacing w:line="576" w:lineRule="exact"/>
        <w:ind w:firstLine="0" w:firstLineChars="0"/>
        <w:contextualSpacing/>
        <w:rPr>
          <w:rFonts w:ascii="方正黑体_GBK" w:eastAsia="方正黑体_GBK" w:cs="方正黑体_GBK"/>
          <w:sz w:val="32"/>
          <w:szCs w:val="32"/>
        </w:rPr>
      </w:pPr>
      <w:r>
        <w:rPr>
          <w:rFonts w:hint="eastAsia" w:ascii="方正黑体_GBK" w:eastAsia="方正黑体_GBK" w:cs="方正黑体_GBK"/>
          <w:sz w:val="32"/>
          <w:szCs w:val="32"/>
        </w:rPr>
        <w:t>二、部门预算单位构成</w:t>
      </w:r>
    </w:p>
    <w:p>
      <w:pPr>
        <w:pStyle w:val="11"/>
        <w:spacing w:line="576" w:lineRule="exact"/>
        <w:ind w:firstLine="0" w:firstLineChars="0"/>
        <w:contextualSpacing/>
        <w:rPr>
          <w:rFonts w:ascii="方正黑体_GBK" w:eastAsia="方正黑体_GBK" w:cs="方正黑体_GBK"/>
          <w:sz w:val="32"/>
          <w:szCs w:val="32"/>
        </w:rPr>
      </w:pPr>
      <w:r>
        <w:rPr>
          <w:rFonts w:hint="eastAsia" w:ascii="方正黑体_GBK" w:eastAsia="方正黑体_GBK" w:cs="方正黑体_GBK"/>
          <w:sz w:val="32"/>
          <w:szCs w:val="32"/>
        </w:rPr>
        <w:t>三、收支预算情况说明</w:t>
      </w:r>
    </w:p>
    <w:p>
      <w:pPr>
        <w:spacing w:line="576" w:lineRule="exact"/>
        <w:contextualSpacing/>
        <w:rPr>
          <w:rFonts w:ascii="方正楷体_GBK" w:eastAsia="方正楷体_GBK" w:cs="方正楷体_GBK"/>
          <w:b/>
          <w:sz w:val="32"/>
          <w:szCs w:val="32"/>
        </w:rPr>
      </w:pPr>
      <w:r>
        <w:rPr>
          <w:rFonts w:hint="eastAsia" w:ascii="方正楷体_GBK" w:eastAsia="方正楷体_GBK" w:cs="方正楷体_GBK"/>
          <w:b/>
          <w:sz w:val="32"/>
          <w:szCs w:val="32"/>
        </w:rPr>
        <w:t>（一）收入预算情况</w:t>
      </w:r>
    </w:p>
    <w:p>
      <w:pPr>
        <w:spacing w:line="576" w:lineRule="exact"/>
        <w:contextualSpacing/>
        <w:rPr>
          <w:rFonts w:ascii="方正楷体_GBK" w:eastAsia="方正楷体_GBK" w:cs="方正楷体_GBK"/>
          <w:b/>
          <w:sz w:val="32"/>
          <w:szCs w:val="32"/>
        </w:rPr>
      </w:pPr>
      <w:r>
        <w:rPr>
          <w:rFonts w:hint="eastAsia" w:ascii="方正楷体_GBK" w:eastAsia="方正楷体_GBK" w:cs="方正楷体_GBK"/>
          <w:b/>
          <w:sz w:val="32"/>
          <w:szCs w:val="32"/>
        </w:rPr>
        <w:t>（二）支出预算情况</w:t>
      </w:r>
    </w:p>
    <w:p>
      <w:pPr>
        <w:pStyle w:val="11"/>
        <w:spacing w:line="576" w:lineRule="exact"/>
        <w:ind w:firstLine="0" w:firstLineChars="0"/>
        <w:contextualSpacing/>
        <w:rPr>
          <w:rFonts w:ascii="方正黑体_GBK" w:eastAsia="方正黑体_GBK" w:cs="方正黑体_GBK"/>
          <w:sz w:val="32"/>
          <w:szCs w:val="32"/>
        </w:rPr>
      </w:pPr>
      <w:r>
        <w:rPr>
          <w:rFonts w:hint="eastAsia" w:ascii="方正黑体_GBK" w:eastAsia="方正黑体_GBK" w:cs="方正黑体_GBK"/>
          <w:sz w:val="32"/>
          <w:szCs w:val="32"/>
        </w:rPr>
        <w:t>四、财政拨款收支预算情况说明</w:t>
      </w:r>
    </w:p>
    <w:p>
      <w:pPr>
        <w:pStyle w:val="11"/>
        <w:spacing w:line="576" w:lineRule="exact"/>
        <w:ind w:firstLine="0" w:firstLineChars="0"/>
        <w:contextualSpacing/>
        <w:rPr>
          <w:rFonts w:ascii="方正黑体_GBK" w:eastAsia="方正黑体_GBK" w:cs="方正黑体_GBK"/>
          <w:sz w:val="32"/>
          <w:szCs w:val="32"/>
        </w:rPr>
      </w:pPr>
      <w:r>
        <w:rPr>
          <w:rFonts w:hint="eastAsia" w:ascii="方正黑体_GBK" w:eastAsia="方正黑体_GBK" w:cs="方正黑体_GBK"/>
          <w:sz w:val="32"/>
          <w:szCs w:val="32"/>
        </w:rPr>
        <w:t>五、一般公共预算当年拨款情况说明</w:t>
      </w:r>
    </w:p>
    <w:p>
      <w:pPr>
        <w:contextualSpacing/>
        <w:rPr>
          <w:rFonts w:ascii="黑体" w:eastAsia="黑体"/>
          <w:sz w:val="32"/>
          <w:szCs w:val="32"/>
        </w:rPr>
      </w:pPr>
      <w:r>
        <w:rPr>
          <w:rFonts w:hint="eastAsia" w:ascii="方正楷体_GBK" w:eastAsia="方正楷体_GBK" w:cs="方正楷体_GBK"/>
          <w:b/>
          <w:sz w:val="32"/>
          <w:szCs w:val="32"/>
        </w:rPr>
        <w:t>（一）一般公共预算当年拨款规模变化情况</w:t>
      </w:r>
      <w:r>
        <w:rPr>
          <w:rFonts w:hint="eastAsia" w:ascii="方正楷体_GBK" w:eastAsia="方正楷体_GBK" w:cs="方正楷体_GBK"/>
          <w:b/>
          <w:sz w:val="32"/>
          <w:szCs w:val="32"/>
        </w:rPr>
        <w:br w:type="textWrapping"/>
      </w:r>
      <w:r>
        <w:rPr>
          <w:rFonts w:hint="eastAsia" w:ascii="方正楷体_GBK" w:eastAsia="方正楷体_GBK" w:cs="方正楷体_GBK"/>
          <w:b/>
          <w:sz w:val="32"/>
          <w:szCs w:val="32"/>
        </w:rPr>
        <w:t>（二）一般公共预算当年拨款结构情况</w:t>
      </w:r>
      <w:r>
        <w:rPr>
          <w:rFonts w:hint="eastAsia" w:ascii="方正楷体_GBK" w:eastAsia="方正楷体_GBK" w:cs="方正楷体_GBK"/>
          <w:b/>
          <w:sz w:val="32"/>
          <w:szCs w:val="32"/>
        </w:rPr>
        <w:br w:type="textWrapping"/>
      </w:r>
      <w:r>
        <w:rPr>
          <w:rFonts w:hint="eastAsia" w:ascii="方正楷体_GBK" w:eastAsia="方正楷体_GBK" w:cs="方正楷体_GBK"/>
          <w:b/>
          <w:sz w:val="32"/>
          <w:szCs w:val="32"/>
        </w:rPr>
        <w:t>（三）一般公共预算当年拨款具体使用情况</w:t>
      </w:r>
      <w:r>
        <w:rPr>
          <w:rFonts w:ascii="??" w:hAnsi="??" w:cs="宋体"/>
          <w:kern w:val="0"/>
          <w:sz w:val="16"/>
          <w:szCs w:val="16"/>
        </w:rPr>
        <w:br w:type="textWrapping"/>
      </w:r>
      <w:r>
        <w:rPr>
          <w:rFonts w:hint="eastAsia" w:ascii="方正黑体_GBK" w:eastAsia="方正黑体_GBK" w:cs="方正黑体_GBK"/>
          <w:sz w:val="32"/>
          <w:szCs w:val="32"/>
        </w:rPr>
        <w:t>六、一般公共预算基本支出情况说明</w:t>
      </w:r>
      <w:r>
        <w:rPr>
          <w:rFonts w:ascii="黑体" w:eastAsia="黑体"/>
          <w:sz w:val="32"/>
          <w:szCs w:val="32"/>
        </w:rPr>
        <w:br w:type="textWrapping"/>
      </w:r>
      <w:r>
        <w:rPr>
          <w:rFonts w:hint="eastAsia" w:ascii="方正黑体_GBK" w:eastAsia="方正黑体_GBK" w:cs="方正黑体_GBK"/>
          <w:sz w:val="32"/>
          <w:szCs w:val="32"/>
        </w:rPr>
        <w:t>七、“三公”经费财政拨款预算安排情况说明</w:t>
      </w:r>
      <w:r>
        <w:rPr>
          <w:rFonts w:ascii="黑体" w:eastAsia="黑体"/>
          <w:sz w:val="32"/>
          <w:szCs w:val="32"/>
        </w:rPr>
        <w:br w:type="textWrapping"/>
      </w:r>
      <w:r>
        <w:rPr>
          <w:rFonts w:hint="eastAsia" w:ascii="方正黑体_GBK" w:eastAsia="方正黑体_GBK" w:cs="方正黑体_GBK"/>
          <w:sz w:val="32"/>
          <w:szCs w:val="32"/>
        </w:rPr>
        <w:t>八、政府性基金预算支出情况说明</w:t>
      </w:r>
      <w:r>
        <w:rPr>
          <w:rFonts w:ascii="黑体" w:eastAsia="黑体"/>
          <w:sz w:val="32"/>
          <w:szCs w:val="32"/>
        </w:rPr>
        <w:br w:type="textWrapping"/>
      </w:r>
      <w:r>
        <w:rPr>
          <w:rFonts w:hint="eastAsia" w:ascii="方正黑体_GBK" w:eastAsia="方正黑体_GBK" w:cs="方正黑体_GBK"/>
          <w:sz w:val="32"/>
          <w:szCs w:val="32"/>
        </w:rPr>
        <w:t>九、其他重要事项的情况说明</w:t>
      </w:r>
      <w:r>
        <w:rPr>
          <w:rFonts w:ascii="黑体" w:eastAsia="黑体"/>
          <w:sz w:val="32"/>
          <w:szCs w:val="32"/>
        </w:rPr>
        <w:br w:type="textWrapping"/>
      </w:r>
      <w:r>
        <w:rPr>
          <w:rFonts w:hint="eastAsia" w:ascii="方正黑体_GBK" w:eastAsia="方正黑体_GBK" w:cs="方正黑体_GBK"/>
          <w:sz w:val="32"/>
          <w:szCs w:val="32"/>
        </w:rPr>
        <w:t>十、名称解释</w:t>
      </w:r>
    </w:p>
    <w:p>
      <w:pPr>
        <w:contextualSpacing/>
        <w:rPr>
          <w:rFonts w:ascii="黑体" w:eastAsia="黑体"/>
          <w:sz w:val="32"/>
          <w:szCs w:val="32"/>
        </w:rPr>
      </w:pPr>
    </w:p>
    <w:p>
      <w:pPr>
        <w:widowControl/>
        <w:shd w:val="clear" w:color="auto" w:fill="FFFFFF"/>
        <w:spacing w:before="100" w:beforeAutospacing="1" w:after="100" w:afterAutospacing="1" w:line="290" w:lineRule="atLeast"/>
        <w:ind w:right="300"/>
        <w:contextualSpacing/>
        <w:jc w:val="left"/>
        <w:rPr>
          <w:rFonts w:ascii="??" w:hAnsi="??" w:cs="宋体"/>
          <w:kern w:val="0"/>
          <w:sz w:val="12"/>
          <w:szCs w:val="12"/>
        </w:rPr>
      </w:pPr>
    </w:p>
    <w:p>
      <w:pPr>
        <w:pStyle w:val="11"/>
        <w:spacing w:line="576" w:lineRule="exact"/>
        <w:ind w:firstLine="640"/>
        <w:contextualSpacing/>
        <w:rPr>
          <w:rFonts w:hint="eastAsia" w:ascii="Times New Roman" w:hAnsi="Times New Roman" w:eastAsia="方正黑体_GBK"/>
          <w:sz w:val="32"/>
          <w:szCs w:val="32"/>
        </w:rPr>
      </w:pPr>
    </w:p>
    <w:p>
      <w:pPr>
        <w:pStyle w:val="11"/>
        <w:spacing w:line="576" w:lineRule="exact"/>
        <w:ind w:firstLine="640"/>
        <w:contextualSpacing/>
        <w:rPr>
          <w:rFonts w:ascii="Times New Roman" w:hAnsi="Times New Roman" w:eastAsia="方正黑体_GBK"/>
          <w:sz w:val="32"/>
          <w:szCs w:val="32"/>
        </w:rPr>
      </w:pPr>
      <w:r>
        <w:rPr>
          <w:rFonts w:ascii="Times New Roman" w:hAnsi="Times New Roman" w:eastAsia="方正黑体_GBK"/>
          <w:sz w:val="32"/>
          <w:szCs w:val="32"/>
        </w:rPr>
        <w:t>一、基本职能及主要工作</w:t>
      </w:r>
    </w:p>
    <w:p>
      <w:pPr>
        <w:spacing w:line="576" w:lineRule="exact"/>
        <w:ind w:firstLine="640" w:firstLineChars="200"/>
        <w:contextualSpacing/>
        <w:rPr>
          <w:rFonts w:ascii="Times New Roman" w:hAnsi="Times New Roman" w:eastAsia="方正楷体_GBK"/>
          <w:b/>
          <w:sz w:val="32"/>
          <w:szCs w:val="32"/>
        </w:rPr>
      </w:pPr>
      <w:r>
        <w:rPr>
          <w:rFonts w:ascii="Times New Roman" w:hAnsi="Times New Roman" w:eastAsia="方正楷体_GBK"/>
          <w:b/>
          <w:sz w:val="32"/>
          <w:szCs w:val="32"/>
        </w:rPr>
        <w:t>（一）部门职能简介</w:t>
      </w:r>
    </w:p>
    <w:p>
      <w:pPr>
        <w:spacing w:line="576" w:lineRule="exact"/>
        <w:ind w:firstLine="640" w:firstLineChars="200"/>
        <w:contextualSpacing/>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1.审判法律规定由基层法院管辖的刑事、民事和行政等第一审案件。</w:t>
      </w:r>
    </w:p>
    <w:p>
      <w:pPr>
        <w:spacing w:line="576" w:lineRule="exact"/>
        <w:ind w:firstLine="640" w:firstLineChars="200"/>
        <w:contextualSpacing/>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2.依法审理由上级人民法院指令再审的案件。受理不服本院判决、裁定的各类申诉和再审，对其中确有错误并已发生法律效力的判决、裁定，依法再审。</w:t>
      </w:r>
    </w:p>
    <w:p>
      <w:pPr>
        <w:spacing w:line="576" w:lineRule="exact"/>
        <w:ind w:firstLine="640" w:firstLineChars="200"/>
        <w:contextualSpacing/>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3.依法行使司法执行权和司法决定权。</w:t>
      </w:r>
    </w:p>
    <w:p>
      <w:pPr>
        <w:spacing w:line="576" w:lineRule="exact"/>
        <w:ind w:firstLine="640" w:firstLineChars="200"/>
        <w:contextualSpacing/>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4.对法律、法规、规章等草案提出意见，针对案件审理中发现的问题提出司法建议。</w:t>
      </w:r>
    </w:p>
    <w:p>
      <w:pPr>
        <w:spacing w:line="576" w:lineRule="exact"/>
        <w:ind w:firstLine="640" w:firstLineChars="200"/>
        <w:contextualSpacing/>
        <w:rPr>
          <w:rFonts w:hint="eastAsia"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5.负责本院干部队伍思想</w:t>
      </w:r>
      <w:r>
        <w:rPr>
          <w:rFonts w:ascii="Times New Roman" w:hAnsi="Times New Roman" w:eastAsia="仿宋_GB2312" w:cs="Times New Roman"/>
          <w:kern w:val="0"/>
          <w:sz w:val="32"/>
          <w:szCs w:val="32"/>
          <w:lang w:val="en-US" w:eastAsia="zh-CN" w:bidi="ar-SA"/>
        </w:rPr>
        <w:fldChar w:fldCharType="begin"/>
      </w:r>
      <w:r>
        <w:rPr>
          <w:rFonts w:ascii="Times New Roman" w:hAnsi="Times New Roman" w:eastAsia="仿宋_GB2312" w:cs="Times New Roman"/>
          <w:kern w:val="0"/>
          <w:sz w:val="32"/>
          <w:szCs w:val="32"/>
          <w:lang w:val="en-US" w:eastAsia="zh-CN" w:bidi="ar-SA"/>
        </w:rPr>
        <w:instrText xml:space="preserve"> HYPERLINK "https://www.66law.cn/topic2010/jyf/" \t "_blank" \o "教育" </w:instrText>
      </w:r>
      <w:r>
        <w:rPr>
          <w:rFonts w:ascii="Times New Roman" w:hAnsi="Times New Roman" w:eastAsia="仿宋_GB2312" w:cs="Times New Roman"/>
          <w:kern w:val="0"/>
          <w:sz w:val="32"/>
          <w:szCs w:val="32"/>
          <w:lang w:val="en-US" w:eastAsia="zh-CN" w:bidi="ar-SA"/>
        </w:rPr>
        <w:fldChar w:fldCharType="separate"/>
      </w:r>
      <w:r>
        <w:rPr>
          <w:rFonts w:ascii="Times New Roman" w:hAnsi="Times New Roman" w:eastAsia="仿宋_GB2312" w:cs="Times New Roman"/>
          <w:kern w:val="0"/>
          <w:sz w:val="32"/>
          <w:szCs w:val="32"/>
          <w:lang w:val="en-US" w:eastAsia="zh-CN" w:bidi="ar-SA"/>
        </w:rPr>
        <w:t>教育</w:t>
      </w:r>
      <w:r>
        <w:rPr>
          <w:rFonts w:ascii="Times New Roman" w:hAnsi="Times New Roman" w:eastAsia="仿宋_GB2312" w:cs="Times New Roman"/>
          <w:kern w:val="0"/>
          <w:sz w:val="32"/>
          <w:szCs w:val="32"/>
          <w:lang w:val="en-US" w:eastAsia="zh-CN" w:bidi="ar-SA"/>
        </w:rPr>
        <w:fldChar w:fldCharType="end"/>
      </w:r>
      <w:r>
        <w:rPr>
          <w:rFonts w:ascii="Times New Roman" w:hAnsi="Times New Roman" w:eastAsia="仿宋_GB2312" w:cs="Times New Roman"/>
          <w:kern w:val="0"/>
          <w:sz w:val="32"/>
          <w:szCs w:val="32"/>
          <w:lang w:val="en-US" w:eastAsia="zh-CN" w:bidi="ar-SA"/>
        </w:rPr>
        <w:t>、表彰奖励和教育培训工作;按照干部管理权限管理法官、执行员、书记员、司法警察及司法行政人员。</w:t>
      </w:r>
    </w:p>
    <w:p>
      <w:pPr>
        <w:pStyle w:val="8"/>
        <w:spacing w:before="0" w:beforeAutospacing="0" w:after="450" w:afterAutospacing="0" w:line="576" w:lineRule="exact"/>
        <w:ind w:firstLine="640" w:firstLineChars="200"/>
        <w:contextualSpacing/>
        <w:jc w:val="both"/>
        <w:rPr>
          <w:rFonts w:hint="eastAsia" w:ascii="Times New Roman" w:hAnsi="Times New Roman" w:eastAsia="方正楷体_GBK"/>
          <w:b/>
          <w:sz w:val="32"/>
          <w:szCs w:val="32"/>
        </w:rPr>
      </w:pPr>
      <w:r>
        <w:rPr>
          <w:rFonts w:ascii="Times New Roman" w:hAnsi="Times New Roman" w:eastAsia="方正楷体_GBK"/>
          <w:b/>
          <w:sz w:val="32"/>
          <w:szCs w:val="32"/>
        </w:rPr>
        <w:t>（二）2023年重点工作</w:t>
      </w:r>
    </w:p>
    <w:p>
      <w:pPr>
        <w:pStyle w:val="8"/>
        <w:wordWrap w:val="0"/>
        <w:spacing w:before="0" w:beforeAutospacing="0" w:after="450" w:afterAutospacing="0" w:line="576" w:lineRule="exact"/>
        <w:ind w:firstLine="640" w:firstLineChars="200"/>
        <w:contextualSpacing/>
        <w:jc w:val="both"/>
        <w:rPr>
          <w:rFonts w:hint="eastAsia" w:ascii="Times New Roman" w:hAnsi="Times New Roman" w:eastAsia="仿宋_GB2312"/>
          <w:sz w:val="32"/>
          <w:szCs w:val="32"/>
        </w:rPr>
      </w:pPr>
      <w:r>
        <w:rPr>
          <w:rFonts w:ascii="Times New Roman" w:hAnsi="Times New Roman" w:eastAsia="仿宋_GB2312"/>
          <w:sz w:val="32"/>
          <w:szCs w:val="32"/>
        </w:rPr>
        <w:t>2023年是全面贯彻落实党的二十大精神的开局之年，也是实施“十四五”规划、开启全面建设社会主义现代化国家新征程的关键一年。我院的总体思路是：坚持以习近平新时代中国特色社会主义思想为指导，深入学习贯彻习近平法治思想和党的二十大精神，认真贯彻落实省委、州委、市委的各项决策部署，紧紧围绕“一城两区三地”战略目标，忠实履行审判职责，持续深化司法改革，努力践行司法为民，着力加强队伍建设，为谱写马尔康高质量发展新篇章提供更加有力的司法服务和保障。</w:t>
      </w:r>
    </w:p>
    <w:p>
      <w:pPr>
        <w:pStyle w:val="8"/>
        <w:wordWrap w:val="0"/>
        <w:spacing w:before="0" w:beforeAutospacing="0" w:after="450" w:afterAutospacing="0" w:line="576" w:lineRule="exact"/>
        <w:ind w:firstLine="640" w:firstLineChars="200"/>
        <w:contextualSpacing/>
        <w:jc w:val="both"/>
        <w:rPr>
          <w:rFonts w:ascii="Times New Roman" w:hAnsi="Times New Roman" w:eastAsia="方正黑体_GBK"/>
          <w:sz w:val="32"/>
          <w:szCs w:val="32"/>
        </w:rPr>
      </w:pPr>
    </w:p>
    <w:p>
      <w:pPr>
        <w:pStyle w:val="8"/>
        <w:wordWrap w:val="0"/>
        <w:spacing w:before="0" w:beforeAutospacing="0" w:after="450" w:afterAutospacing="0" w:line="576" w:lineRule="exact"/>
        <w:ind w:firstLine="640" w:firstLineChars="200"/>
        <w:contextualSpacing/>
        <w:jc w:val="both"/>
        <w:rPr>
          <w:rFonts w:ascii="Times New Roman" w:hAnsi="Times New Roman" w:eastAsia="方正黑体_GBK"/>
          <w:sz w:val="32"/>
          <w:szCs w:val="32"/>
        </w:rPr>
      </w:pPr>
      <w:bookmarkStart w:id="0" w:name="_GoBack"/>
      <w:bookmarkEnd w:id="0"/>
      <w:r>
        <w:rPr>
          <w:rFonts w:ascii="Times New Roman" w:hAnsi="Times New Roman" w:eastAsia="方正黑体_GBK"/>
          <w:sz w:val="32"/>
          <w:szCs w:val="32"/>
        </w:rPr>
        <w:t>二、部门预算单位构成</w:t>
      </w:r>
    </w:p>
    <w:p>
      <w:pPr>
        <w:pStyle w:val="8"/>
        <w:wordWrap w:val="0"/>
        <w:spacing w:before="0" w:beforeAutospacing="0" w:after="450" w:afterAutospacing="0" w:line="576" w:lineRule="exact"/>
        <w:ind w:firstLine="640" w:firstLineChars="200"/>
        <w:contextualSpacing/>
        <w:jc w:val="both"/>
        <w:rPr>
          <w:rFonts w:hint="eastAsia" w:ascii="Times New Roman" w:hAnsi="Times New Roman" w:eastAsia="仿宋_GB2312"/>
          <w:sz w:val="32"/>
          <w:szCs w:val="32"/>
        </w:rPr>
      </w:pPr>
      <w:r>
        <w:rPr>
          <w:rFonts w:ascii="Times New Roman" w:hAnsi="Times New Roman" w:eastAsia="仿宋_GB2312"/>
          <w:sz w:val="32"/>
          <w:szCs w:val="32"/>
        </w:rPr>
        <w:t>马尔康市人民法院属一级预算单位，下属二级预算单位0个，其中：行政单位0个；参照公务员法管理的事业单位0个；其他事业单位0个。</w:t>
      </w:r>
    </w:p>
    <w:p>
      <w:pPr>
        <w:pStyle w:val="8"/>
        <w:wordWrap w:val="0"/>
        <w:spacing w:before="0" w:beforeAutospacing="0" w:after="450" w:afterAutospacing="0" w:line="576" w:lineRule="exact"/>
        <w:ind w:firstLine="640" w:firstLineChars="200"/>
        <w:contextualSpacing/>
        <w:jc w:val="both"/>
        <w:rPr>
          <w:rFonts w:hint="eastAsia" w:ascii="Times New Roman" w:hAnsi="Times New Roman" w:eastAsia="方正黑体_GBK"/>
          <w:sz w:val="32"/>
          <w:szCs w:val="32"/>
        </w:rPr>
      </w:pPr>
      <w:r>
        <w:rPr>
          <w:rFonts w:ascii="Times New Roman" w:hAnsi="Times New Roman" w:eastAsia="方正黑体_GBK"/>
          <w:sz w:val="32"/>
          <w:szCs w:val="32"/>
        </w:rPr>
        <w:t>三、收支预算情况说明</w:t>
      </w:r>
    </w:p>
    <w:p>
      <w:pPr>
        <w:pStyle w:val="8"/>
        <w:wordWrap w:val="0"/>
        <w:spacing w:before="0" w:beforeAutospacing="0" w:after="450" w:afterAutospacing="0" w:line="576" w:lineRule="exact"/>
        <w:ind w:firstLine="640" w:firstLineChars="200"/>
        <w:contextualSpacing/>
        <w:jc w:val="both"/>
        <w:rPr>
          <w:rFonts w:hint="eastAsia" w:ascii="Times New Roman" w:hAnsi="Times New Roman" w:eastAsia="仿宋_GB2312"/>
          <w:sz w:val="32"/>
          <w:szCs w:val="32"/>
        </w:rPr>
      </w:pPr>
      <w:r>
        <w:rPr>
          <w:rFonts w:ascii="Times New Roman" w:hAnsi="Times New Roman" w:eastAsia="仿宋_GB2312"/>
          <w:sz w:val="32"/>
          <w:szCs w:val="32"/>
        </w:rPr>
        <w:t>按照综合预算的原则，马尔康市人民法院所有收入和支出均纳入部门预算管理。收入包括：一般公共预算拨款收入1659.15万元，事业收入0万元，其他收入0万元；支出包括：公共安全支出1219.09万元，教育支出0万元，文化体育与传媒支出0万元，社会保障和就业支出214.28万元，卫生健康支出95.92万元，住房保障支出129.85万元。马尔康市人民法院2023年收支总预算1659.15万元,　比2022年收支预算总数增加215万元，主要原因:本年新增草登法庭完善提升项目180万元，其余为人员经费增长，在职职工的工资及社会保障缴费、住房公积金等增长。</w:t>
      </w:r>
    </w:p>
    <w:p>
      <w:pPr>
        <w:pStyle w:val="8"/>
        <w:wordWrap w:val="0"/>
        <w:spacing w:before="0" w:beforeAutospacing="0" w:after="450" w:afterAutospacing="0" w:line="576" w:lineRule="exact"/>
        <w:ind w:firstLine="640" w:firstLineChars="200"/>
        <w:contextualSpacing/>
        <w:jc w:val="both"/>
        <w:rPr>
          <w:rFonts w:hint="eastAsia" w:ascii="Times New Roman" w:hAnsi="Times New Roman" w:eastAsia="方正楷体_GBK"/>
          <w:b/>
          <w:sz w:val="32"/>
          <w:szCs w:val="32"/>
        </w:rPr>
      </w:pPr>
      <w:r>
        <w:rPr>
          <w:rFonts w:ascii="Times New Roman" w:hAnsi="Times New Roman" w:eastAsia="方正楷体_GBK"/>
          <w:b/>
          <w:sz w:val="32"/>
          <w:szCs w:val="32"/>
        </w:rPr>
        <w:t>（一）收入预算情况</w:t>
      </w:r>
    </w:p>
    <w:p>
      <w:pPr>
        <w:pStyle w:val="8"/>
        <w:spacing w:before="0" w:beforeAutospacing="0" w:after="450" w:afterAutospacing="0" w:line="576" w:lineRule="exact"/>
        <w:ind w:firstLine="640" w:firstLineChars="200"/>
        <w:contextualSpacing/>
        <w:jc w:val="both"/>
        <w:rPr>
          <w:rFonts w:hint="eastAsia" w:ascii="Times New Roman" w:hAnsi="Times New Roman" w:eastAsia="仿宋_GB2312"/>
          <w:sz w:val="32"/>
          <w:szCs w:val="32"/>
        </w:rPr>
      </w:pPr>
      <w:r>
        <w:rPr>
          <w:rFonts w:ascii="Times New Roman" w:hAnsi="Times New Roman" w:eastAsia="仿宋_GB2312"/>
          <w:sz w:val="32"/>
          <w:szCs w:val="32"/>
        </w:rPr>
        <w:t>马尔康市人民法院2023年收入预算1659.15万元，其中：上年结转0万元，占0%；一般公共预算拨款收入1659.15万元，占100%；事业收入0万元，占0%；其他收入0万元，占0%。</w:t>
      </w:r>
    </w:p>
    <w:p>
      <w:pPr>
        <w:pStyle w:val="8"/>
        <w:spacing w:before="0" w:beforeAutospacing="0" w:after="450" w:afterAutospacing="0" w:line="576" w:lineRule="exact"/>
        <w:ind w:firstLine="640" w:firstLineChars="200"/>
        <w:contextualSpacing/>
        <w:jc w:val="both"/>
        <w:rPr>
          <w:rFonts w:ascii="Times New Roman" w:hAnsi="Times New Roman" w:eastAsia="方正楷体_GBK"/>
          <w:b/>
          <w:sz w:val="32"/>
          <w:szCs w:val="32"/>
        </w:rPr>
      </w:pPr>
      <w:r>
        <w:rPr>
          <w:rFonts w:ascii="Times New Roman" w:hAnsi="Times New Roman" w:eastAsia="方正楷体_GBK"/>
          <w:b/>
          <w:sz w:val="32"/>
          <w:szCs w:val="32"/>
        </w:rPr>
        <w:t>（二）支出预算情况</w:t>
      </w:r>
    </w:p>
    <w:p>
      <w:pPr>
        <w:pStyle w:val="8"/>
        <w:spacing w:before="0" w:beforeAutospacing="0" w:after="450" w:afterAutospacing="0" w:line="576" w:lineRule="exact"/>
        <w:ind w:firstLine="640" w:firstLineChars="200"/>
        <w:contextualSpacing/>
        <w:jc w:val="both"/>
        <w:rPr>
          <w:rFonts w:ascii="Times New Roman" w:hAnsi="Times New Roman" w:eastAsia="仿宋_GB2312"/>
          <w:sz w:val="32"/>
          <w:szCs w:val="32"/>
        </w:rPr>
      </w:pPr>
      <w:r>
        <w:rPr>
          <w:rFonts w:ascii="Times New Roman" w:hAnsi="Times New Roman" w:eastAsia="仿宋_GB2312"/>
          <w:sz w:val="32"/>
          <w:szCs w:val="32"/>
        </w:rPr>
        <w:t>马尔康市人民法院2023年支出预算1659.15万元，其中：基本支出1471.48万元，占89%；项目支出187.67万元，占11%。</w:t>
      </w:r>
    </w:p>
    <w:p>
      <w:pPr>
        <w:pStyle w:val="11"/>
        <w:spacing w:line="576" w:lineRule="exact"/>
        <w:ind w:firstLine="640"/>
        <w:contextualSpacing/>
        <w:rPr>
          <w:rFonts w:ascii="Times New Roman" w:hAnsi="Times New Roman" w:eastAsia="方正黑体_GBK"/>
          <w:sz w:val="32"/>
          <w:szCs w:val="32"/>
        </w:rPr>
      </w:pPr>
      <w:r>
        <w:rPr>
          <w:rFonts w:ascii="Times New Roman" w:hAnsi="Times New Roman" w:eastAsia="方正黑体_GBK"/>
          <w:sz w:val="32"/>
          <w:szCs w:val="32"/>
        </w:rPr>
        <w:t>四、财政拨款收支预算情况说明</w:t>
      </w:r>
    </w:p>
    <w:p>
      <w:pPr>
        <w:pStyle w:val="8"/>
        <w:wordWrap w:val="0"/>
        <w:spacing w:before="0" w:beforeAutospacing="0" w:after="450" w:afterAutospacing="0" w:line="576" w:lineRule="exact"/>
        <w:ind w:firstLine="640" w:firstLineChars="200"/>
        <w:contextualSpacing/>
        <w:jc w:val="both"/>
        <w:rPr>
          <w:rFonts w:hint="eastAsia" w:ascii="Times New Roman" w:hAnsi="Times New Roman" w:eastAsia="仿宋_GB2312"/>
          <w:sz w:val="32"/>
          <w:szCs w:val="32"/>
        </w:rPr>
      </w:pPr>
      <w:r>
        <w:rPr>
          <w:rFonts w:ascii="Times New Roman" w:hAnsi="Times New Roman" w:eastAsia="仿宋_GB2312"/>
          <w:sz w:val="32"/>
          <w:szCs w:val="32"/>
        </w:rPr>
        <w:t xml:space="preserve">马尔康市人民法院2023年收支总预算1659.15万元,　比2022年收支预算总数增加215万元，主要原因:本年新增草登法庭完善提升项目180万元，其余为人员经费增长，在职职工的工资及社会保障缴费、住房公积金等增长。收入包括：本年一般公共预算拨款收入1659.15万元。 </w:t>
      </w:r>
      <w:r>
        <w:rPr>
          <w:rFonts w:ascii="Times New Roman" w:hAnsi="Times New Roman" w:eastAsia="仿宋_GB2312"/>
          <w:sz w:val="32"/>
          <w:szCs w:val="32"/>
        </w:rPr>
        <w:br w:type="textWrapping"/>
      </w:r>
      <w:r>
        <w:rPr>
          <w:rFonts w:ascii="Times New Roman" w:hAnsi="Times New Roman" w:eastAsia="仿宋_GB2312"/>
          <w:sz w:val="32"/>
          <w:szCs w:val="32"/>
        </w:rPr>
        <w:t>　　支出包括：一般公共预算拨款收入1659.15万元，事业收入0万元，其他收入0万元；支出包括：公共安全支出1219.09万元，教育支出0万元，文化体育与传媒支出0万元，社会保障和就业支出214.28万元，卫生健康支出95.92万元，住房保障支出129.85万元。</w:t>
      </w:r>
    </w:p>
    <w:p>
      <w:pPr>
        <w:pStyle w:val="8"/>
        <w:wordWrap w:val="0"/>
        <w:spacing w:before="0" w:beforeAutospacing="0" w:after="450" w:afterAutospacing="0" w:line="576" w:lineRule="exact"/>
        <w:ind w:firstLine="640" w:firstLineChars="200"/>
        <w:contextualSpacing/>
        <w:jc w:val="both"/>
        <w:rPr>
          <w:rFonts w:hint="eastAsia" w:ascii="Times New Roman" w:hAnsi="Times New Roman" w:eastAsia="方正黑体_GBK"/>
          <w:sz w:val="32"/>
          <w:szCs w:val="32"/>
        </w:rPr>
      </w:pPr>
      <w:r>
        <w:rPr>
          <w:rFonts w:ascii="Times New Roman" w:hAnsi="Times New Roman" w:eastAsia="方正黑体_GBK"/>
          <w:sz w:val="32"/>
          <w:szCs w:val="32"/>
        </w:rPr>
        <w:t>五、一般公共预算当年拨款情况说明</w:t>
      </w:r>
    </w:p>
    <w:p>
      <w:pPr>
        <w:pStyle w:val="8"/>
        <w:wordWrap w:val="0"/>
        <w:spacing w:before="0" w:beforeAutospacing="0" w:after="450" w:afterAutospacing="0" w:line="576" w:lineRule="exact"/>
        <w:ind w:firstLine="640" w:firstLineChars="200"/>
        <w:contextualSpacing/>
        <w:jc w:val="both"/>
        <w:rPr>
          <w:rFonts w:hint="eastAsia" w:ascii="Times New Roman" w:hAnsi="Times New Roman" w:eastAsia="方正楷体_GBK"/>
          <w:b/>
          <w:sz w:val="32"/>
          <w:szCs w:val="32"/>
        </w:rPr>
      </w:pPr>
      <w:r>
        <w:rPr>
          <w:rFonts w:ascii="Times New Roman" w:hAnsi="Times New Roman" w:eastAsia="方正楷体_GBK"/>
          <w:b/>
          <w:sz w:val="32"/>
          <w:szCs w:val="32"/>
        </w:rPr>
        <w:t>（一）一般公共预算当年拨款规模变化情况</w:t>
      </w:r>
    </w:p>
    <w:p>
      <w:pPr>
        <w:pStyle w:val="8"/>
        <w:wordWrap w:val="0"/>
        <w:spacing w:before="0" w:beforeAutospacing="0" w:after="450" w:afterAutospacing="0" w:line="576" w:lineRule="exact"/>
        <w:ind w:firstLine="640" w:firstLineChars="200"/>
        <w:contextualSpacing/>
        <w:jc w:val="both"/>
        <w:rPr>
          <w:rFonts w:hint="eastAsia" w:ascii="Times New Roman" w:hAnsi="Times New Roman" w:eastAsia="仿宋_GB2312"/>
          <w:sz w:val="32"/>
          <w:szCs w:val="32"/>
        </w:rPr>
      </w:pPr>
      <w:r>
        <w:rPr>
          <w:rFonts w:ascii="Times New Roman" w:hAnsi="Times New Roman" w:eastAsia="仿宋_GB2312"/>
          <w:sz w:val="32"/>
          <w:szCs w:val="32"/>
        </w:rPr>
        <w:t>马尔康市人民法院2023年收支总预算1659.15万元,　比2022年收支预算总数增加215万元，主要原因:本年新增草登法庭完善提升项目180万元，其余为人员经费增长，在职职工的工资及社会保障缴费、住房公积金等增长。</w:t>
      </w:r>
    </w:p>
    <w:p>
      <w:pPr>
        <w:pStyle w:val="8"/>
        <w:wordWrap w:val="0"/>
        <w:spacing w:before="0" w:beforeAutospacing="0" w:after="450" w:afterAutospacing="0" w:line="576" w:lineRule="exact"/>
        <w:ind w:firstLine="640" w:firstLineChars="200"/>
        <w:contextualSpacing/>
        <w:jc w:val="both"/>
        <w:rPr>
          <w:rFonts w:ascii="Times New Roman" w:hAnsi="Times New Roman" w:eastAsia="方正楷体_GBK"/>
          <w:b/>
          <w:sz w:val="32"/>
          <w:szCs w:val="32"/>
        </w:rPr>
      </w:pPr>
      <w:r>
        <w:rPr>
          <w:rFonts w:ascii="Times New Roman" w:hAnsi="Times New Roman" w:eastAsia="方正楷体_GBK"/>
          <w:b/>
          <w:sz w:val="32"/>
          <w:szCs w:val="32"/>
        </w:rPr>
        <w:t>（二）一般公共预算当年拨款结构情况</w:t>
      </w:r>
    </w:p>
    <w:p>
      <w:pPr>
        <w:pStyle w:val="8"/>
        <w:wordWrap w:val="0"/>
        <w:spacing w:before="0" w:beforeAutospacing="0" w:after="450" w:afterAutospacing="0" w:line="576" w:lineRule="exact"/>
        <w:ind w:firstLine="640" w:firstLineChars="200"/>
        <w:contextualSpacing/>
        <w:jc w:val="both"/>
        <w:rPr>
          <w:rFonts w:hint="eastAsia" w:ascii="Times New Roman" w:hAnsi="Times New Roman" w:eastAsia="仿宋_GB2312"/>
          <w:sz w:val="32"/>
          <w:szCs w:val="32"/>
        </w:rPr>
      </w:pPr>
      <w:r>
        <w:rPr>
          <w:rFonts w:ascii="Times New Roman" w:hAnsi="Times New Roman" w:eastAsia="仿宋_GB2312"/>
          <w:sz w:val="32"/>
          <w:szCs w:val="32"/>
        </w:rPr>
        <w:t>马尔康市人民法院2023年一般公共预算拨款收入1659.15万元，事业收入0万元，其他收入0万元；支出包括：公共安全支出1219.09万元，占总收入</w:t>
      </w:r>
      <w:r>
        <w:rPr>
          <w:rFonts w:ascii="Times New Roman" w:hAnsi="Times New Roman" w:eastAsia="仿宋_GB2312"/>
          <w:kern w:val="2"/>
          <w:sz w:val="32"/>
          <w:szCs w:val="32"/>
        </w:rPr>
        <w:t>73.48%；</w:t>
      </w:r>
      <w:r>
        <w:rPr>
          <w:rFonts w:ascii="Times New Roman" w:hAnsi="Times New Roman" w:eastAsia="仿宋_GB2312"/>
          <w:sz w:val="32"/>
          <w:szCs w:val="32"/>
        </w:rPr>
        <w:t>教育支出0万元，文化体育与传媒支出0万元，社会保障和就业支出214.28万元，占总收入</w:t>
      </w:r>
      <w:r>
        <w:rPr>
          <w:rFonts w:ascii="Times New Roman" w:hAnsi="Times New Roman" w:eastAsia="仿宋_GB2312"/>
          <w:kern w:val="2"/>
          <w:sz w:val="32"/>
          <w:szCs w:val="32"/>
        </w:rPr>
        <w:t>12.92%；</w:t>
      </w:r>
      <w:r>
        <w:rPr>
          <w:rFonts w:ascii="Times New Roman" w:hAnsi="Times New Roman" w:eastAsia="仿宋_GB2312"/>
          <w:sz w:val="32"/>
          <w:szCs w:val="32"/>
        </w:rPr>
        <w:t>卫生健康支出95.92万元，占总收入</w:t>
      </w:r>
      <w:r>
        <w:rPr>
          <w:rFonts w:ascii="Times New Roman" w:hAnsi="Times New Roman" w:eastAsia="仿宋_GB2312"/>
          <w:kern w:val="2"/>
          <w:sz w:val="32"/>
          <w:szCs w:val="32"/>
        </w:rPr>
        <w:t>5.78%；</w:t>
      </w:r>
      <w:r>
        <w:rPr>
          <w:rFonts w:ascii="Times New Roman" w:hAnsi="Times New Roman" w:eastAsia="仿宋_GB2312"/>
          <w:sz w:val="32"/>
          <w:szCs w:val="32"/>
        </w:rPr>
        <w:t>住房保障支出129.85万元，占总收入</w:t>
      </w:r>
      <w:r>
        <w:rPr>
          <w:rFonts w:ascii="Times New Roman" w:hAnsi="Times New Roman" w:eastAsia="仿宋_GB2312"/>
          <w:kern w:val="2"/>
          <w:sz w:val="32"/>
          <w:szCs w:val="32"/>
        </w:rPr>
        <w:t>7.83%</w:t>
      </w:r>
      <w:r>
        <w:rPr>
          <w:rFonts w:ascii="Times New Roman" w:hAnsi="Times New Roman" w:eastAsia="仿宋_GB2312"/>
          <w:sz w:val="32"/>
          <w:szCs w:val="32"/>
        </w:rPr>
        <w:t>。</w:t>
      </w:r>
    </w:p>
    <w:p>
      <w:pPr>
        <w:pStyle w:val="8"/>
        <w:wordWrap w:val="0"/>
        <w:spacing w:before="0" w:beforeAutospacing="0" w:after="450" w:afterAutospacing="0" w:line="576" w:lineRule="exact"/>
        <w:ind w:firstLine="640" w:firstLineChars="200"/>
        <w:contextualSpacing/>
        <w:jc w:val="both"/>
        <w:rPr>
          <w:rFonts w:hint="eastAsia" w:ascii="Times New Roman" w:hAnsi="Times New Roman" w:eastAsia="方正楷体_GBK"/>
          <w:b/>
          <w:sz w:val="32"/>
          <w:szCs w:val="32"/>
        </w:rPr>
      </w:pPr>
      <w:r>
        <w:rPr>
          <w:rFonts w:ascii="Times New Roman" w:hAnsi="Times New Roman" w:eastAsia="方正楷体_GBK"/>
          <w:b/>
          <w:sz w:val="32"/>
          <w:szCs w:val="32"/>
        </w:rPr>
        <w:t>（三）一般公共预算当年拨款具体使用情况</w:t>
      </w:r>
    </w:p>
    <w:p>
      <w:pPr>
        <w:pStyle w:val="12"/>
        <w:spacing w:before="0" w:line="576" w:lineRule="exact"/>
        <w:ind w:firstLine="640" w:firstLineChars="200"/>
        <w:contextualSpacing/>
        <w:rPr>
          <w:rFonts w:hint="eastAsia" w:ascii="Times New Roman" w:hAnsi="Times New Roman" w:eastAsia="方正仿宋_GBK"/>
          <w:kern w:val="2"/>
          <w:sz w:val="32"/>
          <w:szCs w:val="32"/>
        </w:rPr>
      </w:pPr>
      <w:r>
        <w:rPr>
          <w:rFonts w:ascii="Times New Roman" w:hAnsi="Times New Roman" w:eastAsia="方正仿宋_GBK"/>
          <w:kern w:val="2"/>
          <w:sz w:val="32"/>
          <w:szCs w:val="32"/>
        </w:rPr>
        <w:t>1．公共安全支出（204）法院（05）行政运行（01）</w:t>
      </w:r>
    </w:p>
    <w:p>
      <w:pPr>
        <w:pStyle w:val="12"/>
        <w:spacing w:before="0" w:line="576" w:lineRule="exact"/>
        <w:ind w:firstLine="640" w:firstLineChars="200"/>
        <w:contextualSpacing/>
        <w:rPr>
          <w:rFonts w:hint="eastAsia" w:ascii="Times New Roman" w:hAnsi="Times New Roman" w:eastAsia="方正仿宋_GBK"/>
          <w:kern w:val="2"/>
          <w:sz w:val="32"/>
          <w:szCs w:val="32"/>
        </w:rPr>
      </w:pPr>
      <w:r>
        <w:rPr>
          <w:rFonts w:ascii="Times New Roman" w:hAnsi="Times New Roman" w:eastAsia="方正仿宋_GBK"/>
          <w:kern w:val="2"/>
          <w:sz w:val="32"/>
          <w:szCs w:val="32"/>
        </w:rPr>
        <w:t>202</w:t>
      </w:r>
      <w:r>
        <w:rPr>
          <w:rFonts w:hint="eastAsia" w:ascii="Times New Roman" w:hAnsi="Times New Roman" w:eastAsia="方正仿宋_GBK"/>
          <w:kern w:val="2"/>
          <w:sz w:val="32"/>
          <w:szCs w:val="32"/>
        </w:rPr>
        <w:t>3</w:t>
      </w:r>
      <w:r>
        <w:rPr>
          <w:rFonts w:ascii="Times New Roman" w:hAnsi="Times New Roman" w:eastAsia="方正仿宋_GBK"/>
          <w:kern w:val="2"/>
          <w:sz w:val="32"/>
          <w:szCs w:val="32"/>
        </w:rPr>
        <w:t>年预算数为1219.09万元，主要用于:人员工资、津贴补贴、单位日常运行办公费、水电费、邮电费、印刷费、差旅费、燃油费、公务接待费等支出。</w:t>
      </w:r>
      <w:r>
        <w:rPr>
          <w:rFonts w:ascii="Times New Roman" w:hAnsi="Times New Roman" w:eastAsia="方正仿宋_GBK"/>
          <w:kern w:val="2"/>
          <w:sz w:val="32"/>
          <w:szCs w:val="32"/>
        </w:rPr>
        <w:br w:type="textWrapping"/>
      </w:r>
      <w:r>
        <w:rPr>
          <w:rFonts w:ascii="Times New Roman" w:hAnsi="Times New Roman" w:eastAsia="方正仿宋_GBK"/>
          <w:kern w:val="2"/>
          <w:sz w:val="32"/>
          <w:szCs w:val="32"/>
        </w:rPr>
        <w:t>　　 2．社会保障和就业支出（208）行政事业单位离退休（05）机关事业单位基本养老保险缴费支出（05）</w:t>
      </w:r>
    </w:p>
    <w:p>
      <w:pPr>
        <w:pStyle w:val="12"/>
        <w:spacing w:before="0" w:line="576" w:lineRule="exact"/>
        <w:ind w:firstLine="640" w:firstLineChars="200"/>
        <w:contextualSpacing/>
        <w:rPr>
          <w:rFonts w:hint="eastAsia" w:ascii="Times New Roman" w:hAnsi="Times New Roman" w:eastAsia="方正仿宋_GBK"/>
          <w:kern w:val="2"/>
          <w:sz w:val="32"/>
          <w:szCs w:val="32"/>
        </w:rPr>
      </w:pPr>
      <w:r>
        <w:rPr>
          <w:rFonts w:ascii="Times New Roman" w:hAnsi="Times New Roman" w:eastAsia="方正仿宋_GBK"/>
          <w:kern w:val="2"/>
          <w:sz w:val="32"/>
          <w:szCs w:val="32"/>
        </w:rPr>
        <w:t>202</w:t>
      </w:r>
      <w:r>
        <w:rPr>
          <w:rFonts w:hint="eastAsia" w:ascii="Times New Roman" w:hAnsi="Times New Roman" w:eastAsia="方正仿宋_GBK"/>
          <w:kern w:val="2"/>
          <w:sz w:val="32"/>
          <w:szCs w:val="32"/>
        </w:rPr>
        <w:t>3</w:t>
      </w:r>
      <w:r>
        <w:rPr>
          <w:rFonts w:ascii="Times New Roman" w:hAnsi="Times New Roman" w:eastAsia="方正仿宋_GBK"/>
          <w:kern w:val="2"/>
          <w:sz w:val="32"/>
          <w:szCs w:val="32"/>
        </w:rPr>
        <w:t xml:space="preserve">年预算数为142.86万元，主要用于：单位职工养老保险缴费支出。　 </w:t>
      </w:r>
    </w:p>
    <w:p>
      <w:pPr>
        <w:pStyle w:val="12"/>
        <w:spacing w:before="0" w:line="576" w:lineRule="exact"/>
        <w:ind w:firstLine="640" w:firstLineChars="200"/>
        <w:contextualSpacing/>
        <w:rPr>
          <w:rFonts w:hint="eastAsia" w:ascii="Times New Roman" w:hAnsi="Times New Roman" w:eastAsia="方正仿宋_GBK"/>
          <w:kern w:val="2"/>
          <w:sz w:val="32"/>
          <w:szCs w:val="32"/>
        </w:rPr>
      </w:pPr>
      <w:r>
        <w:rPr>
          <w:rFonts w:ascii="Times New Roman" w:hAnsi="Times New Roman" w:eastAsia="方正仿宋_GBK"/>
          <w:kern w:val="2"/>
          <w:sz w:val="32"/>
          <w:szCs w:val="32"/>
        </w:rPr>
        <w:t xml:space="preserve"> 3．社会保障和就业支出（208）行政事业单位离退休（05）机关事业单位职业年金缴费支出（06）</w:t>
      </w:r>
    </w:p>
    <w:p>
      <w:pPr>
        <w:pStyle w:val="12"/>
        <w:spacing w:before="0" w:line="576" w:lineRule="exact"/>
        <w:ind w:firstLine="640" w:firstLineChars="200"/>
        <w:contextualSpacing/>
        <w:rPr>
          <w:rFonts w:hint="eastAsia" w:ascii="Times New Roman" w:hAnsi="Times New Roman" w:eastAsia="方正仿宋_GBK"/>
          <w:kern w:val="2"/>
          <w:sz w:val="32"/>
          <w:szCs w:val="32"/>
        </w:rPr>
      </w:pPr>
      <w:r>
        <w:rPr>
          <w:rFonts w:ascii="Times New Roman" w:hAnsi="Times New Roman" w:eastAsia="方正仿宋_GBK"/>
          <w:kern w:val="2"/>
          <w:sz w:val="32"/>
          <w:szCs w:val="32"/>
        </w:rPr>
        <w:t>202</w:t>
      </w:r>
      <w:r>
        <w:rPr>
          <w:rFonts w:hint="eastAsia" w:ascii="Times New Roman" w:hAnsi="Times New Roman" w:eastAsia="方正仿宋_GBK"/>
          <w:kern w:val="2"/>
          <w:sz w:val="32"/>
          <w:szCs w:val="32"/>
        </w:rPr>
        <w:t>3</w:t>
      </w:r>
      <w:r>
        <w:rPr>
          <w:rFonts w:ascii="Times New Roman" w:hAnsi="Times New Roman" w:eastAsia="方正仿宋_GBK"/>
          <w:kern w:val="2"/>
          <w:sz w:val="32"/>
          <w:szCs w:val="32"/>
        </w:rPr>
        <w:t>年预算数为71.43万元，主要用于：单位职工职业年金缴费支出。</w:t>
      </w:r>
    </w:p>
    <w:p>
      <w:pPr>
        <w:pStyle w:val="12"/>
        <w:spacing w:before="0" w:line="576" w:lineRule="exact"/>
        <w:ind w:firstLine="640" w:firstLineChars="200"/>
        <w:contextualSpacing/>
        <w:rPr>
          <w:rFonts w:hint="eastAsia" w:ascii="Times New Roman" w:hAnsi="Times New Roman" w:eastAsia="方正仿宋_GBK"/>
          <w:kern w:val="2"/>
          <w:sz w:val="32"/>
          <w:szCs w:val="32"/>
        </w:rPr>
      </w:pPr>
      <w:r>
        <w:rPr>
          <w:rFonts w:ascii="Times New Roman" w:hAnsi="Times New Roman" w:eastAsia="方正仿宋_GBK"/>
          <w:kern w:val="2"/>
          <w:sz w:val="32"/>
          <w:szCs w:val="32"/>
        </w:rPr>
        <w:t xml:space="preserve"> 4. 卫生健康支出（210）行政事业单位医疗（11）行政单位医疗（01）</w:t>
      </w:r>
    </w:p>
    <w:p>
      <w:pPr>
        <w:pStyle w:val="12"/>
        <w:spacing w:before="0" w:line="576" w:lineRule="exact"/>
        <w:ind w:firstLine="640" w:firstLineChars="200"/>
        <w:contextualSpacing/>
        <w:rPr>
          <w:rFonts w:hint="eastAsia" w:ascii="Times New Roman" w:hAnsi="Times New Roman" w:eastAsia="方正仿宋_GBK"/>
          <w:kern w:val="2"/>
          <w:sz w:val="32"/>
          <w:szCs w:val="32"/>
        </w:rPr>
      </w:pPr>
      <w:r>
        <w:rPr>
          <w:rFonts w:ascii="Times New Roman" w:hAnsi="Times New Roman" w:eastAsia="方正仿宋_GBK"/>
          <w:kern w:val="2"/>
          <w:sz w:val="32"/>
          <w:szCs w:val="32"/>
        </w:rPr>
        <w:t>202</w:t>
      </w:r>
      <w:r>
        <w:rPr>
          <w:rFonts w:hint="eastAsia" w:ascii="Times New Roman" w:hAnsi="Times New Roman" w:eastAsia="方正仿宋_GBK"/>
          <w:kern w:val="2"/>
          <w:sz w:val="32"/>
          <w:szCs w:val="32"/>
        </w:rPr>
        <w:t>3</w:t>
      </w:r>
      <w:r>
        <w:rPr>
          <w:rFonts w:ascii="Times New Roman" w:hAnsi="Times New Roman" w:eastAsia="方正仿宋_GBK"/>
          <w:kern w:val="2"/>
          <w:sz w:val="32"/>
          <w:szCs w:val="32"/>
        </w:rPr>
        <w:t>年预算数为77.32万元，主要用于：单位职工城镇医疗保险费缴费支出。</w:t>
      </w:r>
    </w:p>
    <w:p>
      <w:pPr>
        <w:pStyle w:val="12"/>
        <w:spacing w:before="0" w:line="576" w:lineRule="exact"/>
        <w:ind w:firstLine="640" w:firstLineChars="200"/>
        <w:contextualSpacing/>
        <w:rPr>
          <w:rFonts w:hint="eastAsia" w:ascii="Times New Roman" w:hAnsi="Times New Roman" w:eastAsia="方正仿宋_GBK"/>
          <w:kern w:val="2"/>
          <w:sz w:val="32"/>
          <w:szCs w:val="32"/>
        </w:rPr>
      </w:pPr>
      <w:r>
        <w:rPr>
          <w:rFonts w:ascii="Times New Roman" w:hAnsi="Times New Roman" w:eastAsia="方正仿宋_GBK"/>
          <w:kern w:val="2"/>
          <w:sz w:val="32"/>
          <w:szCs w:val="32"/>
        </w:rPr>
        <w:t>5. 卫生健康支出（210）行政事业单位医疗（11）公务员医疗补助（03）</w:t>
      </w:r>
    </w:p>
    <w:p>
      <w:pPr>
        <w:pStyle w:val="12"/>
        <w:spacing w:before="0" w:line="576" w:lineRule="exact"/>
        <w:ind w:firstLine="640" w:firstLineChars="200"/>
        <w:contextualSpacing/>
        <w:rPr>
          <w:rFonts w:hint="eastAsia" w:ascii="Times New Roman" w:hAnsi="Times New Roman" w:eastAsia="方正仿宋_GBK"/>
          <w:kern w:val="2"/>
          <w:sz w:val="32"/>
          <w:szCs w:val="32"/>
        </w:rPr>
      </w:pPr>
      <w:r>
        <w:rPr>
          <w:rFonts w:ascii="Times New Roman" w:hAnsi="Times New Roman" w:eastAsia="方正仿宋_GBK"/>
          <w:kern w:val="2"/>
          <w:sz w:val="32"/>
          <w:szCs w:val="32"/>
        </w:rPr>
        <w:t>202</w:t>
      </w:r>
      <w:r>
        <w:rPr>
          <w:rFonts w:hint="eastAsia" w:ascii="Times New Roman" w:hAnsi="Times New Roman" w:eastAsia="方正仿宋_GBK"/>
          <w:kern w:val="2"/>
          <w:sz w:val="32"/>
          <w:szCs w:val="32"/>
        </w:rPr>
        <w:t>3</w:t>
      </w:r>
      <w:r>
        <w:rPr>
          <w:rFonts w:ascii="Times New Roman" w:hAnsi="Times New Roman" w:eastAsia="方正仿宋_GBK"/>
          <w:kern w:val="2"/>
          <w:sz w:val="32"/>
          <w:szCs w:val="32"/>
        </w:rPr>
        <w:t>年预算数为18.61万元，主要用于：单位职工公务员医疗补助支出。</w:t>
      </w:r>
    </w:p>
    <w:p>
      <w:pPr>
        <w:pStyle w:val="12"/>
        <w:spacing w:before="0" w:line="576" w:lineRule="exact"/>
        <w:ind w:firstLine="640" w:firstLineChars="200"/>
        <w:contextualSpacing/>
        <w:rPr>
          <w:rFonts w:hint="eastAsia" w:ascii="Times New Roman" w:hAnsi="Times New Roman" w:eastAsia="方正仿宋_GBK"/>
          <w:kern w:val="2"/>
          <w:sz w:val="32"/>
          <w:szCs w:val="32"/>
        </w:rPr>
      </w:pPr>
      <w:r>
        <w:rPr>
          <w:rFonts w:ascii="Times New Roman" w:hAnsi="Times New Roman" w:eastAsia="方正仿宋_GBK"/>
          <w:kern w:val="2"/>
          <w:sz w:val="32"/>
          <w:szCs w:val="32"/>
        </w:rPr>
        <w:t>6. 住房保障支出（221）住房改革支出（02）住房公积金（01）</w:t>
      </w:r>
    </w:p>
    <w:p>
      <w:pPr>
        <w:pStyle w:val="12"/>
        <w:spacing w:before="0" w:line="576" w:lineRule="exact"/>
        <w:ind w:firstLine="640" w:firstLineChars="200"/>
        <w:contextualSpacing/>
        <w:rPr>
          <w:rFonts w:hint="eastAsia" w:ascii="Times New Roman" w:hAnsi="Times New Roman" w:eastAsia="方正仿宋_GBK"/>
          <w:kern w:val="2"/>
          <w:sz w:val="32"/>
          <w:szCs w:val="32"/>
        </w:rPr>
      </w:pPr>
      <w:r>
        <w:rPr>
          <w:rFonts w:ascii="Times New Roman" w:hAnsi="Times New Roman" w:eastAsia="方正仿宋_GBK"/>
          <w:kern w:val="2"/>
          <w:sz w:val="32"/>
          <w:szCs w:val="32"/>
        </w:rPr>
        <w:t>202</w:t>
      </w:r>
      <w:r>
        <w:rPr>
          <w:rFonts w:hint="eastAsia" w:ascii="Times New Roman" w:hAnsi="Times New Roman" w:eastAsia="方正仿宋_GBK"/>
          <w:kern w:val="2"/>
          <w:sz w:val="32"/>
          <w:szCs w:val="32"/>
        </w:rPr>
        <w:t>3</w:t>
      </w:r>
      <w:r>
        <w:rPr>
          <w:rFonts w:ascii="Times New Roman" w:hAnsi="Times New Roman" w:eastAsia="方正仿宋_GBK"/>
          <w:kern w:val="2"/>
          <w:sz w:val="32"/>
          <w:szCs w:val="32"/>
        </w:rPr>
        <w:t>年预算数为129.85万元，主要用于：单位职工住房公积金缴纳支出。</w:t>
      </w:r>
    </w:p>
    <w:p>
      <w:pPr>
        <w:pStyle w:val="8"/>
        <w:spacing w:before="0" w:beforeAutospacing="0" w:after="450" w:afterAutospacing="0" w:line="576" w:lineRule="exact"/>
        <w:ind w:firstLine="640" w:firstLineChars="200"/>
        <w:contextualSpacing/>
        <w:jc w:val="both"/>
        <w:rPr>
          <w:rFonts w:hint="eastAsia" w:ascii="Times New Roman" w:hAnsi="Times New Roman" w:eastAsia="方正黑体_GBK"/>
          <w:sz w:val="32"/>
          <w:szCs w:val="32"/>
        </w:rPr>
      </w:pPr>
      <w:r>
        <w:rPr>
          <w:rFonts w:ascii="Times New Roman" w:hAnsi="Times New Roman" w:eastAsia="方正黑体_GBK"/>
          <w:sz w:val="32"/>
          <w:szCs w:val="32"/>
        </w:rPr>
        <w:t>六、一般公共预算基本支出情况说明</w:t>
      </w:r>
    </w:p>
    <w:p>
      <w:pPr>
        <w:pStyle w:val="8"/>
        <w:spacing w:before="0" w:beforeAutospacing="0" w:after="450" w:afterAutospacing="0" w:line="576" w:lineRule="exact"/>
        <w:ind w:firstLine="640" w:firstLineChars="200"/>
        <w:contextualSpacing/>
        <w:jc w:val="both"/>
        <w:rPr>
          <w:rFonts w:hint="eastAsia" w:ascii="Times New Roman" w:hAnsi="Times New Roman" w:eastAsia="方正黑体_GBK"/>
          <w:kern w:val="2"/>
          <w:sz w:val="32"/>
          <w:szCs w:val="32"/>
        </w:rPr>
      </w:pPr>
      <w:r>
        <w:rPr>
          <w:rFonts w:ascii="Times New Roman" w:hAnsi="Times New Roman" w:eastAsia="仿宋_GB2312"/>
          <w:sz w:val="32"/>
          <w:szCs w:val="32"/>
        </w:rPr>
        <w:t>马尔康市人民法院</w:t>
      </w:r>
      <w:r>
        <w:rPr>
          <w:rFonts w:ascii="Times New Roman" w:hAnsi="Times New Roman" w:eastAsia="方正仿宋_GBK"/>
          <w:kern w:val="2"/>
          <w:sz w:val="32"/>
          <w:szCs w:val="32"/>
        </w:rPr>
        <w:t>202</w:t>
      </w:r>
      <w:r>
        <w:rPr>
          <w:rFonts w:hint="eastAsia" w:ascii="Times New Roman" w:hAnsi="Times New Roman" w:eastAsia="方正仿宋_GBK"/>
          <w:kern w:val="2"/>
          <w:sz w:val="32"/>
          <w:szCs w:val="32"/>
        </w:rPr>
        <w:t>3</w:t>
      </w:r>
      <w:r>
        <w:rPr>
          <w:rFonts w:ascii="Times New Roman" w:hAnsi="Times New Roman" w:eastAsia="方正仿宋_GBK"/>
          <w:kern w:val="2"/>
          <w:sz w:val="32"/>
          <w:szCs w:val="32"/>
        </w:rPr>
        <w:t xml:space="preserve">年一般公共预算基本支出1471.48万元，其中：人员经费1308.04万元，主要包括：基本工资、津贴补贴、奖金、其他社会保障缴费、绩效工资、机关事业单位基本养老保险缴费、职业年金缴费、其他工资福利支出、离休费、奖励金、住房公积金、其他对个人和家庭的补助支出。公用经费163.44万元，主要包括：办公费、印刷费、手续费、水费、电费、邮电费、差旅费、维修（护）费、租赁费、会议费、培训费、劳务费、工会经费、福利费、其他交通工具运行维护费、其他商品和服务支出。    </w:t>
      </w:r>
      <w:r>
        <w:rPr>
          <w:rFonts w:ascii="Times New Roman" w:hAnsi="Times New Roman" w:eastAsia="方正仿宋_GBK"/>
          <w:kern w:val="2"/>
          <w:sz w:val="32"/>
          <w:szCs w:val="32"/>
        </w:rPr>
        <w:br w:type="textWrapping"/>
      </w:r>
      <w:r>
        <w:rPr>
          <w:rFonts w:ascii="Times New Roman" w:hAnsi="Times New Roman" w:eastAsia="黑体"/>
          <w:sz w:val="32"/>
          <w:szCs w:val="32"/>
        </w:rPr>
        <w:t xml:space="preserve">    </w:t>
      </w:r>
      <w:r>
        <w:rPr>
          <w:rFonts w:ascii="Times New Roman" w:hAnsi="Times New Roman" w:eastAsia="方正黑体_GBK"/>
          <w:kern w:val="2"/>
          <w:sz w:val="32"/>
          <w:szCs w:val="32"/>
        </w:rPr>
        <w:t>七、“三公”经费财政拨款预算安排情况说明</w:t>
      </w:r>
    </w:p>
    <w:p>
      <w:pPr>
        <w:pStyle w:val="8"/>
        <w:spacing w:before="0" w:beforeAutospacing="0" w:after="450" w:afterAutospacing="0" w:line="576" w:lineRule="exact"/>
        <w:ind w:firstLine="640" w:firstLineChars="200"/>
        <w:contextualSpacing/>
        <w:jc w:val="both"/>
        <w:rPr>
          <w:rFonts w:hint="eastAsia" w:ascii="Times New Roman" w:hAnsi="Times New Roman" w:eastAsia="方正仿宋_GBK"/>
          <w:kern w:val="2"/>
          <w:sz w:val="32"/>
          <w:szCs w:val="32"/>
        </w:rPr>
      </w:pPr>
      <w:r>
        <w:rPr>
          <w:rFonts w:ascii="Times New Roman" w:hAnsi="Times New Roman" w:eastAsia="仿宋_GB2312"/>
          <w:sz w:val="32"/>
          <w:szCs w:val="32"/>
        </w:rPr>
        <w:t>马尔康市人民法院2023年</w:t>
      </w:r>
      <w:r>
        <w:rPr>
          <w:rFonts w:ascii="Times New Roman" w:hAnsi="Times New Roman" w:eastAsia="方正仿宋_GBK"/>
          <w:kern w:val="2"/>
          <w:sz w:val="32"/>
          <w:szCs w:val="32"/>
        </w:rPr>
        <w:t>“三公”经费财政拨款预算数29.43万元，其中：因公出国（境）经费0万元，公务接待费2.43万元，公务用车购置及运行维护费27万元。</w:t>
      </w:r>
    </w:p>
    <w:p>
      <w:pPr>
        <w:pStyle w:val="8"/>
        <w:spacing w:before="0" w:beforeAutospacing="0" w:after="450" w:afterAutospacing="0" w:line="576" w:lineRule="exact"/>
        <w:ind w:firstLine="640" w:firstLineChars="200"/>
        <w:contextualSpacing/>
        <w:jc w:val="both"/>
        <w:rPr>
          <w:rFonts w:hint="eastAsia" w:ascii="Times New Roman" w:hAnsi="Times New Roman" w:eastAsia="方正仿宋_GBK"/>
          <w:kern w:val="2"/>
          <w:sz w:val="32"/>
          <w:szCs w:val="32"/>
        </w:rPr>
      </w:pPr>
      <w:r>
        <w:rPr>
          <w:rFonts w:ascii="Times New Roman" w:hAnsi="Times New Roman" w:eastAsia="方正仿宋_GBK"/>
          <w:kern w:val="2"/>
          <w:sz w:val="32"/>
          <w:szCs w:val="32"/>
        </w:rPr>
        <w:t>（一）2023年因公出国（境）经费0万元。</w:t>
      </w:r>
    </w:p>
    <w:p>
      <w:pPr>
        <w:pStyle w:val="8"/>
        <w:spacing w:before="0" w:beforeAutospacing="0" w:after="450" w:afterAutospacing="0" w:line="576" w:lineRule="exact"/>
        <w:ind w:firstLine="640" w:firstLineChars="200"/>
        <w:contextualSpacing/>
        <w:jc w:val="both"/>
        <w:rPr>
          <w:rFonts w:hint="eastAsia" w:ascii="Times New Roman" w:hAnsi="Times New Roman" w:eastAsia="方正仿宋_GBK"/>
          <w:kern w:val="2"/>
          <w:sz w:val="32"/>
          <w:szCs w:val="32"/>
        </w:rPr>
      </w:pPr>
      <w:r>
        <w:rPr>
          <w:rFonts w:ascii="Times New Roman" w:hAnsi="Times New Roman" w:eastAsia="方正仿宋_GBK"/>
          <w:kern w:val="2"/>
          <w:sz w:val="32"/>
          <w:szCs w:val="32"/>
        </w:rPr>
        <w:t>（二）2023年公务接待经费2.43万元。较2022年预算经费减少0.07万元降低2.8%，主要原因例行结余，严控“三公经费支出”</w:t>
      </w:r>
      <w:r>
        <w:rPr>
          <w:rFonts w:hint="eastAsia" w:ascii="Times New Roman" w:hAnsi="Times New Roman" w:eastAsia="方正仿宋_GBK"/>
          <w:kern w:val="2"/>
          <w:sz w:val="32"/>
          <w:szCs w:val="32"/>
        </w:rPr>
        <w:t>。</w:t>
      </w:r>
    </w:p>
    <w:p>
      <w:pPr>
        <w:pStyle w:val="8"/>
        <w:spacing w:before="0" w:beforeAutospacing="0" w:after="450" w:afterAutospacing="0" w:line="576" w:lineRule="exact"/>
        <w:ind w:firstLine="640" w:firstLineChars="200"/>
        <w:contextualSpacing/>
        <w:jc w:val="both"/>
        <w:rPr>
          <w:rFonts w:hint="eastAsia" w:ascii="Times New Roman" w:hAnsi="Times New Roman" w:eastAsia="方正仿宋_GBK"/>
          <w:kern w:val="2"/>
          <w:sz w:val="32"/>
          <w:szCs w:val="32"/>
        </w:rPr>
      </w:pPr>
      <w:r>
        <w:rPr>
          <w:rFonts w:ascii="Times New Roman" w:hAnsi="Times New Roman" w:eastAsia="方正仿宋_GBK"/>
          <w:kern w:val="2"/>
          <w:sz w:val="32"/>
          <w:szCs w:val="32"/>
        </w:rPr>
        <w:t>（三）2023年公务用车购置及运行维护费27万元。较2022年预算经费增加22万元，主要原因本年预算按照车辆实有数18辆进行预算，上年度未按车辆实有数进行预算。</w:t>
      </w:r>
    </w:p>
    <w:p>
      <w:pPr>
        <w:pStyle w:val="8"/>
        <w:spacing w:before="0" w:beforeAutospacing="0" w:after="450" w:afterAutospacing="0" w:line="576" w:lineRule="exact"/>
        <w:ind w:firstLine="640" w:firstLineChars="200"/>
        <w:contextualSpacing/>
        <w:jc w:val="both"/>
        <w:rPr>
          <w:rFonts w:ascii="Times New Roman" w:hAnsi="Times New Roman" w:eastAsia="方正黑体_GBK"/>
          <w:sz w:val="32"/>
          <w:szCs w:val="32"/>
        </w:rPr>
      </w:pPr>
      <w:r>
        <w:rPr>
          <w:rFonts w:ascii="Times New Roman" w:hAnsi="Times New Roman" w:eastAsia="方正黑体_GBK"/>
          <w:sz w:val="32"/>
          <w:szCs w:val="32"/>
        </w:rPr>
        <w:t>八、政府性基金预算支出情况说明</w:t>
      </w:r>
    </w:p>
    <w:p>
      <w:pPr>
        <w:pStyle w:val="12"/>
        <w:spacing w:before="0" w:line="576" w:lineRule="exact"/>
        <w:ind w:firstLine="640" w:firstLineChars="200"/>
        <w:contextualSpacing/>
        <w:rPr>
          <w:rFonts w:ascii="Times New Roman" w:hAnsi="Times New Roman" w:eastAsia="方正仿宋_GBK"/>
          <w:kern w:val="2"/>
          <w:sz w:val="32"/>
          <w:szCs w:val="32"/>
        </w:rPr>
      </w:pPr>
      <w:r>
        <w:rPr>
          <w:rFonts w:ascii="Times New Roman" w:hAnsi="Times New Roman"/>
          <w:sz w:val="32"/>
          <w:szCs w:val="32"/>
        </w:rPr>
        <w:t>马尔康市人民法院2023年</w:t>
      </w:r>
      <w:r>
        <w:rPr>
          <w:rFonts w:ascii="Times New Roman" w:hAnsi="Times New Roman" w:eastAsia="方正仿宋_GBK"/>
          <w:kern w:val="2"/>
          <w:sz w:val="32"/>
          <w:szCs w:val="32"/>
        </w:rPr>
        <w:t>政府性基金预算拨款安排的支出0万元。较2022年预算经费持平。</w:t>
      </w:r>
    </w:p>
    <w:p>
      <w:pPr>
        <w:pStyle w:val="11"/>
        <w:spacing w:line="576" w:lineRule="exact"/>
        <w:ind w:firstLine="640"/>
        <w:contextualSpacing/>
        <w:rPr>
          <w:rFonts w:ascii="Times New Roman" w:hAnsi="Times New Roman" w:eastAsia="方正黑体_GBK"/>
          <w:sz w:val="32"/>
          <w:szCs w:val="32"/>
        </w:rPr>
      </w:pPr>
      <w:r>
        <w:rPr>
          <w:rFonts w:ascii="Times New Roman" w:hAnsi="Times New Roman" w:eastAsia="方正黑体_GBK"/>
          <w:sz w:val="32"/>
          <w:szCs w:val="32"/>
        </w:rPr>
        <w:t>九、其他重要事项的情况说明</w:t>
      </w:r>
    </w:p>
    <w:p>
      <w:pPr>
        <w:pStyle w:val="12"/>
        <w:spacing w:before="0" w:line="576" w:lineRule="exact"/>
        <w:ind w:firstLine="640" w:firstLineChars="200"/>
        <w:contextualSpacing/>
        <w:rPr>
          <w:rFonts w:ascii="Times New Roman" w:hAnsi="Times New Roman" w:eastAsia="方正楷体_GBK"/>
          <w:b/>
          <w:kern w:val="2"/>
          <w:sz w:val="32"/>
          <w:szCs w:val="32"/>
        </w:rPr>
      </w:pPr>
      <w:r>
        <w:rPr>
          <w:rFonts w:ascii="Times New Roman" w:hAnsi="Times New Roman" w:eastAsia="方正楷体_GBK"/>
          <w:b/>
          <w:kern w:val="2"/>
          <w:sz w:val="32"/>
          <w:szCs w:val="32"/>
        </w:rPr>
        <w:t>（一）机关运行经费</w:t>
      </w:r>
    </w:p>
    <w:p>
      <w:pPr>
        <w:pStyle w:val="12"/>
        <w:wordWrap w:val="0"/>
        <w:spacing w:before="0" w:line="576" w:lineRule="exact"/>
        <w:ind w:firstLine="640" w:firstLineChars="200"/>
        <w:contextualSpacing/>
        <w:rPr>
          <w:rFonts w:ascii="Times New Roman" w:hAnsi="Times New Roman"/>
          <w:color w:val="FF0000"/>
          <w:kern w:val="2"/>
          <w:sz w:val="32"/>
          <w:szCs w:val="32"/>
        </w:rPr>
      </w:pPr>
      <w:r>
        <w:rPr>
          <w:rFonts w:ascii="Times New Roman" w:hAnsi="Times New Roman"/>
          <w:sz w:val="32"/>
          <w:szCs w:val="32"/>
        </w:rPr>
        <w:t>马尔康市人民法院</w:t>
      </w:r>
      <w:r>
        <w:rPr>
          <w:rFonts w:ascii="Times New Roman" w:hAnsi="Times New Roman"/>
          <w:kern w:val="2"/>
          <w:sz w:val="32"/>
          <w:szCs w:val="32"/>
        </w:rPr>
        <w:t>2023</w:t>
      </w:r>
      <w:r>
        <w:rPr>
          <w:rFonts w:ascii="Times New Roman"/>
          <w:kern w:val="2"/>
          <w:sz w:val="32"/>
          <w:szCs w:val="32"/>
        </w:rPr>
        <w:t>年机关运行经费财政拨款预算为</w:t>
      </w:r>
      <w:r>
        <w:rPr>
          <w:rFonts w:ascii="Times New Roman" w:hAnsi="Times New Roman"/>
          <w:kern w:val="2"/>
          <w:sz w:val="32"/>
          <w:szCs w:val="32"/>
        </w:rPr>
        <w:t>163.44</w:t>
      </w:r>
      <w:r>
        <w:rPr>
          <w:rFonts w:ascii="Times New Roman"/>
          <w:kern w:val="2"/>
          <w:sz w:val="32"/>
          <w:szCs w:val="32"/>
        </w:rPr>
        <w:t>万元，比</w:t>
      </w:r>
      <w:r>
        <w:rPr>
          <w:rFonts w:ascii="Times New Roman" w:hAnsi="Times New Roman"/>
          <w:kern w:val="2"/>
          <w:sz w:val="32"/>
          <w:szCs w:val="32"/>
        </w:rPr>
        <w:t>2022</w:t>
      </w:r>
      <w:r>
        <w:rPr>
          <w:rFonts w:ascii="Times New Roman"/>
          <w:kern w:val="2"/>
          <w:sz w:val="32"/>
          <w:szCs w:val="32"/>
        </w:rPr>
        <w:t>年预算</w:t>
      </w:r>
      <w:r>
        <w:rPr>
          <w:rFonts w:ascii="Times New Roman" w:hAnsi="Times New Roman"/>
          <w:sz w:val="32"/>
          <w:szCs w:val="32"/>
        </w:rPr>
        <w:t>增加</w:t>
      </w:r>
      <w:r>
        <w:rPr>
          <w:rFonts w:ascii="Times New Roman" w:hAnsi="Times New Roman"/>
          <w:color w:val="000000"/>
          <w:kern w:val="2"/>
          <w:sz w:val="32"/>
          <w:szCs w:val="32"/>
        </w:rPr>
        <w:t>45.44</w:t>
      </w:r>
      <w:r>
        <w:rPr>
          <w:rFonts w:ascii="Times New Roman"/>
          <w:color w:val="000000"/>
          <w:kern w:val="2"/>
          <w:sz w:val="32"/>
          <w:szCs w:val="32"/>
        </w:rPr>
        <w:t>万元，增长</w:t>
      </w:r>
      <w:r>
        <w:rPr>
          <w:rFonts w:ascii="Times New Roman" w:hAnsi="Times New Roman"/>
          <w:color w:val="000000"/>
          <w:kern w:val="2"/>
          <w:sz w:val="32"/>
          <w:szCs w:val="32"/>
        </w:rPr>
        <w:t>38%</w:t>
      </w:r>
      <w:r>
        <w:rPr>
          <w:rFonts w:ascii="Times New Roman"/>
          <w:color w:val="000000"/>
          <w:kern w:val="2"/>
          <w:sz w:val="32"/>
          <w:szCs w:val="32"/>
        </w:rPr>
        <w:t>，主要原因为本年预算将</w:t>
      </w:r>
      <w:r>
        <w:rPr>
          <w:rFonts w:ascii="Times New Roman" w:hAnsi="Times New Roman"/>
          <w:color w:val="000000"/>
          <w:kern w:val="2"/>
          <w:sz w:val="32"/>
          <w:szCs w:val="32"/>
        </w:rPr>
        <w:t>58</w:t>
      </w:r>
      <w:r>
        <w:rPr>
          <w:rFonts w:ascii="Times New Roman"/>
          <w:color w:val="000000"/>
          <w:kern w:val="2"/>
          <w:sz w:val="32"/>
          <w:szCs w:val="32"/>
        </w:rPr>
        <w:t>名在职职工体检费、党建经费纳入预算。</w:t>
      </w:r>
      <w:r>
        <w:rPr>
          <w:rFonts w:ascii="Times New Roman" w:hAnsi="Times New Roman"/>
          <w:color w:val="000000"/>
          <w:kern w:val="2"/>
          <w:sz w:val="32"/>
          <w:szCs w:val="32"/>
        </w:rPr>
        <w:t xml:space="preserve"> </w:t>
      </w:r>
    </w:p>
    <w:p>
      <w:pPr>
        <w:pStyle w:val="12"/>
        <w:spacing w:before="0" w:line="576" w:lineRule="exact"/>
        <w:ind w:firstLine="640" w:firstLineChars="200"/>
        <w:contextualSpacing/>
        <w:rPr>
          <w:rFonts w:ascii="Times New Roman" w:hAnsi="Times New Roman"/>
          <w:kern w:val="2"/>
          <w:sz w:val="32"/>
          <w:szCs w:val="32"/>
        </w:rPr>
      </w:pPr>
      <w:r>
        <w:rPr>
          <w:rFonts w:ascii="Times New Roman" w:hAnsi="Times New Roman" w:eastAsia="方正楷体_GBK"/>
          <w:b/>
          <w:kern w:val="2"/>
          <w:sz w:val="32"/>
          <w:szCs w:val="32"/>
        </w:rPr>
        <w:t>（二）政府采购情况</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color w:val="000000"/>
          <w:kern w:val="2"/>
          <w:sz w:val="32"/>
          <w:szCs w:val="32"/>
        </w:rPr>
        <w:t>　2023</w:t>
      </w:r>
      <w:r>
        <w:rPr>
          <w:rFonts w:ascii="Times New Roman"/>
          <w:color w:val="000000"/>
          <w:kern w:val="2"/>
          <w:sz w:val="32"/>
          <w:szCs w:val="32"/>
        </w:rPr>
        <w:t>年</w:t>
      </w:r>
      <w:r>
        <w:rPr>
          <w:rFonts w:ascii="Times New Roman" w:hAnsi="Times New Roman"/>
          <w:sz w:val="32"/>
          <w:szCs w:val="32"/>
        </w:rPr>
        <w:t>马尔康市人民法院</w:t>
      </w:r>
      <w:r>
        <w:rPr>
          <w:rFonts w:ascii="Times New Roman"/>
          <w:color w:val="000000"/>
          <w:kern w:val="2"/>
          <w:sz w:val="32"/>
          <w:szCs w:val="32"/>
        </w:rPr>
        <w:t>安排政府采购预算</w:t>
      </w:r>
      <w:r>
        <w:rPr>
          <w:rFonts w:ascii="Times New Roman" w:hAnsi="Times New Roman"/>
          <w:color w:val="000000"/>
          <w:kern w:val="2"/>
          <w:sz w:val="32"/>
          <w:szCs w:val="32"/>
        </w:rPr>
        <w:t>0</w:t>
      </w:r>
      <w:r>
        <w:rPr>
          <w:rFonts w:ascii="Times New Roman"/>
          <w:color w:val="000000"/>
          <w:kern w:val="2"/>
          <w:sz w:val="32"/>
          <w:szCs w:val="32"/>
        </w:rPr>
        <w:t>万元。</w:t>
      </w:r>
    </w:p>
    <w:p>
      <w:pPr>
        <w:spacing w:line="576" w:lineRule="exact"/>
        <w:ind w:firstLine="640" w:firstLineChars="200"/>
        <w:contextualSpacing/>
        <w:rPr>
          <w:rFonts w:ascii="Times New Roman" w:hAnsi="Times New Roman" w:eastAsia="方正楷体_GBK"/>
          <w:b/>
          <w:sz w:val="32"/>
          <w:szCs w:val="32"/>
        </w:rPr>
      </w:pPr>
      <w:r>
        <w:rPr>
          <w:rFonts w:ascii="Times New Roman" w:hAnsi="Times New Roman" w:eastAsia="方正楷体_GBK"/>
          <w:b/>
          <w:sz w:val="32"/>
          <w:szCs w:val="32"/>
        </w:rPr>
        <w:t>（三）国有资产占有使用情况</w:t>
      </w:r>
    </w:p>
    <w:p>
      <w:pPr>
        <w:pStyle w:val="12"/>
        <w:wordWrap w:val="0"/>
        <w:spacing w:before="0" w:line="576" w:lineRule="exact"/>
        <w:ind w:firstLine="640" w:firstLineChars="200"/>
        <w:contextualSpacing/>
        <w:rPr>
          <w:rFonts w:ascii="Times New Roman" w:hAnsi="Times New Roman"/>
          <w:kern w:val="2"/>
          <w:sz w:val="32"/>
          <w:szCs w:val="32"/>
        </w:rPr>
      </w:pPr>
      <w:r>
        <w:rPr>
          <w:rFonts w:ascii="Times New Roman"/>
          <w:kern w:val="2"/>
          <w:sz w:val="32"/>
          <w:szCs w:val="32"/>
        </w:rPr>
        <w:t>截至</w:t>
      </w:r>
      <w:r>
        <w:rPr>
          <w:rFonts w:ascii="Times New Roman" w:hAnsi="Times New Roman"/>
          <w:kern w:val="2"/>
          <w:sz w:val="32"/>
          <w:szCs w:val="32"/>
        </w:rPr>
        <w:t>2022</w:t>
      </w:r>
      <w:r>
        <w:rPr>
          <w:rFonts w:ascii="Times New Roman"/>
          <w:kern w:val="2"/>
          <w:sz w:val="32"/>
          <w:szCs w:val="32"/>
        </w:rPr>
        <w:t>年</w:t>
      </w:r>
      <w:r>
        <w:rPr>
          <w:rFonts w:ascii="Times New Roman" w:hAnsi="Times New Roman"/>
          <w:kern w:val="2"/>
          <w:sz w:val="32"/>
          <w:szCs w:val="32"/>
        </w:rPr>
        <w:t>12</w:t>
      </w:r>
      <w:r>
        <w:rPr>
          <w:rFonts w:ascii="Times New Roman"/>
          <w:kern w:val="2"/>
          <w:sz w:val="32"/>
          <w:szCs w:val="32"/>
        </w:rPr>
        <w:t>月</w:t>
      </w:r>
      <w:r>
        <w:rPr>
          <w:rFonts w:ascii="Times New Roman" w:hAnsi="Times New Roman"/>
          <w:kern w:val="2"/>
          <w:sz w:val="32"/>
          <w:szCs w:val="32"/>
        </w:rPr>
        <w:t>31</w:t>
      </w:r>
      <w:r>
        <w:rPr>
          <w:rFonts w:ascii="Times New Roman"/>
          <w:kern w:val="2"/>
          <w:sz w:val="32"/>
          <w:szCs w:val="32"/>
        </w:rPr>
        <w:t>日，我单位固定资产</w:t>
      </w:r>
      <w:r>
        <w:rPr>
          <w:rFonts w:ascii="Times New Roman" w:hAnsi="Times New Roman"/>
          <w:kern w:val="2"/>
          <w:sz w:val="32"/>
          <w:szCs w:val="32"/>
        </w:rPr>
        <w:t>2966.21</w:t>
      </w:r>
      <w:r>
        <w:rPr>
          <w:rFonts w:ascii="Times New Roman"/>
          <w:kern w:val="2"/>
          <w:sz w:val="32"/>
          <w:szCs w:val="32"/>
        </w:rPr>
        <w:t>万元。</w:t>
      </w:r>
    </w:p>
    <w:p>
      <w:pPr>
        <w:pStyle w:val="12"/>
        <w:spacing w:before="0" w:line="576" w:lineRule="exact"/>
        <w:ind w:firstLine="640" w:firstLineChars="200"/>
        <w:contextualSpacing/>
        <w:rPr>
          <w:rFonts w:hint="eastAsia" w:ascii="Times New Roman"/>
          <w:kern w:val="2"/>
          <w:sz w:val="32"/>
          <w:szCs w:val="32"/>
        </w:rPr>
      </w:pPr>
      <w:r>
        <w:rPr>
          <w:rFonts w:ascii="Times New Roman" w:hAnsi="Times New Roman" w:eastAsia="方正楷体_GBK"/>
          <w:b/>
          <w:kern w:val="2"/>
          <w:sz w:val="32"/>
          <w:szCs w:val="32"/>
        </w:rPr>
        <w:t>（四）绩效目标设置情况</w:t>
      </w:r>
      <w:r>
        <w:rPr>
          <w:rFonts w:ascii="Times New Roman" w:hAnsi="Times New Roman"/>
          <w:kern w:val="2"/>
          <w:sz w:val="32"/>
          <w:szCs w:val="32"/>
        </w:rPr>
        <w:br w:type="textWrapping"/>
      </w:r>
      <w:r>
        <w:rPr>
          <w:rFonts w:ascii="Times New Roman" w:hAnsi="Times New Roman"/>
          <w:kern w:val="2"/>
          <w:sz w:val="32"/>
          <w:szCs w:val="32"/>
        </w:rPr>
        <w:t>　　2023</w:t>
      </w:r>
      <w:r>
        <w:rPr>
          <w:rFonts w:ascii="Times New Roman"/>
          <w:kern w:val="2"/>
          <w:sz w:val="32"/>
          <w:szCs w:val="32"/>
        </w:rPr>
        <w:t>年</w:t>
      </w:r>
      <w:r>
        <w:rPr>
          <w:rFonts w:ascii="Times New Roman" w:hAnsi="Times New Roman"/>
          <w:sz w:val="32"/>
          <w:szCs w:val="32"/>
        </w:rPr>
        <w:t>马尔康市人民法院</w:t>
      </w:r>
      <w:r>
        <w:rPr>
          <w:rFonts w:ascii="Times New Roman"/>
          <w:kern w:val="2"/>
          <w:sz w:val="32"/>
          <w:szCs w:val="32"/>
        </w:rPr>
        <w:t>通用项目和专用项目均按要求实行绩效目标管理，涉及一般公共预算当年拨款</w:t>
      </w:r>
      <w:r>
        <w:rPr>
          <w:rFonts w:ascii="Times New Roman" w:hAnsi="Times New Roman"/>
          <w:kern w:val="2"/>
          <w:sz w:val="32"/>
          <w:szCs w:val="32"/>
        </w:rPr>
        <w:t>1659.15</w:t>
      </w:r>
      <w:r>
        <w:rPr>
          <w:rFonts w:ascii="Times New Roman"/>
          <w:kern w:val="2"/>
          <w:sz w:val="32"/>
          <w:szCs w:val="32"/>
        </w:rPr>
        <w:t>万元。</w:t>
      </w:r>
    </w:p>
    <w:p>
      <w:pPr>
        <w:pStyle w:val="12"/>
        <w:spacing w:before="0" w:line="576" w:lineRule="exact"/>
        <w:ind w:firstLine="640" w:firstLineChars="200"/>
        <w:contextualSpacing/>
        <w:rPr>
          <w:rFonts w:cs="仿宋_GB2312"/>
          <w:sz w:val="32"/>
          <w:szCs w:val="32"/>
        </w:rPr>
      </w:pPr>
      <w:r>
        <w:rPr>
          <w:rFonts w:ascii="Times New Roman" w:hAnsi="Times New Roman" w:eastAsia="方正黑体_GBK"/>
          <w:kern w:val="2"/>
          <w:sz w:val="32"/>
          <w:szCs w:val="32"/>
        </w:rPr>
        <w:t xml:space="preserve">十、名称解释 </w:t>
      </w:r>
      <w:r>
        <w:rPr>
          <w:rFonts w:ascii="Times New Roman" w:hAnsi="Times New Roman"/>
          <w:sz w:val="32"/>
          <w:szCs w:val="32"/>
        </w:rPr>
        <w:br w:type="textWrapping"/>
      </w:r>
      <w:r>
        <w:rPr>
          <w:rFonts w:ascii="Times New Roman" w:hAnsi="Times New Roman" w:eastAsia="宋体"/>
          <w:sz w:val="16"/>
        </w:rPr>
        <w:t xml:space="preserve">　　   </w:t>
      </w:r>
      <w:r>
        <w:rPr>
          <w:rFonts w:ascii="Times New Roman" w:hAnsi="Times New Roman" w:eastAsia="方正楷体_GBK"/>
          <w:b/>
          <w:kern w:val="2"/>
          <w:sz w:val="32"/>
          <w:szCs w:val="32"/>
        </w:rPr>
        <w:t>（一）财政拨款收入：</w:t>
      </w:r>
      <w:r>
        <w:rPr>
          <w:rFonts w:ascii="Times New Roman" w:hAnsi="Times New Roman" w:eastAsia="方正仿宋_GBK"/>
          <w:kern w:val="2"/>
          <w:sz w:val="32"/>
          <w:szCs w:val="32"/>
        </w:rPr>
        <w:t>指由财政拨款形成的部门收入。按现行管理制度，部门预算中反映的财政拨款仅包括一般公共预算拨款和政府性基金预算拨款。</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eastAsia="方正楷体_GBK"/>
          <w:b/>
          <w:kern w:val="2"/>
          <w:sz w:val="32"/>
          <w:szCs w:val="32"/>
        </w:rPr>
        <w:t>（二）事业收入：</w:t>
      </w:r>
      <w:r>
        <w:rPr>
          <w:rFonts w:ascii="Times New Roman" w:hAnsi="Times New Roman" w:eastAsia="方正仿宋_GBK"/>
          <w:kern w:val="2"/>
          <w:sz w:val="32"/>
          <w:szCs w:val="32"/>
        </w:rPr>
        <w:t>指所属事业单位开展专业业务活动及辅助活动所取得的收入。</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eastAsia="方正楷体_GBK"/>
          <w:b/>
          <w:kern w:val="2"/>
          <w:sz w:val="32"/>
          <w:szCs w:val="32"/>
        </w:rPr>
        <w:t>（三）事业单位经营收入：</w:t>
      </w:r>
      <w:r>
        <w:rPr>
          <w:rFonts w:ascii="Times New Roman" w:hAnsi="Times New Roman" w:eastAsia="方正仿宋_GBK"/>
          <w:kern w:val="2"/>
          <w:sz w:val="32"/>
          <w:szCs w:val="32"/>
        </w:rPr>
        <w:t>指所属事业单位在专业业务活动及其辅助活动之外开展非独立核算经营活动取得的收入。</w:t>
      </w:r>
      <w:r>
        <w:rPr>
          <w:rFonts w:ascii="Times New Roman" w:hAnsi="Times New Roman" w:eastAsia="方正仿宋_GBK"/>
          <w:kern w:val="2"/>
          <w:sz w:val="32"/>
          <w:szCs w:val="32"/>
        </w:rPr>
        <w:br w:type="textWrapping"/>
      </w:r>
      <w:r>
        <w:rPr>
          <w:rFonts w:ascii="Times New Roman" w:hAnsi="Times New Roman"/>
          <w:kern w:val="2"/>
          <w:sz w:val="32"/>
          <w:szCs w:val="32"/>
        </w:rPr>
        <w:t>　</w:t>
      </w:r>
      <w:r>
        <w:rPr>
          <w:rFonts w:ascii="Times New Roman" w:hAnsi="Times New Roman" w:eastAsia="楷体"/>
          <w:kern w:val="2"/>
          <w:sz w:val="32"/>
          <w:szCs w:val="32"/>
        </w:rPr>
        <w:t>　</w:t>
      </w:r>
      <w:r>
        <w:rPr>
          <w:rFonts w:ascii="Times New Roman" w:hAnsi="Times New Roman" w:eastAsia="方正楷体_GBK"/>
          <w:b/>
          <w:kern w:val="2"/>
          <w:sz w:val="32"/>
          <w:szCs w:val="32"/>
        </w:rPr>
        <w:t>（四）其他收入：</w:t>
      </w:r>
      <w:r>
        <w:rPr>
          <w:rFonts w:ascii="Times New Roman" w:hAnsi="Times New Roman" w:eastAsia="方正仿宋_GBK"/>
          <w:kern w:val="2"/>
          <w:sz w:val="32"/>
          <w:szCs w:val="32"/>
        </w:rPr>
        <w:t>指除上述“财政拨款收入”、“事业收入”、“事业单位经营收入”等以外的收入，主要是所属行政事业单位按规定动用的售房收入、存款利息收入等。</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eastAsia="楷体"/>
          <w:kern w:val="2"/>
          <w:sz w:val="32"/>
          <w:szCs w:val="32"/>
        </w:rPr>
        <w:t>　</w:t>
      </w:r>
      <w:r>
        <w:rPr>
          <w:rFonts w:ascii="Times New Roman" w:hAnsi="Times New Roman" w:eastAsia="方正楷体_GBK"/>
          <w:b/>
          <w:kern w:val="2"/>
          <w:sz w:val="32"/>
          <w:szCs w:val="32"/>
        </w:rPr>
        <w:t>（五）用事业基金弥补收支差额：</w:t>
      </w:r>
      <w:r>
        <w:rPr>
          <w:rFonts w:ascii="Times New Roman" w:hAnsi="Times New Roman" w:eastAsia="方正仿宋_GBK"/>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eastAsia="楷体"/>
          <w:kern w:val="2"/>
          <w:sz w:val="32"/>
          <w:szCs w:val="32"/>
        </w:rPr>
        <w:t>　</w:t>
      </w:r>
      <w:r>
        <w:rPr>
          <w:rFonts w:ascii="Times New Roman" w:hAnsi="Times New Roman" w:eastAsia="方正楷体_GBK"/>
          <w:b/>
          <w:kern w:val="2"/>
          <w:sz w:val="32"/>
          <w:szCs w:val="32"/>
        </w:rPr>
        <w:t>（六）上年结转：</w:t>
      </w:r>
      <w:r>
        <w:rPr>
          <w:rFonts w:ascii="Times New Roman" w:hAnsi="Times New Roman" w:eastAsia="方正仿宋_GBK"/>
          <w:kern w:val="2"/>
          <w:sz w:val="32"/>
          <w:szCs w:val="32"/>
        </w:rPr>
        <w:t>指所属行政事业单位以前年度尚未完成、结转至本年按原规定用途继续使用的资金和以前年度已完成项目剩余资金经批准用于新用途使用的资金。</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仿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YWQxMTVhMzA0ZmI5MzE0ZTQ4Njg5NWUwM2ZhMTJkY2QifQ=="/>
  </w:docVars>
  <w:rsids>
    <w:rsidRoot w:val="00464E42"/>
    <w:rsid w:val="000B7139"/>
    <w:rsid w:val="001924F9"/>
    <w:rsid w:val="00250B46"/>
    <w:rsid w:val="002552F8"/>
    <w:rsid w:val="003C31A5"/>
    <w:rsid w:val="00464E42"/>
    <w:rsid w:val="004E2448"/>
    <w:rsid w:val="00571E0A"/>
    <w:rsid w:val="005D0FB2"/>
    <w:rsid w:val="006C58A6"/>
    <w:rsid w:val="00764460"/>
    <w:rsid w:val="00A25626"/>
    <w:rsid w:val="00BE263F"/>
    <w:rsid w:val="00D56D52"/>
    <w:rsid w:val="00DE3EC8"/>
    <w:rsid w:val="00E44FD4"/>
    <w:rsid w:val="00FE67D4"/>
    <w:rsid w:val="4BBB4686"/>
    <w:rsid w:val="70562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uiPriority w:val="0"/>
    <w:pPr>
      <w:widowControl/>
      <w:autoSpaceDE w:val="0"/>
      <w:autoSpaceDN w:val="0"/>
      <w:adjustRightInd w:val="0"/>
      <w:snapToGrid w:val="0"/>
      <w:spacing w:line="588" w:lineRule="atLeast"/>
      <w:jc w:val="left"/>
    </w:pPr>
    <w:rPr>
      <w:rFonts w:ascii="宋体" w:hAnsi="宋体" w:eastAsia="仿宋_GB2312" w:cs="宋体"/>
      <w:spacing w:val="-2"/>
      <w:kern w:val="0"/>
      <w:sz w:val="32"/>
      <w:szCs w:val="32"/>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99"/>
    <w:pPr>
      <w:spacing w:before="100" w:beforeAutospacing="1" w:after="100" w:afterAutospacing="1"/>
      <w:jc w:val="left"/>
    </w:pPr>
    <w:rPr>
      <w:rFonts w:ascii="宋体"/>
      <w:kern w:val="0"/>
      <w:sz w:val="24"/>
      <w:szCs w:val="21"/>
    </w:rPr>
  </w:style>
  <w:style w:type="paragraph" w:customStyle="1" w:styleId="11">
    <w:name w:val="列出段落1"/>
    <w:basedOn w:val="1"/>
    <w:uiPriority w:val="0"/>
    <w:pPr>
      <w:ind w:firstLine="200" w:firstLineChars="200"/>
    </w:pPr>
  </w:style>
  <w:style w:type="paragraph" w:customStyle="1" w:styleId="12">
    <w:name w:val="正文文本1"/>
    <w:basedOn w:val="1"/>
    <w:qFormat/>
    <w:uiPriority w:val="99"/>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3209</Words>
  <Characters>3602</Characters>
  <Lines>27</Lines>
  <Paragraphs>7</Paragraphs>
  <TotalTime>17</TotalTime>
  <ScaleCrop>false</ScaleCrop>
  <LinksUpToDate>false</LinksUpToDate>
  <CharactersWithSpaces>3647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Jayk</cp:lastModifiedBy>
  <cp:lastPrinted>2023-01-14T10:11:00Z</cp:lastPrinted>
  <dcterms:modified xsi:type="dcterms:W3CDTF">2023-03-29T09:13:58Z</dcterms:modified>
  <dc:title>中共阿坝州委办公室</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4100859565E2451E93EF50F5F0D3AB01</vt:lpwstr>
  </property>
</Properties>
</file>