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DEA4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z w:val="32"/>
          <w:szCs w:val="32"/>
          <w:lang w:val="en-US" w:eastAsia="zh-CN"/>
        </w:rPr>
      </w:pPr>
    </w:p>
    <w:p w14:paraId="512866A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z w:val="32"/>
          <w:szCs w:val="32"/>
          <w:lang w:val="en-US" w:eastAsia="zh-CN"/>
        </w:rPr>
      </w:pPr>
    </w:p>
    <w:p w14:paraId="10AF407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z w:val="32"/>
          <w:szCs w:val="32"/>
          <w:lang w:val="en-US" w:eastAsia="zh-CN"/>
        </w:rPr>
      </w:pPr>
    </w:p>
    <w:p w14:paraId="15D63283"/>
    <w:p w14:paraId="6F6AAE9A">
      <w:pPr>
        <w:pStyle w:val="12"/>
      </w:pPr>
    </w:p>
    <w:p w14:paraId="07C72129"/>
    <w:p w14:paraId="5EA9EFDA"/>
    <w:p w14:paraId="112D14C3">
      <w:pPr>
        <w:ind w:firstLine="1050" w:firstLineChars="500"/>
      </w:pPr>
    </w:p>
    <w:p w14:paraId="319A2AB0">
      <w:pPr>
        <w:ind w:firstLine="1050" w:firstLineChars="500"/>
      </w:pPr>
    </w:p>
    <w:p w14:paraId="4C4E239D">
      <w:pPr>
        <w:ind w:firstLine="1760" w:firstLineChars="400"/>
        <w:rPr>
          <w:rFonts w:ascii="黑体" w:hAnsi="黑体" w:eastAsia="黑体"/>
          <w:sz w:val="44"/>
          <w:szCs w:val="44"/>
        </w:rPr>
      </w:pPr>
    </w:p>
    <w:p w14:paraId="7268C80E">
      <w:pPr>
        <w:ind w:firstLine="1760" w:firstLineChars="400"/>
        <w:rPr>
          <w:rFonts w:ascii="黑体" w:hAnsi="黑体" w:eastAsia="黑体"/>
          <w:sz w:val="44"/>
          <w:szCs w:val="44"/>
        </w:rPr>
      </w:pPr>
    </w:p>
    <w:p w14:paraId="7D07D7CF">
      <w:pPr>
        <w:jc w:val="center"/>
        <w:rPr>
          <w:rFonts w:hint="eastAsia" w:ascii="黑体" w:hAnsi="黑体" w:eastAsia="黑体"/>
          <w:sz w:val="44"/>
          <w:szCs w:val="44"/>
          <w:lang w:val="en-US" w:eastAsia="zh-CN"/>
        </w:rPr>
      </w:pPr>
      <w:r>
        <w:rPr>
          <w:rFonts w:hint="eastAsia" w:ascii="黑体" w:hAnsi="黑体" w:eastAsia="黑体"/>
          <w:sz w:val="44"/>
          <w:szCs w:val="44"/>
          <w:lang w:val="en-US" w:eastAsia="zh-CN"/>
        </w:rPr>
        <w:t>金川县人民检察院</w:t>
      </w:r>
    </w:p>
    <w:p w14:paraId="0F439248">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023年部门预算</w:t>
      </w:r>
    </w:p>
    <w:p w14:paraId="43BCFFF3">
      <w:pPr>
        <w:ind w:firstLine="1760" w:firstLineChars="400"/>
        <w:rPr>
          <w:rFonts w:ascii="黑体" w:hAnsi="黑体" w:eastAsia="黑体"/>
          <w:sz w:val="44"/>
          <w:szCs w:val="44"/>
        </w:rPr>
      </w:pPr>
    </w:p>
    <w:p w14:paraId="3BB47A92">
      <w:pPr>
        <w:ind w:firstLine="1760" w:firstLineChars="400"/>
        <w:rPr>
          <w:rFonts w:ascii="黑体" w:hAnsi="黑体" w:eastAsia="黑体"/>
          <w:sz w:val="44"/>
          <w:szCs w:val="44"/>
        </w:rPr>
      </w:pPr>
    </w:p>
    <w:p w14:paraId="2DEA7479">
      <w:pPr>
        <w:ind w:firstLine="1760" w:firstLineChars="400"/>
        <w:rPr>
          <w:rFonts w:ascii="黑体" w:hAnsi="黑体" w:eastAsia="黑体"/>
          <w:sz w:val="44"/>
          <w:szCs w:val="44"/>
        </w:rPr>
      </w:pPr>
    </w:p>
    <w:p w14:paraId="67829A3A">
      <w:pPr>
        <w:ind w:firstLine="1760" w:firstLineChars="400"/>
        <w:rPr>
          <w:rFonts w:ascii="黑体" w:hAnsi="黑体" w:eastAsia="黑体"/>
          <w:sz w:val="44"/>
          <w:szCs w:val="44"/>
        </w:rPr>
      </w:pPr>
    </w:p>
    <w:p w14:paraId="026DB1C6">
      <w:pPr>
        <w:ind w:firstLine="1760" w:firstLineChars="400"/>
        <w:rPr>
          <w:rFonts w:ascii="黑体" w:hAnsi="黑体" w:eastAsia="黑体"/>
          <w:sz w:val="44"/>
          <w:szCs w:val="44"/>
        </w:rPr>
      </w:pPr>
    </w:p>
    <w:p w14:paraId="2E44625D">
      <w:pPr>
        <w:pStyle w:val="9"/>
        <w:keepNext w:val="0"/>
        <w:keepLines w:val="0"/>
        <w:widowControl/>
        <w:suppressLineNumbers w:val="0"/>
        <w:spacing w:before="0" w:beforeAutospacing="0"/>
        <w:ind w:left="0"/>
        <w:jc w:val="center"/>
        <w:rPr>
          <w:rFonts w:ascii="宋体" w:hAnsi="Times New Roman" w:eastAsia="宋体" w:cs="宋体"/>
          <w:shd w:val="clear" w:color="auto" w:fill="FFFFFF"/>
        </w:rPr>
      </w:pPr>
      <w:r>
        <w:rPr>
          <w:rFonts w:hint="eastAsia" w:ascii="宋体" w:hAnsi="Times New Roman" w:eastAsia="宋体" w:cs="宋体"/>
          <w:shd w:val="clear" w:color="auto" w:fill="FFFFFF"/>
        </w:rPr>
        <w:t>保密审查情况：已审查，内容审定</w:t>
      </w:r>
    </w:p>
    <w:p w14:paraId="26A48866">
      <w:pPr>
        <w:pStyle w:val="9"/>
        <w:keepNext w:val="0"/>
        <w:keepLines w:val="0"/>
        <w:widowControl/>
        <w:suppressLineNumbers w:val="0"/>
        <w:spacing w:before="0" w:beforeAutospacing="0"/>
        <w:ind w:left="0"/>
        <w:jc w:val="center"/>
        <w:rPr>
          <w:rFonts w:ascii="宋体" w:hAnsi="Times New Roman" w:eastAsia="宋体" w:cs="宋体"/>
          <w:shd w:val="clear" w:color="auto" w:fill="FFFFFF"/>
        </w:rPr>
      </w:pPr>
      <w:r>
        <w:rPr>
          <w:rFonts w:hint="eastAsia" w:ascii="宋体" w:hAnsi="Times New Roman" w:eastAsia="宋体" w:cs="宋体"/>
          <w:shd w:val="clear" w:color="auto" w:fill="FFFFFF"/>
        </w:rPr>
        <w:t>部门主要负责人审签情况：已审签，同意对外公开</w:t>
      </w:r>
    </w:p>
    <w:p w14:paraId="10C0E3F9">
      <w:pPr>
        <w:ind w:firstLine="1760" w:firstLineChars="400"/>
        <w:rPr>
          <w:rFonts w:ascii="黑体" w:hAnsi="黑体" w:eastAsia="黑体"/>
          <w:sz w:val="44"/>
          <w:szCs w:val="44"/>
        </w:rPr>
      </w:pPr>
    </w:p>
    <w:p w14:paraId="67EB324B">
      <w:pPr>
        <w:ind w:firstLine="1760" w:firstLineChars="400"/>
        <w:rPr>
          <w:rFonts w:ascii="黑体" w:hAnsi="黑体" w:eastAsia="黑体"/>
          <w:sz w:val="44"/>
          <w:szCs w:val="44"/>
        </w:rPr>
      </w:pPr>
    </w:p>
    <w:p w14:paraId="3B772F28">
      <w:pPr>
        <w:ind w:firstLine="1760" w:firstLineChars="400"/>
        <w:rPr>
          <w:rFonts w:ascii="黑体" w:hAnsi="黑体" w:eastAsia="黑体"/>
          <w:sz w:val="44"/>
          <w:szCs w:val="44"/>
        </w:rPr>
      </w:pPr>
    </w:p>
    <w:p w14:paraId="2922D82F">
      <w:pPr>
        <w:ind w:firstLine="1760" w:firstLineChars="400"/>
        <w:rPr>
          <w:rFonts w:ascii="黑体" w:hAnsi="黑体" w:eastAsia="黑体"/>
          <w:sz w:val="44"/>
          <w:szCs w:val="44"/>
        </w:rPr>
      </w:pPr>
    </w:p>
    <w:p w14:paraId="7A6795A3">
      <w:pPr>
        <w:ind w:firstLine="1760" w:firstLineChars="400"/>
        <w:rPr>
          <w:rFonts w:ascii="黑体" w:hAnsi="黑体" w:eastAsia="黑体"/>
          <w:sz w:val="44"/>
          <w:szCs w:val="44"/>
        </w:rPr>
      </w:pPr>
    </w:p>
    <w:p w14:paraId="13B19EE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heme="minorEastAsia" w:hAnsiTheme="minorEastAsia" w:eastAsiaTheme="minorEastAsia" w:cstheme="minorEastAsia"/>
          <w:b/>
          <w:bCs/>
          <w:sz w:val="32"/>
          <w:szCs w:val="32"/>
          <w:lang w:val="en-US" w:eastAsia="zh-CN"/>
        </w:rPr>
      </w:pPr>
      <w:bookmarkStart w:id="24" w:name="_GoBack"/>
      <w:bookmarkEnd w:id="24"/>
    </w:p>
    <w:p w14:paraId="41D88094">
      <w:pPr>
        <w:ind w:firstLine="3120" w:firstLineChars="600"/>
        <w:rPr>
          <w:rFonts w:ascii="黑体" w:hAnsi="黑体" w:eastAsia="黑体"/>
          <w:sz w:val="52"/>
          <w:szCs w:val="52"/>
        </w:rPr>
      </w:pPr>
      <w:r>
        <w:rPr>
          <w:rFonts w:hint="eastAsia" w:ascii="黑体" w:hAnsi="黑体" w:eastAsia="黑体"/>
          <w:sz w:val="52"/>
          <w:szCs w:val="52"/>
        </w:rPr>
        <w:t>目</w:t>
      </w:r>
      <w:r>
        <w:rPr>
          <w:rFonts w:hint="eastAsia" w:ascii="黑体" w:hAnsi="黑体" w:eastAsia="黑体"/>
          <w:sz w:val="52"/>
          <w:szCs w:val="52"/>
          <w:lang w:val="en-US" w:eastAsia="zh-CN"/>
        </w:rPr>
        <w:t xml:space="preserve"> </w:t>
      </w:r>
      <w:r>
        <w:rPr>
          <w:rFonts w:hint="eastAsia" w:ascii="黑体" w:hAnsi="黑体" w:eastAsia="黑体"/>
          <w:sz w:val="52"/>
          <w:szCs w:val="52"/>
        </w:rPr>
        <w:t>录</w:t>
      </w:r>
    </w:p>
    <w:p w14:paraId="02EEC939">
      <w:pPr>
        <w:ind w:firstLine="3080" w:firstLineChars="700"/>
        <w:rPr>
          <w:rFonts w:ascii="黑体" w:hAnsi="黑体" w:eastAsia="黑体"/>
          <w:sz w:val="44"/>
          <w:szCs w:val="44"/>
        </w:rPr>
      </w:pPr>
    </w:p>
    <w:p w14:paraId="5272FDB3">
      <w:pPr>
        <w:pStyle w:val="15"/>
        <w:ind w:firstLine="0" w:firstLineChars="0"/>
        <w:rPr>
          <w:rFonts w:ascii="黑体" w:hAnsi="黑体" w:eastAsia="黑体"/>
          <w:sz w:val="32"/>
          <w:szCs w:val="32"/>
        </w:rPr>
      </w:pPr>
      <w:r>
        <w:rPr>
          <w:rFonts w:hint="eastAsia" w:ascii="黑体" w:hAnsi="黑体" w:eastAsia="黑体"/>
          <w:sz w:val="32"/>
          <w:szCs w:val="32"/>
        </w:rPr>
        <w:t>一、基本职能及主要工作</w:t>
      </w:r>
    </w:p>
    <w:p w14:paraId="31C16D6D">
      <w:pPr>
        <w:rPr>
          <w:rFonts w:ascii="楷体" w:hAnsi="楷体" w:eastAsia="楷体"/>
          <w:sz w:val="32"/>
          <w:szCs w:val="32"/>
        </w:rPr>
      </w:pPr>
      <w:r>
        <w:rPr>
          <w:rFonts w:hint="eastAsia" w:ascii="楷体" w:hAnsi="楷体" w:eastAsia="楷体"/>
          <w:sz w:val="32"/>
          <w:szCs w:val="32"/>
        </w:rPr>
        <w:t>（一）</w:t>
      </w:r>
      <w:r>
        <w:rPr>
          <w:rFonts w:hint="eastAsia" w:ascii="楷体" w:hAnsi="楷体" w:eastAsia="楷体"/>
          <w:sz w:val="32"/>
          <w:szCs w:val="32"/>
          <w:lang w:val="en-US" w:eastAsia="zh-CN"/>
        </w:rPr>
        <w:t>检察院</w:t>
      </w:r>
      <w:r>
        <w:rPr>
          <w:rFonts w:hint="eastAsia" w:ascii="楷体" w:hAnsi="楷体" w:eastAsia="楷体"/>
          <w:sz w:val="32"/>
          <w:szCs w:val="32"/>
        </w:rPr>
        <w:t>职能简介</w:t>
      </w:r>
    </w:p>
    <w:p w14:paraId="13F64917">
      <w:pPr>
        <w:rPr>
          <w:rFonts w:ascii="楷体" w:hAnsi="楷体" w:eastAsia="楷体"/>
          <w:sz w:val="32"/>
          <w:szCs w:val="32"/>
        </w:rPr>
      </w:pPr>
      <w:r>
        <w:rPr>
          <w:rFonts w:hint="eastAsia" w:ascii="楷体" w:hAnsi="楷体" w:eastAsia="楷体"/>
          <w:sz w:val="32"/>
          <w:szCs w:val="32"/>
        </w:rPr>
        <w:t>（二）</w:t>
      </w:r>
      <w:r>
        <w:rPr>
          <w:rFonts w:hint="eastAsia" w:ascii="楷体" w:hAnsi="楷体" w:eastAsia="楷体"/>
          <w:sz w:val="32"/>
          <w:szCs w:val="32"/>
          <w:lang w:val="en-US" w:eastAsia="zh-CN"/>
        </w:rPr>
        <w:t>检察院</w:t>
      </w:r>
      <w:r>
        <w:rPr>
          <w:rFonts w:ascii="楷体" w:hAnsi="楷体" w:eastAsia="楷体"/>
          <w:sz w:val="32"/>
          <w:szCs w:val="32"/>
        </w:rPr>
        <w:t>20</w:t>
      </w:r>
      <w:r>
        <w:rPr>
          <w:rFonts w:hint="eastAsia" w:ascii="楷体" w:hAnsi="楷体" w:eastAsia="楷体"/>
          <w:sz w:val="32"/>
          <w:szCs w:val="32"/>
        </w:rPr>
        <w:t>23年重点工作</w:t>
      </w:r>
    </w:p>
    <w:p w14:paraId="29BDE8BE">
      <w:pPr>
        <w:rPr>
          <w:rFonts w:ascii="黑体" w:hAnsi="黑体" w:eastAsia="黑体"/>
          <w:sz w:val="32"/>
          <w:szCs w:val="32"/>
        </w:rPr>
      </w:pPr>
      <w:r>
        <w:rPr>
          <w:rFonts w:hint="eastAsia" w:ascii="黑体" w:hAnsi="黑体" w:eastAsia="黑体"/>
          <w:sz w:val="32"/>
          <w:szCs w:val="32"/>
        </w:rPr>
        <w:t>二、部门预算单位构成</w:t>
      </w:r>
    </w:p>
    <w:p w14:paraId="315CD306">
      <w:pPr>
        <w:rPr>
          <w:rFonts w:ascii="黑体" w:hAnsi="黑体" w:eastAsia="黑体"/>
          <w:sz w:val="32"/>
          <w:szCs w:val="32"/>
        </w:rPr>
      </w:pPr>
      <w:r>
        <w:rPr>
          <w:rFonts w:hint="eastAsia" w:ascii="黑体" w:hAnsi="黑体" w:eastAsia="黑体"/>
          <w:sz w:val="32"/>
          <w:szCs w:val="32"/>
        </w:rPr>
        <w:t>三、收支预算情况说明</w:t>
      </w:r>
    </w:p>
    <w:p w14:paraId="3AF65B80">
      <w:pPr>
        <w:rPr>
          <w:rFonts w:ascii="楷体" w:hAnsi="楷体" w:eastAsia="楷体"/>
          <w:sz w:val="32"/>
          <w:szCs w:val="32"/>
        </w:rPr>
      </w:pPr>
      <w:r>
        <w:rPr>
          <w:rFonts w:hint="eastAsia" w:ascii="楷体" w:hAnsi="楷体" w:eastAsia="楷体"/>
          <w:sz w:val="32"/>
          <w:szCs w:val="32"/>
        </w:rPr>
        <w:t>（一）收入预算情况</w:t>
      </w:r>
    </w:p>
    <w:p w14:paraId="36594146">
      <w:pPr>
        <w:rPr>
          <w:rFonts w:ascii="楷体" w:hAnsi="楷体" w:eastAsia="楷体"/>
          <w:sz w:val="32"/>
          <w:szCs w:val="32"/>
        </w:rPr>
      </w:pPr>
      <w:r>
        <w:rPr>
          <w:rFonts w:hint="eastAsia" w:ascii="楷体" w:hAnsi="楷体" w:eastAsia="楷体"/>
          <w:sz w:val="32"/>
          <w:szCs w:val="32"/>
        </w:rPr>
        <w:t>（二）支出预算情况</w:t>
      </w:r>
    </w:p>
    <w:p w14:paraId="30D209BC">
      <w:pPr>
        <w:rPr>
          <w:rFonts w:ascii="黑体" w:hAnsi="黑体" w:eastAsia="黑体"/>
          <w:sz w:val="32"/>
          <w:szCs w:val="32"/>
        </w:rPr>
      </w:pPr>
      <w:r>
        <w:rPr>
          <w:rFonts w:hint="eastAsia" w:ascii="黑体" w:hAnsi="黑体" w:eastAsia="黑体"/>
          <w:sz w:val="32"/>
          <w:szCs w:val="32"/>
        </w:rPr>
        <w:t>四、财政拨款收支预算情况说明</w:t>
      </w:r>
    </w:p>
    <w:p w14:paraId="649E04F2">
      <w:pPr>
        <w:rPr>
          <w:rFonts w:ascii="黑体" w:hAnsi="黑体" w:eastAsia="黑体"/>
          <w:sz w:val="32"/>
          <w:szCs w:val="32"/>
        </w:rPr>
      </w:pPr>
      <w:r>
        <w:rPr>
          <w:rFonts w:hint="eastAsia" w:ascii="黑体" w:hAnsi="黑体" w:eastAsia="黑体"/>
          <w:sz w:val="32"/>
          <w:szCs w:val="32"/>
        </w:rPr>
        <w:t>五、一般公共预算当年拨款情况说明</w:t>
      </w:r>
    </w:p>
    <w:p w14:paraId="580422BF">
      <w:pPr>
        <w:rPr>
          <w:rFonts w:ascii="黑体" w:hAnsi="黑体" w:eastAsia="黑体"/>
          <w:sz w:val="32"/>
          <w:szCs w:val="32"/>
        </w:rPr>
      </w:pPr>
      <w:r>
        <w:rPr>
          <w:rFonts w:hint="eastAsia" w:ascii="楷体" w:hAnsi="楷体" w:eastAsia="楷体"/>
          <w:sz w:val="32"/>
          <w:szCs w:val="32"/>
        </w:rPr>
        <w:t>（一）一般公共预算当年拨款规模变化情况</w:t>
      </w:r>
      <w:r>
        <w:rPr>
          <w:rFonts w:ascii="楷体" w:hAnsi="楷体" w:eastAsia="楷体"/>
          <w:sz w:val="32"/>
          <w:szCs w:val="32"/>
        </w:rPr>
        <w:br w:type="textWrapping"/>
      </w:r>
      <w:r>
        <w:rPr>
          <w:rFonts w:hint="eastAsia" w:ascii="楷体" w:hAnsi="楷体" w:eastAsia="楷体"/>
          <w:sz w:val="32"/>
          <w:szCs w:val="32"/>
        </w:rPr>
        <w:t>（二）一般公共预算当年拨款结构情况</w:t>
      </w:r>
      <w:r>
        <w:rPr>
          <w:rFonts w:ascii="楷体" w:hAnsi="楷体" w:eastAsia="楷体"/>
          <w:sz w:val="32"/>
          <w:szCs w:val="32"/>
        </w:rPr>
        <w:br w:type="textWrapping"/>
      </w:r>
      <w:r>
        <w:rPr>
          <w:rFonts w:hint="eastAsia" w:ascii="楷体" w:hAnsi="楷体" w:eastAsia="楷体"/>
          <w:sz w:val="32"/>
          <w:szCs w:val="32"/>
        </w:rPr>
        <w:t>（三）一般公共预算当年拨款具体使用情况</w:t>
      </w:r>
      <w:r>
        <w:rPr>
          <w:rFonts w:ascii="??" w:hAnsi="??"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14:paraId="66972E48">
      <w:pPr>
        <w:rPr>
          <w:rFonts w:ascii="黑体" w:hAnsi="黑体" w:eastAsia="黑体"/>
          <w:sz w:val="32"/>
          <w:szCs w:val="32"/>
        </w:rPr>
      </w:pPr>
    </w:p>
    <w:p w14:paraId="76BE733F">
      <w:pPr>
        <w:widowControl/>
        <w:shd w:val="clear" w:color="auto" w:fill="FFFFFF"/>
        <w:spacing w:before="100" w:beforeAutospacing="1" w:after="100" w:afterAutospacing="1" w:line="290" w:lineRule="atLeast"/>
        <w:ind w:right="300"/>
        <w:jc w:val="left"/>
        <w:rPr>
          <w:rFonts w:ascii="??" w:hAnsi="??" w:cs="宋体"/>
          <w:kern w:val="0"/>
          <w:sz w:val="12"/>
          <w:szCs w:val="12"/>
        </w:rPr>
      </w:pPr>
    </w:p>
    <w:p w14:paraId="70B2FEBE">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sectPr>
          <w:pgSz w:w="11906" w:h="16838"/>
          <w:pgMar w:top="1440" w:right="1800" w:bottom="1440" w:left="1800" w:header="851" w:footer="992" w:gutter="0"/>
          <w:cols w:space="720" w:num="1"/>
          <w:docGrid w:type="lines" w:linePitch="312" w:charSpace="0"/>
        </w:sectPr>
      </w:pPr>
    </w:p>
    <w:p w14:paraId="08F2A46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52"/>
          <w:szCs w:val="52"/>
        </w:rPr>
      </w:pPr>
    </w:p>
    <w:p w14:paraId="08429F74">
      <w:pPr>
        <w:spacing w:line="420" w:lineRule="auto"/>
        <w:ind w:left="0" w:firstLine="0"/>
        <w:jc w:val="center"/>
        <w:rPr>
          <w:rFonts w:hint="eastAsia"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金川县检察院</w:t>
      </w:r>
    </w:p>
    <w:p w14:paraId="3C0D5FBD">
      <w:pPr>
        <w:spacing w:line="420" w:lineRule="auto"/>
        <w:ind w:left="0" w:firstLine="0"/>
        <w:jc w:val="center"/>
        <w:rPr>
          <w:rFonts w:hint="eastAsia"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2023部门预算编制说明</w:t>
      </w:r>
    </w:p>
    <w:p w14:paraId="78AC0C4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仿宋_GB2312" w:cs="宋体"/>
          <w:color w:val="000000"/>
          <w:spacing w:val="-14"/>
          <w:kern w:val="0"/>
          <w:sz w:val="32"/>
          <w:szCs w:val="32"/>
          <w:lang w:val="en-US" w:eastAsia="zh-CN"/>
        </w:rPr>
      </w:pPr>
      <w:r>
        <w:rPr>
          <w:rFonts w:hint="eastAsia" w:asciiTheme="minorEastAsia" w:hAnsiTheme="minorEastAsia" w:eastAsiaTheme="minorEastAsia" w:cstheme="minorEastAsia"/>
          <w:sz w:val="32"/>
          <w:szCs w:val="32"/>
        </w:rPr>
        <w:t xml:space="preserve">　  </w:t>
      </w:r>
      <w:r>
        <w:rPr>
          <w:rFonts w:hint="eastAsia" w:ascii="仿宋_GB2312" w:hAnsi="宋体" w:eastAsia="仿宋_GB2312" w:cs="Times New Roman"/>
          <w:spacing w:val="-2"/>
          <w:kern w:val="2"/>
          <w:sz w:val="32"/>
          <w:szCs w:val="32"/>
          <w:lang w:val="en-US" w:eastAsia="zh-CN" w:bidi="ar-SA"/>
        </w:rPr>
        <w:t xml:space="preserve"> 按照预算管理有关规定，目前部门预算的编制实行综合预算制度，即全部收入和支出都反映在预算中，现就2023部门预算编制情况说明如下：</w:t>
      </w:r>
    </w:p>
    <w:p w14:paraId="432BAE34">
      <w:pPr>
        <w:pStyle w:val="5"/>
        <w:pageBreakBefore w:val="0"/>
        <w:widowControl w:val="0"/>
        <w:kinsoku/>
        <w:wordWrap/>
        <w:overflowPunct/>
        <w:topLinePunct w:val="0"/>
        <w:autoSpaceDE/>
        <w:autoSpaceDN/>
        <w:bidi w:val="0"/>
        <w:adjustRightInd/>
        <w:snapToGrid/>
        <w:spacing w:before="0" w:after="0"/>
        <w:ind w:left="0" w:leftChars="0" w:right="0" w:rightChars="0" w:firstLine="0" w:firstLineChars="0"/>
        <w:jc w:val="both"/>
        <w:textAlignment w:val="auto"/>
        <w:rPr>
          <w:rStyle w:val="13"/>
          <w:rFonts w:hint="eastAsia"/>
          <w:b/>
          <w:bCs/>
        </w:rPr>
      </w:pPr>
      <w:r>
        <w:rPr>
          <w:rFonts w:hint="eastAsia"/>
        </w:rPr>
        <w:t>　</w:t>
      </w:r>
      <w:r>
        <w:rPr>
          <w:rStyle w:val="13"/>
          <w:rFonts w:hint="eastAsia"/>
          <w:b/>
          <w:bCs/>
        </w:rPr>
        <w:t>　</w:t>
      </w:r>
      <w:bookmarkStart w:id="0" w:name="_Toc19614"/>
      <w:r>
        <w:rPr>
          <w:rFonts w:hint="eastAsia" w:ascii="黑体" w:hAnsi="黑体" w:eastAsia="黑体" w:cs="Times New Roman"/>
          <w:b w:val="0"/>
          <w:bCs w:val="0"/>
          <w:kern w:val="2"/>
          <w:sz w:val="32"/>
          <w:szCs w:val="32"/>
          <w:lang w:val="en-US" w:eastAsia="zh-CN" w:bidi="ar-SA"/>
        </w:rPr>
        <w:t>一、基本职能及主要工作</w:t>
      </w:r>
      <w:bookmarkEnd w:id="0"/>
    </w:p>
    <w:p w14:paraId="2E8DE56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Style w:val="14"/>
          <w:rFonts w:hint="eastAsia"/>
        </w:rPr>
      </w:pPr>
      <w:r>
        <w:rPr>
          <w:rFonts w:hint="eastAsia" w:asciiTheme="minorEastAsia" w:hAnsiTheme="minorEastAsia" w:eastAsiaTheme="minorEastAsia" w:cstheme="minorEastAsia"/>
          <w:sz w:val="32"/>
          <w:szCs w:val="32"/>
        </w:rPr>
        <w:t>　</w:t>
      </w:r>
      <w:r>
        <w:rPr>
          <w:rFonts w:hint="eastAsia" w:ascii="楷体" w:hAnsi="楷体" w:eastAsia="楷体" w:cs="楷体"/>
          <w:kern w:val="0"/>
          <w:sz w:val="32"/>
          <w:szCs w:val="32"/>
          <w:lang w:val="en-US" w:eastAsia="zh-CN" w:bidi="ar-SA"/>
        </w:rPr>
        <w:t>　</w:t>
      </w:r>
      <w:bookmarkStart w:id="1" w:name="_Toc675"/>
      <w:r>
        <w:rPr>
          <w:rFonts w:hint="eastAsia" w:ascii="楷体" w:hAnsi="楷体" w:eastAsia="楷体" w:cs="楷体"/>
          <w:kern w:val="0"/>
          <w:sz w:val="32"/>
          <w:szCs w:val="32"/>
          <w:lang w:val="en-US" w:eastAsia="zh-CN" w:bidi="ar-SA"/>
        </w:rPr>
        <w:t>（一）检察院职能简介。</w:t>
      </w:r>
    </w:p>
    <w:bookmarkEnd w:id="1"/>
    <w:p w14:paraId="5A9F244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sz w:val="32"/>
          <w:szCs w:val="32"/>
        </w:rPr>
        <w:t>　</w:t>
      </w:r>
      <w:r>
        <w:rPr>
          <w:rFonts w:hint="eastAsia" w:ascii="宋体" w:hAnsi="宋体" w:eastAsia="仿宋_GB2312" w:cs="宋体"/>
          <w:color w:val="000000"/>
          <w:spacing w:val="-14"/>
          <w:kern w:val="0"/>
          <w:sz w:val="32"/>
          <w:szCs w:val="32"/>
          <w:lang w:val="en-US" w:eastAsia="zh-CN"/>
        </w:rPr>
        <w:t>　</w:t>
      </w:r>
      <w:r>
        <w:rPr>
          <w:rFonts w:hint="eastAsia" w:ascii="仿宋_GB2312" w:hAnsi="宋体" w:eastAsia="仿宋_GB2312" w:cs="Times New Roman"/>
          <w:spacing w:val="-2"/>
          <w:kern w:val="2"/>
          <w:sz w:val="32"/>
          <w:szCs w:val="32"/>
          <w:lang w:val="en-US" w:eastAsia="zh-CN" w:bidi="ar-SA"/>
        </w:rPr>
        <w:t>主要职能：审查批准逮捕、决定起诉并出席法庭支持公诉的职能。人民检察院是国家的法律监督机关，行使国家的检察权。对于叛国案、分裂国家案以及严重破坏国家的政策、法律、政令统一实施的重大犯罪案件，行使检察权。对于直接受理的国家工作人员利用职权实施的犯罪案件，进行侦查。对于公安机关、国家安全机关等侦查机关侦查的案件进行审查，决定是否逮捕、是否起诉，并监督侦查机关的侦查活动是否合法。对于刑事案件提起公诉，支持公诉；对于人民法院的刑事判决、裁定是否正确和审判活动是否合法实行监督。对于监狱、看守所等监所机关执行刑罚的活动是否合法实行监督。对于人民法院的民事审判活动实行法律监督，对人民法院已经发生效力的判决、裁定，发现违反法律、法规规定的，依法提出抗诉。对于行政诉讼实行法律监督。对人民法院已经发生效力的判决、裁定发现违反法律、法规规定的，依法提出抗诉。</w:t>
      </w:r>
    </w:p>
    <w:p w14:paraId="440BF6B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Style w:val="14"/>
          <w:rFonts w:hint="eastAsia"/>
        </w:rPr>
      </w:pPr>
      <w:r>
        <w:rPr>
          <w:rFonts w:hint="eastAsia" w:asciiTheme="minorEastAsia" w:hAnsiTheme="minorEastAsia" w:eastAsiaTheme="minorEastAsia" w:cstheme="minorEastAsia"/>
          <w:sz w:val="32"/>
          <w:szCs w:val="32"/>
        </w:rPr>
        <w:t xml:space="preserve">  </w:t>
      </w:r>
      <w:bookmarkStart w:id="2" w:name="_Toc4410"/>
      <w:r>
        <w:rPr>
          <w:rFonts w:hint="eastAsia" w:asciiTheme="minorEastAsia" w:hAnsiTheme="minorEastAsia" w:eastAsiaTheme="minorEastAsia" w:cstheme="minorEastAsia"/>
          <w:sz w:val="32"/>
          <w:szCs w:val="32"/>
          <w:lang w:val="en-US" w:eastAsia="zh-CN"/>
        </w:rPr>
        <w:t xml:space="preserve"> </w:t>
      </w:r>
      <w:r>
        <w:rPr>
          <w:rFonts w:hint="eastAsia" w:ascii="楷体" w:hAnsi="楷体" w:eastAsia="楷体" w:cs="楷体"/>
          <w:kern w:val="0"/>
          <w:sz w:val="32"/>
          <w:szCs w:val="32"/>
          <w:lang w:val="en-US" w:eastAsia="zh-CN" w:bidi="ar-SA"/>
        </w:rPr>
        <w:t>（二）检察院2023重点工作。</w:t>
      </w:r>
    </w:p>
    <w:bookmarkEnd w:id="2"/>
    <w:p w14:paraId="4608C4E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宋体" w:hAnsi="宋体" w:eastAsia="仿宋_GB2312" w:cs="宋体"/>
          <w:color w:val="000000"/>
          <w:spacing w:val="-14"/>
          <w:kern w:val="0"/>
          <w:sz w:val="32"/>
          <w:szCs w:val="32"/>
          <w:lang w:val="en-US" w:eastAsia="zh-CN"/>
        </w:rPr>
        <w:t>　</w:t>
      </w:r>
      <w:r>
        <w:rPr>
          <w:rFonts w:hint="eastAsia" w:ascii="仿宋_GB2312" w:hAnsi="宋体" w:eastAsia="仿宋_GB2312" w:cs="Times New Roman"/>
          <w:spacing w:val="-2"/>
          <w:kern w:val="2"/>
          <w:sz w:val="32"/>
          <w:szCs w:val="32"/>
          <w:lang w:val="en-US" w:eastAsia="zh-CN" w:bidi="ar-SA"/>
        </w:rPr>
        <w:t>　2023主要工作任务是严格按照2023的预算数和县财政局下达的预算进行拔付，主要支出如下：工资福利包括基本工资、津贴补贴、奖金、绩效工资、社会保险费等；对个人和家庭的补助支出包括离休费、退休费、遗属生活费等；商品和服务的支出按照县财政局下达公务经费定额标准、分类科目、结合实际开支，尽量不超预算。</w:t>
      </w:r>
    </w:p>
    <w:p w14:paraId="2B2F61B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Style w:val="13"/>
          <w:rFonts w:hint="eastAsia"/>
        </w:rPr>
      </w:pPr>
      <w:r>
        <w:rPr>
          <w:rFonts w:hint="eastAsia" w:asciiTheme="minorEastAsia" w:hAnsiTheme="minorEastAsia" w:eastAsiaTheme="minorEastAsia" w:cstheme="minorEastAsia"/>
          <w:sz w:val="32"/>
          <w:szCs w:val="32"/>
        </w:rPr>
        <w:t xml:space="preserve">  </w:t>
      </w:r>
      <w:bookmarkStart w:id="3" w:name="_Toc12146"/>
      <w:r>
        <w:rPr>
          <w:rFonts w:hint="eastAsia" w:ascii="Calibri Light" w:hAnsi="Calibri Light" w:eastAsia="宋体" w:cs="Times New Roman"/>
          <w:b/>
          <w:bCs/>
          <w:kern w:val="2"/>
          <w:sz w:val="32"/>
          <w:szCs w:val="32"/>
          <w:lang w:val="en-US" w:eastAsia="zh-CN" w:bidi="ar-SA"/>
        </w:rPr>
        <w:t>二、部门概况</w:t>
      </w:r>
    </w:p>
    <w:bookmarkEnd w:id="3"/>
    <w:p w14:paraId="2BEA7E6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sz w:val="32"/>
          <w:szCs w:val="32"/>
        </w:rPr>
        <w:t xml:space="preserve"> </w:t>
      </w:r>
      <w:r>
        <w:rPr>
          <w:rFonts w:hint="eastAsia" w:ascii="仿宋_GB2312" w:hAnsi="宋体" w:eastAsia="仿宋_GB2312" w:cs="Times New Roman"/>
          <w:spacing w:val="-2"/>
          <w:kern w:val="2"/>
          <w:sz w:val="32"/>
          <w:szCs w:val="32"/>
          <w:lang w:val="en-US" w:eastAsia="zh-CN" w:bidi="ar-SA"/>
        </w:rPr>
        <w:t xml:space="preserve">  2023独立编制单位机构数为 1个，财政供养人员编制为 24名，其中行政编制24名，行政工勤编制3名，事业编制0名（其中参照公务员法管理人员编制0人）；2023实际财政供养人员24人，较上年增加0人（不含退休人员），其中：行政22人，行政工勤2人，事业0人。 </w:t>
      </w:r>
    </w:p>
    <w:p w14:paraId="33A5F54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Style w:val="13"/>
          <w:rFonts w:hint="eastAsia"/>
        </w:rPr>
      </w:pPr>
      <w:r>
        <w:rPr>
          <w:rFonts w:hint="eastAsia" w:asciiTheme="minorEastAsia" w:hAnsiTheme="minorEastAsia" w:eastAsiaTheme="minorEastAsia" w:cstheme="minorEastAsia"/>
          <w:sz w:val="32"/>
          <w:szCs w:val="32"/>
        </w:rPr>
        <w:t>　</w:t>
      </w:r>
      <w:bookmarkStart w:id="4" w:name="_Toc8961"/>
      <w:r>
        <w:rPr>
          <w:rFonts w:hint="eastAsia" w:ascii="Calibri Light" w:hAnsi="Calibri Light" w:eastAsia="宋体" w:cs="Times New Roman"/>
          <w:b/>
          <w:bCs/>
          <w:kern w:val="2"/>
          <w:sz w:val="32"/>
          <w:szCs w:val="32"/>
          <w:lang w:val="en-US" w:eastAsia="zh-CN" w:bidi="ar-SA"/>
        </w:rPr>
        <w:t>三、收支预算情况说明</w:t>
      </w:r>
    </w:p>
    <w:bookmarkEnd w:id="4"/>
    <w:p w14:paraId="42CF2A8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sz w:val="32"/>
          <w:szCs w:val="32"/>
        </w:rPr>
        <w:t>　</w:t>
      </w:r>
      <w:r>
        <w:rPr>
          <w:rFonts w:hint="eastAsia" w:ascii="宋体" w:hAnsi="宋体" w:eastAsia="仿宋_GB2312" w:cs="宋体"/>
          <w:color w:val="000000" w:themeColor="text1"/>
          <w:spacing w:val="-14"/>
          <w:kern w:val="0"/>
          <w:sz w:val="32"/>
          <w:szCs w:val="32"/>
          <w:lang w:val="en-US" w:eastAsia="zh-CN"/>
          <w14:textFill>
            <w14:solidFill>
              <w14:schemeClr w14:val="tx1"/>
            </w14:solidFill>
          </w14:textFill>
        </w:rPr>
        <w:t>　</w:t>
      </w:r>
      <w:r>
        <w:rPr>
          <w:rFonts w:hint="eastAsia" w:ascii="仿宋_GB2312" w:hAnsi="宋体" w:eastAsia="仿宋_GB2312" w:cs="Times New Roman"/>
          <w:spacing w:val="-2"/>
          <w:kern w:val="2"/>
          <w:sz w:val="32"/>
          <w:szCs w:val="32"/>
          <w:lang w:val="en-US" w:eastAsia="zh-CN" w:bidi="ar-SA"/>
        </w:rPr>
        <w:t>按照综合预算的原则，检察院所有收入和支出均纳入部门预算管理。收入包括：一般公共预算拨款收入、上年结转；支出包括：一般公共服务支出、教育支出、社会保障和就业支出、医疗卫生与计划生育支出、住房保障支出。检察院2023收支总预算693.68万元,比2022年收支预算总数增加0.89万元，主要是因为2023人员工资进行普调。</w:t>
      </w:r>
    </w:p>
    <w:p w14:paraId="3466DAE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w:t>
      </w:r>
      <w:bookmarkStart w:id="5" w:name="_Toc6429"/>
      <w:r>
        <w:rPr>
          <w:rFonts w:hint="eastAsia" w:ascii="楷体" w:hAnsi="楷体" w:eastAsia="楷体" w:cs="楷体"/>
          <w:kern w:val="0"/>
          <w:sz w:val="32"/>
          <w:szCs w:val="32"/>
          <w:lang w:val="en-US" w:eastAsia="zh-CN" w:bidi="ar-SA"/>
        </w:rPr>
        <w:t>（一）收入预算情况。</w:t>
      </w:r>
      <w:bookmarkEnd w:id="5"/>
    </w:p>
    <w:p w14:paraId="610E834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sz w:val="32"/>
          <w:szCs w:val="32"/>
        </w:rPr>
        <w:t>　</w:t>
      </w:r>
      <w:r>
        <w:rPr>
          <w:rFonts w:hint="eastAsia" w:ascii="仿宋_GB2312" w:hAnsi="宋体" w:eastAsia="仿宋_GB2312" w:cs="Times New Roman"/>
          <w:spacing w:val="-2"/>
          <w:kern w:val="2"/>
          <w:sz w:val="32"/>
          <w:szCs w:val="32"/>
          <w:lang w:val="en-US" w:eastAsia="zh-CN" w:bidi="ar-SA"/>
        </w:rPr>
        <w:t>　检察院2023收入预算693.68万元，其中：上年结转0万元，占100%；一般公共预算拨款收入693.68万元，占100%。</w:t>
      </w:r>
    </w:p>
    <w:p w14:paraId="5BBA916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Style w:val="14"/>
          <w:rFonts w:hint="eastAsia"/>
        </w:rPr>
      </w:pPr>
      <w:r>
        <w:rPr>
          <w:rFonts w:hint="eastAsia" w:asciiTheme="minorEastAsia" w:hAnsiTheme="minorEastAsia" w:eastAsiaTheme="minorEastAsia" w:cstheme="minorEastAsia"/>
          <w:sz w:val="32"/>
          <w:szCs w:val="32"/>
        </w:rPr>
        <w:t>　</w:t>
      </w:r>
      <w:bookmarkStart w:id="6" w:name="_Toc21024"/>
      <w:r>
        <w:rPr>
          <w:rStyle w:val="14"/>
          <w:rFonts w:hint="eastAsia"/>
        </w:rPr>
        <w:t>　</w:t>
      </w:r>
      <w:r>
        <w:rPr>
          <w:rFonts w:hint="eastAsia" w:ascii="楷体" w:hAnsi="楷体" w:eastAsia="楷体" w:cs="楷体"/>
          <w:kern w:val="0"/>
          <w:sz w:val="32"/>
          <w:szCs w:val="32"/>
          <w:lang w:val="en-US" w:eastAsia="zh-CN" w:bidi="ar-SA"/>
        </w:rPr>
        <w:t>（二）支出预算情况。</w:t>
      </w:r>
    </w:p>
    <w:bookmarkEnd w:id="6"/>
    <w:p w14:paraId="7BCB521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sz w:val="32"/>
          <w:szCs w:val="32"/>
        </w:rPr>
        <w:t>　　</w:t>
      </w:r>
      <w:r>
        <w:rPr>
          <w:rFonts w:hint="eastAsia" w:ascii="仿宋_GB2312" w:hAnsi="宋体" w:eastAsia="仿宋_GB2312" w:cs="Times New Roman"/>
          <w:spacing w:val="-2"/>
          <w:kern w:val="2"/>
          <w:sz w:val="32"/>
          <w:szCs w:val="32"/>
          <w:lang w:val="en-US" w:eastAsia="zh-CN" w:bidi="ar-SA"/>
        </w:rPr>
        <w:t>检察院2023支出预算693.68万元，其中：基本支出693.68万元，占100%；项目支出0万元，占0%。</w:t>
      </w:r>
    </w:p>
    <w:p w14:paraId="7CD8B24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Style w:val="13"/>
          <w:rFonts w:hint="eastAsia"/>
        </w:rPr>
      </w:pPr>
      <w:r>
        <w:rPr>
          <w:rFonts w:hint="eastAsia" w:asciiTheme="minorEastAsia" w:hAnsiTheme="minorEastAsia" w:eastAsiaTheme="minorEastAsia" w:cstheme="minorEastAsia"/>
          <w:sz w:val="32"/>
          <w:szCs w:val="32"/>
        </w:rPr>
        <w:t>　</w:t>
      </w:r>
      <w:r>
        <w:rPr>
          <w:rFonts w:hint="eastAsia" w:ascii="Calibri Light" w:hAnsi="Calibri Light" w:eastAsia="宋体" w:cs="Times New Roman"/>
          <w:b/>
          <w:bCs/>
          <w:kern w:val="2"/>
          <w:sz w:val="32"/>
          <w:szCs w:val="32"/>
          <w:lang w:val="en-US" w:eastAsia="zh-CN" w:bidi="ar-SA"/>
        </w:rPr>
        <w:t>　</w:t>
      </w:r>
      <w:bookmarkStart w:id="7" w:name="_Toc27644"/>
      <w:r>
        <w:rPr>
          <w:rFonts w:hint="eastAsia" w:ascii="Calibri Light" w:hAnsi="Calibri Light" w:eastAsia="宋体" w:cs="Times New Roman"/>
          <w:b/>
          <w:bCs/>
          <w:kern w:val="2"/>
          <w:sz w:val="32"/>
          <w:szCs w:val="32"/>
          <w:lang w:val="en-US" w:eastAsia="zh-CN" w:bidi="ar-SA"/>
        </w:rPr>
        <w:t>四、财政拨款收支预算情况说明</w:t>
      </w:r>
    </w:p>
    <w:bookmarkEnd w:id="7"/>
    <w:p w14:paraId="050DB6A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sz w:val="32"/>
          <w:szCs w:val="32"/>
        </w:rPr>
        <w:t>　</w:t>
      </w:r>
      <w:r>
        <w:rPr>
          <w:rFonts w:hint="eastAsia" w:ascii="宋体" w:hAnsi="宋体" w:eastAsia="仿宋_GB2312" w:cs="宋体"/>
          <w:color w:val="000000"/>
          <w:spacing w:val="-14"/>
          <w:kern w:val="0"/>
          <w:sz w:val="32"/>
          <w:szCs w:val="32"/>
          <w:lang w:val="en-US" w:eastAsia="zh-CN"/>
        </w:rPr>
        <w:t>　</w:t>
      </w:r>
      <w:r>
        <w:rPr>
          <w:rFonts w:hint="eastAsia" w:ascii="仿宋_GB2312" w:hAnsi="宋体" w:eastAsia="仿宋_GB2312" w:cs="Times New Roman"/>
          <w:spacing w:val="-2"/>
          <w:kern w:val="2"/>
          <w:sz w:val="32"/>
          <w:szCs w:val="32"/>
          <w:lang w:val="en-US" w:eastAsia="zh-CN" w:bidi="ar-SA"/>
        </w:rPr>
        <w:t>检察院2023财政拨款收支总预算693.68万元,比2021年财政拨款收支总预算增加0.89万元，主要是因为2023人员工资进行普调。</w:t>
      </w:r>
    </w:p>
    <w:p w14:paraId="5449791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xml:space="preserve">     收入包括：本年一般公共预算拨款收入693.68万元、上年结转一般公共预算拨款收入0万元；支出包括：公共安全支出497.30万元、教育支出0万元、社会保障和就业支出104.95万元、卫生健康支出40.13、住房保障支出51.30万元。</w:t>
      </w:r>
    </w:p>
    <w:p w14:paraId="0945285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Style w:val="13"/>
          <w:rFonts w:hint="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r>
        <w:rPr>
          <w:rFonts w:hint="eastAsia" w:ascii="Calibri Light" w:hAnsi="Calibri Light" w:eastAsia="宋体" w:cs="Times New Roman"/>
          <w:b/>
          <w:bCs/>
          <w:kern w:val="2"/>
          <w:sz w:val="32"/>
          <w:szCs w:val="32"/>
          <w:lang w:val="en-US" w:eastAsia="zh-CN" w:bidi="ar-SA"/>
        </w:rPr>
        <w:t>　</w:t>
      </w:r>
      <w:bookmarkStart w:id="8" w:name="_Toc19177"/>
      <w:r>
        <w:rPr>
          <w:rFonts w:hint="eastAsia" w:ascii="Calibri Light" w:hAnsi="Calibri Light" w:eastAsia="宋体" w:cs="Times New Roman"/>
          <w:b/>
          <w:bCs/>
          <w:kern w:val="2"/>
          <w:sz w:val="32"/>
          <w:szCs w:val="32"/>
          <w:lang w:val="en-US" w:eastAsia="zh-CN" w:bidi="ar-SA"/>
        </w:rPr>
        <w:t>五、一般公共预算当年拨款情况说明</w:t>
      </w:r>
    </w:p>
    <w:bookmarkEnd w:id="8"/>
    <w:p w14:paraId="7012BDF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Style w:val="14"/>
          <w:rFonts w:hint="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r>
        <w:rPr>
          <w:rFonts w:hint="eastAsia" w:asciiTheme="minorEastAsia" w:hAnsiTheme="minorEastAsia" w:eastAsiaTheme="minorEastAsia" w:cstheme="minorEastAsia"/>
          <w:sz w:val="32"/>
          <w:szCs w:val="32"/>
        </w:rPr>
        <w:t>　</w:t>
      </w:r>
      <w:bookmarkStart w:id="9" w:name="_Toc30481"/>
      <w:r>
        <w:rPr>
          <w:rFonts w:hint="eastAsia" w:ascii="楷体" w:hAnsi="楷体" w:eastAsia="楷体" w:cs="楷体"/>
          <w:kern w:val="0"/>
          <w:sz w:val="32"/>
          <w:szCs w:val="32"/>
          <w:lang w:val="en-US" w:eastAsia="zh-CN" w:bidi="ar-SA"/>
        </w:rPr>
        <w:t>（一）一般公共预算当年拨款规模变化情况。</w:t>
      </w:r>
    </w:p>
    <w:bookmarkEnd w:id="9"/>
    <w:p w14:paraId="3B0C8C0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r>
        <w:rPr>
          <w:rFonts w:hint="eastAsia" w:ascii="仿宋_GB2312" w:hAnsi="宋体" w:eastAsia="仿宋_GB2312" w:cs="Times New Roman"/>
          <w:spacing w:val="-2"/>
          <w:kern w:val="2"/>
          <w:sz w:val="32"/>
          <w:szCs w:val="32"/>
          <w:lang w:val="en-US" w:eastAsia="zh-CN" w:bidi="ar-SA"/>
        </w:rPr>
        <w:t>　检察院2023一般公共预算当年拨款693.68万元，增加0.89万元，主要是因为2023人员工资进行普调。</w:t>
      </w:r>
    </w:p>
    <w:p w14:paraId="56E1C07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Style w:val="14"/>
          <w:rFonts w:hint="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 xml:space="preserve">   </w:t>
      </w:r>
      <w:bookmarkStart w:id="10" w:name="_Toc27778"/>
      <w:r>
        <w:rPr>
          <w:rFonts w:hint="eastAsia" w:ascii="楷体" w:hAnsi="楷体" w:eastAsia="楷体" w:cs="楷体"/>
          <w:kern w:val="0"/>
          <w:sz w:val="32"/>
          <w:szCs w:val="32"/>
          <w:lang w:val="en-US" w:eastAsia="zh-CN" w:bidi="ar-SA"/>
        </w:rPr>
        <w:t>（二）一般公共预算当年拨款结构情况。</w:t>
      </w:r>
    </w:p>
    <w:bookmarkEnd w:id="10"/>
    <w:p w14:paraId="5C853D1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仿宋_GB2312" w:cs="宋体"/>
          <w:color w:val="000000" w:themeColor="text1"/>
          <w:spacing w:val="-14"/>
          <w:kern w:val="0"/>
          <w:sz w:val="32"/>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r>
        <w:rPr>
          <w:rFonts w:hint="eastAsia" w:ascii="仿宋_GB2312" w:hAnsi="宋体" w:eastAsia="仿宋_GB2312" w:cs="Times New Roman"/>
          <w:spacing w:val="-2"/>
          <w:kern w:val="2"/>
          <w:sz w:val="32"/>
          <w:szCs w:val="32"/>
          <w:lang w:val="en-US" w:eastAsia="zh-CN" w:bidi="ar-SA"/>
        </w:rPr>
        <w:t>　公共安全支出497.30万元，占71.69%；社会保障和就业支出104.95万元，占15.13%；教育支出0万元、占0%；卫生健康支出40.13万元，占5.79%；住房保障支出51.30万元，占7.39%。</w:t>
      </w:r>
    </w:p>
    <w:p w14:paraId="0D6B8BC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楷体" w:hAnsi="楷体" w:eastAsia="楷体" w:cs="楷体"/>
          <w:kern w:val="0"/>
          <w:sz w:val="32"/>
          <w:szCs w:val="32"/>
          <w:lang w:val="en-US" w:eastAsia="zh-CN" w:bidi="ar-SA"/>
        </w:rPr>
      </w:pPr>
      <w:r>
        <w:rPr>
          <w:rFonts w:hint="eastAsia" w:ascii="楷体" w:hAnsi="楷体" w:eastAsia="楷体" w:cs="楷体"/>
          <w:kern w:val="0"/>
          <w:sz w:val="32"/>
          <w:szCs w:val="32"/>
          <w:lang w:val="en-US" w:eastAsia="zh-CN" w:bidi="ar-SA"/>
        </w:rPr>
        <w:t>　　</w:t>
      </w:r>
      <w:bookmarkStart w:id="11" w:name="_Toc24679"/>
      <w:r>
        <w:rPr>
          <w:rFonts w:hint="eastAsia" w:ascii="楷体" w:hAnsi="楷体" w:eastAsia="楷体" w:cs="楷体"/>
          <w:kern w:val="0"/>
          <w:sz w:val="32"/>
          <w:szCs w:val="32"/>
          <w:lang w:val="en-US" w:eastAsia="zh-CN" w:bidi="ar-SA"/>
        </w:rPr>
        <w:t>（三）一般公共预算当年拨款具体使用情况。</w:t>
      </w:r>
    </w:p>
    <w:bookmarkEnd w:id="11"/>
    <w:p w14:paraId="333F95E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r>
        <w:rPr>
          <w:rFonts w:hint="eastAsia" w:ascii="仿宋_GB2312" w:hAnsi="宋体" w:eastAsia="仿宋_GB2312" w:cs="Times New Roman"/>
          <w:spacing w:val="-2"/>
          <w:kern w:val="2"/>
          <w:sz w:val="32"/>
          <w:szCs w:val="32"/>
          <w:lang w:val="en-US" w:eastAsia="zh-CN" w:bidi="ar-SA"/>
        </w:rPr>
        <w:t>　1.公共安全（204）检察事务（04）行政运行（01）2023预算数为497.75万元，主要用于：机关单位正常运转的基本支出，包括基本工资、津贴补贴等人员经费以及办公费、印刷费、水电费等日常公用经费。</w:t>
      </w:r>
    </w:p>
    <w:p w14:paraId="783D725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2.教育（205）进修及培训（08）培训支出（03）2023预算数为0万元。　　</w:t>
      </w:r>
    </w:p>
    <w:p w14:paraId="6055D08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xml:space="preserve">     3.社会保障和就业（208）行政事业单位离退休（05）机关事业单位基本养老保险缴费支出（05）2023预算数为69.97万元，主要用于：实施养老保险制度后，部门按规定由单位缴纳的基本养老保险费支出。</w:t>
      </w:r>
    </w:p>
    <w:p w14:paraId="000B074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4.社会保障和就业（208）行政事业单位离退休（05）机关事业单位职业年金缴费支出（06）2023预算数为34.98万元，主要用于：实施养老保险制度后，部门按规定由单位缴纳的职业年金支出。</w:t>
      </w:r>
    </w:p>
    <w:p w14:paraId="47B2B21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5.医疗卫生与计划生育（210）行政事业单位医疗（11行政单位医疗（01）2023预算数为30.61万元，主要用于：机关及参公管理事业单位基本医疗保险缴费支出。</w:t>
      </w:r>
    </w:p>
    <w:p w14:paraId="7278664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6.医疗卫生与计划生育（210）行政事业单位医疗（11）公务员医疗补助（03）2023预算数为9.52万元，主要用于：机关及参公管理事业单位集中缴纳公务员医疗补助支出。</w:t>
      </w:r>
    </w:p>
    <w:p w14:paraId="03ACA43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xml:space="preserve">  　7.住房保障（221）住房改革支出（02）住房公积金（01）2023预算数为51.30万元，主要用于：部门按人力资源和社会保障部、财政部规定的基本工资和津贴补贴以及规定比例为职工缴纳的住房公积金支出。</w:t>
      </w:r>
    </w:p>
    <w:p w14:paraId="75FCBBA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Style w:val="13"/>
          <w:rFonts w:hint="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bookmarkStart w:id="12" w:name="_Toc573"/>
      <w:r>
        <w:rPr>
          <w:rFonts w:hint="eastAsia" w:ascii="Calibri Light" w:hAnsi="Calibri Light" w:eastAsia="宋体" w:cs="Times New Roman"/>
          <w:b/>
          <w:bCs/>
          <w:kern w:val="2"/>
          <w:sz w:val="32"/>
          <w:szCs w:val="32"/>
          <w:lang w:val="en-US" w:eastAsia="zh-CN" w:bidi="ar-SA"/>
        </w:rPr>
        <w:t>六、一般公共预算基本支出情况说明</w:t>
      </w:r>
    </w:p>
    <w:bookmarkEnd w:id="12"/>
    <w:p w14:paraId="218B15C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r>
        <w:rPr>
          <w:rFonts w:hint="eastAsia" w:ascii="宋体" w:hAnsi="宋体" w:eastAsia="仿宋_GB2312" w:cs="宋体"/>
          <w:color w:val="000000" w:themeColor="text1"/>
          <w:spacing w:val="-14"/>
          <w:kern w:val="0"/>
          <w:sz w:val="32"/>
          <w:szCs w:val="32"/>
          <w:lang w:val="en-US" w:eastAsia="zh-CN"/>
          <w14:textFill>
            <w14:solidFill>
              <w14:schemeClr w14:val="tx1"/>
            </w14:solidFill>
          </w14:textFill>
        </w:rPr>
        <w:t>　</w:t>
      </w:r>
      <w:r>
        <w:rPr>
          <w:rFonts w:hint="eastAsia" w:ascii="仿宋_GB2312" w:hAnsi="宋体" w:eastAsia="仿宋_GB2312" w:cs="Times New Roman"/>
          <w:spacing w:val="-2"/>
          <w:kern w:val="2"/>
          <w:sz w:val="32"/>
          <w:szCs w:val="32"/>
          <w:lang w:val="en-US" w:eastAsia="zh-CN" w:bidi="ar-SA"/>
        </w:rPr>
        <w:t>检察院2023一般公共预算基本支出693.68万元，其中：人员经费613.27万元，主要包括：基本工资、津贴补贴、奖金、社会保险缴费等支出。</w:t>
      </w:r>
    </w:p>
    <w:p w14:paraId="67AEB0E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公用经费80.41万元，主要包括：办公费、水费、电费、邮电费、印刷费、差旅费、维修（护）费、劳务费等支出。</w:t>
      </w:r>
    </w:p>
    <w:p w14:paraId="2C6EDC6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Calibri Light" w:hAnsi="Calibri Light" w:eastAsia="宋体" w:cs="Times New Roman"/>
          <w:b/>
          <w:bCs/>
          <w:kern w:val="2"/>
          <w:sz w:val="32"/>
          <w:szCs w:val="32"/>
          <w:lang w:val="en-US" w:eastAsia="zh-CN" w:bidi="ar-SA"/>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r>
        <w:rPr>
          <w:rFonts w:hint="eastAsia" w:ascii="Calibri Light" w:hAnsi="Calibri Light" w:eastAsia="宋体" w:cs="Times New Roman"/>
          <w:b/>
          <w:bCs/>
          <w:kern w:val="2"/>
          <w:sz w:val="32"/>
          <w:szCs w:val="32"/>
          <w:lang w:val="en-US" w:eastAsia="zh-CN" w:bidi="ar-SA"/>
        </w:rPr>
        <w:t>　</w:t>
      </w:r>
      <w:bookmarkStart w:id="13" w:name="_Toc30105"/>
      <w:r>
        <w:rPr>
          <w:rFonts w:hint="eastAsia" w:ascii="Calibri Light" w:hAnsi="Calibri Light" w:eastAsia="宋体" w:cs="Times New Roman"/>
          <w:b/>
          <w:bCs/>
          <w:kern w:val="2"/>
          <w:sz w:val="32"/>
          <w:szCs w:val="32"/>
          <w:lang w:val="en-US" w:eastAsia="zh-CN" w:bidi="ar-SA"/>
        </w:rPr>
        <w:t>七、“三公”经费财政拨款预算安排情况说明</w:t>
      </w:r>
    </w:p>
    <w:bookmarkEnd w:id="13"/>
    <w:p w14:paraId="3F7D1C2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r>
        <w:rPr>
          <w:rFonts w:hint="eastAsia" w:ascii="仿宋_GB2312" w:hAnsi="宋体" w:eastAsia="仿宋_GB2312" w:cs="Times New Roman"/>
          <w:spacing w:val="-2"/>
          <w:kern w:val="2"/>
          <w:sz w:val="32"/>
          <w:szCs w:val="32"/>
          <w:lang w:val="en-US" w:eastAsia="zh-CN" w:bidi="ar-SA"/>
        </w:rPr>
        <w:t>　检察院2023“三公”经费财政拨款预算数23.74万元，其中：因公出国（境）经费0万元，公务接待费1.24万元，公务用车购置及运行维护费22.50万元。</w:t>
      </w:r>
    </w:p>
    <w:p w14:paraId="593084F8">
      <w:pPr>
        <w:pStyle w:val="5"/>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r>
        <w:rPr>
          <w:rFonts w:hint="eastAsia" w:ascii="楷体" w:hAnsi="楷体" w:eastAsia="楷体" w:cs="楷体"/>
          <w:b w:val="0"/>
          <w:bCs w:val="0"/>
          <w:kern w:val="0"/>
          <w:sz w:val="32"/>
          <w:szCs w:val="32"/>
          <w:lang w:val="en-US" w:eastAsia="zh-CN" w:bidi="ar-SA"/>
        </w:rPr>
        <w:t>　</w:t>
      </w:r>
      <w:bookmarkStart w:id="14" w:name="_Toc23704"/>
      <w:r>
        <w:rPr>
          <w:rFonts w:hint="eastAsia" w:ascii="楷体" w:hAnsi="楷体" w:eastAsia="楷体" w:cs="楷体"/>
          <w:b w:val="0"/>
          <w:bCs w:val="0"/>
          <w:kern w:val="0"/>
          <w:sz w:val="32"/>
          <w:szCs w:val="32"/>
          <w:lang w:val="en-US" w:eastAsia="zh-CN" w:bidi="ar-SA"/>
        </w:rPr>
        <w:t>（一）因公出国（境）经费与2021年预算持平。</w:t>
      </w:r>
      <w:bookmarkEnd w:id="14"/>
    </w:p>
    <w:p w14:paraId="73135A7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r>
        <w:rPr>
          <w:rFonts w:hint="eastAsia" w:ascii="仿宋_GB2312" w:hAnsi="宋体" w:eastAsia="仿宋_GB2312" w:cs="Times New Roman"/>
          <w:spacing w:val="-2"/>
          <w:kern w:val="2"/>
          <w:sz w:val="32"/>
          <w:szCs w:val="32"/>
          <w:lang w:val="en-US" w:eastAsia="zh-CN" w:bidi="ar-SA"/>
        </w:rPr>
        <w:t>　2023因公出国（境）费0万元。全年安排因公出国（境）团组0次，出国（境）0人。</w:t>
      </w:r>
    </w:p>
    <w:p w14:paraId="63D8D5F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Style w:val="14"/>
          <w:rFonts w:hint="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kern w:val="2"/>
          <w:sz w:val="32"/>
          <w:szCs w:val="32"/>
          <w:lang w:val="en-US" w:eastAsia="zh-CN" w:bidi="ar-SA"/>
        </w:rPr>
        <w:t xml:space="preserve">  </w:t>
      </w:r>
      <w:bookmarkStart w:id="15" w:name="_Toc16723"/>
      <w:r>
        <w:rPr>
          <w:rFonts w:hint="eastAsia" w:ascii="楷体" w:hAnsi="楷体" w:eastAsia="楷体" w:cs="楷体"/>
          <w:b w:val="0"/>
          <w:bCs w:val="0"/>
          <w:kern w:val="0"/>
          <w:sz w:val="32"/>
          <w:szCs w:val="32"/>
          <w:lang w:val="en-US" w:eastAsia="zh-CN" w:bidi="ar-SA"/>
        </w:rPr>
        <w:t>（二）公务接待费较2022年预算下降25%。</w:t>
      </w:r>
    </w:p>
    <w:bookmarkEnd w:id="15"/>
    <w:p w14:paraId="43A5580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r>
        <w:rPr>
          <w:rFonts w:hint="eastAsia" w:ascii="宋体" w:hAnsi="宋体" w:eastAsia="仿宋_GB2312" w:cs="宋体"/>
          <w:color w:val="000000" w:themeColor="text1"/>
          <w:spacing w:val="-14"/>
          <w:kern w:val="0"/>
          <w:sz w:val="32"/>
          <w:szCs w:val="32"/>
          <w:lang w:val="en-US" w:eastAsia="zh-CN"/>
          <w14:textFill>
            <w14:solidFill>
              <w14:schemeClr w14:val="tx1"/>
            </w14:solidFill>
          </w14:textFill>
        </w:rPr>
        <w:t>　</w:t>
      </w:r>
      <w:r>
        <w:rPr>
          <w:rFonts w:hint="eastAsia" w:ascii="仿宋_GB2312" w:hAnsi="宋体" w:eastAsia="仿宋_GB2312" w:cs="Times New Roman"/>
          <w:spacing w:val="-2"/>
          <w:kern w:val="2"/>
          <w:sz w:val="32"/>
          <w:szCs w:val="32"/>
          <w:lang w:val="en-US" w:eastAsia="zh-CN" w:bidi="ar-SA"/>
        </w:rPr>
        <w:t>2023公务接待费计划用于执行公务、考察调研、检查指导等公务活动开支的交通费、住宿费、用餐费等。主要原因：响应中央政策，严控“三公”经费支出。</w:t>
      </w:r>
    </w:p>
    <w:p w14:paraId="786D6E90">
      <w:pPr>
        <w:pStyle w:val="5"/>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r>
        <w:rPr>
          <w:rFonts w:hint="eastAsia" w:asciiTheme="minorEastAsia" w:hAnsiTheme="minorEastAsia" w:eastAsiaTheme="minorEastAsia" w:cstheme="minorEastAsia"/>
          <w:b w:val="0"/>
          <w:bCs w:val="0"/>
          <w:kern w:val="2"/>
          <w:sz w:val="32"/>
          <w:szCs w:val="32"/>
          <w:lang w:val="en-US" w:eastAsia="zh-CN" w:bidi="ar-SA"/>
        </w:rPr>
        <w:t>　</w:t>
      </w:r>
      <w:bookmarkStart w:id="16" w:name="_Toc28456"/>
      <w:r>
        <w:rPr>
          <w:rFonts w:hint="eastAsia" w:ascii="楷体" w:hAnsi="楷体" w:eastAsia="楷体" w:cs="楷体"/>
          <w:b w:val="0"/>
          <w:bCs w:val="0"/>
          <w:kern w:val="0"/>
          <w:sz w:val="32"/>
          <w:szCs w:val="32"/>
          <w:lang w:val="en-US" w:eastAsia="zh-CN" w:bidi="ar-SA"/>
        </w:rPr>
        <w:t>（三）公务用车购置及运行维护费与2021预算持平</w:t>
      </w:r>
      <w:bookmarkEnd w:id="16"/>
    </w:p>
    <w:p w14:paraId="089B696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r>
        <w:rPr>
          <w:rFonts w:hint="eastAsia" w:ascii="宋体" w:hAnsi="宋体" w:eastAsia="仿宋_GB2312" w:cs="宋体"/>
          <w:color w:val="000000" w:themeColor="text1"/>
          <w:spacing w:val="-14"/>
          <w:kern w:val="0"/>
          <w:sz w:val="32"/>
          <w:szCs w:val="32"/>
          <w:lang w:val="en-US" w:eastAsia="zh-CN"/>
          <w14:textFill>
            <w14:solidFill>
              <w14:schemeClr w14:val="tx1"/>
            </w14:solidFill>
          </w14:textFill>
        </w:rPr>
        <w:t>　</w:t>
      </w:r>
      <w:r>
        <w:rPr>
          <w:rFonts w:hint="eastAsia" w:ascii="仿宋_GB2312" w:hAnsi="宋体" w:eastAsia="仿宋_GB2312" w:cs="Times New Roman"/>
          <w:spacing w:val="-2"/>
          <w:kern w:val="2"/>
          <w:sz w:val="32"/>
          <w:szCs w:val="32"/>
          <w:lang w:val="en-US" w:eastAsia="zh-CN" w:bidi="ar-SA"/>
        </w:rPr>
        <w:t>单位现有公务用车5辆，其中：轿车1辆、越野车4辆。</w:t>
      </w:r>
    </w:p>
    <w:p w14:paraId="0206036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2023未安排公务用车购置费。</w:t>
      </w:r>
    </w:p>
    <w:p w14:paraId="087B679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仿宋_GB2312" w:cs="宋体"/>
          <w:color w:val="000000" w:themeColor="text1"/>
          <w:spacing w:val="-14"/>
          <w:kern w:val="0"/>
          <w:sz w:val="32"/>
          <w:szCs w:val="32"/>
          <w:lang w:val="en-US" w:eastAsia="zh-CN"/>
          <w14:textFill>
            <w14:solidFill>
              <w14:schemeClr w14:val="tx1"/>
            </w14:solidFill>
          </w14:textFill>
        </w:rPr>
      </w:pPr>
      <w:r>
        <w:rPr>
          <w:rFonts w:hint="eastAsia" w:ascii="仿宋_GB2312" w:hAnsi="宋体" w:eastAsia="仿宋_GB2312" w:cs="Times New Roman"/>
          <w:spacing w:val="-2"/>
          <w:kern w:val="2"/>
          <w:sz w:val="32"/>
          <w:szCs w:val="32"/>
          <w:lang w:val="en-US" w:eastAsia="zh-CN" w:bidi="ar-SA"/>
        </w:rPr>
        <w:t>　　2023安排公务用车运行维护费22.5万元，用于5辆公务用车燃油、过路（桥）、维修、保险等方面支出，主要保障机关单位执法办案、工作调研、脱贫攻坚、工作开展。</w:t>
      </w:r>
    </w:p>
    <w:p w14:paraId="7555E0C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Calibri Light" w:hAnsi="Calibri Light" w:eastAsia="宋体" w:cs="Times New Roman"/>
          <w:b/>
          <w:bCs/>
          <w:kern w:val="2"/>
          <w:sz w:val="32"/>
          <w:szCs w:val="32"/>
          <w:lang w:val="en-US" w:eastAsia="zh-CN" w:bidi="ar-SA"/>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bookmarkStart w:id="17" w:name="_Toc5639"/>
      <w:r>
        <w:rPr>
          <w:rFonts w:hint="eastAsia" w:ascii="Calibri Light" w:hAnsi="Calibri Light" w:eastAsia="宋体" w:cs="Times New Roman"/>
          <w:b/>
          <w:bCs/>
          <w:kern w:val="2"/>
          <w:sz w:val="32"/>
          <w:szCs w:val="32"/>
          <w:lang w:val="en-US" w:eastAsia="zh-CN" w:bidi="ar-SA"/>
        </w:rPr>
        <w:t>　八、政府性基金预算支出情况说明</w:t>
      </w:r>
    </w:p>
    <w:bookmarkEnd w:id="17"/>
    <w:p w14:paraId="293F7D4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r>
        <w:rPr>
          <w:rFonts w:hint="eastAsia" w:ascii="仿宋_GB2312" w:hAnsi="宋体" w:eastAsia="仿宋_GB2312" w:cs="Times New Roman"/>
          <w:spacing w:val="-2"/>
          <w:kern w:val="2"/>
          <w:sz w:val="32"/>
          <w:szCs w:val="32"/>
          <w:lang w:val="en-US" w:eastAsia="zh-CN" w:bidi="ar-SA"/>
        </w:rPr>
        <w:t>检察院2023没有使用政府性基金预算拨款安排的支出。</w:t>
      </w:r>
    </w:p>
    <w:p w14:paraId="7AC6E19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Style w:val="13"/>
          <w:rFonts w:hint="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bookmarkStart w:id="18" w:name="_Toc772"/>
      <w:r>
        <w:rPr>
          <w:rFonts w:hint="eastAsia" w:ascii="Calibri Light" w:hAnsi="Calibri Light" w:eastAsia="宋体" w:cs="Times New Roman"/>
          <w:b/>
          <w:bCs/>
          <w:kern w:val="2"/>
          <w:sz w:val="32"/>
          <w:szCs w:val="32"/>
          <w:lang w:val="en-US" w:eastAsia="zh-CN" w:bidi="ar-SA"/>
        </w:rPr>
        <w:t>九、其他重要事项的情况说明</w:t>
      </w:r>
    </w:p>
    <w:bookmarkEnd w:id="18"/>
    <w:p w14:paraId="4BB5821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r>
        <w:rPr>
          <w:rFonts w:hint="eastAsia" w:ascii="楷体" w:hAnsi="楷体" w:eastAsia="楷体" w:cs="楷体"/>
          <w:b w:val="0"/>
          <w:bCs w:val="0"/>
          <w:kern w:val="0"/>
          <w:sz w:val="32"/>
          <w:szCs w:val="32"/>
          <w:lang w:val="en-US" w:eastAsia="zh-CN" w:bidi="ar-SA"/>
        </w:rPr>
        <w:t>　</w:t>
      </w:r>
      <w:bookmarkStart w:id="19" w:name="_Toc32561"/>
      <w:r>
        <w:rPr>
          <w:rFonts w:hint="eastAsia" w:ascii="楷体" w:hAnsi="楷体" w:eastAsia="楷体" w:cs="楷体"/>
          <w:b w:val="0"/>
          <w:bCs w:val="0"/>
          <w:kern w:val="0"/>
          <w:sz w:val="32"/>
          <w:szCs w:val="32"/>
          <w:lang w:val="en-US" w:eastAsia="zh-CN" w:bidi="ar-SA"/>
        </w:rPr>
        <w:t>（一）机关运行经费。</w:t>
      </w:r>
      <w:bookmarkEnd w:id="19"/>
    </w:p>
    <w:p w14:paraId="1AFD049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r>
        <w:rPr>
          <w:rFonts w:hint="eastAsia" w:ascii="宋体" w:hAnsi="宋体" w:eastAsia="仿宋_GB2312" w:cs="宋体"/>
          <w:color w:val="000000" w:themeColor="text1"/>
          <w:spacing w:val="-14"/>
          <w:kern w:val="0"/>
          <w:sz w:val="32"/>
          <w:szCs w:val="32"/>
          <w:lang w:val="en-US" w:eastAsia="zh-CN"/>
          <w14:textFill>
            <w14:solidFill>
              <w14:schemeClr w14:val="tx1"/>
            </w14:solidFill>
          </w14:textFill>
        </w:rPr>
        <w:t>　</w:t>
      </w:r>
      <w:r>
        <w:rPr>
          <w:rFonts w:hint="eastAsia" w:ascii="仿宋_GB2312" w:hAnsi="宋体" w:eastAsia="仿宋_GB2312" w:cs="Times New Roman"/>
          <w:spacing w:val="-2"/>
          <w:kern w:val="2"/>
          <w:sz w:val="32"/>
          <w:szCs w:val="32"/>
          <w:lang w:val="en-US" w:eastAsia="zh-CN" w:bidi="ar-SA"/>
        </w:rPr>
        <w:t>2023，检察院的机关运行经费财政拨款预算为80.41万元，比2022年增加15.61万元，因我单位新般办公大楼，开支有所增加。</w:t>
      </w:r>
    </w:p>
    <w:p w14:paraId="0F97F1E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kern w:val="2"/>
          <w:sz w:val="32"/>
          <w:szCs w:val="32"/>
          <w:lang w:val="en-US" w:eastAsia="zh-CN" w:bidi="ar-SA"/>
        </w:rPr>
        <w:t xml:space="preserve"> </w:t>
      </w:r>
      <w:bookmarkStart w:id="20" w:name="_Toc18797"/>
      <w:r>
        <w:rPr>
          <w:rFonts w:hint="eastAsia" w:ascii="楷体" w:hAnsi="楷体" w:eastAsia="楷体" w:cs="楷体"/>
          <w:b w:val="0"/>
          <w:bCs w:val="0"/>
          <w:kern w:val="0"/>
          <w:sz w:val="32"/>
          <w:szCs w:val="32"/>
          <w:lang w:val="en-US" w:eastAsia="zh-CN" w:bidi="ar-SA"/>
        </w:rPr>
        <w:t>（二）政府采购情况。</w:t>
      </w:r>
      <w:bookmarkEnd w:id="20"/>
    </w:p>
    <w:p w14:paraId="343E79A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r>
        <w:rPr>
          <w:rFonts w:hint="eastAsia" w:ascii="宋体" w:hAnsi="宋体" w:eastAsia="仿宋_GB2312" w:cs="宋体"/>
          <w:color w:val="000000" w:themeColor="text1"/>
          <w:spacing w:val="-14"/>
          <w:kern w:val="0"/>
          <w:sz w:val="32"/>
          <w:szCs w:val="32"/>
          <w:lang w:val="en-US" w:eastAsia="zh-CN"/>
          <w14:textFill>
            <w14:solidFill>
              <w14:schemeClr w14:val="tx1"/>
            </w14:solidFill>
          </w14:textFill>
        </w:rPr>
        <w:t>　</w:t>
      </w:r>
      <w:r>
        <w:rPr>
          <w:rFonts w:hint="eastAsia" w:ascii="仿宋_GB2312" w:hAnsi="宋体" w:eastAsia="仿宋_GB2312" w:cs="Times New Roman"/>
          <w:spacing w:val="-2"/>
          <w:kern w:val="2"/>
          <w:sz w:val="32"/>
          <w:szCs w:val="32"/>
          <w:lang w:val="en-US" w:eastAsia="zh-CN" w:bidi="ar-SA"/>
        </w:rPr>
        <w:t>2023，检察院安排政府采购预算0万元，主要用于采购办公设备、公车运行维护、信息化建设运行及维护、物业管理、专项工作委托业务等。</w:t>
      </w:r>
    </w:p>
    <w:p w14:paraId="4405A05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Style w:val="14"/>
          <w:rFonts w:hint="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bookmarkStart w:id="21" w:name="_Toc21985"/>
      <w:r>
        <w:rPr>
          <w:rFonts w:hint="eastAsia" w:ascii="楷体" w:hAnsi="楷体" w:eastAsia="楷体" w:cs="楷体"/>
          <w:b w:val="0"/>
          <w:bCs w:val="0"/>
          <w:kern w:val="0"/>
          <w:sz w:val="32"/>
          <w:szCs w:val="32"/>
          <w:lang w:val="en-US" w:eastAsia="zh-CN" w:bidi="ar-SA"/>
        </w:rPr>
        <w:t>（三）国有资产占有使用情况。</w:t>
      </w:r>
    </w:p>
    <w:bookmarkEnd w:id="21"/>
    <w:p w14:paraId="111B716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r>
        <w:rPr>
          <w:rFonts w:hint="eastAsia" w:ascii="宋体" w:hAnsi="宋体" w:eastAsia="仿宋_GB2312" w:cs="宋体"/>
          <w:color w:val="000000" w:themeColor="text1"/>
          <w:spacing w:val="-14"/>
          <w:kern w:val="0"/>
          <w:sz w:val="32"/>
          <w:szCs w:val="32"/>
          <w:lang w:val="en-US" w:eastAsia="zh-CN"/>
          <w14:textFill>
            <w14:solidFill>
              <w14:schemeClr w14:val="tx1"/>
            </w14:solidFill>
          </w14:textFill>
        </w:rPr>
        <w:t>　</w:t>
      </w:r>
      <w:r>
        <w:rPr>
          <w:rFonts w:hint="eastAsia" w:ascii="仿宋_GB2312" w:hAnsi="宋体" w:eastAsia="仿宋_GB2312" w:cs="Times New Roman"/>
          <w:spacing w:val="-2"/>
          <w:kern w:val="2"/>
          <w:sz w:val="32"/>
          <w:szCs w:val="32"/>
          <w:lang w:val="en-US" w:eastAsia="zh-CN" w:bidi="ar-SA"/>
        </w:rPr>
        <w:t>截至2023底，检察院所属各预算单位共有车辆5辆，其中：一般公务用车5辆；无单价50万元以上通用设备及单价100万元以上专用设备。</w:t>
      </w:r>
    </w:p>
    <w:p w14:paraId="2F63A54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xml:space="preserve"> 2023部门预算未安排购置车辆及单位价值200万元以上大型设备。</w:t>
      </w:r>
    </w:p>
    <w:p w14:paraId="7AF61B6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楷体" w:hAnsi="楷体" w:eastAsia="楷体" w:cs="楷体"/>
          <w:b w:val="0"/>
          <w:bCs w:val="0"/>
          <w:kern w:val="0"/>
          <w:sz w:val="32"/>
          <w:szCs w:val="32"/>
          <w:lang w:val="en-US" w:eastAsia="zh-CN" w:bidi="ar-SA"/>
        </w:rPr>
      </w:pPr>
      <w:r>
        <w:rPr>
          <w:rFonts w:hint="eastAsia" w:ascii="楷体" w:hAnsi="楷体" w:eastAsia="楷体" w:cs="楷体"/>
          <w:b w:val="0"/>
          <w:bCs w:val="0"/>
          <w:kern w:val="0"/>
          <w:sz w:val="32"/>
          <w:szCs w:val="32"/>
          <w:lang w:val="en-US" w:eastAsia="zh-CN" w:bidi="ar-SA"/>
        </w:rPr>
        <w:t>　　</w:t>
      </w:r>
      <w:bookmarkStart w:id="22" w:name="_Toc14528"/>
      <w:r>
        <w:rPr>
          <w:rFonts w:hint="eastAsia" w:ascii="楷体" w:hAnsi="楷体" w:eastAsia="楷体" w:cs="楷体"/>
          <w:b w:val="0"/>
          <w:bCs w:val="0"/>
          <w:kern w:val="0"/>
          <w:sz w:val="32"/>
          <w:szCs w:val="32"/>
          <w:lang w:val="en-US" w:eastAsia="zh-CN" w:bidi="ar-SA"/>
        </w:rPr>
        <w:t>（四）绩效目标设置情况。</w:t>
      </w:r>
      <w:bookmarkEnd w:id="22"/>
    </w:p>
    <w:p w14:paraId="038A6C4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宋体" w:hAnsi="宋体" w:eastAsia="仿宋_GB2312" w:cs="宋体"/>
          <w:color w:val="000000" w:themeColor="text1"/>
          <w:spacing w:val="-14"/>
          <w:kern w:val="0"/>
          <w:sz w:val="32"/>
          <w:szCs w:val="32"/>
          <w:lang w:val="en-US" w:eastAsia="zh-CN"/>
          <w14:textFill>
            <w14:solidFill>
              <w14:schemeClr w14:val="tx1"/>
            </w14:solidFill>
          </w14:textFill>
        </w:rPr>
        <w:t>　</w:t>
      </w:r>
      <w:r>
        <w:rPr>
          <w:rFonts w:hint="eastAsia" w:ascii="仿宋_GB2312" w:hAnsi="宋体" w:eastAsia="仿宋_GB2312" w:cs="Times New Roman"/>
          <w:spacing w:val="-2"/>
          <w:kern w:val="2"/>
          <w:sz w:val="32"/>
          <w:szCs w:val="32"/>
          <w:lang w:val="en-US" w:eastAsia="zh-CN" w:bidi="ar-SA"/>
        </w:rPr>
        <w:t>　绩效目标是预算编制的前提和基础，按照“费随事定”的原则，2023检察院100万元以上专用项目按要求编制了绩效目标,从项目完成、项目效益、满意度等方面设置了绩效指标，综合反映项目预期完成的数量、成本、时效、质量，预期达到的社会效益、经济效益、生态效益、可持续影响以及服务对象满意度等情况。</w:t>
      </w:r>
    </w:p>
    <w:p w14:paraId="4742777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Style w:val="13"/>
          <w:rFonts w:hint="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bookmarkStart w:id="23" w:name="_Toc23136"/>
      <w:r>
        <w:rPr>
          <w:rStyle w:val="13"/>
          <w:rFonts w:hint="eastAsia"/>
          <w:color w:val="000000" w:themeColor="text1"/>
          <w14:textFill>
            <w14:solidFill>
              <w14:schemeClr w14:val="tx1"/>
            </w14:solidFill>
          </w14:textFill>
        </w:rPr>
        <w:t>　</w:t>
      </w:r>
      <w:r>
        <w:rPr>
          <w:rFonts w:hint="eastAsia" w:ascii="Calibri Light" w:hAnsi="Calibri Light" w:eastAsia="宋体" w:cs="Times New Roman"/>
          <w:b/>
          <w:bCs/>
          <w:kern w:val="2"/>
          <w:sz w:val="32"/>
          <w:szCs w:val="32"/>
          <w:lang w:val="en-US" w:eastAsia="zh-CN" w:bidi="ar-SA"/>
        </w:rPr>
        <w:t>十、名词解释</w:t>
      </w:r>
    </w:p>
    <w:bookmarkEnd w:id="23"/>
    <w:p w14:paraId="6867148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r>
        <w:rPr>
          <w:rFonts w:hint="eastAsia" w:ascii="仿宋_GB2312" w:hAnsi="宋体" w:eastAsia="仿宋_GB2312" w:cs="Times New Roman"/>
          <w:spacing w:val="-2"/>
          <w:kern w:val="2"/>
          <w:sz w:val="32"/>
          <w:szCs w:val="32"/>
          <w:lang w:val="en-US" w:eastAsia="zh-CN" w:bidi="ar-SA"/>
        </w:rPr>
        <w:t>　1.一般公共预算拨款收入：指县级财政当年拨付的资金。</w:t>
      </w:r>
    </w:p>
    <w:p w14:paraId="2855CB7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2.上年结转：指以前年度尚未完成，结转到本年仍按原规定用途继续使用的资金。</w:t>
      </w:r>
    </w:p>
    <w:p w14:paraId="5F37B89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3.教育（类）进修及培训（款）培训支出（项）：指为配合检察业务开展，用于部门内部在职人员参加相关工作外部培训的经费支出。</w:t>
      </w:r>
    </w:p>
    <w:p w14:paraId="3EDCC76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4.社会保障和就业（类）行政事业单位离退休（款）机关事业单位基本养老保险缴费支出（项）：指部门实施养老保险制度由单位缴纳的养老保险费的支出。</w:t>
      </w:r>
    </w:p>
    <w:p w14:paraId="0FD1751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5.社会保障和就业（类）行政事业单位离退休（款）机关事业单位职业年金缴费支出（项）：指部门实施养老保险制度由单位缴纳的职业年金的支出。</w:t>
      </w:r>
    </w:p>
    <w:p w14:paraId="4021C09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6.医疗卫生与计划生育（类）行政事业单位医疗（款）行政单位医疗（项）：指厅机关及参公管理事业单位用于缴纳单位基本医疗保险支出。</w:t>
      </w:r>
    </w:p>
    <w:p w14:paraId="57E0611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7.医疗卫生与计划生育（类）行政事业单位医疗（款）公务员医疗补助（项）：指厅机关及参公管理事业单位用于集中缴纳公务员医疗补助支出。</w:t>
      </w:r>
    </w:p>
    <w:p w14:paraId="55230DA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8.住房保障（类）住房改革支出（款）住房公积金（项）：指按照《住房公积金管理条例》的规定，由单位及其在职职工缴存的长期住房储金。</w:t>
      </w:r>
    </w:p>
    <w:p w14:paraId="2FA82FD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9.基本支出：指为保证机构正常运转，完成日常工作任务而发生的人员支出和公用支出。</w:t>
      </w:r>
    </w:p>
    <w:p w14:paraId="2D73206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10.项目支出：指在基本支出之外为完成特定行政任务和事业发展目标所发生的支出。</w:t>
      </w:r>
    </w:p>
    <w:p w14:paraId="3EA414A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11.“三公”经费：纳入检察院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0E19A9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12.机关运行经费：为保障行政单位（包含参照公务员法管理的事业单位）运行用于购买货物和服务的各项资金。包括办公及办公费、水费、电费、印刷费、邮电费、差旅费、会议费等费用开支。</w:t>
      </w:r>
    </w:p>
    <w:p w14:paraId="788FEAE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仿宋_GB2312" w:cs="宋体"/>
          <w:color w:val="000000"/>
          <w:spacing w:val="-14"/>
          <w:kern w:val="0"/>
          <w:sz w:val="32"/>
          <w:szCs w:val="32"/>
          <w:lang w:val="en-US" w:eastAsia="zh-CN"/>
        </w:rPr>
      </w:pPr>
    </w:p>
    <w:p w14:paraId="7C8FB92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仿宋_GB2312" w:cs="宋体"/>
          <w:color w:val="000000"/>
          <w:spacing w:val="-14"/>
          <w:kern w:val="0"/>
          <w:sz w:val="32"/>
          <w:szCs w:val="32"/>
          <w:lang w:val="en-US" w:eastAsia="zh-CN"/>
        </w:rPr>
      </w:pPr>
      <w:r>
        <w:rPr>
          <w:rFonts w:hint="eastAsia" w:ascii="宋体" w:hAnsi="宋体" w:eastAsia="仿宋_GB2312" w:cs="宋体"/>
          <w:color w:val="000000"/>
          <w:spacing w:val="-14"/>
          <w:kern w:val="0"/>
          <w:sz w:val="32"/>
          <w:szCs w:val="32"/>
          <w:lang w:val="en-US" w:eastAsia="zh-CN"/>
        </w:rPr>
        <w:t>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1YzUwN2EwMDliNDdkNGI3NjA2MTY4OTBmOTFiYzcifQ=="/>
  </w:docVars>
  <w:rsids>
    <w:rsidRoot w:val="408662CD"/>
    <w:rsid w:val="00027D43"/>
    <w:rsid w:val="010C1467"/>
    <w:rsid w:val="01684705"/>
    <w:rsid w:val="01DD1F40"/>
    <w:rsid w:val="024B33C8"/>
    <w:rsid w:val="02500A9D"/>
    <w:rsid w:val="02AB73A6"/>
    <w:rsid w:val="02B942DB"/>
    <w:rsid w:val="02E87E1E"/>
    <w:rsid w:val="03362062"/>
    <w:rsid w:val="03534FF0"/>
    <w:rsid w:val="039B59ED"/>
    <w:rsid w:val="03BE19F8"/>
    <w:rsid w:val="03DC683B"/>
    <w:rsid w:val="045948B3"/>
    <w:rsid w:val="05227DDC"/>
    <w:rsid w:val="054B5E9E"/>
    <w:rsid w:val="05594A7F"/>
    <w:rsid w:val="0582576B"/>
    <w:rsid w:val="05902A5E"/>
    <w:rsid w:val="059B5F5A"/>
    <w:rsid w:val="05A74331"/>
    <w:rsid w:val="05AE0D4A"/>
    <w:rsid w:val="06221597"/>
    <w:rsid w:val="067F3B3F"/>
    <w:rsid w:val="06853735"/>
    <w:rsid w:val="06C13F41"/>
    <w:rsid w:val="075827BF"/>
    <w:rsid w:val="07666588"/>
    <w:rsid w:val="07E565F2"/>
    <w:rsid w:val="07EE662D"/>
    <w:rsid w:val="082730AF"/>
    <w:rsid w:val="086D60CA"/>
    <w:rsid w:val="08F233D6"/>
    <w:rsid w:val="09D3742B"/>
    <w:rsid w:val="09E638BB"/>
    <w:rsid w:val="0A287A2F"/>
    <w:rsid w:val="0A87657A"/>
    <w:rsid w:val="0A8D0253"/>
    <w:rsid w:val="0AE571C9"/>
    <w:rsid w:val="0B051590"/>
    <w:rsid w:val="0BED1DBE"/>
    <w:rsid w:val="0C100469"/>
    <w:rsid w:val="0CB639A3"/>
    <w:rsid w:val="0CE31457"/>
    <w:rsid w:val="0D363932"/>
    <w:rsid w:val="0D464327"/>
    <w:rsid w:val="0DCA5038"/>
    <w:rsid w:val="0DF457E9"/>
    <w:rsid w:val="0ED85E96"/>
    <w:rsid w:val="0EF8606D"/>
    <w:rsid w:val="0FDF2D71"/>
    <w:rsid w:val="101565F0"/>
    <w:rsid w:val="10262C63"/>
    <w:rsid w:val="105329F1"/>
    <w:rsid w:val="10FE7E05"/>
    <w:rsid w:val="117652A5"/>
    <w:rsid w:val="11C54896"/>
    <w:rsid w:val="11E66FAF"/>
    <w:rsid w:val="12184031"/>
    <w:rsid w:val="127B42B8"/>
    <w:rsid w:val="12F90AD5"/>
    <w:rsid w:val="1316088D"/>
    <w:rsid w:val="150664AA"/>
    <w:rsid w:val="150D288C"/>
    <w:rsid w:val="16253DD4"/>
    <w:rsid w:val="16323C84"/>
    <w:rsid w:val="166E7112"/>
    <w:rsid w:val="16B15E79"/>
    <w:rsid w:val="170F4610"/>
    <w:rsid w:val="17332E8F"/>
    <w:rsid w:val="173A0C2A"/>
    <w:rsid w:val="17452837"/>
    <w:rsid w:val="176E3045"/>
    <w:rsid w:val="178560F2"/>
    <w:rsid w:val="17892228"/>
    <w:rsid w:val="180B37A4"/>
    <w:rsid w:val="182C063F"/>
    <w:rsid w:val="18BF2A31"/>
    <w:rsid w:val="18EE23D1"/>
    <w:rsid w:val="194B7296"/>
    <w:rsid w:val="19963CDC"/>
    <w:rsid w:val="1A202C22"/>
    <w:rsid w:val="1B141B5A"/>
    <w:rsid w:val="1BDF498F"/>
    <w:rsid w:val="1C850028"/>
    <w:rsid w:val="1CB416F1"/>
    <w:rsid w:val="1D2F533F"/>
    <w:rsid w:val="1D8D0B09"/>
    <w:rsid w:val="1D902E24"/>
    <w:rsid w:val="1DC51BE5"/>
    <w:rsid w:val="1DF92CB3"/>
    <w:rsid w:val="1E860473"/>
    <w:rsid w:val="1E8C6760"/>
    <w:rsid w:val="1F4F499C"/>
    <w:rsid w:val="1F6C1E41"/>
    <w:rsid w:val="1F6D67AE"/>
    <w:rsid w:val="1F970194"/>
    <w:rsid w:val="1F9D49ED"/>
    <w:rsid w:val="2019726A"/>
    <w:rsid w:val="201B39BD"/>
    <w:rsid w:val="20DD7917"/>
    <w:rsid w:val="20F63E2A"/>
    <w:rsid w:val="20FA4C3B"/>
    <w:rsid w:val="213777FB"/>
    <w:rsid w:val="21647420"/>
    <w:rsid w:val="21CF2EE2"/>
    <w:rsid w:val="22835F59"/>
    <w:rsid w:val="22E56D58"/>
    <w:rsid w:val="22E57230"/>
    <w:rsid w:val="22EE03A8"/>
    <w:rsid w:val="23FE7EAD"/>
    <w:rsid w:val="24164E48"/>
    <w:rsid w:val="241B5FEE"/>
    <w:rsid w:val="243B70DB"/>
    <w:rsid w:val="24482FD2"/>
    <w:rsid w:val="24ED7F1C"/>
    <w:rsid w:val="24EE0531"/>
    <w:rsid w:val="255D706E"/>
    <w:rsid w:val="25874DCE"/>
    <w:rsid w:val="25915FA2"/>
    <w:rsid w:val="25D34ED5"/>
    <w:rsid w:val="2619496F"/>
    <w:rsid w:val="263C4D1C"/>
    <w:rsid w:val="26757869"/>
    <w:rsid w:val="26A16AF5"/>
    <w:rsid w:val="26B76D87"/>
    <w:rsid w:val="27373EDE"/>
    <w:rsid w:val="27567E4C"/>
    <w:rsid w:val="27FA209A"/>
    <w:rsid w:val="27FA2922"/>
    <w:rsid w:val="28324CE5"/>
    <w:rsid w:val="287C022F"/>
    <w:rsid w:val="289F7A15"/>
    <w:rsid w:val="28AA4B27"/>
    <w:rsid w:val="291952E1"/>
    <w:rsid w:val="29D77D84"/>
    <w:rsid w:val="29DD031A"/>
    <w:rsid w:val="2AEC3442"/>
    <w:rsid w:val="2B1447DC"/>
    <w:rsid w:val="2BDE6CB9"/>
    <w:rsid w:val="2BE815E4"/>
    <w:rsid w:val="2C66202E"/>
    <w:rsid w:val="2C6B1CD2"/>
    <w:rsid w:val="2CF55A3F"/>
    <w:rsid w:val="2E2B477E"/>
    <w:rsid w:val="2E6F572F"/>
    <w:rsid w:val="2F2148C9"/>
    <w:rsid w:val="2F291501"/>
    <w:rsid w:val="2FC44618"/>
    <w:rsid w:val="2FDD5F1F"/>
    <w:rsid w:val="304B3B2F"/>
    <w:rsid w:val="30C37307"/>
    <w:rsid w:val="31F57445"/>
    <w:rsid w:val="32790E09"/>
    <w:rsid w:val="32A65E16"/>
    <w:rsid w:val="33947F17"/>
    <w:rsid w:val="3505643A"/>
    <w:rsid w:val="359F6629"/>
    <w:rsid w:val="36B53A84"/>
    <w:rsid w:val="37A26683"/>
    <w:rsid w:val="38772715"/>
    <w:rsid w:val="395A7A5B"/>
    <w:rsid w:val="396E6588"/>
    <w:rsid w:val="39C53054"/>
    <w:rsid w:val="39D97158"/>
    <w:rsid w:val="39EE1BC6"/>
    <w:rsid w:val="39F56A74"/>
    <w:rsid w:val="3B4125A3"/>
    <w:rsid w:val="3B91563D"/>
    <w:rsid w:val="3B9F4FDD"/>
    <w:rsid w:val="3BAF1669"/>
    <w:rsid w:val="3C280154"/>
    <w:rsid w:val="3CC30E0C"/>
    <w:rsid w:val="3CFB336E"/>
    <w:rsid w:val="3D0F3178"/>
    <w:rsid w:val="3D735ED8"/>
    <w:rsid w:val="3E8C1624"/>
    <w:rsid w:val="3E941BA1"/>
    <w:rsid w:val="40032CC3"/>
    <w:rsid w:val="401640A3"/>
    <w:rsid w:val="402A57DE"/>
    <w:rsid w:val="408662CD"/>
    <w:rsid w:val="40B1757A"/>
    <w:rsid w:val="413E6940"/>
    <w:rsid w:val="414D59F2"/>
    <w:rsid w:val="41F644D0"/>
    <w:rsid w:val="42EB5EC3"/>
    <w:rsid w:val="431467C7"/>
    <w:rsid w:val="434471E0"/>
    <w:rsid w:val="441C5A90"/>
    <w:rsid w:val="44BC06D4"/>
    <w:rsid w:val="44C429C5"/>
    <w:rsid w:val="45EF3658"/>
    <w:rsid w:val="46D97263"/>
    <w:rsid w:val="46FC73BA"/>
    <w:rsid w:val="470D3F8D"/>
    <w:rsid w:val="471106FA"/>
    <w:rsid w:val="47833F1C"/>
    <w:rsid w:val="481405F3"/>
    <w:rsid w:val="487D2FE6"/>
    <w:rsid w:val="489F0ED5"/>
    <w:rsid w:val="48F37844"/>
    <w:rsid w:val="494F1047"/>
    <w:rsid w:val="4963424B"/>
    <w:rsid w:val="49634E0E"/>
    <w:rsid w:val="49C26EF8"/>
    <w:rsid w:val="49CA12B6"/>
    <w:rsid w:val="4A0811EE"/>
    <w:rsid w:val="4A1F5158"/>
    <w:rsid w:val="4A995FFE"/>
    <w:rsid w:val="4B3A240B"/>
    <w:rsid w:val="4BD62EF1"/>
    <w:rsid w:val="4C72626B"/>
    <w:rsid w:val="4D4C5A1B"/>
    <w:rsid w:val="4D891310"/>
    <w:rsid w:val="4D9019D1"/>
    <w:rsid w:val="4DEA1431"/>
    <w:rsid w:val="4DEB5A6B"/>
    <w:rsid w:val="4E3410EA"/>
    <w:rsid w:val="4E8F118B"/>
    <w:rsid w:val="4F050F95"/>
    <w:rsid w:val="4F0F5F1E"/>
    <w:rsid w:val="4F1262F8"/>
    <w:rsid w:val="4F327FE3"/>
    <w:rsid w:val="4F4D6324"/>
    <w:rsid w:val="4F5122E8"/>
    <w:rsid w:val="501515C7"/>
    <w:rsid w:val="511D7CBC"/>
    <w:rsid w:val="518D31F8"/>
    <w:rsid w:val="51DB55D0"/>
    <w:rsid w:val="5259650F"/>
    <w:rsid w:val="52F723A5"/>
    <w:rsid w:val="53D22120"/>
    <w:rsid w:val="54D45F64"/>
    <w:rsid w:val="55E82549"/>
    <w:rsid w:val="56A1558E"/>
    <w:rsid w:val="56BB6390"/>
    <w:rsid w:val="56C23191"/>
    <w:rsid w:val="5737087F"/>
    <w:rsid w:val="584077AC"/>
    <w:rsid w:val="590A3001"/>
    <w:rsid w:val="59251F94"/>
    <w:rsid w:val="592933E7"/>
    <w:rsid w:val="59E336C7"/>
    <w:rsid w:val="5A03420A"/>
    <w:rsid w:val="5A08483B"/>
    <w:rsid w:val="5A0A67C5"/>
    <w:rsid w:val="5A3432D9"/>
    <w:rsid w:val="5A440B0A"/>
    <w:rsid w:val="5AA2768A"/>
    <w:rsid w:val="5AB17508"/>
    <w:rsid w:val="5B0E1143"/>
    <w:rsid w:val="5B7F3BF5"/>
    <w:rsid w:val="5BA65FD3"/>
    <w:rsid w:val="5C3A0E10"/>
    <w:rsid w:val="5C8B70C6"/>
    <w:rsid w:val="5CE12115"/>
    <w:rsid w:val="5E341CA6"/>
    <w:rsid w:val="5E7111EE"/>
    <w:rsid w:val="5E73292B"/>
    <w:rsid w:val="5F237AD7"/>
    <w:rsid w:val="600B0477"/>
    <w:rsid w:val="604F73F9"/>
    <w:rsid w:val="62017C37"/>
    <w:rsid w:val="6205222A"/>
    <w:rsid w:val="624B2939"/>
    <w:rsid w:val="629E17B2"/>
    <w:rsid w:val="632B5A05"/>
    <w:rsid w:val="63CF3877"/>
    <w:rsid w:val="6494340C"/>
    <w:rsid w:val="649874A0"/>
    <w:rsid w:val="64AE1B9F"/>
    <w:rsid w:val="65601775"/>
    <w:rsid w:val="662D5ABA"/>
    <w:rsid w:val="668804DC"/>
    <w:rsid w:val="66B9305E"/>
    <w:rsid w:val="66E225B5"/>
    <w:rsid w:val="670A1A2C"/>
    <w:rsid w:val="67177B8F"/>
    <w:rsid w:val="67584E8C"/>
    <w:rsid w:val="678B4892"/>
    <w:rsid w:val="67937F5D"/>
    <w:rsid w:val="67CE4DCE"/>
    <w:rsid w:val="67F73145"/>
    <w:rsid w:val="688A4937"/>
    <w:rsid w:val="68A12D0E"/>
    <w:rsid w:val="6943700B"/>
    <w:rsid w:val="6974636B"/>
    <w:rsid w:val="69A80082"/>
    <w:rsid w:val="69C57602"/>
    <w:rsid w:val="69DA676B"/>
    <w:rsid w:val="69E71E1E"/>
    <w:rsid w:val="6A081F73"/>
    <w:rsid w:val="6AA638B5"/>
    <w:rsid w:val="6B82303B"/>
    <w:rsid w:val="6BB36898"/>
    <w:rsid w:val="6BF52F47"/>
    <w:rsid w:val="6C0B1E81"/>
    <w:rsid w:val="6D191A91"/>
    <w:rsid w:val="6D6C135B"/>
    <w:rsid w:val="6D804303"/>
    <w:rsid w:val="6D981FB9"/>
    <w:rsid w:val="6DE1634E"/>
    <w:rsid w:val="6E0F17B6"/>
    <w:rsid w:val="6E314FDA"/>
    <w:rsid w:val="6EC3578C"/>
    <w:rsid w:val="6EC8567D"/>
    <w:rsid w:val="6EFB1F3B"/>
    <w:rsid w:val="6F1C22DB"/>
    <w:rsid w:val="6F727C17"/>
    <w:rsid w:val="6F971E4B"/>
    <w:rsid w:val="713C78F4"/>
    <w:rsid w:val="713E5576"/>
    <w:rsid w:val="71716F03"/>
    <w:rsid w:val="71852264"/>
    <w:rsid w:val="71E84C17"/>
    <w:rsid w:val="727B5DB6"/>
    <w:rsid w:val="72AA02A4"/>
    <w:rsid w:val="72C8733F"/>
    <w:rsid w:val="73547E87"/>
    <w:rsid w:val="738212FC"/>
    <w:rsid w:val="74AD72E7"/>
    <w:rsid w:val="74DB07BA"/>
    <w:rsid w:val="74F05590"/>
    <w:rsid w:val="754169C0"/>
    <w:rsid w:val="756D508A"/>
    <w:rsid w:val="75834878"/>
    <w:rsid w:val="75944B37"/>
    <w:rsid w:val="765149B5"/>
    <w:rsid w:val="76B232E0"/>
    <w:rsid w:val="771A4B4E"/>
    <w:rsid w:val="78EE2F0B"/>
    <w:rsid w:val="79925E88"/>
    <w:rsid w:val="79F81C8C"/>
    <w:rsid w:val="7A5316B8"/>
    <w:rsid w:val="7A646B66"/>
    <w:rsid w:val="7AA605D7"/>
    <w:rsid w:val="7B302F28"/>
    <w:rsid w:val="7B560A24"/>
    <w:rsid w:val="7B6201C7"/>
    <w:rsid w:val="7BC93492"/>
    <w:rsid w:val="7BD37801"/>
    <w:rsid w:val="7C2F7066"/>
    <w:rsid w:val="7C482A62"/>
    <w:rsid w:val="7CC258AE"/>
    <w:rsid w:val="7D590BD7"/>
    <w:rsid w:val="7D934252"/>
    <w:rsid w:val="7DBA173E"/>
    <w:rsid w:val="7E484985"/>
    <w:rsid w:val="7E581FB7"/>
    <w:rsid w:val="7FCA52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13"/>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14"/>
    <w:unhideWhenUsed/>
    <w:qFormat/>
    <w:uiPriority w:val="0"/>
    <w:pPr>
      <w:keepNext/>
      <w:keepLines/>
      <w:spacing w:before="260" w:after="260" w:line="416" w:lineRule="auto"/>
      <w:outlineLvl w:val="1"/>
    </w:pPr>
    <w:rPr>
      <w:rFonts w:ascii="Calibri Light" w:hAnsi="Calibri Light"/>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style>
  <w:style w:type="paragraph" w:styleId="3">
    <w:name w:val="Body Text Indent"/>
    <w:basedOn w:val="1"/>
    <w:qFormat/>
    <w:uiPriority w:val="0"/>
    <w:pPr>
      <w:ind w:firstLine="200" w:firstLineChars="200"/>
    </w:pPr>
    <w:rPr>
      <w:rFonts w:eastAsia="黑体"/>
      <w:sz w:val="30"/>
    </w:rPr>
  </w:style>
  <w:style w:type="paragraph" w:styleId="6">
    <w:name w:val="Body Text"/>
    <w:basedOn w:val="1"/>
    <w:semiHidden/>
    <w:qFormat/>
    <w:uiPriority w:val="0"/>
    <w:pPr>
      <w:autoSpaceDE w:val="0"/>
      <w:autoSpaceDN w:val="0"/>
      <w:adjustRightInd w:val="0"/>
      <w:snapToGrid w:val="0"/>
      <w:spacing w:line="588" w:lineRule="atLeast"/>
    </w:pPr>
    <w:rPr>
      <w:rFonts w:ascii="宋体" w:hAnsi="宋体" w:eastAsia="仿宋_GB2312" w:cs="Times New Roman"/>
      <w:spacing w:val="-2"/>
      <w:sz w:val="32"/>
      <w:szCs w:val="24"/>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qFormat/>
    <w:uiPriority w:val="0"/>
    <w:pPr>
      <w:spacing w:before="0" w:beforeAutospacing="1" w:after="0" w:afterAutospacing="1"/>
      <w:ind w:left="0" w:right="0"/>
      <w:jc w:val="left"/>
    </w:pPr>
    <w:rPr>
      <w:kern w:val="0"/>
      <w:sz w:val="24"/>
      <w:lang w:val="en-US" w:eastAsia="zh-CN"/>
    </w:rPr>
  </w:style>
  <w:style w:type="paragraph" w:customStyle="1" w:styleId="12">
    <w:name w:val="列出段落1"/>
    <w:basedOn w:val="1"/>
    <w:qFormat/>
    <w:uiPriority w:val="34"/>
    <w:pPr>
      <w:ind w:firstLine="420" w:firstLineChars="200"/>
    </w:pPr>
  </w:style>
  <w:style w:type="character" w:customStyle="1" w:styleId="13">
    <w:name w:val="标题 1 Char"/>
    <w:basedOn w:val="11"/>
    <w:link w:val="4"/>
    <w:qFormat/>
    <w:uiPriority w:val="9"/>
    <w:rPr>
      <w:rFonts w:eastAsia="宋体"/>
      <w:b/>
      <w:bCs/>
      <w:kern w:val="44"/>
      <w:sz w:val="44"/>
      <w:szCs w:val="44"/>
    </w:rPr>
  </w:style>
  <w:style w:type="character" w:customStyle="1" w:styleId="14">
    <w:name w:val="标题 2 Char"/>
    <w:basedOn w:val="11"/>
    <w:link w:val="5"/>
    <w:qFormat/>
    <w:uiPriority w:val="9"/>
    <w:rPr>
      <w:rFonts w:ascii="Calibri Light" w:hAnsi="Calibri Light" w:eastAsia="宋体" w:cs="Times New Roman"/>
      <w:b/>
      <w:bCs/>
      <w:sz w:val="32"/>
      <w:szCs w:val="32"/>
    </w:rPr>
  </w:style>
  <w:style w:type="paragraph" w:styleId="15">
    <w:name w:val="List Paragraph"/>
    <w:basedOn w:val="1"/>
    <w:qFormat/>
    <w:uiPriority w:val="99"/>
    <w:pPr>
      <w:ind w:firstLine="420" w:firstLineChars="200"/>
    </w:pPr>
  </w:style>
  <w:style w:type="paragraph" w:customStyle="1" w:styleId="16">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3820</Words>
  <Characters>4183</Characters>
  <Lines>0</Lines>
  <Paragraphs>0</Paragraphs>
  <TotalTime>0</TotalTime>
  <ScaleCrop>false</ScaleCrop>
  <LinksUpToDate>false</LinksUpToDate>
  <CharactersWithSpaces>4341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2022-03-08T03:48:00Z</dcterms:created>
  <dc:creator>Administrator</dc:creator>
  <cp:lastModifiedBy>qhm123456</cp:lastModifiedBy>
  <cp:lastPrinted>2023-03-29T08:07:00Z</cp:lastPrinted>
  <dcterms:modified xsi:type="dcterms:W3CDTF">2024-08-15T07:29:03Z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60645F8296264411B5BC22C4A0588573</vt:lpwstr>
  </property>
</Properties>
</file>