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0C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091199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5E1D04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2BE53EBB"/>
    <w:p w14:paraId="2E876940">
      <w:pPr>
        <w:pStyle w:val="12"/>
      </w:pPr>
    </w:p>
    <w:p w14:paraId="6C701CCE"/>
    <w:p w14:paraId="191C91C8"/>
    <w:p w14:paraId="2C0B256B">
      <w:pPr>
        <w:ind w:firstLine="1050" w:firstLineChars="500"/>
      </w:pPr>
    </w:p>
    <w:p w14:paraId="3692A9BF">
      <w:pPr>
        <w:ind w:firstLine="1050" w:firstLineChars="500"/>
      </w:pPr>
    </w:p>
    <w:p w14:paraId="6E108471">
      <w:pPr>
        <w:ind w:firstLine="1760" w:firstLineChars="400"/>
        <w:rPr>
          <w:rFonts w:ascii="黑体" w:hAnsi="黑体" w:eastAsia="黑体"/>
          <w:sz w:val="44"/>
          <w:szCs w:val="44"/>
        </w:rPr>
      </w:pPr>
    </w:p>
    <w:p w14:paraId="0CFD9D69">
      <w:pPr>
        <w:ind w:firstLine="1760" w:firstLineChars="400"/>
        <w:rPr>
          <w:rFonts w:ascii="黑体" w:hAnsi="黑体" w:eastAsia="黑体"/>
          <w:sz w:val="44"/>
          <w:szCs w:val="44"/>
        </w:rPr>
      </w:pPr>
    </w:p>
    <w:p w14:paraId="3DD8FB29">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金川县人民检察院</w:t>
      </w:r>
    </w:p>
    <w:p w14:paraId="161E9A6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B7A53A6">
      <w:pPr>
        <w:ind w:firstLine="1760" w:firstLineChars="400"/>
        <w:rPr>
          <w:rFonts w:ascii="黑体" w:hAnsi="黑体" w:eastAsia="黑体"/>
          <w:sz w:val="44"/>
          <w:szCs w:val="44"/>
        </w:rPr>
      </w:pPr>
    </w:p>
    <w:p w14:paraId="2651EF23">
      <w:pPr>
        <w:ind w:firstLine="1760" w:firstLineChars="400"/>
        <w:rPr>
          <w:rFonts w:ascii="黑体" w:hAnsi="黑体" w:eastAsia="黑体"/>
          <w:sz w:val="44"/>
          <w:szCs w:val="44"/>
        </w:rPr>
      </w:pPr>
    </w:p>
    <w:p w14:paraId="2476ECE5">
      <w:pPr>
        <w:ind w:firstLine="1760" w:firstLineChars="400"/>
        <w:rPr>
          <w:rFonts w:ascii="黑体" w:hAnsi="黑体" w:eastAsia="黑体"/>
          <w:sz w:val="44"/>
          <w:szCs w:val="44"/>
        </w:rPr>
      </w:pPr>
    </w:p>
    <w:p w14:paraId="3408EF41">
      <w:pPr>
        <w:ind w:firstLine="1760" w:firstLineChars="400"/>
        <w:rPr>
          <w:rFonts w:ascii="黑体" w:hAnsi="黑体" w:eastAsia="黑体"/>
          <w:sz w:val="44"/>
          <w:szCs w:val="44"/>
        </w:rPr>
      </w:pPr>
    </w:p>
    <w:p w14:paraId="2DEF4315">
      <w:pPr>
        <w:ind w:firstLine="1760" w:firstLineChars="400"/>
        <w:rPr>
          <w:rFonts w:ascii="黑体" w:hAnsi="黑体" w:eastAsia="黑体"/>
          <w:sz w:val="44"/>
          <w:szCs w:val="44"/>
        </w:rPr>
      </w:pPr>
    </w:p>
    <w:p w14:paraId="2E44625D">
      <w:pPr>
        <w:pStyle w:val="9"/>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保密审查情况：已审查，内容审定</w:t>
      </w:r>
    </w:p>
    <w:p w14:paraId="26A48866">
      <w:pPr>
        <w:pStyle w:val="9"/>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部门主要负责人审签情况：已审签，同意对外公开</w:t>
      </w:r>
    </w:p>
    <w:p w14:paraId="221E0B8F">
      <w:pPr>
        <w:ind w:firstLine="1760" w:firstLineChars="400"/>
        <w:rPr>
          <w:rFonts w:ascii="黑体" w:hAnsi="黑体" w:eastAsia="黑体"/>
          <w:sz w:val="44"/>
          <w:szCs w:val="44"/>
        </w:rPr>
      </w:pPr>
    </w:p>
    <w:p w14:paraId="1A18E677">
      <w:pPr>
        <w:ind w:firstLine="1760" w:firstLineChars="400"/>
        <w:rPr>
          <w:rFonts w:ascii="黑体" w:hAnsi="黑体" w:eastAsia="黑体"/>
          <w:sz w:val="44"/>
          <w:szCs w:val="44"/>
        </w:rPr>
      </w:pPr>
    </w:p>
    <w:p w14:paraId="595D75D9">
      <w:pPr>
        <w:rPr>
          <w:rFonts w:ascii="黑体" w:hAnsi="黑体" w:eastAsia="黑体"/>
          <w:sz w:val="44"/>
          <w:szCs w:val="44"/>
        </w:rPr>
      </w:pPr>
      <w:bookmarkStart w:id="24" w:name="_GoBack"/>
      <w:bookmarkEnd w:id="24"/>
    </w:p>
    <w:p w14:paraId="7B84DB3D">
      <w:pPr>
        <w:ind w:firstLine="1760" w:firstLineChars="400"/>
        <w:rPr>
          <w:rFonts w:ascii="黑体" w:hAnsi="黑体" w:eastAsia="黑体"/>
          <w:sz w:val="44"/>
          <w:szCs w:val="44"/>
        </w:rPr>
      </w:pPr>
    </w:p>
    <w:p w14:paraId="35F24B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7F0D6328">
      <w:pPr>
        <w:ind w:firstLine="3120" w:firstLineChars="600"/>
        <w:rPr>
          <w:rFonts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14:paraId="076B70E5">
      <w:pPr>
        <w:ind w:firstLine="3080" w:firstLineChars="700"/>
        <w:rPr>
          <w:rFonts w:ascii="黑体" w:hAnsi="黑体" w:eastAsia="黑体"/>
          <w:sz w:val="44"/>
          <w:szCs w:val="44"/>
        </w:rPr>
      </w:pPr>
    </w:p>
    <w:p w14:paraId="20A4B9C5">
      <w:pPr>
        <w:pStyle w:val="15"/>
        <w:ind w:firstLine="0" w:firstLineChars="0"/>
        <w:rPr>
          <w:rFonts w:ascii="黑体" w:hAnsi="黑体" w:eastAsia="黑体"/>
          <w:sz w:val="32"/>
          <w:szCs w:val="32"/>
        </w:rPr>
      </w:pPr>
      <w:r>
        <w:rPr>
          <w:rFonts w:hint="eastAsia" w:ascii="黑体" w:hAnsi="黑体" w:eastAsia="黑体"/>
          <w:sz w:val="32"/>
          <w:szCs w:val="32"/>
        </w:rPr>
        <w:t>一、基本职能及主要工作</w:t>
      </w:r>
    </w:p>
    <w:p w14:paraId="5EF0FD9B">
      <w:pPr>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val="en-US" w:eastAsia="zh-CN"/>
        </w:rPr>
        <w:t>检察院</w:t>
      </w:r>
      <w:r>
        <w:rPr>
          <w:rFonts w:hint="eastAsia" w:ascii="楷体" w:hAnsi="楷体" w:eastAsia="楷体"/>
          <w:sz w:val="32"/>
          <w:szCs w:val="32"/>
        </w:rPr>
        <w:t>职能简介</w:t>
      </w:r>
    </w:p>
    <w:p w14:paraId="1D1FFA6D">
      <w:pPr>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检察院</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14:paraId="798BB074">
      <w:pPr>
        <w:rPr>
          <w:rFonts w:ascii="黑体" w:hAnsi="黑体" w:eastAsia="黑体"/>
          <w:sz w:val="32"/>
          <w:szCs w:val="32"/>
        </w:rPr>
      </w:pPr>
      <w:r>
        <w:rPr>
          <w:rFonts w:hint="eastAsia" w:ascii="黑体" w:hAnsi="黑体" w:eastAsia="黑体"/>
          <w:sz w:val="32"/>
          <w:szCs w:val="32"/>
        </w:rPr>
        <w:t>二、部门预算单位构成</w:t>
      </w:r>
    </w:p>
    <w:p w14:paraId="49370742">
      <w:pPr>
        <w:rPr>
          <w:rFonts w:ascii="黑体" w:hAnsi="黑体" w:eastAsia="黑体"/>
          <w:sz w:val="32"/>
          <w:szCs w:val="32"/>
        </w:rPr>
      </w:pPr>
      <w:r>
        <w:rPr>
          <w:rFonts w:hint="eastAsia" w:ascii="黑体" w:hAnsi="黑体" w:eastAsia="黑体"/>
          <w:sz w:val="32"/>
          <w:szCs w:val="32"/>
        </w:rPr>
        <w:t>三、收支预算情况说明</w:t>
      </w:r>
    </w:p>
    <w:p w14:paraId="47BC4FB1">
      <w:pPr>
        <w:rPr>
          <w:rFonts w:ascii="楷体" w:hAnsi="楷体" w:eastAsia="楷体"/>
          <w:sz w:val="32"/>
          <w:szCs w:val="32"/>
        </w:rPr>
      </w:pPr>
      <w:r>
        <w:rPr>
          <w:rFonts w:hint="eastAsia" w:ascii="楷体" w:hAnsi="楷体" w:eastAsia="楷体"/>
          <w:sz w:val="32"/>
          <w:szCs w:val="32"/>
        </w:rPr>
        <w:t>（一）收入预算情况</w:t>
      </w:r>
    </w:p>
    <w:p w14:paraId="114C5828">
      <w:pPr>
        <w:rPr>
          <w:rFonts w:ascii="楷体" w:hAnsi="楷体" w:eastAsia="楷体"/>
          <w:sz w:val="32"/>
          <w:szCs w:val="32"/>
        </w:rPr>
      </w:pPr>
      <w:r>
        <w:rPr>
          <w:rFonts w:hint="eastAsia" w:ascii="楷体" w:hAnsi="楷体" w:eastAsia="楷体"/>
          <w:sz w:val="32"/>
          <w:szCs w:val="32"/>
        </w:rPr>
        <w:t>（二）支出预算情况</w:t>
      </w:r>
    </w:p>
    <w:p w14:paraId="09FE7750">
      <w:pPr>
        <w:rPr>
          <w:rFonts w:ascii="黑体" w:hAnsi="黑体" w:eastAsia="黑体"/>
          <w:sz w:val="32"/>
          <w:szCs w:val="32"/>
        </w:rPr>
      </w:pPr>
      <w:r>
        <w:rPr>
          <w:rFonts w:hint="eastAsia" w:ascii="黑体" w:hAnsi="黑体" w:eastAsia="黑体"/>
          <w:sz w:val="32"/>
          <w:szCs w:val="32"/>
        </w:rPr>
        <w:t>四、财政拨款收支预算情况说明</w:t>
      </w:r>
    </w:p>
    <w:p w14:paraId="647A54B7">
      <w:pPr>
        <w:rPr>
          <w:rFonts w:ascii="黑体" w:hAnsi="黑体" w:eastAsia="黑体"/>
          <w:sz w:val="32"/>
          <w:szCs w:val="32"/>
        </w:rPr>
      </w:pPr>
      <w:r>
        <w:rPr>
          <w:rFonts w:hint="eastAsia" w:ascii="黑体" w:hAnsi="黑体" w:eastAsia="黑体"/>
          <w:sz w:val="32"/>
          <w:szCs w:val="32"/>
        </w:rPr>
        <w:t>五、一般公共预算当年拨款情况说明</w:t>
      </w:r>
    </w:p>
    <w:p w14:paraId="63660D56">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95C8CEC">
      <w:pPr>
        <w:rPr>
          <w:rFonts w:ascii="黑体" w:hAnsi="黑体" w:eastAsia="黑体"/>
          <w:sz w:val="32"/>
          <w:szCs w:val="32"/>
        </w:rPr>
      </w:pPr>
    </w:p>
    <w:p w14:paraId="52E9F94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4B287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sectPr>
          <w:pgSz w:w="11906" w:h="16838"/>
          <w:pgMar w:top="1440" w:right="1800" w:bottom="1440" w:left="1800" w:header="851" w:footer="992" w:gutter="0"/>
          <w:cols w:space="720" w:num="1"/>
          <w:docGrid w:type="lines" w:linePitch="312" w:charSpace="0"/>
        </w:sectPr>
      </w:pPr>
    </w:p>
    <w:p w14:paraId="152C88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52"/>
          <w:szCs w:val="52"/>
        </w:rPr>
      </w:pPr>
    </w:p>
    <w:p w14:paraId="5943C45D">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金川县检察院</w:t>
      </w:r>
    </w:p>
    <w:p w14:paraId="6A5D5099">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2024部门预算编制说明</w:t>
      </w:r>
    </w:p>
    <w:p w14:paraId="50E5E7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按照预算管理有关规定，目前部门预算的编制实行综合预算制度，即全部收入和支出都反映在预算中，现就2024部门预算编制情况说明如下：</w:t>
      </w:r>
    </w:p>
    <w:p w14:paraId="0DDAE943">
      <w:pPr>
        <w:pStyle w:val="5"/>
        <w:pageBreakBefore w:val="0"/>
        <w:widowControl w:val="0"/>
        <w:kinsoku/>
        <w:wordWrap/>
        <w:overflowPunct/>
        <w:topLinePunct w:val="0"/>
        <w:autoSpaceDE/>
        <w:autoSpaceDN/>
        <w:bidi w:val="0"/>
        <w:adjustRightInd/>
        <w:snapToGrid/>
        <w:spacing w:before="0" w:after="0"/>
        <w:ind w:left="0" w:leftChars="0" w:right="0" w:rightChars="0" w:firstLine="0" w:firstLineChars="0"/>
        <w:jc w:val="both"/>
        <w:textAlignment w:val="auto"/>
        <w:rPr>
          <w:rStyle w:val="13"/>
          <w:rFonts w:hint="eastAsia"/>
          <w:b/>
          <w:bCs/>
        </w:rPr>
      </w:pPr>
      <w:r>
        <w:rPr>
          <w:rFonts w:hint="eastAsia"/>
        </w:rPr>
        <w:t>　</w:t>
      </w:r>
      <w:r>
        <w:rPr>
          <w:rStyle w:val="13"/>
          <w:rFonts w:hint="eastAsia"/>
          <w:b/>
          <w:bCs/>
        </w:rPr>
        <w:t>　</w:t>
      </w:r>
      <w:bookmarkStart w:id="0" w:name="_Toc19614"/>
      <w:r>
        <w:rPr>
          <w:rFonts w:hint="eastAsia" w:ascii="黑体" w:hAnsi="黑体" w:eastAsia="黑体" w:cs="Times New Roman"/>
          <w:b w:val="0"/>
          <w:bCs w:val="0"/>
          <w:kern w:val="2"/>
          <w:sz w:val="32"/>
          <w:szCs w:val="32"/>
          <w:lang w:val="en-US" w:eastAsia="zh-CN" w:bidi="ar-SA"/>
        </w:rPr>
        <w:t>一、基本职能及主要工作</w:t>
      </w:r>
      <w:bookmarkEnd w:id="0"/>
    </w:p>
    <w:p w14:paraId="526C90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w:t>
      </w:r>
      <w:r>
        <w:rPr>
          <w:rFonts w:hint="eastAsia" w:ascii="楷体" w:hAnsi="楷体" w:eastAsia="楷体" w:cs="楷体"/>
          <w:kern w:val="0"/>
          <w:sz w:val="32"/>
          <w:szCs w:val="32"/>
          <w:lang w:val="en-US" w:eastAsia="zh-CN" w:bidi="ar-SA"/>
        </w:rPr>
        <w:t>　</w:t>
      </w:r>
      <w:bookmarkStart w:id="1" w:name="_Toc675"/>
      <w:r>
        <w:rPr>
          <w:rFonts w:hint="eastAsia" w:ascii="楷体" w:hAnsi="楷体" w:eastAsia="楷体" w:cs="楷体"/>
          <w:kern w:val="0"/>
          <w:sz w:val="32"/>
          <w:szCs w:val="32"/>
          <w:lang w:val="en-US" w:eastAsia="zh-CN" w:bidi="ar-SA"/>
        </w:rPr>
        <w:t>（一）检察院职能简介。</w:t>
      </w:r>
    </w:p>
    <w:bookmarkEnd w:id="1"/>
    <w:p w14:paraId="59BDA2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主要职能：审查批准逮捕、决定起诉并出席法庭支持公诉的职能。人民检察院是国家的法律监督机关，行使国家的检察权。对于叛国案、分裂国家案以及严重破坏国家的政策、法律、政令统一实施的重大犯罪案件，行使检察权。对于直接受理的国家工作人员利用职权实施的犯罪案件，进行侦查。对于公安机关、国家安全机关等侦查机关侦查的案件进行审查，决定是否逮捕、是否起诉，并监督侦查机关的侦查活动是否合法。对于刑事案件提起公诉，支持公诉；对于人民法院的刑事判决、裁定是否正确和审判活动是否合法实行监督。对于监狱、看守所等监所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14:paraId="6B0153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xml:space="preserve">  </w:t>
      </w:r>
      <w:bookmarkStart w:id="2" w:name="_Toc4410"/>
      <w:r>
        <w:rPr>
          <w:rFonts w:hint="eastAsia" w:asciiTheme="minorEastAsia" w:hAnsiTheme="minorEastAsia" w:eastAsiaTheme="minorEastAsia" w:cstheme="minorEastAsia"/>
          <w:sz w:val="32"/>
          <w:szCs w:val="32"/>
          <w:lang w:val="en-US" w:eastAsia="zh-CN"/>
        </w:rPr>
        <w:t xml:space="preserve"> </w:t>
      </w:r>
      <w:r>
        <w:rPr>
          <w:rFonts w:hint="eastAsia" w:ascii="楷体" w:hAnsi="楷体" w:eastAsia="楷体" w:cs="楷体"/>
          <w:kern w:val="0"/>
          <w:sz w:val="32"/>
          <w:szCs w:val="32"/>
          <w:lang w:val="en-US" w:eastAsia="zh-CN" w:bidi="ar-SA"/>
        </w:rPr>
        <w:t>（二）检察院2024重点工作。</w:t>
      </w:r>
    </w:p>
    <w:bookmarkEnd w:id="2"/>
    <w:p w14:paraId="704502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　2024主要工作任务是严格按照2024的预算数和县财政局下达的预算进行拔付，主要支出如下：工资福利包括基本工资、津贴补贴、奖金、绩效工资、社会保险费等；对个人和家庭的补助支出包括离休费、退休费、遗属生活费等；商品和服务的支出按照县财政局下达公务经费定额标准、分类科目、结合实际开支，尽量不超预算。</w:t>
      </w:r>
    </w:p>
    <w:p w14:paraId="526796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xml:space="preserve">  </w:t>
      </w:r>
      <w:bookmarkStart w:id="3" w:name="_Toc12146"/>
      <w:r>
        <w:rPr>
          <w:rFonts w:hint="eastAsia" w:ascii="Calibri Light" w:hAnsi="Calibri Light" w:eastAsia="宋体" w:cs="Times New Roman"/>
          <w:b/>
          <w:bCs/>
          <w:kern w:val="2"/>
          <w:sz w:val="32"/>
          <w:szCs w:val="32"/>
          <w:lang w:val="en-US" w:eastAsia="zh-CN" w:bidi="ar-SA"/>
        </w:rPr>
        <w:t>二、部门概况</w:t>
      </w:r>
    </w:p>
    <w:bookmarkEnd w:id="3"/>
    <w:p w14:paraId="2311FE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2024独立编制单位机构数为 1个，财政供养人员编制为 27名，其中行政编制24名，行政工勤编制3名，事业编制0名（其中参照公务员法管理人员编制0人）；2024实际财政供养人员25人，较上年增加1人（不含退休人员），其中：行政23人，行政工勤2人，事业0人。 </w:t>
      </w:r>
    </w:p>
    <w:p w14:paraId="2F3592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bookmarkStart w:id="4" w:name="_Toc8961"/>
      <w:r>
        <w:rPr>
          <w:rFonts w:hint="eastAsia" w:ascii="Calibri Light" w:hAnsi="Calibri Light" w:eastAsia="宋体" w:cs="Times New Roman"/>
          <w:b/>
          <w:bCs/>
          <w:kern w:val="2"/>
          <w:sz w:val="32"/>
          <w:szCs w:val="32"/>
          <w:lang w:val="en-US" w:eastAsia="zh-CN" w:bidi="ar-SA"/>
        </w:rPr>
        <w:t>三、收支预算情况说明</w:t>
      </w:r>
    </w:p>
    <w:bookmarkEnd w:id="4"/>
    <w:p w14:paraId="0A324E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按照综合预算的原则，检察院所有收入和支出均纳入部门预算管理。收入包括：一般公共预算拨款收入、上年结转；支出包括：一般公共服务支出、教育支出、社会保障和就业支出、医疗卫生与计划生育支出、住房保障支出。检察院2024收支总预算627.20万元,比2023年收支预算总数693.68万元，减少66.48万元，主要是因为2023年预算中将基础绩效纳入，但基础绩效应由县财政保障不纳入州级预算。</w:t>
      </w:r>
    </w:p>
    <w:p w14:paraId="16DDB5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bookmarkStart w:id="5" w:name="_Toc6429"/>
      <w:r>
        <w:rPr>
          <w:rFonts w:hint="eastAsia" w:ascii="楷体" w:hAnsi="楷体" w:eastAsia="楷体" w:cs="楷体"/>
          <w:kern w:val="0"/>
          <w:sz w:val="32"/>
          <w:szCs w:val="32"/>
          <w:lang w:val="en-US" w:eastAsia="zh-CN" w:bidi="ar-SA"/>
        </w:rPr>
        <w:t>（一）收入预算情况。</w:t>
      </w:r>
      <w:bookmarkEnd w:id="5"/>
    </w:p>
    <w:p w14:paraId="0786CE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　检察院2024收入预算627.20万元，其中：上年结转0万元，占100%；一般公共预算拨款收入627.20万元，占100%。</w:t>
      </w:r>
    </w:p>
    <w:p w14:paraId="64F7CC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w:t>
      </w:r>
      <w:bookmarkStart w:id="6" w:name="_Toc21024"/>
      <w:r>
        <w:rPr>
          <w:rStyle w:val="14"/>
          <w:rFonts w:hint="eastAsia"/>
        </w:rPr>
        <w:t>　</w:t>
      </w:r>
      <w:r>
        <w:rPr>
          <w:rFonts w:hint="eastAsia" w:ascii="楷体" w:hAnsi="楷体" w:eastAsia="楷体" w:cs="楷体"/>
          <w:kern w:val="0"/>
          <w:sz w:val="32"/>
          <w:szCs w:val="32"/>
          <w:lang w:val="en-US" w:eastAsia="zh-CN" w:bidi="ar-SA"/>
        </w:rPr>
        <w:t>（二）支出预算情况。</w:t>
      </w:r>
    </w:p>
    <w:bookmarkEnd w:id="6"/>
    <w:p w14:paraId="73FD00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检察院2024支出预算627.20万元，其中：基本支出627.20万元，占100%；项目支出0万元，占0%。</w:t>
      </w:r>
    </w:p>
    <w:p w14:paraId="0253E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r>
        <w:rPr>
          <w:rFonts w:hint="eastAsia" w:ascii="Calibri Light" w:hAnsi="Calibri Light" w:eastAsia="宋体" w:cs="Times New Roman"/>
          <w:b/>
          <w:bCs/>
          <w:kern w:val="2"/>
          <w:sz w:val="32"/>
          <w:szCs w:val="32"/>
          <w:lang w:val="en-US" w:eastAsia="zh-CN" w:bidi="ar-SA"/>
        </w:rPr>
        <w:t>　</w:t>
      </w:r>
      <w:bookmarkStart w:id="7" w:name="_Toc27644"/>
      <w:r>
        <w:rPr>
          <w:rFonts w:hint="eastAsia" w:ascii="Calibri Light" w:hAnsi="Calibri Light" w:eastAsia="宋体" w:cs="Times New Roman"/>
          <w:b/>
          <w:bCs/>
          <w:kern w:val="2"/>
          <w:sz w:val="32"/>
          <w:szCs w:val="32"/>
          <w:lang w:val="en-US" w:eastAsia="zh-CN" w:bidi="ar-SA"/>
        </w:rPr>
        <w:t>四、财政拨款收支预算情况说明</w:t>
      </w:r>
    </w:p>
    <w:bookmarkEnd w:id="7"/>
    <w:p w14:paraId="05D254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2024财政拨款收支总预算627.20万元,比2023年财政拨款收支总预算减少66.48万元，主要是因为2023年预算中将基础绩效纳入，但基础绩效应由县财政保障不纳入州级预算。收入包括：本年一般公共预算拨款收入627.20万元、上年结转一般公共预算拨款收入0万元；</w:t>
      </w:r>
    </w:p>
    <w:p w14:paraId="1FA250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支出包括：公共安全支出627.20万元、教育支出0万元、社会保障和就业支出0万元、卫生健康支出0万元、住房保障支出0万元。（2024年年初财政将社会保障和就业支出90.96万元，卫生健康支出36.48万元，住房保障和就业支出44.30万元，全部下达至公共安全支出。）</w:t>
      </w:r>
    </w:p>
    <w:p w14:paraId="2FF8BC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8" w:name="_Toc19177"/>
      <w:r>
        <w:rPr>
          <w:rFonts w:hint="eastAsia" w:ascii="Calibri Light" w:hAnsi="Calibri Light" w:eastAsia="宋体" w:cs="Times New Roman"/>
          <w:b/>
          <w:bCs/>
          <w:kern w:val="2"/>
          <w:sz w:val="32"/>
          <w:szCs w:val="32"/>
          <w:lang w:val="en-US" w:eastAsia="zh-CN" w:bidi="ar-SA"/>
        </w:rPr>
        <w:t>五、一般公共预算当年拨款情况说明</w:t>
      </w:r>
    </w:p>
    <w:bookmarkEnd w:id="8"/>
    <w:p w14:paraId="689BD9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Theme="minorEastAsia" w:hAnsiTheme="minorEastAsia" w:eastAsiaTheme="minorEastAsia" w:cstheme="minorEastAsia"/>
          <w:sz w:val="32"/>
          <w:szCs w:val="32"/>
        </w:rPr>
        <w:t>　</w:t>
      </w:r>
      <w:bookmarkStart w:id="9" w:name="_Toc30481"/>
      <w:r>
        <w:rPr>
          <w:rFonts w:hint="eastAsia" w:ascii="楷体" w:hAnsi="楷体" w:eastAsia="楷体" w:cs="楷体"/>
          <w:kern w:val="0"/>
          <w:sz w:val="32"/>
          <w:szCs w:val="32"/>
          <w:lang w:val="en-US" w:eastAsia="zh-CN" w:bidi="ar-SA"/>
        </w:rPr>
        <w:t>（一）一般公共预算当年拨款规模变化情况。</w:t>
      </w:r>
    </w:p>
    <w:bookmarkEnd w:id="9"/>
    <w:p w14:paraId="31F4F2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4"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检察院2024一般公共预算当年拨款627.20万元，减少66.48万元，主要是因为2023年预算中将基础绩效纳入，但基础绩效应由县财政保障不纳入州级预算。</w:t>
      </w:r>
    </w:p>
    <w:p w14:paraId="422F459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bookmarkStart w:id="10" w:name="_Toc27778"/>
      <w:r>
        <w:rPr>
          <w:rFonts w:hint="eastAsia" w:ascii="楷体" w:hAnsi="楷体" w:eastAsia="楷体" w:cs="楷体"/>
          <w:kern w:val="0"/>
          <w:sz w:val="32"/>
          <w:szCs w:val="32"/>
          <w:lang w:val="en-US" w:eastAsia="zh-CN" w:bidi="ar-SA"/>
        </w:rPr>
        <w:t>（二）一般公共预算当年拨款结构情况。</w:t>
      </w:r>
    </w:p>
    <w:bookmarkEnd w:id="10"/>
    <w:p w14:paraId="7BC003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公共安全支出627.20万元，占100%；社会保障和就业支出0万元，占0%；教育支出0万元、占0%；卫生健康支出0万元，占0%；住房保障支出0万元，占0%。（2024年年初财政将社会保障和就业支出90.96万元，卫生健康支出36.48万元，住房保障和就业支出44.30万元，全部下达至公共安全支出。）</w:t>
      </w:r>
    </w:p>
    <w:p w14:paraId="069C8F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p>
    <w:p w14:paraId="1BB133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w:t>
      </w:r>
      <w:bookmarkStart w:id="11" w:name="_Toc24679"/>
      <w:r>
        <w:rPr>
          <w:rFonts w:hint="eastAsia" w:ascii="楷体" w:hAnsi="楷体" w:eastAsia="楷体" w:cs="楷体"/>
          <w:kern w:val="0"/>
          <w:sz w:val="32"/>
          <w:szCs w:val="32"/>
          <w:lang w:val="en-US" w:eastAsia="zh-CN" w:bidi="ar-SA"/>
        </w:rPr>
        <w:t>（三）一般公共预算当年拨款具体使用情况。</w:t>
      </w:r>
    </w:p>
    <w:bookmarkEnd w:id="11"/>
    <w:p w14:paraId="24B0C8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1.公共安全（204）检察事务（04）行政运行（01）2024年预算数为627.20万元，主要用于：机关单位正常运转的基本支出，包括基本工资、津贴补贴等人员经费以及办公费、印刷费、水电费等日常公用经费。</w:t>
      </w:r>
    </w:p>
    <w:p w14:paraId="6FD51D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2.教育（205）进修及培训（08）培训支出（03）2024年预算数为0万元。　　</w:t>
      </w:r>
    </w:p>
    <w:p w14:paraId="391C3F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3.社会保障和就业（208）行政事业单位离退休（05）机关事业单位基本养老保险缴费支出（05）2024年预算数为0万元，主要用于：实施养老保险制度后，部门按规定由单位缴纳的基本养老保险费支出。</w:t>
      </w:r>
    </w:p>
    <w:p w14:paraId="1DAF7A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4.社会保障和就业（208）行政事业单位离退休（05）机关事业单位职业年金缴费支出（06）2024年预算数为0万元，主要用于：实施养老保险制度后，部门按规定由单位缴纳的职业年金支出。</w:t>
      </w:r>
    </w:p>
    <w:p w14:paraId="6EFFFE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5.医疗卫生与计划生育（210）行政事业单位医疗（11行政单位医疗（01）2024年预算数为0万元，主要用于：机关及参公管理事业单位基本医疗保险缴费支出。</w:t>
      </w:r>
    </w:p>
    <w:p w14:paraId="2E49C9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6.医疗卫生与计划生育（210）行政事业单位医疗（11）公务员医疗补助（03）2024年预算数0万元，主要用于：机关及参公管理事业单位集中缴纳公务员医疗补助支出。</w:t>
      </w:r>
    </w:p>
    <w:p w14:paraId="2D5128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7.住房保障（221）住房改革支出（02）住房公积金（01）2024年预算数为0万元，主要用于：部门按人力资源和社会保障部、财政部规定的基本工资和津贴补贴以及规定比例为职工缴纳的住房公积金支出。</w:t>
      </w:r>
    </w:p>
    <w:p w14:paraId="0F937B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2" w:name="_Toc573"/>
      <w:r>
        <w:rPr>
          <w:rFonts w:hint="eastAsia" w:ascii="Calibri Light" w:hAnsi="Calibri Light" w:eastAsia="宋体" w:cs="Times New Roman"/>
          <w:b/>
          <w:bCs/>
          <w:kern w:val="2"/>
          <w:sz w:val="32"/>
          <w:szCs w:val="32"/>
          <w:lang w:val="en-US" w:eastAsia="zh-CN" w:bidi="ar-SA"/>
        </w:rPr>
        <w:t>六、一般公共预算基本支出情况说明</w:t>
      </w:r>
    </w:p>
    <w:bookmarkEnd w:id="12"/>
    <w:p w14:paraId="15CBE9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检察院2024一般公共预算基本支出627.20万元，其中：人员经费540.12万元，主要包括：基本工资、津贴补贴、奖金、社会保险缴费等支出。</w:t>
      </w:r>
    </w:p>
    <w:p w14:paraId="4FAF3F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公用经费87.08万元，主要包括：办公费、水费、电费、邮电费、印刷费、差旅费、维修（护）费、劳务费等支出。</w:t>
      </w:r>
    </w:p>
    <w:p w14:paraId="0635A4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13" w:name="_Toc30105"/>
      <w:r>
        <w:rPr>
          <w:rFonts w:hint="eastAsia" w:ascii="Calibri Light" w:hAnsi="Calibri Light" w:eastAsia="宋体" w:cs="Times New Roman"/>
          <w:b/>
          <w:bCs/>
          <w:kern w:val="2"/>
          <w:sz w:val="32"/>
          <w:szCs w:val="32"/>
          <w:lang w:val="en-US" w:eastAsia="zh-CN" w:bidi="ar-SA"/>
        </w:rPr>
        <w:t>七、“三公”经费财政拨款预算安排情况说明</w:t>
      </w:r>
    </w:p>
    <w:bookmarkEnd w:id="13"/>
    <w:p w14:paraId="70BD38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检察院2024“三公”经费财政拨款预算数23.74万元，其中：因公出国（境）经费0万元，公务接待费1.24万元，公务用车购置及运行维护费22.50万元。</w:t>
      </w:r>
    </w:p>
    <w:p w14:paraId="38A3C966">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4" w:name="_Toc23704"/>
      <w:r>
        <w:rPr>
          <w:rFonts w:hint="eastAsia" w:ascii="楷体" w:hAnsi="楷体" w:eastAsia="楷体" w:cs="楷体"/>
          <w:b w:val="0"/>
          <w:bCs w:val="0"/>
          <w:kern w:val="0"/>
          <w:sz w:val="32"/>
          <w:szCs w:val="32"/>
          <w:lang w:val="en-US" w:eastAsia="zh-CN" w:bidi="ar-SA"/>
        </w:rPr>
        <w:t>（一）因公出国（境）经费与2023年预算持平。</w:t>
      </w:r>
      <w:bookmarkEnd w:id="14"/>
    </w:p>
    <w:p w14:paraId="7E0EA3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2024因公出国（境）费0万元。全年安排因公出国（境）团组0次，出国（境）0人。</w:t>
      </w:r>
    </w:p>
    <w:p w14:paraId="6DD8CD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15" w:name="_Toc16723"/>
      <w:r>
        <w:rPr>
          <w:rFonts w:hint="eastAsia" w:ascii="楷体" w:hAnsi="楷体" w:eastAsia="楷体" w:cs="楷体"/>
          <w:b w:val="0"/>
          <w:bCs w:val="0"/>
          <w:kern w:val="0"/>
          <w:sz w:val="32"/>
          <w:szCs w:val="32"/>
          <w:lang w:val="en-US" w:eastAsia="zh-CN" w:bidi="ar-SA"/>
        </w:rPr>
        <w:t>（二）公务接待费较2023年预算持平。</w:t>
      </w:r>
    </w:p>
    <w:bookmarkEnd w:id="15"/>
    <w:p w14:paraId="53DA36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2024公务接待费计划用于执行公务、考察调研、检查指导等公务活动开支的交通费、住宿费、用餐费等。</w:t>
      </w:r>
    </w:p>
    <w:p w14:paraId="05775A73">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Theme="minorEastAsia" w:hAnsiTheme="minorEastAsia" w:eastAsiaTheme="minorEastAsia" w:cstheme="minorEastAsia"/>
          <w:b w:val="0"/>
          <w:bCs w:val="0"/>
          <w:kern w:val="2"/>
          <w:sz w:val="32"/>
          <w:szCs w:val="32"/>
          <w:lang w:val="en-US" w:eastAsia="zh-CN" w:bidi="ar-SA"/>
        </w:rPr>
        <w:t>　</w:t>
      </w:r>
      <w:bookmarkStart w:id="16" w:name="_Toc28456"/>
      <w:r>
        <w:rPr>
          <w:rFonts w:hint="eastAsia" w:ascii="楷体" w:hAnsi="楷体" w:eastAsia="楷体" w:cs="楷体"/>
          <w:b w:val="0"/>
          <w:bCs w:val="0"/>
          <w:kern w:val="0"/>
          <w:sz w:val="32"/>
          <w:szCs w:val="32"/>
          <w:lang w:val="en-US" w:eastAsia="zh-CN" w:bidi="ar-SA"/>
        </w:rPr>
        <w:t>（三）公务用车购置及运行维护费与2023预算持平</w:t>
      </w:r>
      <w:bookmarkEnd w:id="16"/>
    </w:p>
    <w:p w14:paraId="59708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单位现有公务用车5辆，其中：轿车1辆、越野车4辆。</w:t>
      </w:r>
    </w:p>
    <w:p w14:paraId="215E1D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2024未安排公务用车购置费。</w:t>
      </w:r>
    </w:p>
    <w:p w14:paraId="31E726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　　2024安排公务用车运行维护费22.5万元，用于5辆公务用车燃油、过路（桥）、维修、保险等方面支出，主要保障机关单位执法办案、工作调研、脱贫攻坚、工作开展。</w:t>
      </w:r>
    </w:p>
    <w:p w14:paraId="2B528B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7" w:name="_Toc5639"/>
      <w:r>
        <w:rPr>
          <w:rFonts w:hint="eastAsia" w:ascii="Calibri Light" w:hAnsi="Calibri Light" w:eastAsia="宋体" w:cs="Times New Roman"/>
          <w:b/>
          <w:bCs/>
          <w:kern w:val="2"/>
          <w:sz w:val="32"/>
          <w:szCs w:val="32"/>
          <w:lang w:val="en-US" w:eastAsia="zh-CN" w:bidi="ar-SA"/>
        </w:rPr>
        <w:t>　八、政府性基金预算支出情况说明</w:t>
      </w:r>
    </w:p>
    <w:bookmarkEnd w:id="17"/>
    <w:p w14:paraId="29ED2E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检察院2024没有使用政府性基金预算拨款安排的支出。</w:t>
      </w:r>
    </w:p>
    <w:p w14:paraId="21CDD6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8" w:name="_Toc772"/>
      <w:r>
        <w:rPr>
          <w:rFonts w:hint="eastAsia" w:ascii="Calibri Light" w:hAnsi="Calibri Light" w:eastAsia="宋体" w:cs="Times New Roman"/>
          <w:b/>
          <w:bCs/>
          <w:kern w:val="2"/>
          <w:sz w:val="32"/>
          <w:szCs w:val="32"/>
          <w:lang w:val="en-US" w:eastAsia="zh-CN" w:bidi="ar-SA"/>
        </w:rPr>
        <w:t>九、其他重要事项的情况说明</w:t>
      </w:r>
    </w:p>
    <w:bookmarkEnd w:id="18"/>
    <w:p w14:paraId="6D97AE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9" w:name="_Toc32561"/>
      <w:r>
        <w:rPr>
          <w:rFonts w:hint="eastAsia" w:ascii="楷体" w:hAnsi="楷体" w:eastAsia="楷体" w:cs="楷体"/>
          <w:b w:val="0"/>
          <w:bCs w:val="0"/>
          <w:kern w:val="0"/>
          <w:sz w:val="32"/>
          <w:szCs w:val="32"/>
          <w:lang w:val="en-US" w:eastAsia="zh-CN" w:bidi="ar-SA"/>
        </w:rPr>
        <w:t>（一）机关运行经费。</w:t>
      </w:r>
      <w:bookmarkEnd w:id="19"/>
    </w:p>
    <w:p w14:paraId="3D3999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2024，检察院的机关运行经费财政拨款预算为87.08万元，比2023年增加6.67万元，因我单位有新进人员，且2024年新增加了伙食补助。</w:t>
      </w:r>
    </w:p>
    <w:p w14:paraId="062C2C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20" w:name="_Toc18797"/>
      <w:r>
        <w:rPr>
          <w:rFonts w:hint="eastAsia" w:ascii="楷体" w:hAnsi="楷体" w:eastAsia="楷体" w:cs="楷体"/>
          <w:b w:val="0"/>
          <w:bCs w:val="0"/>
          <w:kern w:val="0"/>
          <w:sz w:val="32"/>
          <w:szCs w:val="32"/>
          <w:lang w:val="en-US" w:eastAsia="zh-CN" w:bidi="ar-SA"/>
        </w:rPr>
        <w:t>（二）政府采购情况。</w:t>
      </w:r>
      <w:bookmarkEnd w:id="20"/>
    </w:p>
    <w:p w14:paraId="727E29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2024，检察院安排政府采购预算0万元，主要用于采购办公设备、公车运行维护、信息化建设运行及维护、物业管理、专项工作委托业务等。</w:t>
      </w:r>
    </w:p>
    <w:p w14:paraId="743BF2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1" w:name="_Toc21985"/>
      <w:r>
        <w:rPr>
          <w:rFonts w:hint="eastAsia" w:ascii="楷体" w:hAnsi="楷体" w:eastAsia="楷体" w:cs="楷体"/>
          <w:b w:val="0"/>
          <w:bCs w:val="0"/>
          <w:kern w:val="0"/>
          <w:sz w:val="32"/>
          <w:szCs w:val="32"/>
          <w:lang w:val="en-US" w:eastAsia="zh-CN" w:bidi="ar-SA"/>
        </w:rPr>
        <w:t>（三）国有资产占有使用情况。</w:t>
      </w:r>
    </w:p>
    <w:bookmarkEnd w:id="21"/>
    <w:p w14:paraId="4632E6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截至2024底，检察院所属各预算单位共有车辆5辆，其中：一般公务用车5辆；无单价50万元以上通用设备及单价100万元以上专用设备。2024部门预算未安排购置车辆及单位价值200万元以上大型设备。</w:t>
      </w:r>
    </w:p>
    <w:p w14:paraId="7E61C4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　　</w:t>
      </w:r>
      <w:bookmarkStart w:id="22" w:name="_Toc14528"/>
      <w:r>
        <w:rPr>
          <w:rFonts w:hint="eastAsia" w:ascii="楷体" w:hAnsi="楷体" w:eastAsia="楷体" w:cs="楷体"/>
          <w:b w:val="0"/>
          <w:bCs w:val="0"/>
          <w:kern w:val="0"/>
          <w:sz w:val="32"/>
          <w:szCs w:val="32"/>
          <w:lang w:val="en-US" w:eastAsia="zh-CN" w:bidi="ar-SA"/>
        </w:rPr>
        <w:t>（四）绩效目标设置情况。</w:t>
      </w:r>
      <w:bookmarkEnd w:id="22"/>
    </w:p>
    <w:p w14:paraId="513272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绩效目标是预算编制的前提和基础，按照“费随事定”的原则，2024检察院100万元以上专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716623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3" w:name="_Toc23136"/>
      <w:r>
        <w:rPr>
          <w:rStyle w:val="13"/>
          <w:rFonts w:hint="eastAsia"/>
          <w:color w:val="000000" w:themeColor="text1"/>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十、名词解释</w:t>
      </w:r>
    </w:p>
    <w:bookmarkEnd w:id="23"/>
    <w:p w14:paraId="3FA855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1.一般公共预算拨款收入：指县级财政当年拨付的资金。</w:t>
      </w:r>
    </w:p>
    <w:p w14:paraId="258307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2.上年结转：指以前年度尚未完成，结转到本年仍按原规定用途继续使用的资金。</w:t>
      </w:r>
    </w:p>
    <w:p w14:paraId="51C978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3.教育（类）进修及培训（款）培训支出（项）：指为配合检察业务开展，用于部门内部在职人员参加相关工作外部培训的经费支出。</w:t>
      </w:r>
    </w:p>
    <w:p w14:paraId="318123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4.社会保障和就业（类）行政事业单位离退休（款）机关事业单位基本养老保险缴费支出（项）：指部门实施养老保险制度由单位缴纳的养老保险费的支出。</w:t>
      </w:r>
    </w:p>
    <w:p w14:paraId="355737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5.社会保障和就业（类）行政事业单位离退休（款）机关事业单位职业年金缴费支出（项）：指部门实施养老保险制度由单位缴纳的职业年金的支出。</w:t>
      </w:r>
    </w:p>
    <w:p w14:paraId="5302AB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6.医疗卫生与计划生育（类）行政事业单位医疗（款）行政单位医疗（项）：指厅机关及参公管理事业单位用于缴纳单位基本医疗保险支出。</w:t>
      </w:r>
    </w:p>
    <w:p w14:paraId="533C03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7.医疗卫生与计划生育（类）行政事业单位医疗（款）公务员医疗补助（项）：指厅机关及参公管理事业单位用于集中缴纳公务员医疗补助支出。</w:t>
      </w:r>
    </w:p>
    <w:p w14:paraId="7ED4F0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8.住房保障（类）住房改革支出（款）住房公积金（项）：指按照《住房公积金管理条例》的规定，由单位及其在职职工缴存的长期住房储金。</w:t>
      </w:r>
    </w:p>
    <w:p w14:paraId="7515D3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9.基本支出：指为保证机构正常运转，完成日常工作任务而发生的人员支出和公用支出。</w:t>
      </w:r>
    </w:p>
    <w:p w14:paraId="55931F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10.项目支出：指在基本支出之外为完成特定行政任务和事业发展目标所发生的支出。</w:t>
      </w:r>
    </w:p>
    <w:p w14:paraId="3F5797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11.“三公”经费：纳入检察院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6C3D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12.机关运行经费：为保障行政单位（包含参照公务员法管理的事业单位）运行用于购买货物和服务的各项资金。包括办公及办公费、水费、电费、印刷费、邮电费、差旅费、会议费等费用开支。</w:t>
      </w:r>
    </w:p>
    <w:p w14:paraId="5EC079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p>
    <w:p w14:paraId="483C4D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宋体" w:hAnsi="宋体" w:eastAsia="仿宋_GB2312" w:cs="宋体"/>
          <w:color w:val="000000"/>
          <w:spacing w:val="-14"/>
          <w:kern w:val="0"/>
          <w:sz w:val="32"/>
          <w:szCs w:val="32"/>
          <w:lang w:val="en-US" w:eastAsia="zh-CN"/>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zUwN2EwMDliNDdkNGI3NjA2MTY4OTBmOTFiYzcifQ=="/>
  </w:docVars>
  <w:rsids>
    <w:rsidRoot w:val="408662CD"/>
    <w:rsid w:val="00027D43"/>
    <w:rsid w:val="010C1467"/>
    <w:rsid w:val="01684705"/>
    <w:rsid w:val="01DD1F40"/>
    <w:rsid w:val="024B33C8"/>
    <w:rsid w:val="02AB73A6"/>
    <w:rsid w:val="02B942DB"/>
    <w:rsid w:val="02E87E1E"/>
    <w:rsid w:val="03362062"/>
    <w:rsid w:val="03534FF0"/>
    <w:rsid w:val="039B59ED"/>
    <w:rsid w:val="03BE19F8"/>
    <w:rsid w:val="03DC683B"/>
    <w:rsid w:val="045948B3"/>
    <w:rsid w:val="05227DDC"/>
    <w:rsid w:val="054B5E9E"/>
    <w:rsid w:val="05594A7F"/>
    <w:rsid w:val="0582576B"/>
    <w:rsid w:val="05902A5E"/>
    <w:rsid w:val="059B5F5A"/>
    <w:rsid w:val="05A74331"/>
    <w:rsid w:val="05AE0D4A"/>
    <w:rsid w:val="06221597"/>
    <w:rsid w:val="067F3B3F"/>
    <w:rsid w:val="06853735"/>
    <w:rsid w:val="06C13F41"/>
    <w:rsid w:val="075827BF"/>
    <w:rsid w:val="07666588"/>
    <w:rsid w:val="07E565F2"/>
    <w:rsid w:val="07EE662D"/>
    <w:rsid w:val="082730AF"/>
    <w:rsid w:val="086D60CA"/>
    <w:rsid w:val="08F233D6"/>
    <w:rsid w:val="09D3742B"/>
    <w:rsid w:val="09E638BB"/>
    <w:rsid w:val="0A287A2F"/>
    <w:rsid w:val="0A87657A"/>
    <w:rsid w:val="0A8D0253"/>
    <w:rsid w:val="0AE571C9"/>
    <w:rsid w:val="0B051590"/>
    <w:rsid w:val="0BED1DBE"/>
    <w:rsid w:val="0C100469"/>
    <w:rsid w:val="0CB639A3"/>
    <w:rsid w:val="0CE31457"/>
    <w:rsid w:val="0D363932"/>
    <w:rsid w:val="0D464327"/>
    <w:rsid w:val="0DCA5038"/>
    <w:rsid w:val="0DF457E9"/>
    <w:rsid w:val="0ED85E96"/>
    <w:rsid w:val="0EF8606D"/>
    <w:rsid w:val="0FDF2D71"/>
    <w:rsid w:val="101565F0"/>
    <w:rsid w:val="10262C63"/>
    <w:rsid w:val="105329F1"/>
    <w:rsid w:val="10FE7E05"/>
    <w:rsid w:val="117652A5"/>
    <w:rsid w:val="11C54896"/>
    <w:rsid w:val="11E66FAF"/>
    <w:rsid w:val="12184031"/>
    <w:rsid w:val="127B42B8"/>
    <w:rsid w:val="12F90AD5"/>
    <w:rsid w:val="1316088D"/>
    <w:rsid w:val="150664AA"/>
    <w:rsid w:val="150D288C"/>
    <w:rsid w:val="16253DD4"/>
    <w:rsid w:val="16323C84"/>
    <w:rsid w:val="166E7112"/>
    <w:rsid w:val="168E2C5C"/>
    <w:rsid w:val="16B15E79"/>
    <w:rsid w:val="170F4610"/>
    <w:rsid w:val="17332E8F"/>
    <w:rsid w:val="173A0C2A"/>
    <w:rsid w:val="17452837"/>
    <w:rsid w:val="176E3045"/>
    <w:rsid w:val="178560F2"/>
    <w:rsid w:val="17892228"/>
    <w:rsid w:val="180B37A4"/>
    <w:rsid w:val="182C063F"/>
    <w:rsid w:val="18BF2A31"/>
    <w:rsid w:val="18D36623"/>
    <w:rsid w:val="18EE23D1"/>
    <w:rsid w:val="194B7296"/>
    <w:rsid w:val="19963CDC"/>
    <w:rsid w:val="1A202C22"/>
    <w:rsid w:val="1B141B5A"/>
    <w:rsid w:val="1BDF498F"/>
    <w:rsid w:val="1C850028"/>
    <w:rsid w:val="1CB416F1"/>
    <w:rsid w:val="1D2F533F"/>
    <w:rsid w:val="1D4D6875"/>
    <w:rsid w:val="1D8D0B09"/>
    <w:rsid w:val="1D902E24"/>
    <w:rsid w:val="1DC51BE5"/>
    <w:rsid w:val="1DF92CB3"/>
    <w:rsid w:val="1E860473"/>
    <w:rsid w:val="1E8C6760"/>
    <w:rsid w:val="1EBA69A2"/>
    <w:rsid w:val="1F4F499C"/>
    <w:rsid w:val="1F6C1E41"/>
    <w:rsid w:val="1F6D67AE"/>
    <w:rsid w:val="1F970194"/>
    <w:rsid w:val="1F9D49ED"/>
    <w:rsid w:val="2019726A"/>
    <w:rsid w:val="201B39BD"/>
    <w:rsid w:val="20DD7917"/>
    <w:rsid w:val="20F63E2A"/>
    <w:rsid w:val="20FA4C3B"/>
    <w:rsid w:val="213777FB"/>
    <w:rsid w:val="21647420"/>
    <w:rsid w:val="21A322EC"/>
    <w:rsid w:val="21CF2EE2"/>
    <w:rsid w:val="22835F59"/>
    <w:rsid w:val="22E56D58"/>
    <w:rsid w:val="22E57230"/>
    <w:rsid w:val="22EE03A8"/>
    <w:rsid w:val="23FE7EAD"/>
    <w:rsid w:val="24164E48"/>
    <w:rsid w:val="241B5FEE"/>
    <w:rsid w:val="243B70DB"/>
    <w:rsid w:val="24482FD2"/>
    <w:rsid w:val="24ED7F1C"/>
    <w:rsid w:val="24EE0531"/>
    <w:rsid w:val="255D706E"/>
    <w:rsid w:val="25874DCE"/>
    <w:rsid w:val="25915FA2"/>
    <w:rsid w:val="25D34ED5"/>
    <w:rsid w:val="2619496F"/>
    <w:rsid w:val="263C4D1C"/>
    <w:rsid w:val="26757869"/>
    <w:rsid w:val="26A16AF5"/>
    <w:rsid w:val="26B76D87"/>
    <w:rsid w:val="27373EDE"/>
    <w:rsid w:val="27567E4C"/>
    <w:rsid w:val="27D83CB2"/>
    <w:rsid w:val="27FA209A"/>
    <w:rsid w:val="27FA2922"/>
    <w:rsid w:val="28324CE5"/>
    <w:rsid w:val="287C022F"/>
    <w:rsid w:val="289F7A15"/>
    <w:rsid w:val="28AA4B27"/>
    <w:rsid w:val="291952E1"/>
    <w:rsid w:val="29D77D84"/>
    <w:rsid w:val="29DD031A"/>
    <w:rsid w:val="2AEC3442"/>
    <w:rsid w:val="2B1447DC"/>
    <w:rsid w:val="2BDE6CB9"/>
    <w:rsid w:val="2BE815E4"/>
    <w:rsid w:val="2C66202E"/>
    <w:rsid w:val="2C6B1CD2"/>
    <w:rsid w:val="2CF55A3F"/>
    <w:rsid w:val="2E2B477E"/>
    <w:rsid w:val="2E6F572F"/>
    <w:rsid w:val="2F291501"/>
    <w:rsid w:val="2FC44618"/>
    <w:rsid w:val="2FDD5F1F"/>
    <w:rsid w:val="304B3B2F"/>
    <w:rsid w:val="30C37307"/>
    <w:rsid w:val="31F57445"/>
    <w:rsid w:val="32790E09"/>
    <w:rsid w:val="32A65E16"/>
    <w:rsid w:val="32D12446"/>
    <w:rsid w:val="33947F17"/>
    <w:rsid w:val="3505643A"/>
    <w:rsid w:val="359F6629"/>
    <w:rsid w:val="36B53A84"/>
    <w:rsid w:val="37A26683"/>
    <w:rsid w:val="38772715"/>
    <w:rsid w:val="395A7A5B"/>
    <w:rsid w:val="396E6588"/>
    <w:rsid w:val="39C53054"/>
    <w:rsid w:val="39D97158"/>
    <w:rsid w:val="39EE1BC6"/>
    <w:rsid w:val="39F56A74"/>
    <w:rsid w:val="3B4125A3"/>
    <w:rsid w:val="3B91563D"/>
    <w:rsid w:val="3B9F4FDD"/>
    <w:rsid w:val="3BAF1669"/>
    <w:rsid w:val="3C280154"/>
    <w:rsid w:val="3CC30E0C"/>
    <w:rsid w:val="3CFB336E"/>
    <w:rsid w:val="3D0F3178"/>
    <w:rsid w:val="3D2A3D98"/>
    <w:rsid w:val="3D735ED8"/>
    <w:rsid w:val="3E8C1624"/>
    <w:rsid w:val="3E941BA1"/>
    <w:rsid w:val="40032CC3"/>
    <w:rsid w:val="401640A3"/>
    <w:rsid w:val="402A57DE"/>
    <w:rsid w:val="408662CD"/>
    <w:rsid w:val="40B1757A"/>
    <w:rsid w:val="413E6940"/>
    <w:rsid w:val="414D59F2"/>
    <w:rsid w:val="41F644D0"/>
    <w:rsid w:val="42EB5EC3"/>
    <w:rsid w:val="431467C7"/>
    <w:rsid w:val="434471E0"/>
    <w:rsid w:val="441C5A90"/>
    <w:rsid w:val="44BC06D4"/>
    <w:rsid w:val="44C429C5"/>
    <w:rsid w:val="45EF3658"/>
    <w:rsid w:val="46D97263"/>
    <w:rsid w:val="46FC73BA"/>
    <w:rsid w:val="470D3F8D"/>
    <w:rsid w:val="471106FA"/>
    <w:rsid w:val="47833F1C"/>
    <w:rsid w:val="479F3660"/>
    <w:rsid w:val="481405F3"/>
    <w:rsid w:val="487D2FE6"/>
    <w:rsid w:val="489F0ED5"/>
    <w:rsid w:val="48F37844"/>
    <w:rsid w:val="494F1047"/>
    <w:rsid w:val="4963424B"/>
    <w:rsid w:val="49634E0E"/>
    <w:rsid w:val="49C26EF8"/>
    <w:rsid w:val="49CA12B6"/>
    <w:rsid w:val="4A0811EE"/>
    <w:rsid w:val="4A1F5158"/>
    <w:rsid w:val="4A995FFE"/>
    <w:rsid w:val="4B3A240B"/>
    <w:rsid w:val="4BD62EF1"/>
    <w:rsid w:val="4C72626B"/>
    <w:rsid w:val="4D4C5A1B"/>
    <w:rsid w:val="4D891310"/>
    <w:rsid w:val="4D9019D1"/>
    <w:rsid w:val="4DEA1431"/>
    <w:rsid w:val="4DEB5A6B"/>
    <w:rsid w:val="4E3410EA"/>
    <w:rsid w:val="4E8F118B"/>
    <w:rsid w:val="4F050F95"/>
    <w:rsid w:val="4F0F5F1E"/>
    <w:rsid w:val="4F1262F8"/>
    <w:rsid w:val="4F327FE3"/>
    <w:rsid w:val="4F4D6324"/>
    <w:rsid w:val="4F5122E8"/>
    <w:rsid w:val="501515C7"/>
    <w:rsid w:val="511D7CBC"/>
    <w:rsid w:val="518D31F8"/>
    <w:rsid w:val="51DB55D0"/>
    <w:rsid w:val="5259650F"/>
    <w:rsid w:val="52F723A5"/>
    <w:rsid w:val="53D22120"/>
    <w:rsid w:val="54D45F64"/>
    <w:rsid w:val="55E82549"/>
    <w:rsid w:val="56A1558E"/>
    <w:rsid w:val="56BB6390"/>
    <w:rsid w:val="56C23191"/>
    <w:rsid w:val="5737087F"/>
    <w:rsid w:val="584077AC"/>
    <w:rsid w:val="590A3001"/>
    <w:rsid w:val="59251F94"/>
    <w:rsid w:val="592933E7"/>
    <w:rsid w:val="59E336C7"/>
    <w:rsid w:val="5A03420A"/>
    <w:rsid w:val="5A08483B"/>
    <w:rsid w:val="5A0A67C5"/>
    <w:rsid w:val="5A3432D9"/>
    <w:rsid w:val="5A440B0A"/>
    <w:rsid w:val="5AA2768A"/>
    <w:rsid w:val="5AB17508"/>
    <w:rsid w:val="5B0E1143"/>
    <w:rsid w:val="5B7F3BF5"/>
    <w:rsid w:val="5BA65FD3"/>
    <w:rsid w:val="5C3A0E10"/>
    <w:rsid w:val="5C4A1B73"/>
    <w:rsid w:val="5C8B70C6"/>
    <w:rsid w:val="5CE12115"/>
    <w:rsid w:val="5E341CA6"/>
    <w:rsid w:val="5E7111EE"/>
    <w:rsid w:val="5E73292B"/>
    <w:rsid w:val="5EE4355E"/>
    <w:rsid w:val="5F237AD7"/>
    <w:rsid w:val="600B0477"/>
    <w:rsid w:val="604F73F9"/>
    <w:rsid w:val="62017C37"/>
    <w:rsid w:val="6205222A"/>
    <w:rsid w:val="624B2939"/>
    <w:rsid w:val="629E17B2"/>
    <w:rsid w:val="632B5A05"/>
    <w:rsid w:val="63CF3877"/>
    <w:rsid w:val="6494340C"/>
    <w:rsid w:val="649874A0"/>
    <w:rsid w:val="64AE1B9F"/>
    <w:rsid w:val="65601775"/>
    <w:rsid w:val="657A5C8C"/>
    <w:rsid w:val="662D5ABA"/>
    <w:rsid w:val="668804DC"/>
    <w:rsid w:val="66B9305E"/>
    <w:rsid w:val="66E225B5"/>
    <w:rsid w:val="670A1A2C"/>
    <w:rsid w:val="67584E8C"/>
    <w:rsid w:val="678B4892"/>
    <w:rsid w:val="67937F5D"/>
    <w:rsid w:val="67CE4DCE"/>
    <w:rsid w:val="67F73145"/>
    <w:rsid w:val="688A4937"/>
    <w:rsid w:val="68A12D0E"/>
    <w:rsid w:val="6943700B"/>
    <w:rsid w:val="6974636B"/>
    <w:rsid w:val="69A80082"/>
    <w:rsid w:val="69C57602"/>
    <w:rsid w:val="69DA676B"/>
    <w:rsid w:val="69E71E1E"/>
    <w:rsid w:val="6A081F73"/>
    <w:rsid w:val="6AA638B5"/>
    <w:rsid w:val="6B82303B"/>
    <w:rsid w:val="6BB36898"/>
    <w:rsid w:val="6BF52F47"/>
    <w:rsid w:val="6C0B1E81"/>
    <w:rsid w:val="6D191A91"/>
    <w:rsid w:val="6D6C135B"/>
    <w:rsid w:val="6D804303"/>
    <w:rsid w:val="6D981FB9"/>
    <w:rsid w:val="6DE1634E"/>
    <w:rsid w:val="6E314FDA"/>
    <w:rsid w:val="6EC3578C"/>
    <w:rsid w:val="6EC8567D"/>
    <w:rsid w:val="6EFB1F3B"/>
    <w:rsid w:val="6F1C22DB"/>
    <w:rsid w:val="6F727C17"/>
    <w:rsid w:val="6F7B3FA3"/>
    <w:rsid w:val="6F971E4B"/>
    <w:rsid w:val="704C3AAE"/>
    <w:rsid w:val="713C78F4"/>
    <w:rsid w:val="713E5576"/>
    <w:rsid w:val="71716F03"/>
    <w:rsid w:val="71852264"/>
    <w:rsid w:val="71E84C17"/>
    <w:rsid w:val="727B5DB6"/>
    <w:rsid w:val="72AA02A4"/>
    <w:rsid w:val="72C8733F"/>
    <w:rsid w:val="73547E87"/>
    <w:rsid w:val="738212FC"/>
    <w:rsid w:val="74AD72E7"/>
    <w:rsid w:val="74DB07BA"/>
    <w:rsid w:val="74F05590"/>
    <w:rsid w:val="754169C0"/>
    <w:rsid w:val="756D508A"/>
    <w:rsid w:val="75834878"/>
    <w:rsid w:val="75944B37"/>
    <w:rsid w:val="765149B5"/>
    <w:rsid w:val="76B232E0"/>
    <w:rsid w:val="77154A3E"/>
    <w:rsid w:val="771A4B4E"/>
    <w:rsid w:val="77E572AF"/>
    <w:rsid w:val="78EE2F0B"/>
    <w:rsid w:val="79925E88"/>
    <w:rsid w:val="79F81C8C"/>
    <w:rsid w:val="7A5316B8"/>
    <w:rsid w:val="7A646B66"/>
    <w:rsid w:val="7AA605D7"/>
    <w:rsid w:val="7B302F28"/>
    <w:rsid w:val="7B560A24"/>
    <w:rsid w:val="7B6201C7"/>
    <w:rsid w:val="7BC93492"/>
    <w:rsid w:val="7BD37801"/>
    <w:rsid w:val="7BE300B4"/>
    <w:rsid w:val="7C2F7066"/>
    <w:rsid w:val="7C482A62"/>
    <w:rsid w:val="7CC258AE"/>
    <w:rsid w:val="7D590BD7"/>
    <w:rsid w:val="7D934252"/>
    <w:rsid w:val="7DBA173E"/>
    <w:rsid w:val="7E484985"/>
    <w:rsid w:val="7E581FB7"/>
    <w:rsid w:val="7E71734F"/>
    <w:rsid w:val="7ED66644"/>
    <w:rsid w:val="7FCA5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4"/>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ind w:firstLine="200" w:firstLineChars="200"/>
    </w:pPr>
    <w:rPr>
      <w:rFonts w:eastAsia="黑体"/>
      <w:sz w:val="30"/>
    </w:rPr>
  </w:style>
  <w:style w:type="paragraph" w:styleId="6">
    <w:name w:val="Body Text"/>
    <w:basedOn w:val="1"/>
    <w:semiHidden/>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列出段落1"/>
    <w:basedOn w:val="1"/>
    <w:qFormat/>
    <w:uiPriority w:val="34"/>
    <w:pPr>
      <w:ind w:firstLine="420" w:firstLineChars="200"/>
    </w:pPr>
  </w:style>
  <w:style w:type="character" w:customStyle="1" w:styleId="13">
    <w:name w:val="标题 1 Char"/>
    <w:basedOn w:val="11"/>
    <w:link w:val="4"/>
    <w:qFormat/>
    <w:uiPriority w:val="9"/>
    <w:rPr>
      <w:rFonts w:eastAsia="宋体"/>
      <w:b/>
      <w:bCs/>
      <w:kern w:val="44"/>
      <w:sz w:val="44"/>
      <w:szCs w:val="44"/>
    </w:rPr>
  </w:style>
  <w:style w:type="character" w:customStyle="1" w:styleId="14">
    <w:name w:val="标题 2 Char"/>
    <w:basedOn w:val="11"/>
    <w:link w:val="5"/>
    <w:qFormat/>
    <w:uiPriority w:val="9"/>
    <w:rPr>
      <w:rFonts w:ascii="Calibri Light" w:hAnsi="Calibri Light" w:eastAsia="宋体" w:cs="Times New Roman"/>
      <w:b/>
      <w:bCs/>
      <w:sz w:val="32"/>
      <w:szCs w:val="32"/>
    </w:rPr>
  </w:style>
  <w:style w:type="paragraph" w:customStyle="1" w:styleId="15">
    <w:name w:val="List Paragraph"/>
    <w:basedOn w:val="1"/>
    <w:qFormat/>
    <w:uiPriority w:val="99"/>
    <w:pPr>
      <w:ind w:firstLine="420" w:firstLineChars="200"/>
    </w:pPr>
  </w:style>
  <w:style w:type="paragraph" w:customStyle="1" w:styleId="16">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3995</Words>
  <Characters>4339</Characters>
  <Lines>0</Lines>
  <Paragraphs>0</Paragraphs>
  <TotalTime>0</TotalTime>
  <ScaleCrop>false</ScaleCrop>
  <LinksUpToDate>false</LinksUpToDate>
  <CharactersWithSpaces>4486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2022-03-08T03:48:00Z</dcterms:created>
  <dc:creator>Administrator</dc:creator>
  <cp:lastModifiedBy>qhm123456</cp:lastModifiedBy>
  <cp:lastPrinted>2023-03-29T08:07:00Z</cp:lastPrinted>
  <dcterms:modified xsi:type="dcterms:W3CDTF">2024-08-15T07:32:02Z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60645F8296264411B5BC22C4A0588573</vt:lpwstr>
  </property>
</Properties>
</file>