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val="en-US" w:eastAsia="zh-CN"/>
        </w:rPr>
        <w:t>金川县人民检察院</w:t>
      </w:r>
    </w:p>
    <w:p>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4"/>
        <w:pageBreakBefore w:val="0"/>
        <w:widowControl w:val="0"/>
        <w:kinsoku/>
        <w:wordWrap/>
        <w:overflowPunct/>
        <w:topLinePunct w:val="0"/>
        <w:autoSpaceDE/>
        <w:autoSpaceDN/>
        <w:bidi w:val="0"/>
        <w:adjustRightInd/>
        <w:snapToGrid/>
        <w:spacing w:before="0" w:after="0"/>
        <w:ind w:left="0" w:leftChars="0" w:right="0" w:rightChars="0" w:firstLine="0" w:firstLineChars="0"/>
        <w:jc w:val="both"/>
        <w:textAlignment w:val="auto"/>
        <w:rPr>
          <w:rStyle w:val="12"/>
          <w:rFonts w:hint="eastAsia"/>
          <w:b/>
          <w:bCs/>
        </w:rPr>
      </w:pPr>
      <w:bookmarkStart w:id="0" w:name="_Toc19614"/>
      <w:r>
        <w:rPr>
          <w:rFonts w:hint="eastAsia" w:ascii="黑体" w:hAnsi="黑体" w:eastAsia="黑体" w:cs="Times New Roman"/>
          <w:b w:val="0"/>
          <w:bCs w:val="0"/>
          <w:kern w:val="2"/>
          <w:sz w:val="32"/>
          <w:szCs w:val="32"/>
          <w:lang w:val="en-US" w:eastAsia="zh-CN" w:bidi="ar-SA"/>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w:t>
      </w:r>
      <w:r>
        <w:rPr>
          <w:rFonts w:hint="eastAsia" w:ascii="楷体" w:hAnsi="楷体" w:eastAsia="楷体" w:cs="楷体"/>
          <w:kern w:val="0"/>
          <w:sz w:val="32"/>
          <w:szCs w:val="32"/>
          <w:lang w:val="en-US" w:eastAsia="zh-CN" w:bidi="ar-SA"/>
        </w:rPr>
        <w:t>　</w:t>
      </w:r>
      <w:bookmarkStart w:id="1" w:name="_Toc675"/>
      <w:r>
        <w:rPr>
          <w:rFonts w:hint="eastAsia" w:ascii="楷体" w:hAnsi="楷体" w:eastAsia="楷体" w:cs="楷体"/>
          <w:kern w:val="0"/>
          <w:sz w:val="32"/>
          <w:szCs w:val="32"/>
          <w:lang w:val="en-US" w:eastAsia="zh-CN" w:bidi="ar-SA"/>
        </w:rPr>
        <w:t>（一）检察院职能简介。</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主要职能：审查批准逮捕、决定起诉并出席法庭支持公诉的职能。人民检察院是国家的法律监督机关，行使国家的检察权。对于叛国案、分裂国家案以及严重破坏国家的政策、法律、政令统一实施的重大犯罪案件，行使检察权。对于直接受理的国家工作人员利用职权实施的犯罪案件，进行侦查。对于公安机关、国家安全机关等侦查机关侦查的案件进行审查，决定是否逮捕、是否起诉，并监督侦查机关的侦查活动是否合法。对于刑事案件提起公诉，支持公诉；对于人民法院的刑事判决、裁定是否正确和审判活动是否合法实行监督。对于监狱、看守所等监所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xml:space="preserve">  </w:t>
      </w:r>
      <w:bookmarkStart w:id="2" w:name="_Toc4410"/>
      <w:r>
        <w:rPr>
          <w:rFonts w:hint="eastAsia" w:asciiTheme="minorEastAsia" w:hAnsiTheme="minorEastAsia" w:eastAsiaTheme="minorEastAsia" w:cstheme="minorEastAsia"/>
          <w:sz w:val="32"/>
          <w:szCs w:val="32"/>
          <w:lang w:val="en-US" w:eastAsia="zh-CN"/>
        </w:rPr>
        <w:t xml:space="preserve"> </w:t>
      </w:r>
      <w:r>
        <w:rPr>
          <w:rFonts w:hint="eastAsia" w:ascii="楷体" w:hAnsi="楷体" w:eastAsia="楷体" w:cs="楷体"/>
          <w:kern w:val="0"/>
          <w:sz w:val="32"/>
          <w:szCs w:val="32"/>
          <w:lang w:val="en-US" w:eastAsia="zh-CN" w:bidi="ar-SA"/>
        </w:rPr>
        <w:t>（二）检察院2026年重点工作。</w:t>
      </w:r>
    </w:p>
    <w:bookmarkEnd w:id="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　2026年主要工作任务是严格按照2026年的预算数和县财政局下达的预算进行拔付，主要支出如下：工资福利包括基本工资、津贴补贴、奖金、绩效工资、社会保险费等；对个人和家庭的补助支出包括离休费、退休费、遗属生活费等；商品和服务的支出按照县财政局下达公务经费定额标准、分类科目、结合实际开支，尽量不超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rPr>
      </w:pPr>
      <w:r>
        <w:rPr>
          <w:rFonts w:hint="eastAsia" w:asciiTheme="minorEastAsia" w:hAnsiTheme="minorEastAsia" w:eastAsiaTheme="minorEastAsia" w:cstheme="minorEastAsia"/>
          <w:sz w:val="32"/>
          <w:szCs w:val="32"/>
        </w:rPr>
        <w:t xml:space="preserve">  </w:t>
      </w:r>
      <w:bookmarkStart w:id="3" w:name="_Toc12146"/>
      <w:r>
        <w:rPr>
          <w:rFonts w:hint="eastAsia" w:ascii="Calibri Light" w:hAnsi="Calibri Light" w:eastAsia="宋体" w:cs="Times New Roman"/>
          <w:b/>
          <w:bCs/>
          <w:kern w:val="2"/>
          <w:sz w:val="32"/>
          <w:szCs w:val="32"/>
          <w:lang w:val="en-US" w:eastAsia="zh-CN" w:bidi="ar-SA"/>
        </w:rPr>
        <w:t>二、部门概况</w:t>
      </w:r>
    </w:p>
    <w:bookmarkEnd w:id="3"/>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2026年独立编制单位机构数为 1个，财政供养人员编制为 27名，其中行政编制24名，行政工勤编制3名，事业编制0名（其中参照公务员法管理人员编制0人）；2026年实际财政供养人员20人，较上年人数减少5人（不含退休人员），其中：行政18人，行政工勤2人，事业0人。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rPr>
      </w:pPr>
      <w:r>
        <w:rPr>
          <w:rFonts w:hint="eastAsia" w:asciiTheme="minorEastAsia" w:hAnsiTheme="minorEastAsia" w:eastAsiaTheme="minorEastAsia" w:cstheme="minorEastAsia"/>
          <w:sz w:val="32"/>
          <w:szCs w:val="32"/>
        </w:rPr>
        <w:t>　</w:t>
      </w:r>
      <w:bookmarkStart w:id="4" w:name="_Toc8961"/>
      <w:r>
        <w:rPr>
          <w:rFonts w:hint="eastAsia" w:ascii="Calibri Light" w:hAnsi="Calibri Light" w:eastAsia="宋体" w:cs="Times New Roman"/>
          <w:b/>
          <w:bCs/>
          <w:kern w:val="2"/>
          <w:sz w:val="32"/>
          <w:szCs w:val="32"/>
          <w:lang w:val="en-US" w:eastAsia="zh-CN" w:bidi="ar-SA"/>
        </w:rPr>
        <w:t>三、收支预算情况说明</w:t>
      </w:r>
    </w:p>
    <w:bookmarkEnd w:id="4"/>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按照综合预算的原则，检察院所有收入和支出均纳入部门预算管理。收入包括：一般公共预算拨款收入、上年结转；支出包括：一般公共服务支出、教育支出、社会保障和就业支出、医疗卫生与计划生育支出、住房保障支出。检察院2026年收支总预算532.33万元,比2025年收支预算总数532.33万元，减少88.25万元，主要原因是人员减少及经费压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bookmarkStart w:id="5" w:name="_Toc6429"/>
      <w:r>
        <w:rPr>
          <w:rFonts w:hint="eastAsia" w:ascii="楷体" w:hAnsi="楷体" w:eastAsia="楷体" w:cs="楷体"/>
          <w:kern w:val="0"/>
          <w:sz w:val="32"/>
          <w:szCs w:val="32"/>
          <w:lang w:val="en-US" w:eastAsia="zh-CN" w:bidi="ar-SA"/>
        </w:rPr>
        <w:t>（一）收入预算情况。</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　检察院2026年收入预算532.33万元，其中：上年结转0万元，占100%；一般公共预算拨款收入532.33万元，占100%。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rPr>
      </w:pPr>
      <w:r>
        <w:rPr>
          <w:rFonts w:hint="eastAsia" w:asciiTheme="minorEastAsia" w:hAnsiTheme="minorEastAsia" w:eastAsiaTheme="minorEastAsia" w:cstheme="minorEastAsia"/>
          <w:sz w:val="32"/>
          <w:szCs w:val="32"/>
        </w:rPr>
        <w:t>　</w:t>
      </w:r>
      <w:bookmarkStart w:id="6" w:name="_Toc21024"/>
      <w:r>
        <w:rPr>
          <w:rStyle w:val="13"/>
          <w:rFonts w:hint="eastAsia"/>
        </w:rPr>
        <w:t>　</w:t>
      </w:r>
      <w:r>
        <w:rPr>
          <w:rFonts w:hint="eastAsia" w:ascii="楷体" w:hAnsi="楷体" w:eastAsia="楷体" w:cs="楷体"/>
          <w:kern w:val="0"/>
          <w:sz w:val="32"/>
          <w:szCs w:val="32"/>
          <w:lang w:val="en-US" w:eastAsia="zh-CN" w:bidi="ar-SA"/>
        </w:rPr>
        <w:t>（二）支出预算情况。</w:t>
      </w:r>
    </w:p>
    <w:bookmarkEnd w:id="6"/>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检察院2026年支出预算532.33万元，其中：基本支出532.33万元，占100%；项目支出0万元，占0%。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rPr>
      </w:pPr>
      <w:r>
        <w:rPr>
          <w:rFonts w:hint="eastAsia" w:asciiTheme="minorEastAsia" w:hAnsiTheme="minorEastAsia" w:eastAsiaTheme="minorEastAsia" w:cstheme="minorEastAsia"/>
          <w:sz w:val="32"/>
          <w:szCs w:val="32"/>
        </w:rPr>
        <w:t>　</w:t>
      </w:r>
      <w:r>
        <w:rPr>
          <w:rFonts w:hint="eastAsia" w:ascii="Calibri Light" w:hAnsi="Calibri Light" w:eastAsia="宋体" w:cs="Times New Roman"/>
          <w:b/>
          <w:bCs/>
          <w:kern w:val="2"/>
          <w:sz w:val="32"/>
          <w:szCs w:val="32"/>
          <w:lang w:val="en-US" w:eastAsia="zh-CN" w:bidi="ar-SA"/>
        </w:rPr>
        <w:t>　</w:t>
      </w:r>
      <w:bookmarkStart w:id="7" w:name="_Toc27644"/>
      <w:r>
        <w:rPr>
          <w:rFonts w:hint="eastAsia" w:ascii="Calibri Light" w:hAnsi="Calibri Light" w:eastAsia="宋体" w:cs="Times New Roman"/>
          <w:b/>
          <w:bCs/>
          <w:kern w:val="2"/>
          <w:sz w:val="32"/>
          <w:szCs w:val="32"/>
          <w:lang w:val="en-US" w:eastAsia="zh-CN" w:bidi="ar-SA"/>
        </w:rPr>
        <w:t>四、财政拨款收支预算情况说明</w:t>
      </w:r>
    </w:p>
    <w:bookmarkEnd w:id="7"/>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检察院2026年财政拨款收支总预算532.33万元,比2025年财政拨款收支总预算减少88.25万元，主要原因是人员减少及经费压减。收入包括：本年一般公共预算拨款收入532.33万元、上年结转一般公共预算拨款收入0万元；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支出包括：公共安全支出388.58万元、教育支出0万元、社会保障和就业支出75.62万元、卫生健康支出31.36万元、住房保障支出36.78万元。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8" w:name="_Toc19177"/>
      <w:r>
        <w:rPr>
          <w:rFonts w:hint="eastAsia" w:ascii="Calibri Light" w:hAnsi="Calibri Light" w:eastAsia="宋体" w:cs="Times New Roman"/>
          <w:b/>
          <w:bCs/>
          <w:kern w:val="2"/>
          <w:sz w:val="32"/>
          <w:szCs w:val="32"/>
          <w:lang w:val="en-US" w:eastAsia="zh-CN" w:bidi="ar-SA"/>
        </w:rPr>
        <w:t>五、一般公共预算当年拨款情况说明</w:t>
      </w:r>
    </w:p>
    <w:bookmarkEnd w:id="8"/>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Theme="minorEastAsia" w:hAnsiTheme="minorEastAsia" w:eastAsiaTheme="minorEastAsia" w:cstheme="minorEastAsia"/>
          <w:sz w:val="32"/>
          <w:szCs w:val="32"/>
        </w:rPr>
        <w:t>　</w:t>
      </w:r>
      <w:bookmarkStart w:id="9" w:name="_Toc30481"/>
      <w:r>
        <w:rPr>
          <w:rFonts w:hint="eastAsia" w:ascii="楷体" w:hAnsi="楷体" w:eastAsia="楷体" w:cs="楷体"/>
          <w:kern w:val="0"/>
          <w:sz w:val="32"/>
          <w:szCs w:val="32"/>
          <w:lang w:val="en-US" w:eastAsia="zh-CN" w:bidi="ar-SA"/>
        </w:rPr>
        <w:t>（一）一般公共预算当年拨款规模变化情况。</w:t>
      </w:r>
    </w:p>
    <w:bookmarkEnd w:id="9"/>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4"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检察院2026年一般公共预算当年拨款532.33万元，减少88.25万元，主要原因是人员减少及经费压减。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bookmarkStart w:id="10" w:name="_Toc27778"/>
      <w:r>
        <w:rPr>
          <w:rFonts w:hint="eastAsia" w:ascii="楷体" w:hAnsi="楷体" w:eastAsia="楷体" w:cs="楷体"/>
          <w:kern w:val="0"/>
          <w:sz w:val="32"/>
          <w:szCs w:val="32"/>
          <w:lang w:val="en-US" w:eastAsia="zh-CN" w:bidi="ar-SA"/>
        </w:rPr>
        <w:t>（二）一般公共预算当年拨款结构情况。</w:t>
      </w:r>
    </w:p>
    <w:bookmarkEnd w:id="1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仿宋_GB2312" w:hAnsi="宋体" w:eastAsia="仿宋_GB2312" w:cs="Times New Roman"/>
          <w:spacing w:val="-2"/>
          <w:kern w:val="2"/>
          <w:sz w:val="32"/>
          <w:szCs w:val="32"/>
          <w:lang w:val="en-US" w:eastAsia="zh-CN" w:bidi="ar-SA"/>
        </w:rPr>
        <w:t>公共安全支出388.58万元，占100%；教育支出0万元、占0%；社会保障和就业支出75.62万元，占100%；卫生健康支出31.36万元，占100%；住房保障支出36.78万元，占100%。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　　</w:t>
      </w:r>
      <w:bookmarkStart w:id="11" w:name="_Toc24679"/>
      <w:r>
        <w:rPr>
          <w:rFonts w:hint="eastAsia" w:ascii="楷体" w:hAnsi="楷体" w:eastAsia="楷体" w:cs="楷体"/>
          <w:kern w:val="0"/>
          <w:sz w:val="32"/>
          <w:szCs w:val="32"/>
          <w:lang w:val="en-US" w:eastAsia="zh-CN" w:bidi="ar-SA"/>
        </w:rPr>
        <w:t>（三）一般公共预算当年拨款具体使用情况。</w:t>
      </w:r>
    </w:p>
    <w:bookmarkEnd w:id="1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1.公共安全（204）检察事务（04）行政运行（01）2026年预算数为388.58万元，主要用于：机关单位正常运转的基本支出，包括基本工资、津贴补贴等人员经费以及办公费、印刷费、水电费等日常公用经费。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2.教育（205）进修及培训（08）培训支出（03）2026年预算数为0万元。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3.社会保障和就业（208）行政事业单位离退休（05）机关事业单位基本养老保险缴费支出（05）2026年预算数为50.41万元，主要用于：实施养老保险制度后，部门按规定由单位缴纳的基本养老保险费支出。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4.社会保障和就业（208）行政事业单位离退休（05）机关事业单位职业年金缴费支出（06）2026年预算数为25.21万元，主要用于：实施养老保险制度后，部门按规定由单位缴纳的职业年金支出。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5.医疗卫生与计划生育（210）行政事业单位医疗（11行政单位医疗（01）2026年预算数为22.06万元，主要用于：机关及参公管理事业单位基本医疗保险缴费支出。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6.医疗卫生与计划生育（210）行政事业单位医疗（11）公务员医疗补助（03）2026年预算数9.30万元，主要用于：机关及参公管理事业单位集中缴纳公务员医疗补助支出。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7.住房保障（221）住房改革支出（02）住房公积金（01）2026年预算数为36.78万元，主要用于：部门按人力资源和社会保障部、财政部规定的基本工资和津贴补贴以及规定比例为职工缴纳的住房公积金支出。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2" w:name="_Toc573"/>
      <w:r>
        <w:rPr>
          <w:rFonts w:hint="eastAsia" w:ascii="Calibri Light" w:hAnsi="Calibri Light" w:eastAsia="宋体" w:cs="Times New Roman"/>
          <w:b/>
          <w:bCs/>
          <w:kern w:val="2"/>
          <w:sz w:val="32"/>
          <w:szCs w:val="32"/>
          <w:lang w:val="en-US" w:eastAsia="zh-CN" w:bidi="ar-SA"/>
        </w:rPr>
        <w:t>六、一般公共预算基本支出情况说明</w:t>
      </w:r>
    </w:p>
    <w:bookmarkEnd w:id="1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检察院2026一般公共预算基本支出532.33万元，其中：人员经费453.31万元，主要包括：基本工资、津贴补贴、奖金、社会保险缴费等支出。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公用经费76.63万元，主要包括：办公费、水费、电费、邮电费、印刷费、差旅费、维修（护）费、劳务费等支出。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13" w:name="_Toc30105"/>
      <w:r>
        <w:rPr>
          <w:rFonts w:hint="eastAsia" w:ascii="Calibri Light" w:hAnsi="Calibri Light" w:eastAsia="宋体" w:cs="Times New Roman"/>
          <w:b/>
          <w:bCs/>
          <w:kern w:val="2"/>
          <w:sz w:val="32"/>
          <w:szCs w:val="32"/>
          <w:lang w:val="en-US" w:eastAsia="zh-CN" w:bidi="ar-SA"/>
        </w:rPr>
        <w:t>七、“三公”经费财政拨款预算安排情况说明</w:t>
      </w:r>
    </w:p>
    <w:bookmarkEnd w:id="13"/>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检察院2026年“三公”经费财政拨款预算数23.63万元，其中：因公出国（境）经费0万元，公务接待费1.13万元，公务用车购置及运行维护费22.50万元。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kern w:val="2"/>
          <w:sz w:val="32"/>
          <w:szCs w:val="32"/>
          <w:lang w:val="en-US" w:eastAsia="zh-CN" w:bidi="ar-SA"/>
        </w:rPr>
      </w:pPr>
      <w:r>
        <w:rPr>
          <w:rFonts w:hint="eastAsia"/>
          <w:color w:val="000000" w:themeColor="text1"/>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4" w:name="_Toc23704"/>
      <w:r>
        <w:rPr>
          <w:rFonts w:hint="eastAsia" w:ascii="楷体" w:hAnsi="楷体" w:eastAsia="楷体" w:cs="楷体"/>
          <w:b w:val="0"/>
          <w:bCs w:val="0"/>
          <w:kern w:val="0"/>
          <w:sz w:val="32"/>
          <w:szCs w:val="32"/>
          <w:lang w:val="en-US" w:eastAsia="zh-CN" w:bidi="ar-SA"/>
        </w:rPr>
        <w:t>（一）因公出国（境）经费与2025年预算持平。</w:t>
      </w:r>
      <w:bookmarkEnd w:id="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　　2026年因公出国（境）费0万元。全年安排因公出国（境）团组0次，出国（境）0人。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15" w:name="_Toc16723"/>
      <w:r>
        <w:rPr>
          <w:rFonts w:hint="eastAsia" w:ascii="楷体" w:hAnsi="楷体" w:eastAsia="楷体" w:cs="楷体"/>
          <w:b w:val="0"/>
          <w:bCs w:val="0"/>
          <w:kern w:val="0"/>
          <w:sz w:val="32"/>
          <w:szCs w:val="32"/>
          <w:lang w:val="en-US" w:eastAsia="zh-CN" w:bidi="ar-SA"/>
        </w:rPr>
        <w:t>（二）公务接待费较2025年预算有所降低。</w:t>
      </w:r>
    </w:p>
    <w:bookmarkEnd w:id="15"/>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2026年公务接待费计划用于执行公务、考察调研、检查指导等公务活动开支的交通费、住宿费、用餐费等。</w:t>
      </w:r>
    </w:p>
    <w:p>
      <w:pPr>
        <w:pStyle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Theme="minorEastAsia" w:hAnsiTheme="minorEastAsia" w:eastAsiaTheme="minorEastAsia" w:cstheme="minorEastAsia"/>
          <w:b w:val="0"/>
          <w:bCs w:val="0"/>
          <w:kern w:val="2"/>
          <w:sz w:val="32"/>
          <w:szCs w:val="32"/>
          <w:lang w:val="en-US" w:eastAsia="zh-CN" w:bidi="ar-SA"/>
        </w:rPr>
        <w:t>　</w:t>
      </w:r>
      <w:bookmarkStart w:id="16" w:name="_Toc28456"/>
      <w:r>
        <w:rPr>
          <w:rFonts w:hint="eastAsia" w:ascii="楷体" w:hAnsi="楷体" w:eastAsia="楷体" w:cs="楷体"/>
          <w:b w:val="0"/>
          <w:bCs w:val="0"/>
          <w:kern w:val="0"/>
          <w:sz w:val="32"/>
          <w:szCs w:val="32"/>
          <w:lang w:val="en-US" w:eastAsia="zh-CN" w:bidi="ar-SA"/>
        </w:rPr>
        <w:t>（三）公务用车购置及运行维护费与2025年预算持平</w:t>
      </w:r>
      <w:bookmarkEnd w:id="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w:t>
      </w:r>
      <w:r>
        <w:rPr>
          <w:rFonts w:hint="eastAsia" w:ascii="仿宋_GB2312" w:hAnsi="宋体" w:eastAsia="仿宋_GB2312" w:cs="Times New Roman"/>
          <w:spacing w:val="-2"/>
          <w:kern w:val="2"/>
          <w:sz w:val="32"/>
          <w:szCs w:val="32"/>
          <w:lang w:val="en-US" w:eastAsia="zh-CN" w:bidi="ar-SA"/>
        </w:rPr>
        <w:t>单位现有公务用车5辆，其中：轿车1辆、越野车4辆。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2026年未安排公务用车购置费。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仿宋_GB2312" w:hAnsi="宋体" w:eastAsia="仿宋_GB2312" w:cs="Times New Roman"/>
          <w:spacing w:val="-2"/>
          <w:kern w:val="2"/>
          <w:sz w:val="32"/>
          <w:szCs w:val="32"/>
          <w:lang w:val="en-US" w:eastAsia="zh-CN" w:bidi="ar-SA"/>
        </w:rPr>
        <w:t>　　2026年安排公务用车运行维护费22.5万元，用于5辆公务用车燃油、过路（桥）、维修、保险等方面支出，主要保障机关单位执法办案、工作调研、脱贫攻坚、工作开展。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7" w:name="_Toc5639"/>
      <w:r>
        <w:rPr>
          <w:rFonts w:hint="eastAsia" w:ascii="Calibri Light" w:hAnsi="Calibri Light" w:eastAsia="宋体" w:cs="Times New Roman"/>
          <w:b/>
          <w:bCs/>
          <w:kern w:val="2"/>
          <w:sz w:val="32"/>
          <w:szCs w:val="32"/>
          <w:lang w:val="en-US" w:eastAsia="zh-CN" w:bidi="ar-SA"/>
        </w:rPr>
        <w:t>　八、政府性基金预算支出情况说明</w:t>
      </w:r>
    </w:p>
    <w:bookmarkEnd w:id="17"/>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检察院2026年没有使用政府性基金预算拨款安排的支出。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8" w:name="_Toc772"/>
      <w:r>
        <w:rPr>
          <w:rFonts w:hint="eastAsia" w:ascii="Calibri Light" w:hAnsi="Calibri Light" w:eastAsia="宋体" w:cs="Times New Roman"/>
          <w:b/>
          <w:bCs/>
          <w:kern w:val="2"/>
          <w:sz w:val="32"/>
          <w:szCs w:val="32"/>
          <w:lang w:val="en-US" w:eastAsia="zh-CN" w:bidi="ar-SA"/>
        </w:rPr>
        <w:t>九、其他重要事项的情况说明</w:t>
      </w:r>
    </w:p>
    <w:bookmarkEnd w:id="18"/>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9" w:name="_Toc32561"/>
      <w:r>
        <w:rPr>
          <w:rFonts w:hint="eastAsia" w:ascii="楷体" w:hAnsi="楷体" w:eastAsia="楷体" w:cs="楷体"/>
          <w:b w:val="0"/>
          <w:bCs w:val="0"/>
          <w:kern w:val="0"/>
          <w:sz w:val="32"/>
          <w:szCs w:val="32"/>
          <w:lang w:val="en-US" w:eastAsia="zh-CN" w:bidi="ar-SA"/>
        </w:rPr>
        <w:t>（一）机关运行经费。</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0"/>
        <w:jc w:val="both"/>
        <w:textAlignment w:val="auto"/>
        <w:outlineLvl w:val="9"/>
        <w:rPr>
          <w:rFonts w:hint="eastAsia" w:asciiTheme="minorEastAsia" w:hAnsiTheme="minorEastAsia" w:eastAsiaTheme="minorEastAsia" w:cstheme="minorEastAsia"/>
          <w:b w:val="0"/>
          <w:bCs w:val="0"/>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2026年，检察院的机关运行经费财政拨款预算为76.63万元，比2025年减少13.3万元，因我单位人员减少。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20" w:name="_Toc1879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bookmarkStart w:id="23" w:name="_GoBack"/>
      <w:bookmarkEnd w:id="23"/>
      <w:r>
        <w:rPr>
          <w:rFonts w:hint="eastAsia" w:ascii="楷体" w:hAnsi="楷体" w:eastAsia="楷体" w:cs="楷体"/>
          <w:b w:val="0"/>
          <w:bCs w:val="0"/>
          <w:kern w:val="0"/>
          <w:sz w:val="32"/>
          <w:szCs w:val="32"/>
          <w:lang w:val="en-US" w:eastAsia="zh-CN" w:bidi="ar-SA"/>
        </w:rPr>
        <w:t>（二）政府采购情况。</w:t>
      </w:r>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2026年，检察院安排政府采购预算0万元，主要用于采购办公设备、公车运行维护、信息化建设运行及维护、物业管理、专项工作委托业务等。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1" w:name="_Toc21985"/>
      <w:r>
        <w:rPr>
          <w:rFonts w:hint="eastAsia" w:ascii="楷体" w:hAnsi="楷体" w:eastAsia="楷体" w:cs="楷体"/>
          <w:b w:val="0"/>
          <w:bCs w:val="0"/>
          <w:kern w:val="0"/>
          <w:sz w:val="32"/>
          <w:szCs w:val="32"/>
          <w:lang w:val="en-US" w:eastAsia="zh-CN" w:bidi="ar-SA"/>
        </w:rPr>
        <w:t>（三）国有资产占有使用情况。</w:t>
      </w:r>
    </w:p>
    <w:bookmarkEnd w:id="2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截至2026年底，检察院所属各预算单位共有车辆5辆，其中：一般公务用车5辆；无单价50万元以上通用设备及单价100万元以上专用设备。2025部门预算未安排购置车辆及单位价值200万元以上大型设备。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　　</w:t>
      </w:r>
      <w:bookmarkStart w:id="22" w:name="_Toc14528"/>
      <w:r>
        <w:rPr>
          <w:rFonts w:hint="eastAsia" w:ascii="楷体" w:hAnsi="楷体" w:eastAsia="楷体" w:cs="楷体"/>
          <w:b w:val="0"/>
          <w:bCs w:val="0"/>
          <w:kern w:val="0"/>
          <w:sz w:val="32"/>
          <w:szCs w:val="32"/>
          <w:lang w:val="en-US" w:eastAsia="zh-CN" w:bidi="ar-SA"/>
        </w:rPr>
        <w:t>（四）绩效目标设置情况。</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绩效目标是预算编制的前提和基础，按照“费随事定”的原则，2026年检察院100万元以上专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5C30627"/>
    <w:rsid w:val="3BA5230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uiPriority w:val="0"/>
    <w:pPr>
      <w:keepNext/>
      <w:keepLines/>
      <w:widowControl w:val="0"/>
      <w:spacing w:before="340" w:after="330" w:line="578" w:lineRule="auto"/>
      <w:outlineLvl w:val="0"/>
    </w:pPr>
    <w:rPr>
      <w:b/>
      <w:bCs/>
      <w:kern w:val="44"/>
      <w:sz w:val="44"/>
    </w:rPr>
  </w:style>
  <w:style w:type="paragraph" w:styleId="4">
    <w:name w:val="heading 2"/>
    <w:basedOn w:val="1"/>
    <w:next w:val="1"/>
    <w:link w:val="13"/>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List Paragraph"/>
    <w:basedOn w:val="1"/>
    <w:uiPriority w:val="0"/>
    <w:pPr>
      <w:ind w:firstLine="200" w:firstLineChars="200"/>
    </w:pPr>
  </w:style>
  <w:style w:type="paragraph" w:customStyle="1" w:styleId="11">
    <w:name w:val="正文文本1"/>
    <w:basedOn w:val="1"/>
    <w:uiPriority w:val="0"/>
    <w:pPr>
      <w:spacing w:before="93"/>
    </w:pPr>
    <w:rPr>
      <w:rFonts w:ascii="仿宋_GB2312" w:eastAsia="仿宋_GB2312"/>
      <w:kern w:val="0"/>
      <w:sz w:val="30"/>
      <w:szCs w:val="20"/>
    </w:rPr>
  </w:style>
  <w:style w:type="character" w:customStyle="1" w:styleId="12">
    <w:name w:val="标题 1 Char"/>
    <w:basedOn w:val="8"/>
    <w:link w:val="3"/>
    <w:qFormat/>
    <w:uiPriority w:val="9"/>
    <w:rPr>
      <w:b/>
      <w:bCs/>
      <w:kern w:val="44"/>
      <w:sz w:val="44"/>
    </w:rPr>
  </w:style>
  <w:style w:type="character" w:customStyle="1" w:styleId="13">
    <w:name w:val="标题 2 Char"/>
    <w:basedOn w:val="8"/>
    <w:link w:val="4"/>
    <w:qFormat/>
    <w:uiPriority w:val="9"/>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1633</Words>
  <Characters>1737</Characters>
  <Lines>124</Lines>
  <Paragraphs>51</Paragraphs>
  <TotalTime>0</TotalTime>
  <ScaleCrop>false</ScaleCrop>
  <LinksUpToDate>false</LinksUpToDate>
  <CharactersWithSpaces>1778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2026-01-27T02:29:17Z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ICV">
    <vt:lpwstr>D1D2A3309EAC4C0C8CE962CE3234255F_13</vt:lpwstr>
  </property>
</Properties>
</file>