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3449A">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7E72EB4A"/>
    <w:p w14:paraId="52F9B8DE"/>
    <w:p w14:paraId="329CAF11"/>
    <w:p w14:paraId="6DAE3D8E">
      <w:pPr>
        <w:ind w:firstLine="1050" w:firstLineChars="500"/>
      </w:pPr>
    </w:p>
    <w:p w14:paraId="64E151DD">
      <w:pPr>
        <w:ind w:firstLine="1050" w:firstLineChars="500"/>
      </w:pPr>
    </w:p>
    <w:p w14:paraId="10E9F79D">
      <w:pPr>
        <w:ind w:firstLine="1760" w:firstLineChars="400"/>
        <w:rPr>
          <w:rFonts w:ascii="黑体" w:eastAsia="黑体"/>
          <w:sz w:val="44"/>
          <w:szCs w:val="44"/>
        </w:rPr>
      </w:pPr>
    </w:p>
    <w:p w14:paraId="4322D00E">
      <w:pPr>
        <w:ind w:firstLine="1760" w:firstLineChars="400"/>
        <w:rPr>
          <w:rFonts w:ascii="黑体" w:eastAsia="黑体"/>
          <w:sz w:val="44"/>
          <w:szCs w:val="44"/>
        </w:rPr>
      </w:pPr>
    </w:p>
    <w:p w14:paraId="55B3D8F5">
      <w:pPr>
        <w:jc w:val="center"/>
        <w:rPr>
          <w:rFonts w:hint="eastAsia" w:ascii="黑体" w:hAnsi="黑体" w:eastAsia="黑体"/>
          <w:sz w:val="44"/>
          <w:szCs w:val="44"/>
          <w:lang w:eastAsia="zh-CN"/>
        </w:rPr>
      </w:pPr>
      <w:r>
        <w:rPr>
          <w:rFonts w:hint="eastAsia" w:ascii="黑体" w:hAnsi="黑体" w:eastAsia="黑体"/>
          <w:sz w:val="44"/>
          <w:szCs w:val="44"/>
          <w:lang w:eastAsia="zh-CN"/>
        </w:rPr>
        <w:t>小金县人民检察院</w:t>
      </w:r>
    </w:p>
    <w:p w14:paraId="72EE706D">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10F80CF5">
      <w:pPr>
        <w:ind w:firstLine="1760" w:firstLineChars="400"/>
        <w:rPr>
          <w:rFonts w:ascii="黑体" w:eastAsia="黑体"/>
          <w:sz w:val="44"/>
          <w:szCs w:val="44"/>
        </w:rPr>
      </w:pPr>
    </w:p>
    <w:p w14:paraId="575D11BF">
      <w:pPr>
        <w:ind w:firstLine="1760" w:firstLineChars="400"/>
        <w:rPr>
          <w:rFonts w:ascii="黑体" w:eastAsia="黑体"/>
          <w:sz w:val="44"/>
          <w:szCs w:val="44"/>
        </w:rPr>
      </w:pPr>
    </w:p>
    <w:p w14:paraId="0DF8E3A1">
      <w:pPr>
        <w:ind w:firstLine="1760" w:firstLineChars="400"/>
        <w:rPr>
          <w:rFonts w:ascii="黑体" w:eastAsia="黑体"/>
          <w:sz w:val="44"/>
          <w:szCs w:val="44"/>
        </w:rPr>
      </w:pPr>
    </w:p>
    <w:p w14:paraId="7A7F02DF">
      <w:pPr>
        <w:ind w:firstLine="1760" w:firstLineChars="400"/>
        <w:rPr>
          <w:rFonts w:ascii="黑体" w:eastAsia="黑体"/>
          <w:sz w:val="44"/>
          <w:szCs w:val="44"/>
        </w:rPr>
      </w:pPr>
    </w:p>
    <w:p w14:paraId="4B73E1B2">
      <w:pPr>
        <w:ind w:firstLine="1760" w:firstLineChars="400"/>
        <w:rPr>
          <w:rFonts w:ascii="黑体" w:eastAsia="黑体"/>
          <w:sz w:val="44"/>
          <w:szCs w:val="44"/>
        </w:rPr>
      </w:pPr>
    </w:p>
    <w:p w14:paraId="1454DC22">
      <w:pPr>
        <w:ind w:firstLine="1760" w:firstLineChars="400"/>
        <w:rPr>
          <w:rFonts w:ascii="黑体" w:eastAsia="黑体"/>
          <w:sz w:val="44"/>
          <w:szCs w:val="44"/>
        </w:rPr>
      </w:pPr>
    </w:p>
    <w:p w14:paraId="386C00F4">
      <w:pPr>
        <w:ind w:firstLine="1760" w:firstLineChars="400"/>
        <w:rPr>
          <w:rFonts w:ascii="黑体" w:eastAsia="黑体"/>
          <w:sz w:val="44"/>
          <w:szCs w:val="44"/>
        </w:rPr>
      </w:pPr>
    </w:p>
    <w:p w14:paraId="4299EA80">
      <w:pPr>
        <w:ind w:firstLine="1760" w:firstLineChars="400"/>
        <w:rPr>
          <w:rFonts w:ascii="黑体" w:eastAsia="黑体"/>
          <w:sz w:val="44"/>
          <w:szCs w:val="44"/>
        </w:rPr>
      </w:pPr>
    </w:p>
    <w:p w14:paraId="0BB808EA">
      <w:pPr>
        <w:ind w:firstLine="1760" w:firstLineChars="400"/>
        <w:rPr>
          <w:rFonts w:ascii="黑体" w:eastAsia="黑体"/>
          <w:sz w:val="44"/>
          <w:szCs w:val="44"/>
        </w:rPr>
      </w:pPr>
    </w:p>
    <w:p w14:paraId="784A8358">
      <w:pPr>
        <w:ind w:firstLine="1760" w:firstLineChars="400"/>
        <w:rPr>
          <w:rFonts w:ascii="黑体" w:eastAsia="黑体"/>
          <w:sz w:val="44"/>
          <w:szCs w:val="44"/>
        </w:rPr>
      </w:pPr>
    </w:p>
    <w:p w14:paraId="7483D561">
      <w:pPr>
        <w:ind w:firstLine="1760" w:firstLineChars="400"/>
        <w:rPr>
          <w:rFonts w:ascii="黑体" w:eastAsia="黑体"/>
          <w:sz w:val="44"/>
          <w:szCs w:val="44"/>
        </w:rPr>
      </w:pPr>
    </w:p>
    <w:p w14:paraId="599B4A05">
      <w:pPr>
        <w:ind w:firstLine="1760" w:firstLineChars="400"/>
        <w:rPr>
          <w:rFonts w:ascii="黑体" w:eastAsia="黑体"/>
          <w:sz w:val="44"/>
          <w:szCs w:val="44"/>
        </w:rPr>
      </w:pPr>
    </w:p>
    <w:p w14:paraId="34BD1FC6">
      <w:pPr>
        <w:ind w:firstLine="1760" w:firstLineChars="400"/>
        <w:rPr>
          <w:rFonts w:ascii="黑体" w:eastAsia="黑体"/>
          <w:sz w:val="44"/>
          <w:szCs w:val="44"/>
        </w:rPr>
      </w:pPr>
    </w:p>
    <w:p w14:paraId="1AFB4B04">
      <w:pPr>
        <w:ind w:firstLine="1760" w:firstLineChars="400"/>
        <w:rPr>
          <w:rFonts w:ascii="黑体" w:eastAsia="黑体"/>
          <w:sz w:val="44"/>
          <w:szCs w:val="44"/>
        </w:rPr>
      </w:pPr>
    </w:p>
    <w:p w14:paraId="3EDBC294">
      <w:pPr>
        <w:rPr>
          <w:rFonts w:ascii="黑体" w:eastAsia="黑体"/>
          <w:sz w:val="44"/>
          <w:szCs w:val="44"/>
        </w:rPr>
      </w:pPr>
    </w:p>
    <w:p w14:paraId="38930D72">
      <w:pPr>
        <w:ind w:firstLine="3120" w:firstLineChars="600"/>
        <w:rPr>
          <w:rFonts w:ascii="黑体" w:eastAsia="黑体"/>
          <w:sz w:val="52"/>
          <w:szCs w:val="52"/>
        </w:rPr>
      </w:pPr>
      <w:r>
        <w:rPr>
          <w:rFonts w:hint="eastAsia" w:ascii="黑体" w:eastAsia="黑体"/>
          <w:sz w:val="52"/>
          <w:szCs w:val="52"/>
        </w:rPr>
        <w:t>目录</w:t>
      </w:r>
    </w:p>
    <w:p w14:paraId="7F4D136A">
      <w:pPr>
        <w:ind w:firstLine="3080" w:firstLineChars="700"/>
        <w:rPr>
          <w:rFonts w:ascii="黑体" w:eastAsia="黑体"/>
          <w:sz w:val="44"/>
          <w:szCs w:val="44"/>
        </w:rPr>
      </w:pPr>
    </w:p>
    <w:p w14:paraId="6508F112">
      <w:pPr>
        <w:pStyle w:val="12"/>
        <w:ind w:firstLine="0" w:firstLineChars="0"/>
        <w:rPr>
          <w:rFonts w:ascii="黑体" w:eastAsia="黑体"/>
          <w:sz w:val="32"/>
          <w:szCs w:val="32"/>
        </w:rPr>
      </w:pPr>
      <w:r>
        <w:rPr>
          <w:rFonts w:hint="eastAsia" w:ascii="黑体" w:eastAsia="黑体"/>
          <w:sz w:val="32"/>
          <w:szCs w:val="32"/>
        </w:rPr>
        <w:t>一、基本职能及主要工作</w:t>
      </w:r>
    </w:p>
    <w:p w14:paraId="5CE2119B">
      <w:pPr>
        <w:rPr>
          <w:rFonts w:ascii="楷体" w:eastAsia="楷体"/>
          <w:sz w:val="32"/>
          <w:szCs w:val="32"/>
        </w:rPr>
      </w:pPr>
      <w:r>
        <w:rPr>
          <w:rFonts w:hint="eastAsia" w:ascii="楷体" w:eastAsia="楷体"/>
          <w:sz w:val="32"/>
          <w:szCs w:val="32"/>
        </w:rPr>
        <w:t>（一）部门职能简介</w:t>
      </w:r>
    </w:p>
    <w:p w14:paraId="0A96E385">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2B9AEA8D">
      <w:pPr>
        <w:rPr>
          <w:rFonts w:ascii="黑体" w:eastAsia="黑体"/>
          <w:sz w:val="32"/>
          <w:szCs w:val="32"/>
        </w:rPr>
      </w:pPr>
      <w:r>
        <w:rPr>
          <w:rFonts w:hint="eastAsia" w:ascii="黑体" w:eastAsia="黑体"/>
          <w:sz w:val="32"/>
          <w:szCs w:val="32"/>
        </w:rPr>
        <w:t>二、部门预算单位构成</w:t>
      </w:r>
    </w:p>
    <w:p w14:paraId="5BE5B9D9">
      <w:pPr>
        <w:rPr>
          <w:rFonts w:ascii="黑体" w:eastAsia="黑体"/>
          <w:sz w:val="32"/>
          <w:szCs w:val="32"/>
        </w:rPr>
      </w:pPr>
      <w:r>
        <w:rPr>
          <w:rFonts w:hint="eastAsia" w:ascii="黑体" w:eastAsia="黑体"/>
          <w:sz w:val="32"/>
          <w:szCs w:val="32"/>
        </w:rPr>
        <w:t>三、收支预算情况说明</w:t>
      </w:r>
    </w:p>
    <w:p w14:paraId="0CDB50A0">
      <w:pPr>
        <w:rPr>
          <w:rFonts w:ascii="楷体" w:eastAsia="楷体"/>
          <w:sz w:val="32"/>
          <w:szCs w:val="32"/>
        </w:rPr>
      </w:pPr>
      <w:r>
        <w:rPr>
          <w:rFonts w:hint="eastAsia" w:ascii="楷体" w:eastAsia="楷体"/>
          <w:sz w:val="32"/>
          <w:szCs w:val="32"/>
        </w:rPr>
        <w:t>（一）收入预算情况</w:t>
      </w:r>
    </w:p>
    <w:p w14:paraId="5C23BF79">
      <w:pPr>
        <w:rPr>
          <w:rFonts w:ascii="楷体" w:eastAsia="楷体"/>
          <w:sz w:val="32"/>
          <w:szCs w:val="32"/>
        </w:rPr>
      </w:pPr>
      <w:r>
        <w:rPr>
          <w:rFonts w:hint="eastAsia" w:ascii="楷体" w:eastAsia="楷体"/>
          <w:sz w:val="32"/>
          <w:szCs w:val="32"/>
        </w:rPr>
        <w:t>（二）支出预算情况</w:t>
      </w:r>
    </w:p>
    <w:p w14:paraId="7A0B2802">
      <w:pPr>
        <w:rPr>
          <w:rFonts w:ascii="黑体" w:eastAsia="黑体"/>
          <w:sz w:val="32"/>
          <w:szCs w:val="32"/>
        </w:rPr>
      </w:pPr>
      <w:r>
        <w:rPr>
          <w:rFonts w:hint="eastAsia" w:ascii="黑体" w:eastAsia="黑体"/>
          <w:sz w:val="32"/>
          <w:szCs w:val="32"/>
        </w:rPr>
        <w:t>四、财政拨款收支预算情况说明</w:t>
      </w:r>
    </w:p>
    <w:p w14:paraId="53F8DA69">
      <w:pPr>
        <w:rPr>
          <w:rFonts w:ascii="黑体" w:eastAsia="黑体"/>
          <w:sz w:val="32"/>
          <w:szCs w:val="32"/>
        </w:rPr>
      </w:pPr>
      <w:r>
        <w:rPr>
          <w:rFonts w:hint="eastAsia" w:ascii="黑体" w:eastAsia="黑体"/>
          <w:sz w:val="32"/>
          <w:szCs w:val="32"/>
        </w:rPr>
        <w:t>五、一般公共预算当年拨款情况说明</w:t>
      </w:r>
    </w:p>
    <w:p w14:paraId="35C5A9D3">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727EBE55">
      <w:pPr>
        <w:rPr>
          <w:rFonts w:ascii="黑体" w:eastAsia="黑体"/>
          <w:sz w:val="32"/>
          <w:szCs w:val="32"/>
        </w:rPr>
      </w:pPr>
    </w:p>
    <w:p w14:paraId="49ABDF00">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C8DC8F9">
      <w:pPr>
        <w:pStyle w:val="12"/>
        <w:rPr>
          <w:rFonts w:ascii="黑体" w:eastAsia="黑体"/>
          <w:sz w:val="32"/>
          <w:szCs w:val="32"/>
        </w:rPr>
      </w:pPr>
      <w:r>
        <w:rPr>
          <w:rFonts w:hint="eastAsia" w:ascii="黑体" w:eastAsia="黑体"/>
          <w:sz w:val="32"/>
          <w:szCs w:val="32"/>
        </w:rPr>
        <w:t>一、基本职能及主要工作</w:t>
      </w:r>
    </w:p>
    <w:p w14:paraId="1883417A">
      <w:pPr>
        <w:ind w:firstLine="640" w:firstLineChars="200"/>
        <w:rPr>
          <w:rFonts w:ascii="楷体" w:eastAsia="楷体"/>
          <w:sz w:val="32"/>
          <w:szCs w:val="32"/>
        </w:rPr>
      </w:pPr>
      <w:r>
        <w:rPr>
          <w:rFonts w:hint="eastAsia" w:ascii="楷体" w:eastAsia="楷体"/>
          <w:sz w:val="32"/>
          <w:szCs w:val="32"/>
        </w:rPr>
        <w:t>（一）部门职能简介</w:t>
      </w:r>
    </w:p>
    <w:p w14:paraId="219E1269">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小金人民检察院共设置内设机构5个。</w:t>
      </w:r>
    </w:p>
    <w:p w14:paraId="65B56814">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办公室</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负责机关文电、会务、机要、档案、保密</w:t>
      </w:r>
      <w:r>
        <w:rPr>
          <w:rFonts w:hint="eastAsia" w:ascii="仿宋" w:hAnsi="仿宋" w:eastAsia="仿宋" w:cs="仿宋"/>
          <w:color w:val="000000"/>
          <w:sz w:val="32"/>
          <w:szCs w:val="32"/>
          <w:shd w:val="clear" w:color="auto" w:fill="FFFFFF"/>
          <w:lang w:val="en-US" w:eastAsia="zh-CN"/>
        </w:rPr>
        <w:t>、财务、代表委员联络</w:t>
      </w:r>
      <w:r>
        <w:rPr>
          <w:rFonts w:hint="eastAsia" w:ascii="仿宋" w:hAnsi="仿宋" w:eastAsia="仿宋" w:cs="仿宋"/>
          <w:color w:val="000000"/>
          <w:sz w:val="32"/>
          <w:szCs w:val="32"/>
          <w:shd w:val="clear" w:color="auto" w:fill="FFFFFF"/>
          <w:lang w:val="zh-CN"/>
        </w:rPr>
        <w:t>等工作</w:t>
      </w:r>
    </w:p>
    <w:p w14:paraId="57AFB4A3">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第一检察部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办理刑事案件的审查逮捕、审查起诉、出庭支持公诉、抗诉，开展相关立案监督、侦查监督、审判监督以及相关案件的补充侦查</w:t>
      </w:r>
      <w:r>
        <w:rPr>
          <w:rFonts w:hint="eastAsia" w:ascii="仿宋" w:hAnsi="仿宋" w:eastAsia="仿宋" w:cs="仿宋"/>
          <w:color w:val="000000"/>
          <w:sz w:val="32"/>
          <w:szCs w:val="32"/>
          <w:shd w:val="clear" w:color="auto" w:fill="FFFFFF"/>
          <w:lang w:val="zh-CN" w:eastAsia="zh-CN"/>
        </w:rPr>
        <w:t>等工作</w:t>
      </w:r>
      <w:r>
        <w:rPr>
          <w:rFonts w:hint="eastAsia" w:ascii="仿宋" w:hAnsi="仿宋" w:eastAsia="仿宋" w:cs="仿宋"/>
          <w:color w:val="000000"/>
          <w:sz w:val="32"/>
          <w:szCs w:val="32"/>
          <w:shd w:val="clear" w:color="auto" w:fill="FFFFFF"/>
          <w:lang w:val="zh-CN"/>
        </w:rPr>
        <w:t>。</w:t>
      </w:r>
    </w:p>
    <w:p w14:paraId="6F5D142E">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第二检察部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负责办理向我院</w:t>
      </w:r>
      <w:bookmarkStart w:id="0" w:name="OLE_LINK1"/>
      <w:r>
        <w:rPr>
          <w:rFonts w:hint="eastAsia" w:ascii="仿宋" w:hAnsi="仿宋" w:eastAsia="仿宋" w:cs="仿宋"/>
          <w:color w:val="000000"/>
          <w:sz w:val="32"/>
          <w:szCs w:val="32"/>
          <w:shd w:val="clear" w:color="auto" w:fill="FFFFFF"/>
          <w:lang w:val="zh-CN"/>
        </w:rPr>
        <w:t>申请监督的民事行政案件的审查、抗诉</w:t>
      </w:r>
      <w:bookmarkEnd w:id="0"/>
      <w:r>
        <w:rPr>
          <w:rFonts w:hint="eastAsia" w:ascii="仿宋" w:hAnsi="仿宋" w:eastAsia="仿宋" w:cs="仿宋"/>
          <w:color w:val="000000"/>
          <w:sz w:val="32"/>
          <w:szCs w:val="32"/>
          <w:shd w:val="clear" w:color="auto" w:fill="FFFFFF"/>
          <w:lang w:val="zh-CN"/>
        </w:rPr>
        <w:t>，承办对同级人民法院民事行政诉讼活动的法律监督，对审判监督程序以外的其他民事行政审判程序中审判人员的违法行为提出检察建议。对民事行政执行活动实行法律监督。开展民事行政支持起诉工作。办理我院管辖的民事行政申诉案件。负责办理法律规定由我院办理的公益诉讼案件。</w:t>
      </w:r>
    </w:p>
    <w:p w14:paraId="557D15B6">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第三检察部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对看守所和社区矫正机构等执法活动的监督。负责受理向我院的控告和申诉。承办我院管辖的国家赔偿案件和国家司法救助案件。负责案件的统一受理流转、办案流程监控、涉案财物的监管、法律文书监管、案件信息公开。统一组织办案质量评查、业务考评和业务统计分析研判。</w:t>
      </w:r>
    </w:p>
    <w:p w14:paraId="2E23FC6B">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政治部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负责本部门本系统思想政治工作、新闻宣传、舆论引导、组织人事及教育培训等工作。负责离退休干部管理工作。组织司法警察履行职责工作。</w:t>
      </w:r>
    </w:p>
    <w:p w14:paraId="29054745">
      <w:pPr>
        <w:ind w:firstLine="640" w:firstLineChars="200"/>
        <w:rPr>
          <w:rFonts w:hint="eastAsia"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5E859272">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我们始终聚焦县委县政府中心工作履职尽责，以法治之力服务推动小金现代化建设。</w:t>
      </w:r>
    </w:p>
    <w:p w14:paraId="0B0A16FE">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保障高水平安全。贯彻总体国家安全观，把维护国家安全和社会稳定摆在更加突出的位置，充分发挥检察机关“刀把子”功能，有力维护国家安全、政治安全。</w:t>
      </w:r>
    </w:p>
    <w:p w14:paraId="093C856E">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积极参与社会治理。立足检察履职，坚持从个案办理到类案监督再到社会治理领域延伸，透过案件背后，从制度上促进源头治理</w:t>
      </w:r>
    </w:p>
    <w:p w14:paraId="1192ED03">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充分履行反腐败检察职责。主动融入反腐败工作大局，充分发挥检察机关在反腐败斗争中的职能作用，加强与监察机关办案衔接、配合制约，完善监检衔接工作机制</w:t>
      </w:r>
    </w:p>
    <w:p w14:paraId="4F5C9CA9">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守护特定群体权益。加大对涉案老年人、残疾人、妇女儿童等特殊群体的司法救助力度，建立“斯古拉-高原暖阳”司法救助工作室。</w:t>
      </w:r>
    </w:p>
    <w:p w14:paraId="32F010DD">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呵护未成年人成长。落实侵害未成年人案件强制报告制度，用法律监督撬动“六大保护”融通发力，充分运用“一站式”立体保护体系，最大限度保护未成年人</w:t>
      </w:r>
    </w:p>
    <w:p w14:paraId="123A8823">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推进检察信访法治化。坚持以权责明、底数清、依法办、秩序好、群众满意为目标，以入驻县综治中心为契机，扎实推进信访工作法治化，</w:t>
      </w:r>
    </w:p>
    <w:p w14:paraId="5F8327B8">
      <w:pPr>
        <w:pStyle w:val="12"/>
        <w:numPr>
          <w:ilvl w:val="0"/>
          <w:numId w:val="1"/>
        </w:numPr>
        <w:ind w:firstLineChars="0"/>
        <w:rPr>
          <w:rFonts w:ascii="黑体" w:eastAsia="黑体"/>
          <w:sz w:val="32"/>
          <w:szCs w:val="32"/>
        </w:rPr>
      </w:pPr>
      <w:r>
        <w:rPr>
          <w:rFonts w:hint="eastAsia" w:ascii="黑体" w:eastAsia="黑体"/>
          <w:sz w:val="32"/>
          <w:szCs w:val="32"/>
        </w:rPr>
        <w:t>部门预算单位构成</w:t>
      </w:r>
    </w:p>
    <w:p w14:paraId="0C2AB047">
      <w:pPr>
        <w:keepNext w:val="0"/>
        <w:keepLines w:val="0"/>
        <w:pageBreakBefore w:val="0"/>
        <w:kinsoku/>
        <w:wordWrap/>
        <w:overflowPunct/>
        <w:topLinePunct w:val="0"/>
        <w:autoSpaceDE/>
        <w:autoSpaceDN/>
        <w:bidi w:val="0"/>
        <w:adjustRightInd/>
        <w:snapToGrid/>
        <w:spacing w:afterAutospacing="0" w:line="576" w:lineRule="exact"/>
        <w:ind w:firstLine="480"/>
        <w:textAlignment w:val="auto"/>
        <w:rPr>
          <w:rFonts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lang w:eastAsia="zh-CN"/>
        </w:rPr>
        <w:t>我</w:t>
      </w:r>
      <w:r>
        <w:rPr>
          <w:rFonts w:hint="eastAsia" w:ascii="仿宋" w:hAnsi="仿宋" w:eastAsia="仿宋" w:cs="仿宋_GB2312"/>
          <w:color w:val="000000"/>
          <w:sz w:val="32"/>
          <w:szCs w:val="32"/>
          <w:highlight w:val="none"/>
        </w:rPr>
        <w:t>院属财政全额拨款的行政单位。全额拨款</w:t>
      </w:r>
      <w:r>
        <w:rPr>
          <w:rFonts w:hint="eastAsia" w:ascii="仿宋" w:hAnsi="仿宋" w:eastAsia="仿宋" w:cs="仿宋_GB2312"/>
          <w:color w:val="000000"/>
          <w:sz w:val="32"/>
          <w:szCs w:val="32"/>
          <w:highlight w:val="none"/>
          <w:lang w:eastAsia="zh-CN"/>
        </w:rPr>
        <w:t>政法</w:t>
      </w:r>
      <w:r>
        <w:rPr>
          <w:rFonts w:hint="eastAsia" w:ascii="仿宋" w:hAnsi="仿宋" w:eastAsia="仿宋" w:cs="仿宋_GB2312"/>
          <w:color w:val="000000"/>
          <w:sz w:val="32"/>
          <w:szCs w:val="32"/>
          <w:highlight w:val="none"/>
        </w:rPr>
        <w:t>编制为</w:t>
      </w:r>
      <w:r>
        <w:rPr>
          <w:rFonts w:hint="eastAsia" w:ascii="仿宋" w:hAnsi="仿宋" w:eastAsia="仿宋" w:cs="仿宋_GB2312"/>
          <w:color w:val="000000"/>
          <w:sz w:val="32"/>
          <w:szCs w:val="32"/>
          <w:highlight w:val="none"/>
          <w:lang w:val="en-US" w:eastAsia="zh-CN"/>
        </w:rPr>
        <w:t>21</w:t>
      </w:r>
      <w:r>
        <w:rPr>
          <w:rFonts w:hint="eastAsia" w:ascii="仿宋" w:hAnsi="仿宋" w:eastAsia="仿宋" w:cs="仿宋_GB2312"/>
          <w:color w:val="000000"/>
          <w:sz w:val="32"/>
          <w:szCs w:val="32"/>
          <w:highlight w:val="none"/>
        </w:rPr>
        <w:t>名，</w:t>
      </w:r>
      <w:r>
        <w:rPr>
          <w:rFonts w:hint="eastAsia" w:ascii="仿宋" w:hAnsi="仿宋" w:eastAsia="仿宋" w:cs="仿宋_GB2312"/>
          <w:color w:val="000000"/>
          <w:sz w:val="32"/>
          <w:szCs w:val="32"/>
          <w:highlight w:val="none"/>
          <w:lang w:eastAsia="zh-CN"/>
        </w:rPr>
        <w:t>行政工勤编制</w:t>
      </w:r>
      <w:r>
        <w:rPr>
          <w:rFonts w:hint="eastAsia" w:ascii="仿宋" w:hAnsi="仿宋" w:eastAsia="仿宋" w:cs="仿宋_GB2312"/>
          <w:color w:val="000000"/>
          <w:sz w:val="32"/>
          <w:szCs w:val="32"/>
          <w:highlight w:val="none"/>
          <w:lang w:val="en-US" w:eastAsia="zh-CN"/>
        </w:rPr>
        <w:t>3名。</w:t>
      </w:r>
      <w:r>
        <w:rPr>
          <w:rFonts w:hint="eastAsia" w:ascii="仿宋" w:hAnsi="仿宋" w:eastAsia="仿宋" w:cs="仿宋_GB2312"/>
          <w:color w:val="000000"/>
          <w:sz w:val="32"/>
          <w:szCs w:val="32"/>
          <w:highlight w:val="none"/>
        </w:rPr>
        <w:t>实有在职人员</w:t>
      </w:r>
      <w:r>
        <w:rPr>
          <w:rFonts w:hint="eastAsia" w:ascii="仿宋" w:hAnsi="仿宋" w:eastAsia="仿宋" w:cs="仿宋_GB2312"/>
          <w:color w:val="000000"/>
          <w:sz w:val="32"/>
          <w:szCs w:val="32"/>
          <w:highlight w:val="none"/>
          <w:lang w:val="en-US" w:eastAsia="zh-CN"/>
        </w:rPr>
        <w:t>24</w:t>
      </w:r>
      <w:r>
        <w:rPr>
          <w:rFonts w:hint="eastAsia" w:ascii="仿宋" w:hAnsi="仿宋" w:eastAsia="仿宋" w:cs="仿宋_GB2312"/>
          <w:color w:val="000000"/>
          <w:sz w:val="32"/>
          <w:szCs w:val="32"/>
          <w:highlight w:val="none"/>
        </w:rPr>
        <w:t>人。车辆编制为</w:t>
      </w:r>
      <w:r>
        <w:rPr>
          <w:rFonts w:hint="eastAsia" w:ascii="仿宋" w:hAnsi="仿宋" w:eastAsia="仿宋" w:cs="仿宋_GB2312"/>
          <w:color w:val="000000"/>
          <w:sz w:val="32"/>
          <w:szCs w:val="32"/>
          <w:highlight w:val="none"/>
          <w:lang w:val="en-US" w:eastAsia="zh-CN"/>
        </w:rPr>
        <w:t>5</w:t>
      </w:r>
      <w:r>
        <w:rPr>
          <w:rFonts w:hint="eastAsia" w:ascii="仿宋" w:hAnsi="仿宋" w:eastAsia="仿宋" w:cs="仿宋_GB2312"/>
          <w:color w:val="000000"/>
          <w:sz w:val="32"/>
          <w:szCs w:val="32"/>
          <w:highlight w:val="none"/>
        </w:rPr>
        <w:t>台</w:t>
      </w:r>
      <w:r>
        <w:rPr>
          <w:rFonts w:hint="eastAsia" w:ascii="仿宋" w:hAnsi="仿宋" w:eastAsia="仿宋" w:cs="仿宋_GB2312"/>
          <w:color w:val="000000"/>
          <w:sz w:val="32"/>
          <w:szCs w:val="32"/>
          <w:highlight w:val="none"/>
          <w:lang w:eastAsia="zh-CN"/>
        </w:rPr>
        <w:t>，</w:t>
      </w:r>
      <w:r>
        <w:rPr>
          <w:rFonts w:hint="eastAsia" w:ascii="仿宋" w:hAnsi="仿宋" w:eastAsia="仿宋" w:cs="仿宋_GB2312"/>
          <w:color w:val="000000"/>
          <w:sz w:val="32"/>
          <w:szCs w:val="32"/>
          <w:highlight w:val="none"/>
        </w:rPr>
        <w:t>实有车辆</w:t>
      </w:r>
      <w:r>
        <w:rPr>
          <w:rFonts w:hint="eastAsia" w:ascii="仿宋" w:hAnsi="仿宋" w:eastAsia="仿宋" w:cs="仿宋_GB2312"/>
          <w:color w:val="000000"/>
          <w:sz w:val="32"/>
          <w:szCs w:val="32"/>
          <w:highlight w:val="none"/>
          <w:lang w:val="en-US" w:eastAsia="zh-CN"/>
        </w:rPr>
        <w:t>5</w:t>
      </w:r>
      <w:r>
        <w:rPr>
          <w:rFonts w:hint="eastAsia" w:ascii="仿宋" w:hAnsi="仿宋" w:eastAsia="仿宋" w:cs="仿宋_GB2312"/>
          <w:color w:val="000000"/>
          <w:sz w:val="32"/>
          <w:szCs w:val="32"/>
          <w:highlight w:val="none"/>
        </w:rPr>
        <w:t>台。</w:t>
      </w:r>
    </w:p>
    <w:p w14:paraId="47EB295D">
      <w:pPr>
        <w:pStyle w:val="12"/>
        <w:ind w:left="720" w:firstLine="0" w:firstLineChars="0"/>
        <w:rPr>
          <w:rFonts w:ascii="黑体" w:eastAsia="黑体"/>
          <w:sz w:val="32"/>
          <w:szCs w:val="32"/>
        </w:rPr>
      </w:pPr>
      <w:r>
        <w:rPr>
          <w:rFonts w:hint="eastAsia" w:ascii="黑体" w:eastAsia="黑体"/>
          <w:sz w:val="32"/>
          <w:szCs w:val="32"/>
        </w:rPr>
        <w:t>三、收支预算情况说明</w:t>
      </w:r>
    </w:p>
    <w:p w14:paraId="4BA0DE8C">
      <w:pPr>
        <w:ind w:firstLine="640" w:firstLineChars="200"/>
        <w:rPr>
          <w:rFonts w:hint="eastAsia" w:ascii="楷体" w:eastAsia="楷体"/>
          <w:sz w:val="32"/>
          <w:szCs w:val="32"/>
        </w:rPr>
      </w:pPr>
      <w:r>
        <w:rPr>
          <w:rFonts w:hint="eastAsia" w:ascii="楷体" w:eastAsia="楷体"/>
          <w:sz w:val="32"/>
          <w:szCs w:val="32"/>
        </w:rPr>
        <w:t>（一）收入预算情况</w:t>
      </w:r>
    </w:p>
    <w:p w14:paraId="46BE6782">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楷体" w:hAnsi="楷体" w:eastAsia="楷体"/>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小金</w:t>
      </w:r>
      <w:r>
        <w:rPr>
          <w:rFonts w:hint="eastAsia" w:ascii="仿宋" w:hAnsi="仿宋" w:eastAsia="仿宋" w:cs="仿宋_GB2312"/>
          <w:color w:val="000000" w:themeColor="text1"/>
          <w:sz w:val="32"/>
          <w:szCs w:val="32"/>
          <w14:textFill>
            <w14:solidFill>
              <w14:schemeClr w14:val="tx1"/>
            </w14:solidFill>
          </w14:textFill>
        </w:rPr>
        <w:t>人民检察院20</w:t>
      </w:r>
      <w:r>
        <w:rPr>
          <w:rFonts w:hint="eastAsia" w:ascii="仿宋" w:hAnsi="仿宋" w:eastAsia="仿宋" w:cs="仿宋_GB2312"/>
          <w:color w:val="000000" w:themeColor="text1"/>
          <w:sz w:val="32"/>
          <w:szCs w:val="32"/>
          <w:lang w:val="en-US" w:eastAsia="zh-CN"/>
          <w14:textFill>
            <w14:solidFill>
              <w14:schemeClr w14:val="tx1"/>
            </w14:solidFill>
          </w14:textFill>
        </w:rPr>
        <w:t>26</w:t>
      </w:r>
      <w:r>
        <w:rPr>
          <w:rFonts w:hint="eastAsia" w:ascii="仿宋" w:hAnsi="仿宋" w:eastAsia="仿宋" w:cs="仿宋_GB2312"/>
          <w:color w:val="000000" w:themeColor="text1"/>
          <w:sz w:val="32"/>
          <w:szCs w:val="32"/>
          <w14:textFill>
            <w14:solidFill>
              <w14:schemeClr w14:val="tx1"/>
            </w14:solidFill>
          </w14:textFill>
        </w:rPr>
        <w:t>年收入预算</w:t>
      </w:r>
      <w:r>
        <w:rPr>
          <w:rFonts w:hint="eastAsia" w:ascii="仿宋" w:hAnsi="仿宋" w:eastAsia="仿宋" w:cs="仿宋_GB2312"/>
          <w:color w:val="000000" w:themeColor="text1"/>
          <w:sz w:val="32"/>
          <w:szCs w:val="32"/>
          <w:lang w:val="en-US" w:eastAsia="zh-CN"/>
          <w14:textFill>
            <w14:solidFill>
              <w14:schemeClr w14:val="tx1"/>
            </w14:solidFill>
          </w14:textFill>
        </w:rPr>
        <w:t>541.05万元</w:t>
      </w:r>
      <w:r>
        <w:rPr>
          <w:rFonts w:hint="eastAsia" w:ascii="仿宋" w:hAnsi="仿宋" w:eastAsia="仿宋" w:cs="仿宋_GB2312"/>
          <w:color w:val="000000" w:themeColor="text1"/>
          <w:sz w:val="32"/>
          <w:szCs w:val="32"/>
          <w14:textFill>
            <w14:solidFill>
              <w14:schemeClr w14:val="tx1"/>
            </w14:solidFill>
          </w14:textFill>
        </w:rPr>
        <w:t>，其中：上年结转0</w:t>
      </w:r>
      <w:r>
        <w:rPr>
          <w:rFonts w:hint="eastAsia" w:ascii="仿宋" w:hAnsi="仿宋" w:eastAsia="仿宋" w:cs="仿宋_GB2312"/>
          <w:color w:val="000000" w:themeColor="text1"/>
          <w:sz w:val="32"/>
          <w:szCs w:val="32"/>
          <w:lang w:eastAsia="zh-CN"/>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元，占0%；一般公共预算拨款收入</w:t>
      </w:r>
      <w:r>
        <w:rPr>
          <w:rFonts w:hint="eastAsia" w:ascii="仿宋" w:hAnsi="仿宋" w:eastAsia="仿宋" w:cs="仿宋_GB2312"/>
          <w:color w:val="000000" w:themeColor="text1"/>
          <w:sz w:val="32"/>
          <w:szCs w:val="32"/>
          <w:lang w:val="en-US" w:eastAsia="zh-CN"/>
          <w14:textFill>
            <w14:solidFill>
              <w14:schemeClr w14:val="tx1"/>
            </w14:solidFill>
          </w14:textFill>
        </w:rPr>
        <w:t>541.05万元</w:t>
      </w:r>
      <w:r>
        <w:rPr>
          <w:rFonts w:hint="eastAsia" w:ascii="仿宋" w:hAnsi="仿宋" w:eastAsia="仿宋" w:cs="仿宋_GB2312"/>
          <w:color w:val="000000" w:themeColor="text1"/>
          <w:sz w:val="32"/>
          <w:szCs w:val="32"/>
          <w14:textFill>
            <w14:solidFill>
              <w14:schemeClr w14:val="tx1"/>
            </w14:solidFill>
          </w14:textFill>
        </w:rPr>
        <w:t>，占100%。</w:t>
      </w:r>
    </w:p>
    <w:p w14:paraId="470B7FFA">
      <w:pPr>
        <w:jc w:val="left"/>
        <w:rPr>
          <w:rFonts w:hint="eastAsia" w:ascii="楷体" w:eastAsia="楷体" w:cs="仿宋_GB2312"/>
          <w:sz w:val="32"/>
          <w:szCs w:val="32"/>
        </w:rPr>
      </w:pPr>
      <w:r>
        <w:rPr>
          <w:rFonts w:hint="eastAsia" w:ascii="楷体" w:eastAsia="楷体" w:cs="仿宋_GB2312"/>
          <w:sz w:val="32"/>
          <w:szCs w:val="32"/>
        </w:rPr>
        <w:t>　　（二）支出预算情况</w:t>
      </w:r>
    </w:p>
    <w:p w14:paraId="4AB6DF64">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楷体" w:hAnsi="楷体" w:eastAsia="楷体"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小金</w:t>
      </w:r>
      <w:r>
        <w:rPr>
          <w:rFonts w:hint="eastAsia" w:ascii="仿宋" w:hAnsi="仿宋" w:eastAsia="仿宋" w:cs="仿宋_GB2312"/>
          <w:color w:val="000000" w:themeColor="text1"/>
          <w:sz w:val="32"/>
          <w:szCs w:val="32"/>
          <w14:textFill>
            <w14:solidFill>
              <w14:schemeClr w14:val="tx1"/>
            </w14:solidFill>
          </w14:textFill>
        </w:rPr>
        <w:t>县人民检察院20</w:t>
      </w:r>
      <w:r>
        <w:rPr>
          <w:rFonts w:hint="eastAsia" w:ascii="仿宋" w:hAnsi="仿宋" w:eastAsia="仿宋" w:cs="仿宋_GB2312"/>
          <w:color w:val="000000" w:themeColor="text1"/>
          <w:sz w:val="32"/>
          <w:szCs w:val="32"/>
          <w:lang w:val="en-US" w:eastAsia="zh-CN"/>
          <w14:textFill>
            <w14:solidFill>
              <w14:schemeClr w14:val="tx1"/>
            </w14:solidFill>
          </w14:textFill>
        </w:rPr>
        <w:t>26</w:t>
      </w:r>
      <w:r>
        <w:rPr>
          <w:rFonts w:hint="eastAsia" w:ascii="仿宋" w:hAnsi="仿宋" w:eastAsia="仿宋" w:cs="仿宋_GB2312"/>
          <w:color w:val="000000" w:themeColor="text1"/>
          <w:sz w:val="32"/>
          <w:szCs w:val="32"/>
          <w14:textFill>
            <w14:solidFill>
              <w14:schemeClr w14:val="tx1"/>
            </w14:solidFill>
          </w14:textFill>
        </w:rPr>
        <w:t>年支出预算</w:t>
      </w:r>
      <w:r>
        <w:rPr>
          <w:rFonts w:hint="eastAsia" w:ascii="仿宋" w:hAnsi="仿宋" w:eastAsia="仿宋" w:cs="仿宋_GB2312"/>
          <w:color w:val="000000" w:themeColor="text1"/>
          <w:sz w:val="32"/>
          <w:szCs w:val="32"/>
          <w:lang w:val="en-US" w:eastAsia="zh-CN"/>
          <w14:textFill>
            <w14:solidFill>
              <w14:schemeClr w14:val="tx1"/>
            </w14:solidFill>
          </w14:textFill>
        </w:rPr>
        <w:t>541.05万元</w:t>
      </w:r>
      <w:r>
        <w:rPr>
          <w:rFonts w:hint="eastAsia" w:ascii="仿宋" w:hAnsi="仿宋" w:eastAsia="仿宋" w:cs="仿宋_GB2312"/>
          <w:color w:val="000000" w:themeColor="text1"/>
          <w:sz w:val="32"/>
          <w:szCs w:val="32"/>
          <w14:textFill>
            <w14:solidFill>
              <w14:schemeClr w14:val="tx1"/>
            </w14:solidFill>
          </w14:textFill>
        </w:rPr>
        <w:t>，其中：基本支出</w:t>
      </w:r>
      <w:r>
        <w:rPr>
          <w:rFonts w:hint="eastAsia" w:ascii="仿宋" w:hAnsi="仿宋" w:eastAsia="仿宋" w:cs="仿宋_GB2312"/>
          <w:color w:val="000000" w:themeColor="text1"/>
          <w:sz w:val="32"/>
          <w:szCs w:val="32"/>
          <w:lang w:val="en-US" w:eastAsia="zh-CN"/>
          <w14:textFill>
            <w14:solidFill>
              <w14:schemeClr w14:val="tx1"/>
            </w14:solidFill>
          </w14:textFill>
        </w:rPr>
        <w:t>541.05万元</w:t>
      </w:r>
      <w:r>
        <w:rPr>
          <w:rFonts w:hint="eastAsia" w:ascii="仿宋" w:hAnsi="仿宋" w:eastAsia="仿宋" w:cs="仿宋_GB2312"/>
          <w:color w:val="000000" w:themeColor="text1"/>
          <w:sz w:val="32"/>
          <w:szCs w:val="32"/>
          <w14:textFill>
            <w14:solidFill>
              <w14:schemeClr w14:val="tx1"/>
            </w14:solidFill>
          </w14:textFill>
        </w:rPr>
        <w:t>，占</w:t>
      </w:r>
      <w:r>
        <w:rPr>
          <w:rFonts w:hint="eastAsia" w:ascii="仿宋" w:hAnsi="仿宋" w:eastAsia="仿宋" w:cs="仿宋_GB2312"/>
          <w:color w:val="000000" w:themeColor="text1"/>
          <w:sz w:val="32"/>
          <w:szCs w:val="32"/>
          <w:lang w:val="en-US" w:eastAsia="zh-CN"/>
          <w14:textFill>
            <w14:solidFill>
              <w14:schemeClr w14:val="tx1"/>
            </w14:solidFill>
          </w14:textFill>
        </w:rPr>
        <w:t>100</w:t>
      </w:r>
      <w:r>
        <w:rPr>
          <w:rFonts w:hint="eastAsia" w:ascii="仿宋" w:hAnsi="仿宋" w:eastAsia="仿宋" w:cs="仿宋_GB2312"/>
          <w:color w:val="000000" w:themeColor="text1"/>
          <w:sz w:val="32"/>
          <w:szCs w:val="32"/>
          <w14:textFill>
            <w14:solidFill>
              <w14:schemeClr w14:val="tx1"/>
            </w14:solidFill>
          </w14:textFill>
        </w:rPr>
        <w:t>%。</w:t>
      </w:r>
    </w:p>
    <w:p w14:paraId="61460CE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eastAsia="黑体"/>
          <w:sz w:val="32"/>
          <w:szCs w:val="32"/>
        </w:rPr>
      </w:pPr>
      <w:r>
        <w:rPr>
          <w:rFonts w:hint="eastAsia" w:ascii="黑体" w:eastAsia="黑体"/>
          <w:sz w:val="32"/>
          <w:szCs w:val="32"/>
        </w:rPr>
        <w:t>四、财政拨款收支预算情况说明</w:t>
      </w:r>
    </w:p>
    <w:p w14:paraId="69E7B2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_GB2312"/>
          <w:color w:val="000000" w:themeColor="text1"/>
          <w:sz w:val="32"/>
          <w:szCs w:val="32"/>
          <w:lang w:eastAsia="zh-CN"/>
          <w14:textFill>
            <w14:solidFill>
              <w14:schemeClr w14:val="tx1"/>
            </w14:solidFill>
          </w14:textFill>
        </w:rPr>
        <w:t>小金</w:t>
      </w:r>
      <w:r>
        <w:rPr>
          <w:rFonts w:hint="eastAsia" w:ascii="仿宋" w:hAnsi="仿宋" w:eastAsia="仿宋" w:cs="仿宋_GB2312"/>
          <w:color w:val="000000" w:themeColor="text1"/>
          <w:sz w:val="32"/>
          <w:szCs w:val="32"/>
          <w14:textFill>
            <w14:solidFill>
              <w14:schemeClr w14:val="tx1"/>
            </w14:solidFill>
          </w14:textFill>
        </w:rPr>
        <w:t>人民检察院</w:t>
      </w:r>
      <w:r>
        <w:rPr>
          <w:rFonts w:hint="eastAsia" w:ascii="仿宋_GB2312" w:eastAsia="仿宋_GB2312"/>
          <w:sz w:val="32"/>
          <w:szCs w:val="32"/>
        </w:rPr>
        <w:t>2026年财政拨款收支总预算</w:t>
      </w:r>
      <w:r>
        <w:rPr>
          <w:rFonts w:hint="eastAsia" w:ascii="仿宋" w:hAnsi="仿宋" w:eastAsia="仿宋" w:cs="仿宋_GB2312"/>
          <w:color w:val="000000" w:themeColor="text1"/>
          <w:sz w:val="32"/>
          <w:szCs w:val="32"/>
          <w:lang w:val="en-US" w:eastAsia="zh-CN"/>
          <w14:textFill>
            <w14:solidFill>
              <w14:schemeClr w14:val="tx1"/>
            </w14:solidFill>
          </w14:textFill>
        </w:rPr>
        <w:t>541.05</w:t>
      </w:r>
      <w:r>
        <w:rPr>
          <w:rFonts w:hint="eastAsia" w:ascii="仿宋_GB2312" w:eastAsia="仿宋_GB2312"/>
          <w:sz w:val="32"/>
          <w:szCs w:val="32"/>
        </w:rPr>
        <w:t>万元,比2025年财政拨款收支总预算减少</w:t>
      </w:r>
      <w:r>
        <w:rPr>
          <w:rFonts w:hint="eastAsia" w:ascii="仿宋_GB2312" w:eastAsia="仿宋_GB2312"/>
          <w:sz w:val="32"/>
          <w:szCs w:val="32"/>
          <w:lang w:val="en-US" w:eastAsia="zh-CN"/>
        </w:rPr>
        <w:t>31.89</w:t>
      </w:r>
      <w:r>
        <w:rPr>
          <w:rFonts w:hint="eastAsia" w:ascii="仿宋_GB2312" w:eastAsia="仿宋_GB2312"/>
          <w:sz w:val="32"/>
          <w:szCs w:val="32"/>
        </w:rPr>
        <w:t>万元，主要原因:</w:t>
      </w:r>
      <w:r>
        <w:rPr>
          <w:rFonts w:hint="eastAsia" w:ascii="仿宋_GB2312" w:hAnsi="仿宋_GB2312" w:eastAsia="仿宋_GB2312" w:cs="仿宋_GB2312"/>
          <w:sz w:val="32"/>
          <w:szCs w:val="32"/>
          <w:lang w:val="en-US" w:eastAsia="zh-CN"/>
        </w:rPr>
        <w:t>人员调动支出预算减少</w:t>
      </w:r>
      <w:r>
        <w:rPr>
          <w:rFonts w:hint="eastAsia" w:ascii="仿宋_GB2312" w:hAnsi="仿宋_GB2312" w:eastAsia="仿宋_GB2312" w:cs="仿宋_GB2312"/>
          <w:sz w:val="32"/>
          <w:szCs w:val="32"/>
        </w:rPr>
        <w:t>。</w:t>
      </w:r>
    </w:p>
    <w:p w14:paraId="52D4CCC2">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收入包括：</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391.56万元；社会保障和就业支出79.12万元；</w:t>
      </w:r>
      <w:r>
        <w:rPr>
          <w:rFonts w:hint="eastAsia" w:ascii="仿宋" w:hAnsi="仿宋" w:eastAsia="仿宋" w:cs="仿宋_GB2312"/>
          <w:color w:val="000000"/>
          <w:sz w:val="32"/>
          <w:szCs w:val="32"/>
        </w:rPr>
        <w:t>卫生健康支出</w:t>
      </w:r>
      <w:r>
        <w:rPr>
          <w:rFonts w:hint="eastAsia" w:ascii="仿宋" w:hAnsi="仿宋" w:eastAsia="仿宋" w:cs="仿宋_GB2312"/>
          <w:color w:val="000000"/>
          <w:sz w:val="32"/>
          <w:szCs w:val="32"/>
          <w:lang w:val="en-US" w:eastAsia="zh-CN"/>
        </w:rPr>
        <w:t>31.95万元；</w:t>
      </w:r>
      <w:r>
        <w:rPr>
          <w:rFonts w:hint="eastAsia" w:ascii="仿宋" w:hAnsi="仿宋" w:eastAsia="仿宋" w:cs="仿宋_GB2312"/>
          <w:color w:val="000000"/>
          <w:sz w:val="32"/>
          <w:szCs w:val="32"/>
        </w:rPr>
        <w:t>住房保障支出</w:t>
      </w:r>
      <w:r>
        <w:rPr>
          <w:rFonts w:hint="eastAsia" w:ascii="仿宋" w:hAnsi="仿宋" w:eastAsia="仿宋" w:cs="仿宋_GB2312"/>
          <w:color w:val="000000"/>
          <w:sz w:val="32"/>
          <w:szCs w:val="32"/>
          <w:lang w:val="en-US" w:eastAsia="zh-CN"/>
        </w:rPr>
        <w:t>38.42万元</w:t>
      </w:r>
      <w:r>
        <w:rPr>
          <w:rFonts w:hint="eastAsia" w:ascii="仿宋" w:hAnsi="仿宋" w:eastAsia="仿宋" w:cs="仿宋_GB2312"/>
          <w:color w:val="000000"/>
          <w:sz w:val="32"/>
          <w:szCs w:val="32"/>
        </w:rPr>
        <w:t>。</w:t>
      </w:r>
    </w:p>
    <w:p w14:paraId="7A11C774">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支出包括：</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391.56万元；社会保障和就业支出79.12万元；</w:t>
      </w:r>
      <w:r>
        <w:rPr>
          <w:rFonts w:hint="eastAsia" w:ascii="仿宋" w:hAnsi="仿宋" w:eastAsia="仿宋" w:cs="仿宋_GB2312"/>
          <w:color w:val="000000"/>
          <w:sz w:val="32"/>
          <w:szCs w:val="32"/>
        </w:rPr>
        <w:t>卫生健康支出</w:t>
      </w:r>
      <w:r>
        <w:rPr>
          <w:rFonts w:hint="eastAsia" w:ascii="仿宋" w:hAnsi="仿宋" w:eastAsia="仿宋" w:cs="仿宋_GB2312"/>
          <w:color w:val="000000"/>
          <w:sz w:val="32"/>
          <w:szCs w:val="32"/>
          <w:lang w:val="en-US" w:eastAsia="zh-CN"/>
        </w:rPr>
        <w:t>31.95万元；</w:t>
      </w:r>
      <w:r>
        <w:rPr>
          <w:rFonts w:hint="eastAsia" w:ascii="仿宋" w:hAnsi="仿宋" w:eastAsia="仿宋" w:cs="仿宋_GB2312"/>
          <w:color w:val="000000"/>
          <w:sz w:val="32"/>
          <w:szCs w:val="32"/>
        </w:rPr>
        <w:t>住房保障支出</w:t>
      </w:r>
      <w:r>
        <w:rPr>
          <w:rFonts w:hint="eastAsia" w:ascii="仿宋" w:hAnsi="仿宋" w:eastAsia="仿宋" w:cs="仿宋_GB2312"/>
          <w:color w:val="000000"/>
          <w:sz w:val="32"/>
          <w:szCs w:val="32"/>
          <w:lang w:val="en-US" w:eastAsia="zh-CN"/>
        </w:rPr>
        <w:t>38.42万元</w:t>
      </w:r>
      <w:r>
        <w:rPr>
          <w:rFonts w:hint="eastAsia" w:ascii="仿宋" w:hAnsi="仿宋" w:eastAsia="仿宋" w:cs="仿宋_GB2312"/>
          <w:color w:val="000000"/>
          <w:sz w:val="32"/>
          <w:szCs w:val="32"/>
        </w:rPr>
        <w:t>。</w:t>
      </w:r>
    </w:p>
    <w:p w14:paraId="055AB583">
      <w:pPr>
        <w:ind w:firstLine="640" w:firstLineChars="200"/>
        <w:rPr>
          <w:rFonts w:ascii="黑体" w:eastAsia="黑体"/>
          <w:sz w:val="32"/>
          <w:szCs w:val="32"/>
        </w:rPr>
      </w:pPr>
      <w:r>
        <w:rPr>
          <w:rFonts w:hint="eastAsia" w:ascii="黑体" w:eastAsia="黑体"/>
          <w:sz w:val="32"/>
          <w:szCs w:val="32"/>
        </w:rPr>
        <w:t>五、一般公共预算当年拨款情况说明</w:t>
      </w:r>
    </w:p>
    <w:p w14:paraId="0729C3EE">
      <w:pPr>
        <w:pStyle w:val="13"/>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06CD291C">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部门（单位）2026年一般公共预算当年拨款</w:t>
      </w:r>
      <w:r>
        <w:rPr>
          <w:rFonts w:hint="eastAsia" w:ascii="仿宋_GB2312" w:hAnsi="仿宋_GB2312" w:eastAsia="仿宋_GB2312" w:cs="仿宋_GB2312"/>
          <w:sz w:val="32"/>
          <w:szCs w:val="32"/>
          <w:lang w:val="en-US" w:eastAsia="zh-CN"/>
        </w:rPr>
        <w:t>541.05</w:t>
      </w:r>
      <w:r>
        <w:rPr>
          <w:rFonts w:hint="eastAsia" w:ascii="仿宋_GB2312" w:hAnsi="仿宋_GB2312" w:eastAsia="仿宋_GB2312" w:cs="仿宋_GB2312"/>
          <w:sz w:val="32"/>
          <w:szCs w:val="32"/>
        </w:rPr>
        <w:t>万元，比2025年预算数减少</w:t>
      </w:r>
      <w:r>
        <w:rPr>
          <w:rFonts w:hint="eastAsia" w:ascii="仿宋_GB2312" w:hAnsi="仿宋_GB2312" w:eastAsia="仿宋_GB2312" w:cs="仿宋_GB2312"/>
          <w:sz w:val="32"/>
          <w:szCs w:val="32"/>
          <w:lang w:val="en-US" w:eastAsia="zh-CN"/>
        </w:rPr>
        <w:t>31.89</w:t>
      </w:r>
      <w:r>
        <w:rPr>
          <w:rFonts w:hint="eastAsia" w:ascii="仿宋_GB2312" w:hAnsi="仿宋_GB2312" w:eastAsia="仿宋_GB2312" w:cs="仿宋_GB2312"/>
          <w:sz w:val="32"/>
          <w:szCs w:val="32"/>
        </w:rPr>
        <w:t>万元，主要原因:</w:t>
      </w:r>
      <w:r>
        <w:rPr>
          <w:rFonts w:hint="eastAsia" w:ascii="仿宋_GB2312" w:hAnsi="仿宋_GB2312" w:eastAsia="仿宋_GB2312" w:cs="仿宋_GB2312"/>
          <w:sz w:val="32"/>
          <w:szCs w:val="32"/>
          <w:lang w:val="en-US" w:eastAsia="zh-CN"/>
        </w:rPr>
        <w:t>人员调动支出预算减少</w:t>
      </w:r>
      <w:r>
        <w:rPr>
          <w:rFonts w:hint="eastAsia" w:ascii="仿宋_GB2312" w:hAnsi="仿宋_GB2312" w:eastAsia="仿宋_GB2312" w:cs="仿宋_GB2312"/>
          <w:sz w:val="32"/>
          <w:szCs w:val="32"/>
        </w:rPr>
        <w:t>。</w:t>
      </w:r>
    </w:p>
    <w:p w14:paraId="7812FED2">
      <w:pPr>
        <w:keepNext w:val="0"/>
        <w:keepLines w:val="0"/>
        <w:pageBreakBefore w:val="0"/>
        <w:widowControl w:val="0"/>
        <w:kinsoku/>
        <w:wordWrap/>
        <w:overflowPunct/>
        <w:topLinePunct w:val="0"/>
        <w:autoSpaceDE/>
        <w:autoSpaceDN/>
        <w:bidi w:val="0"/>
        <w:adjustRightInd/>
        <w:snapToGrid/>
        <w:spacing w:afterAutospacing="0" w:line="576" w:lineRule="exact"/>
        <w:ind w:left="0" w:leftChars="0" w:firstLine="640" w:firstLineChars="200"/>
        <w:textAlignment w:val="auto"/>
        <w:rPr>
          <w:rFonts w:hint="eastAsia" w:ascii="楷体" w:eastAsia="楷体" w:cs="宋体"/>
          <w:sz w:val="32"/>
          <w:szCs w:val="32"/>
        </w:rPr>
      </w:pPr>
      <w:r>
        <w:rPr>
          <w:rFonts w:hint="eastAsia" w:ascii="楷体" w:eastAsia="楷体" w:cs="宋体"/>
          <w:sz w:val="32"/>
          <w:szCs w:val="32"/>
        </w:rPr>
        <w:t>（二）一般公共预算当年拨款结构情况</w:t>
      </w:r>
    </w:p>
    <w:p w14:paraId="1588C49B">
      <w:pPr>
        <w:keepNext w:val="0"/>
        <w:keepLines w:val="0"/>
        <w:pageBreakBefore w:val="0"/>
        <w:widowControl w:val="0"/>
        <w:kinsoku/>
        <w:wordWrap/>
        <w:overflowPunct/>
        <w:topLinePunct w:val="0"/>
        <w:autoSpaceDE/>
        <w:autoSpaceDN/>
        <w:bidi w:val="0"/>
        <w:adjustRightInd/>
        <w:snapToGrid/>
        <w:spacing w:afterAutospacing="0" w:line="576" w:lineRule="exact"/>
        <w:ind w:left="0" w:leftChars="0" w:firstLine="640" w:firstLineChars="200"/>
        <w:textAlignment w:val="auto"/>
        <w:rPr>
          <w:rFonts w:cs="仿宋_GB2312"/>
          <w:kern w:val="2"/>
          <w:sz w:val="32"/>
          <w:szCs w:val="32"/>
        </w:rPr>
      </w:pPr>
      <w:r>
        <w:rPr>
          <w:rFonts w:hint="eastAsia" w:ascii="仿宋_GB2312" w:hAnsi="仿宋_GB2312" w:eastAsia="仿宋_GB2312" w:cs="仿宋_GB2312"/>
          <w:sz w:val="32"/>
          <w:szCs w:val="32"/>
        </w:rPr>
        <w:t>公共安全支出</w:t>
      </w:r>
      <w:r>
        <w:rPr>
          <w:rFonts w:hint="eastAsia" w:ascii="仿宋_GB2312" w:hAnsi="仿宋_GB2312" w:eastAsia="仿宋_GB2312" w:cs="仿宋_GB2312"/>
          <w:sz w:val="32"/>
          <w:szCs w:val="32"/>
          <w:lang w:val="en-US" w:eastAsia="zh-CN"/>
        </w:rPr>
        <w:t>391.56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，占比</w:t>
      </w:r>
      <w:r>
        <w:rPr>
          <w:rFonts w:hint="eastAsia" w:ascii="仿宋_GB2312" w:hAnsi="仿宋_GB2312" w:eastAsia="仿宋_GB2312" w:cs="仿宋_GB2312"/>
          <w:sz w:val="32"/>
          <w:szCs w:val="32"/>
          <w:lang w:val="en-US" w:eastAsia="zh-CN"/>
        </w:rPr>
        <w:t>72.37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社会保障和就业支出79.12万元</w:t>
      </w:r>
      <w:r>
        <w:rPr>
          <w:rFonts w:hint="eastAsia" w:ascii="仿宋_GB2312" w:hAnsi="仿宋_GB2312" w:eastAsia="仿宋_GB2312" w:cs="仿宋_GB2312"/>
          <w:sz w:val="32"/>
          <w:szCs w:val="32"/>
        </w:rPr>
        <w:t>，占比</w:t>
      </w:r>
      <w:r>
        <w:rPr>
          <w:rFonts w:hint="eastAsia" w:ascii="仿宋_GB2312" w:hAnsi="仿宋_GB2312" w:eastAsia="仿宋_GB2312" w:cs="仿宋_GB2312"/>
          <w:sz w:val="32"/>
          <w:szCs w:val="32"/>
          <w:lang w:val="en-US" w:eastAsia="zh-CN"/>
        </w:rPr>
        <w:t>14.62</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36.40万元</w:t>
      </w:r>
      <w:r>
        <w:rPr>
          <w:rFonts w:hint="eastAsia" w:ascii="仿宋_GB2312" w:hAnsi="仿宋_GB2312" w:eastAsia="仿宋_GB2312" w:cs="仿宋_GB2312"/>
          <w:sz w:val="32"/>
          <w:szCs w:val="32"/>
        </w:rPr>
        <w:t>，占比</w:t>
      </w:r>
      <w:r>
        <w:rPr>
          <w:rFonts w:hint="eastAsia" w:ascii="仿宋_GB2312" w:hAnsi="仿宋_GB2312" w:eastAsia="仿宋_GB2312" w:cs="仿宋_GB2312"/>
          <w:sz w:val="32"/>
          <w:szCs w:val="32"/>
          <w:lang w:val="en-US" w:eastAsia="zh-CN"/>
        </w:rPr>
        <w:t>5.91</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38.42万元</w:t>
      </w:r>
      <w:r>
        <w:rPr>
          <w:rFonts w:hint="eastAsia" w:ascii="仿宋_GB2312" w:hAnsi="仿宋_GB2312" w:eastAsia="仿宋_GB2312" w:cs="仿宋_GB2312"/>
          <w:sz w:val="32"/>
          <w:szCs w:val="32"/>
        </w:rPr>
        <w:t>，占比</w:t>
      </w: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w:t>
      </w:r>
    </w:p>
    <w:p w14:paraId="0D9A5B98">
      <w:pPr>
        <w:pStyle w:val="13"/>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4B2DD97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1.公共安全支出（类）检察（款）行政运行（项）2026年预算数为391.56万元，主要用于：单位事业运行等支出。</w:t>
      </w:r>
    </w:p>
    <w:p w14:paraId="175DBA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2.</w:t>
      </w:r>
      <w:r>
        <w:rPr>
          <w:rFonts w:hint="eastAsia" w:ascii="仿宋_GB2312" w:hAnsi="Calibri" w:eastAsia="仿宋_GB2312" w:cs="仿宋_GB2312"/>
          <w:kern w:val="2"/>
          <w:sz w:val="32"/>
          <w:szCs w:val="32"/>
          <w:lang w:val="en-US" w:eastAsia="zh-CN" w:bidi="ar-SA"/>
        </w:rPr>
        <w:t>社会保障和就业支出（类）行政事业单位养老支出（款）机关事业单位基本养老保险缴费支出（项）202</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年预算数为52.74万元，主要用于：实施养老保险制度后，按规定由单位缴纳的基本养老保险费支出。</w:t>
      </w:r>
    </w:p>
    <w:p w14:paraId="59E186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3.</w:t>
      </w:r>
      <w:r>
        <w:rPr>
          <w:rFonts w:hint="eastAsia" w:ascii="仿宋_GB2312" w:hAnsi="Calibri" w:eastAsia="仿宋_GB2312" w:cs="仿宋_GB2312"/>
          <w:kern w:val="2"/>
          <w:sz w:val="32"/>
          <w:szCs w:val="32"/>
          <w:lang w:val="en-US" w:eastAsia="zh-CN" w:bidi="ar-SA"/>
        </w:rPr>
        <w:t>社会保障和就业支出（类）行政事业单位养老支出（款）机关事业单位职业年金缴费支出（项）202</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年预算数为26.37万元，主要用于：实施养老保险制度后，按规定由单位缴纳的职业年金支出（含职业年金补记支出）。</w:t>
      </w:r>
    </w:p>
    <w:p w14:paraId="2D680A2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卫生健康支出（类）行政事业单位医疗（款）</w:t>
      </w:r>
      <w:r>
        <w:rPr>
          <w:rFonts w:hint="eastAsia" w:ascii="仿宋_GB2312" w:eastAsia="仿宋_GB2312" w:cs="仿宋_GB2312"/>
          <w:kern w:val="2"/>
          <w:sz w:val="32"/>
          <w:szCs w:val="32"/>
          <w:lang w:val="en-US" w:eastAsia="zh-CN" w:bidi="ar-SA"/>
        </w:rPr>
        <w:t>行政</w:t>
      </w:r>
      <w:r>
        <w:rPr>
          <w:rFonts w:hint="eastAsia" w:ascii="仿宋_GB2312" w:hAnsi="Calibri" w:eastAsia="仿宋_GB2312" w:cs="仿宋_GB2312"/>
          <w:kern w:val="2"/>
          <w:sz w:val="32"/>
          <w:szCs w:val="32"/>
          <w:lang w:val="en-US" w:eastAsia="zh-CN" w:bidi="ar-SA"/>
        </w:rPr>
        <w:t>单位医疗（项）202</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年预算数为31.95万元，主要用于</w:t>
      </w:r>
      <w:r>
        <w:rPr>
          <w:rFonts w:hint="eastAsia" w:ascii="仿宋_GB2312" w:eastAsia="仿宋_GB2312" w:cs="仿宋_GB2312"/>
          <w:kern w:val="2"/>
          <w:sz w:val="32"/>
          <w:szCs w:val="32"/>
          <w:lang w:val="en-US" w:eastAsia="zh-CN" w:bidi="ar-SA"/>
        </w:rPr>
        <w:t>行政</w:t>
      </w:r>
      <w:r>
        <w:rPr>
          <w:rFonts w:hint="eastAsia" w:ascii="仿宋_GB2312" w:hAnsi="Calibri" w:eastAsia="仿宋_GB2312" w:cs="仿宋_GB2312"/>
          <w:kern w:val="2"/>
          <w:sz w:val="32"/>
          <w:szCs w:val="32"/>
          <w:lang w:val="en-US" w:eastAsia="zh-CN" w:bidi="ar-SA"/>
        </w:rPr>
        <w:t>单位基本医疗保险缴费支出。</w:t>
      </w:r>
    </w:p>
    <w:p w14:paraId="6D65C9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leftChars="0" w:right="0" w:firstLine="640" w:firstLineChars="200"/>
        <w:textAlignment w:val="auto"/>
        <w:rPr>
          <w:rFonts w:hint="eastAsia" w:ascii="仿宋_GB2312" w:hAnsi="Calibri"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5.</w:t>
      </w:r>
      <w:r>
        <w:rPr>
          <w:rFonts w:hint="eastAsia" w:ascii="仿宋_GB2312" w:hAnsi="Calibri" w:eastAsia="仿宋_GB2312" w:cs="仿宋_GB2312"/>
          <w:kern w:val="2"/>
          <w:sz w:val="32"/>
          <w:szCs w:val="32"/>
          <w:lang w:val="en-US" w:eastAsia="zh-CN" w:bidi="ar-SA"/>
        </w:rPr>
        <w:t>住房保障支出（类）住房改革支出（款）住房公积金（项）202</w:t>
      </w:r>
      <w:r>
        <w:rPr>
          <w:rFonts w:hint="eastAsia" w:ascii="仿宋_GB2312" w:eastAsia="仿宋_GB2312" w:cs="仿宋_GB2312"/>
          <w:kern w:val="2"/>
          <w:sz w:val="32"/>
          <w:szCs w:val="32"/>
          <w:lang w:val="en-US" w:eastAsia="zh-CN" w:bidi="ar-SA"/>
        </w:rPr>
        <w:t>6</w:t>
      </w:r>
      <w:r>
        <w:rPr>
          <w:rFonts w:hint="eastAsia" w:ascii="仿宋_GB2312" w:hAnsi="Calibri" w:eastAsia="仿宋_GB2312" w:cs="仿宋_GB2312"/>
          <w:kern w:val="2"/>
          <w:sz w:val="32"/>
          <w:szCs w:val="32"/>
          <w:lang w:val="en-US" w:eastAsia="zh-CN" w:bidi="ar-SA"/>
        </w:rPr>
        <w:t>年预算数为38.42万元，主要用于：按人力资源和社会保障部、财政部规定的基本工资和津贴补贴以及规定比例为职工缴纳的住房公积金支出。</w:t>
      </w:r>
    </w:p>
    <w:p w14:paraId="72429556">
      <w:pPr>
        <w:pStyle w:val="13"/>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7EC1FAE8">
      <w:pPr>
        <w:pStyle w:val="13"/>
        <w:spacing w:before="0" w:line="360" w:lineRule="auto"/>
        <w:ind w:firstLine="640" w:firstLineChars="200"/>
        <w:rPr>
          <w:rFonts w:cs="仿宋_GB2312"/>
          <w:kern w:val="2"/>
          <w:sz w:val="32"/>
          <w:szCs w:val="32"/>
        </w:rPr>
      </w:pPr>
      <w:r>
        <w:rPr>
          <w:rFonts w:hint="eastAsia" w:cs="仿宋_GB2312"/>
          <w:kern w:val="2"/>
          <w:sz w:val="32"/>
          <w:szCs w:val="32"/>
        </w:rPr>
        <w:t>部门（单位）2026年一般公共预算基本支出541.05万元，其中：人员经费471.05万元，主要包括：基本工资、津贴补贴、奖金、其他社会保障缴费、机关事业单位基本养老保险缴费、职业年金缴费、其他工资福利支出、住房公积金、</w:t>
      </w:r>
      <w:r>
        <w:rPr>
          <w:rFonts w:hint="eastAsia" w:cs="仿宋_GB2312"/>
          <w:kern w:val="2"/>
          <w:sz w:val="32"/>
          <w:szCs w:val="32"/>
          <w:lang w:val="en-US" w:eastAsia="zh-CN"/>
        </w:rPr>
        <w:t>生活补助</w:t>
      </w:r>
      <w:r>
        <w:rPr>
          <w:rFonts w:hint="eastAsia" w:cs="仿宋_GB2312"/>
          <w:kern w:val="2"/>
          <w:sz w:val="32"/>
          <w:szCs w:val="32"/>
        </w:rPr>
        <w:t>。</w:t>
      </w:r>
    </w:p>
    <w:p w14:paraId="74EDC30F">
      <w:pPr>
        <w:pStyle w:val="13"/>
        <w:spacing w:before="0" w:line="360" w:lineRule="auto"/>
        <w:ind w:firstLine="640" w:firstLineChars="200"/>
        <w:rPr>
          <w:rFonts w:ascii="黑体" w:eastAsia="黑体"/>
          <w:sz w:val="32"/>
          <w:szCs w:val="32"/>
        </w:rPr>
      </w:pPr>
      <w:r>
        <w:rPr>
          <w:rFonts w:hint="eastAsia" w:cs="仿宋_GB2312"/>
          <w:kern w:val="2"/>
          <w:sz w:val="32"/>
          <w:szCs w:val="32"/>
        </w:rPr>
        <w:t>公用经费69.99万元，主要包括：办公费、水费、电费、邮电费、</w:t>
      </w:r>
      <w:r>
        <w:rPr>
          <w:rFonts w:hint="eastAsia" w:cs="仿宋_GB2312"/>
          <w:kern w:val="2"/>
          <w:sz w:val="32"/>
          <w:szCs w:val="32"/>
          <w:lang w:val="en-US" w:eastAsia="zh-CN"/>
        </w:rPr>
        <w:t>取暖费、</w:t>
      </w:r>
      <w:r>
        <w:rPr>
          <w:rFonts w:hint="eastAsia" w:cs="仿宋_GB2312"/>
          <w:kern w:val="2"/>
          <w:sz w:val="32"/>
          <w:szCs w:val="32"/>
        </w:rPr>
        <w:t>差旅费、维修（护）费、培训费、  公务接待费</w:t>
      </w:r>
      <w:r>
        <w:rPr>
          <w:rFonts w:hint="eastAsia" w:cs="仿宋_GB2312"/>
          <w:kern w:val="2"/>
          <w:sz w:val="32"/>
          <w:szCs w:val="32"/>
          <w:lang w:eastAsia="zh-CN"/>
        </w:rPr>
        <w:t>、  公务用车运行维护费、</w:t>
      </w:r>
      <w:r>
        <w:rPr>
          <w:rFonts w:hint="eastAsia" w:cs="仿宋_GB2312"/>
          <w:kern w:val="2"/>
          <w:sz w:val="32"/>
          <w:szCs w:val="32"/>
        </w:rPr>
        <w:t>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20DE948D">
      <w:pPr>
        <w:pStyle w:val="13"/>
        <w:spacing w:before="0" w:line="360" w:lineRule="auto"/>
        <w:ind w:firstLine="640" w:firstLineChars="200"/>
        <w:rPr>
          <w:rFonts w:cs="仿宋_GB2312"/>
          <w:kern w:val="2"/>
          <w:sz w:val="32"/>
          <w:szCs w:val="32"/>
        </w:rPr>
      </w:pPr>
      <w:r>
        <w:rPr>
          <w:rFonts w:hint="eastAsia" w:cs="仿宋_GB2312"/>
          <w:kern w:val="2"/>
          <w:sz w:val="32"/>
          <w:szCs w:val="32"/>
        </w:rPr>
        <w:t>部门（单位）2026年“三公”经费财政拨款预算数14.46万元，其中：因公出国（境）经费</w:t>
      </w:r>
      <w:r>
        <w:rPr>
          <w:rFonts w:hint="eastAsia" w:cs="仿宋_GB2312"/>
          <w:kern w:val="2"/>
          <w:sz w:val="32"/>
          <w:szCs w:val="32"/>
          <w:lang w:val="en-US" w:eastAsia="zh-CN"/>
        </w:rPr>
        <w:t>0</w:t>
      </w:r>
      <w:r>
        <w:rPr>
          <w:rFonts w:hint="eastAsia" w:cs="仿宋_GB2312"/>
          <w:kern w:val="2"/>
          <w:sz w:val="32"/>
          <w:szCs w:val="32"/>
        </w:rPr>
        <w:t>万元，公务接待费0.96万元，公务用车购置及运行维护费13.5万元。</w:t>
      </w:r>
    </w:p>
    <w:p w14:paraId="0340067B">
      <w:pPr>
        <w:pStyle w:val="13"/>
        <w:spacing w:before="0" w:line="360" w:lineRule="auto"/>
        <w:ind w:firstLine="640" w:firstLineChars="200"/>
        <w:rPr>
          <w:rFonts w:cs="仿宋_GB2312"/>
          <w:kern w:val="2"/>
          <w:sz w:val="32"/>
          <w:szCs w:val="32"/>
        </w:rPr>
      </w:pPr>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14:paraId="4F41264F">
      <w:pPr>
        <w:pStyle w:val="13"/>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kern w:val="2"/>
          <w:sz w:val="32"/>
          <w:szCs w:val="32"/>
        </w:rPr>
        <w:t>0.96</w:t>
      </w:r>
      <w:r>
        <w:rPr>
          <w:rFonts w:hint="eastAsia" w:cs="仿宋_GB2312"/>
          <w:color w:val="000000"/>
          <w:kern w:val="2"/>
          <w:sz w:val="32"/>
          <w:szCs w:val="32"/>
        </w:rPr>
        <w:t>万元。较2025年预算经费</w:t>
      </w:r>
      <w:r>
        <w:rPr>
          <w:rFonts w:hint="eastAsia" w:cs="仿宋_GB2312"/>
          <w:color w:val="000000"/>
          <w:kern w:val="2"/>
          <w:sz w:val="32"/>
          <w:szCs w:val="32"/>
          <w:lang w:val="en-US" w:eastAsia="zh-CN"/>
        </w:rPr>
        <w:t>减少</w:t>
      </w:r>
      <w:r>
        <w:rPr>
          <w:rFonts w:hint="eastAsia" w:cs="宋体"/>
          <w:sz w:val="32"/>
          <w:szCs w:val="32"/>
          <w:lang w:val="en-US" w:eastAsia="zh-CN"/>
        </w:rPr>
        <w:t>0.06</w:t>
      </w:r>
      <w:r>
        <w:rPr>
          <w:rFonts w:hint="eastAsia" w:cs="仿宋_GB2312"/>
          <w:color w:val="000000"/>
          <w:kern w:val="2"/>
          <w:sz w:val="32"/>
          <w:szCs w:val="32"/>
        </w:rPr>
        <w:t>万元</w:t>
      </w:r>
      <w:bookmarkStart w:id="1" w:name="_GoBack"/>
      <w:bookmarkEnd w:id="1"/>
      <w:r>
        <w:rPr>
          <w:rFonts w:hint="eastAsia" w:cs="仿宋_GB2312"/>
          <w:color w:val="000000"/>
          <w:kern w:val="2"/>
          <w:sz w:val="32"/>
          <w:szCs w:val="32"/>
        </w:rPr>
        <w:t>，主要原因</w:t>
      </w:r>
      <w:r>
        <w:rPr>
          <w:rFonts w:hint="eastAsia" w:cs="仿宋_GB2312"/>
          <w:color w:val="000000"/>
          <w:kern w:val="2"/>
          <w:sz w:val="32"/>
          <w:szCs w:val="32"/>
          <w:lang w:val="en-US" w:eastAsia="zh-CN"/>
        </w:rPr>
        <w:t>厉行节约。</w:t>
      </w:r>
    </w:p>
    <w:p w14:paraId="4298D971">
      <w:pPr>
        <w:pStyle w:val="13"/>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（三）2026年公务用车购置及运行维护费13.5万元。</w:t>
      </w:r>
      <w:r>
        <w:rPr>
          <w:rFonts w:hint="eastAsia" w:cs="仿宋_GB2312"/>
          <w:kern w:val="2"/>
          <w:sz w:val="32"/>
          <w:szCs w:val="32"/>
          <w:lang w:eastAsia="zh-CN"/>
        </w:rPr>
        <w:t>与</w:t>
      </w:r>
      <w:r>
        <w:rPr>
          <w:rFonts w:hint="eastAsia" w:cs="仿宋_GB2312"/>
          <w:kern w:val="2"/>
          <w:sz w:val="32"/>
          <w:szCs w:val="32"/>
          <w:lang w:val="en-US" w:eastAsia="zh-CN"/>
        </w:rPr>
        <w:t>2025年持平。</w:t>
      </w:r>
    </w:p>
    <w:p w14:paraId="120E8E10">
      <w:pPr>
        <w:pStyle w:val="13"/>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3BE709BF">
      <w:pPr>
        <w:pStyle w:val="13"/>
        <w:spacing w:before="0" w:line="360" w:lineRule="auto"/>
        <w:ind w:firstLine="640" w:firstLineChars="200"/>
        <w:rPr>
          <w:rFonts w:hint="default" w:eastAsia="仿宋_GB2312" w:cs="仿宋_GB2312"/>
          <w:kern w:val="2"/>
          <w:sz w:val="32"/>
          <w:szCs w:val="32"/>
          <w:lang w:val="en-US" w:eastAsia="zh-CN"/>
        </w:rPr>
      </w:pPr>
      <w:r>
        <w:rPr>
          <w:rFonts w:hint="eastAsia" w:cs="仿宋_GB2312"/>
          <w:kern w:val="2"/>
          <w:sz w:val="32"/>
          <w:szCs w:val="32"/>
          <w:lang w:eastAsia="zh-CN"/>
        </w:rPr>
        <w:t>小金县人民检察院</w:t>
      </w: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lang w:val="en-US" w:eastAsia="zh-CN"/>
        </w:rPr>
        <w:t>与2025年持平。</w:t>
      </w:r>
    </w:p>
    <w:p w14:paraId="2CC10A7C">
      <w:pPr>
        <w:pStyle w:val="13"/>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382D3387">
      <w:pPr>
        <w:pStyle w:val="13"/>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部门（单位）2026年机关运行经费财政拨款预算为69.99万元，比2025年预算</w:t>
      </w:r>
      <w:r>
        <w:rPr>
          <w:rFonts w:hint="eastAsia" w:cs="仿宋_GB2312"/>
          <w:color w:val="000000"/>
          <w:kern w:val="2"/>
          <w:sz w:val="32"/>
          <w:szCs w:val="32"/>
        </w:rPr>
        <w:t>减少</w:t>
      </w:r>
      <w:r>
        <w:rPr>
          <w:rFonts w:hint="eastAsia" w:cs="仿宋_GB2312"/>
          <w:color w:val="000000"/>
          <w:kern w:val="2"/>
          <w:sz w:val="32"/>
          <w:szCs w:val="32"/>
          <w:lang w:val="en-US" w:eastAsia="zh-CN"/>
        </w:rPr>
        <w:t>8.1</w:t>
      </w:r>
      <w:r>
        <w:rPr>
          <w:rFonts w:hint="eastAsia" w:cs="仿宋_GB2312"/>
          <w:color w:val="000000"/>
          <w:kern w:val="2"/>
          <w:sz w:val="32"/>
          <w:szCs w:val="32"/>
        </w:rPr>
        <w:t>万元，减少</w:t>
      </w:r>
      <w:r>
        <w:rPr>
          <w:rFonts w:hint="eastAsia" w:cs="仿宋_GB2312"/>
          <w:color w:val="000000"/>
          <w:kern w:val="2"/>
          <w:sz w:val="32"/>
          <w:szCs w:val="32"/>
          <w:lang w:val="en-US" w:eastAsia="zh-CN"/>
        </w:rPr>
        <w:t>10.37</w:t>
      </w:r>
      <w:r>
        <w:rPr>
          <w:rFonts w:hint="eastAsia" w:cs="仿宋_GB2312"/>
          <w:color w:val="000000"/>
          <w:kern w:val="2"/>
          <w:sz w:val="32"/>
          <w:szCs w:val="32"/>
        </w:rPr>
        <w:t xml:space="preserve">%。 </w:t>
      </w:r>
    </w:p>
    <w:p w14:paraId="66D808D1">
      <w:pPr>
        <w:pStyle w:val="13"/>
        <w:spacing w:before="0" w:line="360" w:lineRule="auto"/>
        <w:ind w:firstLine="640" w:firstLineChars="200"/>
        <w:rPr>
          <w:rFonts w:hint="default" w:eastAsia="仿宋_GB2312" w:cs="仿宋_GB2312"/>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2026年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100</w:t>
      </w:r>
      <w:r>
        <w:rPr>
          <w:rFonts w:hint="eastAsia" w:cs="仿宋_GB2312"/>
          <w:color w:val="000000"/>
          <w:kern w:val="2"/>
          <w:sz w:val="32"/>
          <w:szCs w:val="32"/>
        </w:rPr>
        <w:t>万元，主要</w:t>
      </w:r>
      <w:r>
        <w:rPr>
          <w:rFonts w:hint="eastAsia" w:cs="仿宋_GB2312"/>
          <w:kern w:val="2"/>
          <w:sz w:val="32"/>
          <w:szCs w:val="32"/>
        </w:rPr>
        <w:t>用于</w:t>
      </w:r>
      <w:r>
        <w:rPr>
          <w:rFonts w:hint="eastAsia" w:cs="仿宋_GB2312"/>
          <w:kern w:val="2"/>
          <w:sz w:val="32"/>
          <w:szCs w:val="32"/>
          <w:lang w:val="en-US" w:eastAsia="zh-CN"/>
        </w:rPr>
        <w:t>购置常规办案保障装备及执法执勤车辆。</w:t>
      </w:r>
    </w:p>
    <w:p w14:paraId="3795CFCC">
      <w:pPr>
        <w:pStyle w:val="13"/>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3EFBB3AF">
      <w:pPr>
        <w:pStyle w:val="13"/>
        <w:spacing w:before="0" w:line="360" w:lineRule="auto"/>
        <w:ind w:firstLine="640" w:firstLineChars="200"/>
        <w:rPr>
          <w:rFonts w:cs="仿宋_GB2312"/>
          <w:kern w:val="2"/>
          <w:sz w:val="32"/>
          <w:szCs w:val="32"/>
        </w:rPr>
      </w:pPr>
      <w:r>
        <w:rPr>
          <w:rFonts w:hint="eastAsia" w:cs="仿宋_GB2312"/>
          <w:kern w:val="2"/>
          <w:sz w:val="32"/>
          <w:szCs w:val="32"/>
        </w:rPr>
        <w:t>截至2025年12月31日，我单位固定资产1200万元。</w:t>
      </w:r>
    </w:p>
    <w:p w14:paraId="00C92E81">
      <w:pPr>
        <w:pStyle w:val="13"/>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6</w:t>
      </w:r>
      <w:r>
        <w:rPr>
          <w:rFonts w:hint="eastAsia" w:cs="仿宋_GB2312"/>
          <w:kern w:val="2"/>
          <w:sz w:val="32"/>
          <w:szCs w:val="32"/>
        </w:rPr>
        <w:t>年</w:t>
      </w:r>
      <w:r>
        <w:rPr>
          <w:rFonts w:hint="eastAsia" w:cs="仿宋_GB2312"/>
          <w:kern w:val="2"/>
          <w:sz w:val="32"/>
          <w:szCs w:val="32"/>
          <w:lang w:eastAsia="zh-CN"/>
        </w:rPr>
        <w:t>小金县人民检察院</w:t>
      </w:r>
      <w:r>
        <w:rPr>
          <w:rFonts w:hint="eastAsia" w:cs="仿宋_GB2312"/>
          <w:kern w:val="2"/>
          <w:sz w:val="32"/>
          <w:szCs w:val="32"/>
        </w:rPr>
        <w:t>均按要求实行绩效目标管理，结合财力，涉及一般公共预算当年拨款</w:t>
      </w:r>
      <w:r>
        <w:rPr>
          <w:rFonts w:hint="eastAsia" w:ascii="仿宋" w:hAnsi="仿宋" w:eastAsia="仿宋" w:cs="仿宋_GB2312"/>
          <w:color w:val="000000" w:themeColor="text1"/>
          <w:sz w:val="32"/>
          <w:szCs w:val="32"/>
          <w:lang w:val="en-US" w:eastAsia="zh-CN"/>
          <w14:textFill>
            <w14:solidFill>
              <w14:schemeClr w14:val="tx1"/>
            </w14:solidFill>
          </w14:textFill>
        </w:rPr>
        <w:t>541.05</w:t>
      </w:r>
      <w:r>
        <w:rPr>
          <w:rFonts w:hint="eastAsia" w:cs="仿宋_GB2312"/>
          <w:kern w:val="2"/>
          <w:sz w:val="32"/>
          <w:szCs w:val="32"/>
          <w:lang w:val="en-US" w:eastAsia="zh-CN"/>
        </w:rPr>
        <w:t>万</w:t>
      </w:r>
      <w:r>
        <w:rPr>
          <w:rFonts w:hint="eastAsia" w:cs="仿宋_GB2312"/>
          <w:kern w:val="2"/>
          <w:sz w:val="32"/>
          <w:szCs w:val="32"/>
        </w:rPr>
        <w:t>元。按要求编制了绩效目标，综合数量、时效、</w:t>
      </w:r>
      <w:r>
        <w:rPr>
          <w:rFonts w:hint="eastAsia" w:cs="仿宋_GB2312"/>
          <w:kern w:val="2"/>
          <w:sz w:val="32"/>
          <w:szCs w:val="32"/>
          <w:lang w:eastAsia="zh-CN"/>
        </w:rPr>
        <w:t>满意度等指标</w:t>
      </w:r>
      <w:r>
        <w:rPr>
          <w:rFonts w:hint="eastAsia" w:cs="仿宋_GB2312"/>
          <w:kern w:val="2"/>
          <w:sz w:val="32"/>
          <w:szCs w:val="32"/>
        </w:rPr>
        <w:t>，预期</w:t>
      </w:r>
      <w:r>
        <w:rPr>
          <w:rFonts w:hint="eastAsia" w:cs="仿宋_GB2312"/>
          <w:kern w:val="2"/>
          <w:sz w:val="32"/>
          <w:szCs w:val="32"/>
          <w:lang w:eastAsia="zh-CN"/>
        </w:rPr>
        <w:t>能够</w:t>
      </w:r>
      <w:r>
        <w:rPr>
          <w:rFonts w:hint="eastAsia" w:cs="仿宋_GB2312"/>
          <w:kern w:val="2"/>
          <w:sz w:val="32"/>
          <w:szCs w:val="32"/>
        </w:rPr>
        <w:t>达到社会效益、经济效益、生态效益、</w:t>
      </w:r>
      <w:r>
        <w:rPr>
          <w:rFonts w:hint="eastAsia" w:cs="仿宋_GB2312"/>
          <w:kern w:val="2"/>
          <w:sz w:val="32"/>
          <w:szCs w:val="32"/>
          <w:lang w:eastAsia="zh-CN"/>
        </w:rPr>
        <w:t>服务</w:t>
      </w:r>
      <w:r>
        <w:rPr>
          <w:rFonts w:hint="eastAsia" w:cs="仿宋_GB2312"/>
          <w:kern w:val="2"/>
          <w:sz w:val="32"/>
          <w:szCs w:val="32"/>
        </w:rPr>
        <w:t>对象满意度等情况。</w:t>
      </w:r>
    </w:p>
    <w:p w14:paraId="77997B96">
      <w:pPr>
        <w:pStyle w:val="13"/>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32E426B">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14C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6D33EF7"/>
    <w:rsid w:val="17207962"/>
    <w:rsid w:val="37D93564"/>
    <w:rsid w:val="3BD3519D"/>
    <w:rsid w:val="48562E99"/>
    <w:rsid w:val="4ACA3C0F"/>
    <w:rsid w:val="4C261319"/>
    <w:rsid w:val="5C5926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0"/>
    <w:pPr>
      <w:spacing w:after="120"/>
      <w:ind w:left="200" w:leftChars="200"/>
    </w:pPr>
    <w:rPr>
      <w:kern w:val="0"/>
      <w:sz w:val="20"/>
    </w:rPr>
  </w:style>
  <w:style w:type="paragraph" w:styleId="6">
    <w:name w:val="Body Text First Indent 2"/>
    <w:basedOn w:val="5"/>
    <w:qFormat/>
    <w:uiPriority w:val="0"/>
    <w:pPr>
      <w:widowControl/>
      <w:spacing w:after="0" w:line="540" w:lineRule="exact"/>
      <w:ind w:left="0" w:leftChars="0" w:firstLine="200" w:firstLineChars="200"/>
      <w:textAlignment w:val="baseline"/>
    </w:pPr>
    <w:rPr>
      <w:rFonts w:eastAsia="仿宋_GB2312"/>
      <w:color w:val="000000"/>
      <w:sz w:val="32"/>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2">
    <w:name w:val="List Paragraph"/>
    <w:basedOn w:val="1"/>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3147</Words>
  <Characters>3432</Characters>
  <Lines>124</Lines>
  <Paragraphs>51</Paragraphs>
  <TotalTime>8</TotalTime>
  <ScaleCrop>false</ScaleCrop>
  <LinksUpToDate>false</LinksUpToDate>
  <CharactersWithSpaces>3467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泥土的气息</cp:lastModifiedBy>
  <cp:lastPrinted>2026-02-09T11:10:58Z</cp:lastPrinted>
  <dcterms:modified xsi:type="dcterms:W3CDTF">2026-02-09T11:11:55Z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eyJoZGlkIjoiYjlkN2JhNzdlMDFjZWYzZDA0MWZhNzJjZjZjZjk4YjUiLCJ1c2VySWQiOiIxMTM3MzYzMDQwIn0=</vt:lpwstr>
  </property>
  <property fmtid="{D5CDD505-2E9C-101B-9397-08002B2CF9AE}" pid="4" name="ICV">
    <vt:lpwstr>EA1B8C32C8E848E093FAC78E96187A28_13</vt:lpwstr>
  </property>
</Properties>
</file>