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红原县人民法院</w:t>
      </w:r>
    </w:p>
    <w:p>
      <w:pPr>
        <w:jc w:val="center"/>
        <w:rPr>
          <w:rFonts w:ascii="黑体" w:hAnsi="黑体" w:eastAsia="黑体"/>
          <w:sz w:val="44"/>
          <w:szCs w:val="44"/>
        </w:rPr>
      </w:pPr>
      <w:bookmarkStart w:id="0" w:name="_GoBack"/>
      <w:bookmarkEnd w:id="0"/>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widowControl/>
        <w:shd w:val="clear" w:color="auto" w:fill="FFFFFF"/>
        <w:jc w:val="center"/>
        <w:rPr>
          <w:rFonts w:ascii="Arial" w:hAnsi="Arial" w:eastAsia="宋体" w:cs="Arial"/>
          <w:color w:val="000000"/>
          <w:kern w:val="0"/>
          <w:sz w:val="24"/>
          <w:szCs w:val="24"/>
        </w:rPr>
      </w:pPr>
    </w:p>
    <w:p>
      <w:pPr>
        <w:widowControl/>
        <w:shd w:val="clear" w:color="auto" w:fill="FFFFFF"/>
        <w:jc w:val="center"/>
        <w:rPr>
          <w:rFonts w:ascii="Arial" w:hAnsi="Arial" w:eastAsia="宋体" w:cs="Arial"/>
          <w:color w:val="000000"/>
          <w:kern w:val="0"/>
          <w:sz w:val="24"/>
          <w:szCs w:val="24"/>
        </w:rPr>
      </w:pPr>
    </w:p>
    <w:p>
      <w:pPr>
        <w:widowControl/>
        <w:shd w:val="clear" w:color="auto" w:fill="FFFFFF"/>
        <w:jc w:val="center"/>
        <w:rPr>
          <w:rFonts w:ascii="Arial" w:hAnsi="Arial" w:eastAsia="宋体" w:cs="Arial"/>
          <w:color w:val="000000"/>
          <w:kern w:val="0"/>
          <w:sz w:val="24"/>
          <w:szCs w:val="24"/>
        </w:rPr>
      </w:pPr>
    </w:p>
    <w:p>
      <w:pPr>
        <w:widowControl/>
        <w:shd w:val="clear" w:color="auto" w:fill="FFFFFF"/>
        <w:jc w:val="center"/>
        <w:rPr>
          <w:rFonts w:ascii="Arial" w:hAnsi="Arial" w:eastAsia="宋体" w:cs="Arial"/>
          <w:color w:val="000000"/>
          <w:kern w:val="0"/>
          <w:sz w:val="24"/>
          <w:szCs w:val="24"/>
        </w:rPr>
      </w:pPr>
      <w:r>
        <w:rPr>
          <w:rFonts w:ascii="Arial" w:hAnsi="Arial" w:eastAsia="宋体" w:cs="Arial"/>
          <w:color w:val="000000"/>
          <w:kern w:val="0"/>
          <w:sz w:val="24"/>
          <w:szCs w:val="24"/>
        </w:rPr>
        <w:t>已经保密审查、内容审定，同意对外公开</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 w:hAnsi="楷体" w:eastAsia="楷体"/>
          <w:sz w:val="32"/>
          <w:szCs w:val="32"/>
        </w:rPr>
      </w:pPr>
      <w:r>
        <w:rPr>
          <w:rFonts w:hint="eastAsia" w:ascii="楷体" w:hAnsi="楷体" w:eastAsia="楷体"/>
          <w:sz w:val="32"/>
          <w:szCs w:val="32"/>
        </w:rPr>
        <w:t>（一）部门职能简介</w:t>
      </w:r>
    </w:p>
    <w:p>
      <w:pPr>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w:t>
      </w:r>
      <w:r>
        <w:rPr>
          <w:rFonts w:hint="eastAsia" w:ascii="楷体" w:hAnsi="楷体" w:eastAsia="楷体"/>
          <w:sz w:val="32"/>
          <w:szCs w:val="32"/>
          <w:lang w:val="en-US" w:eastAsia="zh-CN"/>
        </w:rPr>
        <w:t>4</w:t>
      </w:r>
      <w:r>
        <w:rPr>
          <w:rFonts w:hint="eastAsia" w:ascii="楷体" w:hAnsi="楷体" w:eastAsia="楷体"/>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 w:hAnsi="楷体" w:eastAsia="楷体"/>
          <w:sz w:val="32"/>
          <w:szCs w:val="32"/>
        </w:rPr>
      </w:pPr>
      <w:r>
        <w:rPr>
          <w:rFonts w:hint="eastAsia" w:ascii="楷体" w:hAnsi="楷体" w:eastAsia="楷体"/>
          <w:sz w:val="32"/>
          <w:szCs w:val="32"/>
        </w:rPr>
        <w:t>（一）收入预算情况</w:t>
      </w:r>
    </w:p>
    <w:p>
      <w:pPr>
        <w:rPr>
          <w:rFonts w:ascii="楷体" w:hAnsi="楷体" w:eastAsia="楷体"/>
          <w:sz w:val="32"/>
          <w:szCs w:val="32"/>
        </w:rPr>
      </w:pPr>
      <w:r>
        <w:rPr>
          <w:rFonts w:hint="eastAsia" w:ascii="楷体" w:hAnsi="楷体" w:eastAsia="楷体"/>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 w:hAnsi="楷体" w:eastAsia="楷体"/>
          <w:sz w:val="32"/>
          <w:szCs w:val="32"/>
        </w:rPr>
        <w:t>（一）一般公共预算当年拨款规模变化情况</w:t>
      </w:r>
      <w:r>
        <w:rPr>
          <w:rFonts w:ascii="楷体" w:hAnsi="楷体" w:eastAsia="楷体"/>
          <w:sz w:val="32"/>
          <w:szCs w:val="32"/>
        </w:rPr>
        <w:br w:type="textWrapping"/>
      </w:r>
      <w:r>
        <w:rPr>
          <w:rFonts w:hint="eastAsia" w:ascii="楷体" w:hAnsi="楷体" w:eastAsia="楷体"/>
          <w:sz w:val="32"/>
          <w:szCs w:val="32"/>
        </w:rPr>
        <w:t>（二）一般公共预算当年拨款结构情况</w:t>
      </w:r>
      <w:r>
        <w:rPr>
          <w:rFonts w:ascii="楷体" w:hAnsi="楷体" w:eastAsia="楷体"/>
          <w:sz w:val="32"/>
          <w:szCs w:val="32"/>
        </w:rPr>
        <w:br w:type="textWrapping"/>
      </w:r>
      <w:r>
        <w:rPr>
          <w:rFonts w:hint="eastAsia" w:ascii="楷体" w:hAnsi="楷体" w:eastAsia="楷体"/>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hint="eastAsia" w:ascii="楷体" w:hAnsi="楷体" w:eastAsia="楷体" w:cs="Times New Roman"/>
          <w:kern w:val="2"/>
          <w:sz w:val="32"/>
          <w:szCs w:val="32"/>
          <w:lang w:val="en-US" w:eastAsia="zh-CN" w:bidi="ar-SA"/>
        </w:rPr>
      </w:pPr>
      <w:r>
        <w:rPr>
          <w:rFonts w:hint="eastAsia" w:ascii="楷体" w:hAnsi="楷体" w:eastAsia="楷体" w:cs="Times New Roman"/>
          <w:kern w:val="2"/>
          <w:sz w:val="32"/>
          <w:szCs w:val="32"/>
          <w:lang w:val="en-US" w:eastAsia="zh-CN" w:bidi="ar-SA"/>
        </w:rPr>
        <w:t>按照预算管理有关规定，目前部门预算的编制实行综合预算制度，即全部收入和支出都反映在预算中。</w:t>
      </w: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0" w:firstLineChars="200"/>
        <w:rPr>
          <w:rFonts w:ascii="楷体" w:hAnsi="楷体" w:eastAsia="楷体"/>
          <w:sz w:val="32"/>
          <w:szCs w:val="32"/>
        </w:rPr>
      </w:pPr>
      <w:r>
        <w:rPr>
          <w:rFonts w:hint="eastAsia" w:ascii="楷体" w:hAnsi="楷体" w:eastAsia="楷体"/>
          <w:sz w:val="32"/>
          <w:szCs w:val="32"/>
        </w:rPr>
        <w:t>（一）部门职能简介</w:t>
      </w:r>
    </w:p>
    <w:p>
      <w:pPr>
        <w:ind w:firstLine="640" w:firstLineChars="200"/>
        <w:rPr>
          <w:rFonts w:hint="eastAsia" w:ascii="楷体" w:hAnsi="楷体" w:eastAsia="楷体"/>
          <w:sz w:val="32"/>
          <w:szCs w:val="32"/>
        </w:rPr>
      </w:pPr>
      <w:r>
        <w:rPr>
          <w:rFonts w:hint="eastAsia" w:ascii="楷体" w:hAnsi="楷体" w:eastAsia="楷体"/>
          <w:sz w:val="32"/>
          <w:szCs w:val="32"/>
        </w:rPr>
        <w:t>1．主要职能。法院作为国家审判机关，在各级党委、政府的指导下依法独立行使审判权，对县人民代表大会及其常务委员会负责并报告工作。人民法院作为国家的司法机关，承担着维护社会公平正义、保障公民权益、维护法律尊严的重要职责。它的主要职能包括审判、执行和监督，通过司法权力的行使，维护社会秩序，保护人民的合法权益，促进社会稳定和经济发展。</w:t>
      </w:r>
    </w:p>
    <w:p>
      <w:pPr>
        <w:ind w:firstLine="640" w:firstLineChars="200"/>
        <w:rPr>
          <w:rFonts w:hint="eastAsia" w:ascii="楷体" w:hAnsi="楷体" w:eastAsia="楷体"/>
          <w:sz w:val="32"/>
          <w:szCs w:val="32"/>
        </w:rPr>
      </w:pPr>
      <w:r>
        <w:rPr>
          <w:rFonts w:hint="eastAsia" w:ascii="楷体" w:hAnsi="楷体" w:eastAsia="楷体"/>
          <w:sz w:val="32"/>
          <w:szCs w:val="32"/>
        </w:rPr>
        <w:t>2．人员情况。现有政法专项编制43名，行政工勤编制2名；在编在岗干警4</w:t>
      </w:r>
      <w:r>
        <w:rPr>
          <w:rFonts w:hint="eastAsia" w:ascii="楷体" w:hAnsi="楷体" w:eastAsia="楷体"/>
          <w:sz w:val="32"/>
          <w:szCs w:val="32"/>
          <w:lang w:val="en-US" w:eastAsia="zh-CN"/>
        </w:rPr>
        <w:t>0</w:t>
      </w:r>
      <w:r>
        <w:rPr>
          <w:rFonts w:hint="eastAsia" w:ascii="楷体" w:hAnsi="楷体" w:eastAsia="楷体"/>
          <w:sz w:val="32"/>
          <w:szCs w:val="32"/>
        </w:rPr>
        <w:t>人，聘用制书记员</w:t>
      </w:r>
      <w:r>
        <w:rPr>
          <w:rFonts w:hint="eastAsia" w:ascii="楷体" w:hAnsi="楷体" w:eastAsia="楷体"/>
          <w:sz w:val="32"/>
          <w:szCs w:val="32"/>
          <w:lang w:val="en-US" w:eastAsia="zh-CN"/>
        </w:rPr>
        <w:t>15</w:t>
      </w:r>
      <w:r>
        <w:rPr>
          <w:rFonts w:hint="eastAsia" w:ascii="楷体" w:hAnsi="楷体" w:eastAsia="楷体"/>
          <w:sz w:val="32"/>
          <w:szCs w:val="32"/>
        </w:rPr>
        <w:t>人。</w:t>
      </w:r>
    </w:p>
    <w:p>
      <w:pPr>
        <w:ind w:firstLine="640" w:firstLineChars="200"/>
        <w:rPr>
          <w:rFonts w:hint="eastAsia"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w:t>
      </w:r>
      <w:r>
        <w:rPr>
          <w:rFonts w:hint="eastAsia" w:ascii="楷体" w:hAnsi="楷体" w:eastAsia="楷体"/>
          <w:sz w:val="32"/>
          <w:szCs w:val="32"/>
          <w:lang w:val="en-US" w:eastAsia="zh-CN"/>
        </w:rPr>
        <w:t>4</w:t>
      </w:r>
      <w:r>
        <w:rPr>
          <w:rFonts w:hint="eastAsia" w:ascii="楷体" w:hAnsi="楷体" w:eastAsia="楷体"/>
          <w:sz w:val="32"/>
          <w:szCs w:val="32"/>
        </w:rPr>
        <w:t>年重点工作</w:t>
      </w:r>
    </w:p>
    <w:p>
      <w:pPr>
        <w:pStyle w:val="6"/>
        <w:numPr>
          <w:ilvl w:val="0"/>
          <w:numId w:val="0"/>
        </w:numPr>
        <w:ind w:firstLine="640" w:firstLineChars="200"/>
        <w:rPr>
          <w:rFonts w:hint="eastAsia" w:ascii="楷体" w:hAnsi="楷体" w:eastAsia="楷体"/>
          <w:sz w:val="32"/>
          <w:szCs w:val="32"/>
        </w:rPr>
      </w:pPr>
      <w:r>
        <w:rPr>
          <w:rFonts w:hint="eastAsia" w:ascii="楷体" w:hAnsi="楷体" w:eastAsia="楷体"/>
          <w:sz w:val="32"/>
          <w:szCs w:val="32"/>
        </w:rPr>
        <w:t>2024年红原法院工作的总体思路是：始终坚持以习近平新时代中国特色社会主义思想为指导，深入学习贯彻习近平法治思想，全面贯彻党的二十大和二十届历次全会精神，全面落实本次大会决议，坚决把党的绝对领导贯穿到法院工作各领域各环节，全面贯彻落实中央、省委、州委、县委重大决策部署和上级法院工作安排，聚焦“努力让人民群众在每一个司法案件中感受到公平正义”目标，紧紧围绕县委紧扣“五个关键”、实施“五个工程”、争创“五个示范”、建成“五个家园”奋斗目标，坚持打造忠诚干净担当高原法院铁军，在谱写雪域高原长治久安和高质量发展新篇章中担当作为，为建设团结富裕文明和谐美丽的社会主义现代化新红原提供优质高效司法服务和保障。</w:t>
      </w:r>
    </w:p>
    <w:p>
      <w:pPr>
        <w:pStyle w:val="6"/>
        <w:ind w:firstLine="640"/>
        <w:rPr>
          <w:rFonts w:hint="eastAsia"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部门预算单位构成</w:t>
      </w:r>
    </w:p>
    <w:p>
      <w:pPr>
        <w:pStyle w:val="6"/>
        <w:rPr>
          <w:rFonts w:hint="eastAsia" w:ascii="楷体" w:hAnsi="楷体" w:eastAsia="楷体" w:cs="Times New Roman"/>
          <w:kern w:val="2"/>
          <w:sz w:val="32"/>
          <w:szCs w:val="32"/>
          <w:lang w:val="en-US" w:eastAsia="zh-CN" w:bidi="ar-SA"/>
        </w:rPr>
      </w:pPr>
      <w:r>
        <w:rPr>
          <w:rFonts w:hint="eastAsia" w:ascii="楷体" w:hAnsi="楷体" w:eastAsia="楷体" w:cs="Times New Roman"/>
          <w:kern w:val="2"/>
          <w:sz w:val="32"/>
          <w:szCs w:val="32"/>
          <w:lang w:val="en-US" w:eastAsia="zh-CN" w:bidi="ar-SA"/>
        </w:rPr>
        <w:t>现有内设机构6个，涉及综合办公室、政治部（督察室）、综合审判庭（环境资源审判庭）、立案庭（诉讼服务中心）、执行局、法警大队；2个派出法庭：刷经寺人民法庭、流动法庭。</w:t>
      </w:r>
    </w:p>
    <w:p>
      <w:pPr>
        <w:pStyle w:val="6"/>
        <w:rPr>
          <w:rFonts w:ascii="黑体" w:hAnsi="黑体" w:eastAsia="黑体"/>
          <w:sz w:val="32"/>
          <w:szCs w:val="32"/>
        </w:rPr>
      </w:pPr>
      <w:r>
        <w:rPr>
          <w:rFonts w:hint="eastAsia" w:ascii="黑体" w:hAnsi="黑体" w:eastAsia="黑体"/>
          <w:sz w:val="32"/>
          <w:szCs w:val="32"/>
        </w:rPr>
        <w:t>三、收支预算情况说明</w:t>
      </w:r>
    </w:p>
    <w:p>
      <w:pPr>
        <w:ind w:firstLine="640" w:firstLineChars="200"/>
        <w:rPr>
          <w:rFonts w:hint="eastAsia" w:ascii="楷体" w:hAnsi="楷体" w:eastAsia="楷体"/>
          <w:sz w:val="32"/>
          <w:szCs w:val="32"/>
        </w:rPr>
      </w:pPr>
      <w:r>
        <w:rPr>
          <w:rFonts w:hint="eastAsia" w:ascii="楷体" w:hAnsi="楷体" w:eastAsia="楷体"/>
          <w:sz w:val="32"/>
          <w:szCs w:val="32"/>
        </w:rPr>
        <w:t>（一）收入预算情况</w:t>
      </w:r>
    </w:p>
    <w:p>
      <w:pPr>
        <w:ind w:firstLine="640" w:firstLineChars="200"/>
        <w:rPr>
          <w:rFonts w:hint="eastAsia" w:ascii="楷体" w:hAnsi="楷体" w:eastAsia="楷体"/>
          <w:sz w:val="32"/>
          <w:szCs w:val="32"/>
        </w:rPr>
      </w:pPr>
      <w:r>
        <w:rPr>
          <w:rFonts w:hint="eastAsia" w:ascii="楷体" w:hAnsi="楷体" w:eastAsia="楷体"/>
          <w:sz w:val="32"/>
          <w:szCs w:val="32"/>
        </w:rPr>
        <w:t>202</w:t>
      </w:r>
      <w:r>
        <w:rPr>
          <w:rFonts w:hint="eastAsia" w:ascii="楷体" w:hAnsi="楷体" w:eastAsia="楷体"/>
          <w:sz w:val="32"/>
          <w:szCs w:val="32"/>
          <w:lang w:val="en-US" w:eastAsia="zh-CN"/>
        </w:rPr>
        <w:t>4</w:t>
      </w:r>
      <w:r>
        <w:rPr>
          <w:rFonts w:hint="eastAsia" w:ascii="楷体" w:hAnsi="楷体" w:eastAsia="楷体"/>
          <w:sz w:val="32"/>
          <w:szCs w:val="32"/>
        </w:rPr>
        <w:t>年红原县人民法院收入预算总额为</w:t>
      </w:r>
      <w:r>
        <w:rPr>
          <w:rFonts w:hint="eastAsia" w:ascii="楷体" w:hAnsi="楷体" w:eastAsia="楷体"/>
          <w:sz w:val="32"/>
          <w:szCs w:val="32"/>
          <w:lang w:val="en-US" w:eastAsia="zh-CN"/>
        </w:rPr>
        <w:t>1038.40</w:t>
      </w:r>
      <w:r>
        <w:rPr>
          <w:rFonts w:hint="eastAsia" w:ascii="楷体" w:hAnsi="楷体" w:eastAsia="楷体"/>
          <w:sz w:val="32"/>
          <w:szCs w:val="32"/>
        </w:rPr>
        <w:t>万元，其中：当年财政拨款收入</w:t>
      </w:r>
      <w:r>
        <w:rPr>
          <w:rFonts w:hint="eastAsia" w:ascii="楷体" w:hAnsi="楷体" w:eastAsia="楷体"/>
          <w:sz w:val="32"/>
          <w:szCs w:val="32"/>
          <w:lang w:val="en-US" w:eastAsia="zh-CN"/>
        </w:rPr>
        <w:t>1038.40</w:t>
      </w:r>
      <w:r>
        <w:rPr>
          <w:rFonts w:hint="eastAsia" w:ascii="楷体" w:hAnsi="楷体" w:eastAsia="楷体"/>
          <w:sz w:val="32"/>
          <w:szCs w:val="32"/>
        </w:rPr>
        <w:t>万元。相应安排支出预算</w:t>
      </w:r>
      <w:r>
        <w:rPr>
          <w:rFonts w:hint="eastAsia" w:ascii="楷体" w:hAnsi="楷体" w:eastAsia="楷体"/>
          <w:sz w:val="32"/>
          <w:szCs w:val="32"/>
          <w:lang w:val="en-US" w:eastAsia="zh-CN"/>
        </w:rPr>
        <w:t>1038.40</w:t>
      </w:r>
      <w:r>
        <w:rPr>
          <w:rFonts w:hint="eastAsia" w:ascii="楷体" w:hAnsi="楷体" w:eastAsia="楷体"/>
          <w:sz w:val="32"/>
          <w:szCs w:val="32"/>
        </w:rPr>
        <w:t>万元，其中：</w:t>
      </w:r>
      <w:r>
        <w:rPr>
          <w:rFonts w:hint="eastAsia" w:ascii="楷体" w:hAnsi="楷体" w:eastAsia="楷体"/>
          <w:sz w:val="32"/>
          <w:szCs w:val="32"/>
          <w:lang w:val="en-US" w:eastAsia="zh-CN"/>
        </w:rPr>
        <w:t>公共安全支出745.00</w:t>
      </w:r>
      <w:r>
        <w:rPr>
          <w:rFonts w:hint="eastAsia" w:ascii="楷体" w:hAnsi="楷体" w:eastAsia="楷体"/>
          <w:sz w:val="32"/>
          <w:szCs w:val="32"/>
        </w:rPr>
        <w:t>万元，社会保障和就业</w:t>
      </w:r>
      <w:r>
        <w:rPr>
          <w:rFonts w:hint="eastAsia" w:ascii="楷体" w:hAnsi="楷体" w:eastAsia="楷体"/>
          <w:sz w:val="32"/>
          <w:szCs w:val="32"/>
          <w:lang w:val="en-US" w:eastAsia="zh-CN"/>
        </w:rPr>
        <w:t>158.62</w:t>
      </w:r>
      <w:r>
        <w:rPr>
          <w:rFonts w:hint="eastAsia" w:ascii="楷体" w:hAnsi="楷体" w:eastAsia="楷体"/>
          <w:sz w:val="32"/>
          <w:szCs w:val="32"/>
        </w:rPr>
        <w:t>万元，医疗卫生</w:t>
      </w:r>
      <w:r>
        <w:rPr>
          <w:rFonts w:hint="eastAsia" w:ascii="楷体" w:hAnsi="楷体" w:eastAsia="楷体"/>
          <w:sz w:val="32"/>
          <w:szCs w:val="32"/>
          <w:lang w:val="en-US" w:eastAsia="zh-CN"/>
        </w:rPr>
        <w:t>57.30</w:t>
      </w:r>
      <w:r>
        <w:rPr>
          <w:rFonts w:hint="eastAsia" w:ascii="楷体" w:hAnsi="楷体" w:eastAsia="楷体"/>
          <w:sz w:val="32"/>
          <w:szCs w:val="32"/>
        </w:rPr>
        <w:t>万元，住房保障支出</w:t>
      </w:r>
      <w:r>
        <w:rPr>
          <w:rFonts w:hint="eastAsia" w:ascii="楷体" w:hAnsi="楷体" w:eastAsia="楷体"/>
          <w:sz w:val="32"/>
          <w:szCs w:val="32"/>
          <w:lang w:val="en-US" w:eastAsia="zh-CN"/>
        </w:rPr>
        <w:t>77.49</w:t>
      </w:r>
      <w:r>
        <w:rPr>
          <w:rFonts w:hint="eastAsia" w:ascii="楷体" w:hAnsi="楷体" w:eastAsia="楷体"/>
          <w:sz w:val="32"/>
          <w:szCs w:val="32"/>
        </w:rPr>
        <w:t>万元。</w:t>
      </w:r>
    </w:p>
    <w:p>
      <w:pPr>
        <w:numPr>
          <w:ilvl w:val="0"/>
          <w:numId w:val="1"/>
        </w:numPr>
        <w:ind w:left="640" w:leftChars="0" w:firstLine="0" w:firstLineChars="0"/>
        <w:jc w:val="left"/>
        <w:rPr>
          <w:rFonts w:hint="eastAsia" w:ascii="楷体" w:hAnsi="楷体" w:eastAsia="楷体" w:cs="仿宋_GB2312"/>
          <w:sz w:val="32"/>
          <w:szCs w:val="32"/>
        </w:rPr>
      </w:pPr>
      <w:r>
        <w:rPr>
          <w:rFonts w:hint="eastAsia" w:ascii="楷体" w:hAnsi="楷体" w:eastAsia="楷体" w:cs="仿宋_GB2312"/>
          <w:sz w:val="32"/>
          <w:szCs w:val="32"/>
        </w:rPr>
        <w:t>支出预算情况</w:t>
      </w:r>
    </w:p>
    <w:p>
      <w:pPr>
        <w:widowControl w:val="0"/>
        <w:numPr>
          <w:ilvl w:val="0"/>
          <w:numId w:val="0"/>
        </w:numPr>
        <w:jc w:val="left"/>
        <w:rPr>
          <w:rFonts w:hint="eastAsia" w:ascii="楷体" w:hAnsi="楷体" w:eastAsia="楷体" w:cs="仿宋_GB2312"/>
          <w:sz w:val="32"/>
          <w:szCs w:val="32"/>
        </w:rPr>
      </w:pPr>
      <w:r>
        <w:rPr>
          <w:rFonts w:hint="eastAsia" w:ascii="楷体" w:hAnsi="楷体" w:eastAsia="楷体" w:cs="仿宋_GB2312"/>
          <w:sz w:val="32"/>
          <w:szCs w:val="32"/>
        </w:rPr>
        <w:t xml:space="preserve">  红原县人民法院预算安排支出主要用于保障该部门机构正常运转、完成日常工作任务。  </w:t>
      </w:r>
    </w:p>
    <w:p>
      <w:pPr>
        <w:widowControl w:val="0"/>
        <w:numPr>
          <w:ilvl w:val="0"/>
          <w:numId w:val="0"/>
        </w:numPr>
        <w:ind w:firstLine="640" w:firstLineChars="200"/>
        <w:jc w:val="left"/>
        <w:rPr>
          <w:rFonts w:hint="eastAsia" w:ascii="楷体" w:hAnsi="楷体" w:eastAsia="楷体" w:cs="仿宋_GB2312"/>
          <w:sz w:val="32"/>
          <w:szCs w:val="32"/>
        </w:rPr>
      </w:pPr>
      <w:r>
        <w:rPr>
          <w:rFonts w:hint="eastAsia" w:ascii="楷体" w:hAnsi="楷体" w:eastAsia="楷体" w:cs="仿宋_GB2312"/>
          <w:sz w:val="32"/>
          <w:szCs w:val="32"/>
        </w:rPr>
        <w:t>基本支出</w:t>
      </w:r>
      <w:r>
        <w:rPr>
          <w:rFonts w:hint="eastAsia" w:ascii="楷体" w:hAnsi="楷体" w:eastAsia="楷体" w:cs="仿宋_GB2312"/>
          <w:sz w:val="32"/>
          <w:szCs w:val="32"/>
          <w:lang w:val="en-US" w:eastAsia="zh-CN"/>
        </w:rPr>
        <w:t>1038.40</w:t>
      </w:r>
      <w:r>
        <w:rPr>
          <w:rFonts w:hint="eastAsia" w:ascii="楷体" w:hAnsi="楷体" w:eastAsia="楷体" w:cs="仿宋_GB2312"/>
          <w:sz w:val="32"/>
          <w:szCs w:val="32"/>
        </w:rPr>
        <w:t>万元。其中人员经费支出</w:t>
      </w:r>
      <w:r>
        <w:rPr>
          <w:rFonts w:hint="eastAsia" w:ascii="楷体" w:hAnsi="楷体" w:eastAsia="楷体" w:cs="仿宋_GB2312"/>
          <w:sz w:val="32"/>
          <w:szCs w:val="32"/>
          <w:lang w:val="en-US" w:eastAsia="zh-CN"/>
        </w:rPr>
        <w:t>918.26</w:t>
      </w:r>
      <w:r>
        <w:rPr>
          <w:rFonts w:hint="eastAsia" w:ascii="楷体" w:hAnsi="楷体" w:eastAsia="楷体" w:cs="仿宋_GB2312"/>
          <w:sz w:val="32"/>
          <w:szCs w:val="32"/>
        </w:rPr>
        <w:t>万元，</w:t>
      </w:r>
      <w:r>
        <w:rPr>
          <w:rFonts w:hint="eastAsia" w:ascii="楷体" w:hAnsi="楷体" w:eastAsia="楷体" w:cs="仿宋_GB2312"/>
          <w:sz w:val="32"/>
          <w:szCs w:val="32"/>
          <w:lang w:val="en-US" w:eastAsia="zh-CN"/>
        </w:rPr>
        <w:t>公用经费120.14</w:t>
      </w:r>
      <w:r>
        <w:rPr>
          <w:rFonts w:hint="eastAsia" w:ascii="楷体" w:hAnsi="楷体" w:eastAsia="楷体" w:cs="仿宋_GB2312"/>
          <w:sz w:val="32"/>
          <w:szCs w:val="32"/>
        </w:rPr>
        <w:t>万元</w:t>
      </w:r>
      <w:r>
        <w:rPr>
          <w:rFonts w:hint="eastAsia" w:ascii="楷体" w:hAnsi="楷体" w:eastAsia="楷体" w:cs="仿宋_GB2312"/>
          <w:sz w:val="32"/>
          <w:szCs w:val="32"/>
          <w:lang w:eastAsia="zh-CN"/>
        </w:rPr>
        <w:t>。</w:t>
      </w:r>
      <w:r>
        <w:rPr>
          <w:rFonts w:hint="eastAsia" w:ascii="楷体" w:hAnsi="楷体" w:eastAsia="楷体" w:cs="仿宋_GB2312"/>
          <w:sz w:val="32"/>
          <w:szCs w:val="32"/>
        </w:rPr>
        <w:t>其中：办公费</w:t>
      </w:r>
      <w:r>
        <w:rPr>
          <w:rFonts w:hint="eastAsia" w:ascii="楷体" w:hAnsi="楷体" w:eastAsia="楷体" w:cs="仿宋_GB2312"/>
          <w:sz w:val="32"/>
          <w:szCs w:val="32"/>
          <w:lang w:val="en-US" w:eastAsia="zh-CN"/>
        </w:rPr>
        <w:t>4.32</w:t>
      </w:r>
      <w:r>
        <w:rPr>
          <w:rFonts w:hint="eastAsia" w:ascii="楷体" w:hAnsi="楷体" w:eastAsia="楷体" w:cs="仿宋_GB2312"/>
          <w:sz w:val="32"/>
          <w:szCs w:val="32"/>
        </w:rPr>
        <w:t>万元，水费</w:t>
      </w:r>
      <w:r>
        <w:rPr>
          <w:rFonts w:hint="eastAsia" w:ascii="楷体" w:hAnsi="楷体" w:eastAsia="楷体" w:cs="仿宋_GB2312"/>
          <w:sz w:val="32"/>
          <w:szCs w:val="32"/>
          <w:lang w:val="en-US" w:eastAsia="zh-CN"/>
        </w:rPr>
        <w:t>1.30</w:t>
      </w:r>
      <w:r>
        <w:rPr>
          <w:rFonts w:hint="eastAsia" w:ascii="楷体" w:hAnsi="楷体" w:eastAsia="楷体" w:cs="仿宋_GB2312"/>
          <w:sz w:val="32"/>
          <w:szCs w:val="32"/>
        </w:rPr>
        <w:t>万元，邮电费</w:t>
      </w:r>
      <w:r>
        <w:rPr>
          <w:rFonts w:hint="eastAsia" w:ascii="楷体" w:hAnsi="楷体" w:eastAsia="楷体" w:cs="仿宋_GB2312"/>
          <w:sz w:val="32"/>
          <w:szCs w:val="32"/>
          <w:lang w:val="en-US" w:eastAsia="zh-CN"/>
        </w:rPr>
        <w:t>13.10</w:t>
      </w:r>
      <w:r>
        <w:rPr>
          <w:rFonts w:hint="eastAsia" w:ascii="楷体" w:hAnsi="楷体" w:eastAsia="楷体" w:cs="仿宋_GB2312"/>
          <w:sz w:val="32"/>
          <w:szCs w:val="32"/>
        </w:rPr>
        <w:t>万元，取暖费</w:t>
      </w:r>
      <w:r>
        <w:rPr>
          <w:rFonts w:hint="eastAsia" w:ascii="楷体" w:hAnsi="楷体" w:eastAsia="楷体" w:cs="仿宋_GB2312"/>
          <w:sz w:val="32"/>
          <w:szCs w:val="32"/>
          <w:lang w:val="en-US" w:eastAsia="zh-CN"/>
        </w:rPr>
        <w:t>1.73</w:t>
      </w:r>
      <w:r>
        <w:rPr>
          <w:rFonts w:hint="eastAsia" w:ascii="楷体" w:hAnsi="楷体" w:eastAsia="楷体" w:cs="仿宋_GB2312"/>
          <w:sz w:val="32"/>
          <w:szCs w:val="32"/>
        </w:rPr>
        <w:t>万元，差旅费</w:t>
      </w:r>
      <w:r>
        <w:rPr>
          <w:rFonts w:hint="eastAsia" w:ascii="楷体" w:hAnsi="楷体" w:eastAsia="楷体" w:cs="仿宋_GB2312"/>
          <w:sz w:val="32"/>
          <w:szCs w:val="32"/>
          <w:lang w:val="en-US" w:eastAsia="zh-CN"/>
        </w:rPr>
        <w:t>19.01</w:t>
      </w:r>
      <w:r>
        <w:rPr>
          <w:rFonts w:hint="eastAsia" w:ascii="楷体" w:hAnsi="楷体" w:eastAsia="楷体" w:cs="仿宋_GB2312"/>
          <w:sz w:val="32"/>
          <w:szCs w:val="32"/>
        </w:rPr>
        <w:t>万元，维修</w:t>
      </w:r>
      <w:r>
        <w:rPr>
          <w:rFonts w:hint="eastAsia" w:ascii="楷体" w:hAnsi="楷体" w:eastAsia="楷体" w:cs="仿宋_GB2312"/>
          <w:sz w:val="32"/>
          <w:szCs w:val="32"/>
          <w:lang w:eastAsia="zh-CN"/>
        </w:rPr>
        <w:t>（</w:t>
      </w:r>
      <w:r>
        <w:rPr>
          <w:rFonts w:hint="eastAsia" w:ascii="楷体" w:hAnsi="楷体" w:eastAsia="楷体" w:cs="仿宋_GB2312"/>
          <w:sz w:val="32"/>
          <w:szCs w:val="32"/>
        </w:rPr>
        <w:t>护</w:t>
      </w:r>
      <w:r>
        <w:rPr>
          <w:rFonts w:hint="eastAsia" w:ascii="楷体" w:hAnsi="楷体" w:eastAsia="楷体" w:cs="仿宋_GB2312"/>
          <w:sz w:val="32"/>
          <w:szCs w:val="32"/>
          <w:lang w:eastAsia="zh-CN"/>
        </w:rPr>
        <w:t>）</w:t>
      </w:r>
      <w:r>
        <w:rPr>
          <w:rFonts w:hint="eastAsia" w:ascii="楷体" w:hAnsi="楷体" w:eastAsia="楷体" w:cs="仿宋_GB2312"/>
          <w:sz w:val="32"/>
          <w:szCs w:val="32"/>
        </w:rPr>
        <w:t>费</w:t>
      </w:r>
      <w:r>
        <w:rPr>
          <w:rFonts w:hint="eastAsia" w:ascii="楷体" w:hAnsi="楷体" w:eastAsia="楷体" w:cs="仿宋_GB2312"/>
          <w:sz w:val="32"/>
          <w:szCs w:val="32"/>
          <w:lang w:val="en-US" w:eastAsia="zh-CN"/>
        </w:rPr>
        <w:t>3.79</w:t>
      </w:r>
      <w:r>
        <w:rPr>
          <w:rFonts w:hint="eastAsia" w:ascii="楷体" w:hAnsi="楷体" w:eastAsia="楷体" w:cs="仿宋_GB2312"/>
          <w:sz w:val="32"/>
          <w:szCs w:val="32"/>
        </w:rPr>
        <w:t>万元，培训费</w:t>
      </w:r>
      <w:r>
        <w:rPr>
          <w:rFonts w:hint="eastAsia" w:ascii="楷体" w:hAnsi="楷体" w:eastAsia="楷体" w:cs="仿宋_GB2312"/>
          <w:sz w:val="32"/>
          <w:szCs w:val="32"/>
          <w:lang w:val="en-US" w:eastAsia="zh-CN"/>
        </w:rPr>
        <w:t>8.72</w:t>
      </w:r>
      <w:r>
        <w:rPr>
          <w:rFonts w:hint="eastAsia" w:ascii="楷体" w:hAnsi="楷体" w:eastAsia="楷体" w:cs="仿宋_GB2312"/>
          <w:sz w:val="32"/>
          <w:szCs w:val="32"/>
        </w:rPr>
        <w:t>万元，公务接待费1.6</w:t>
      </w:r>
      <w:r>
        <w:rPr>
          <w:rFonts w:hint="eastAsia" w:ascii="楷体" w:hAnsi="楷体" w:eastAsia="楷体" w:cs="仿宋_GB2312"/>
          <w:sz w:val="32"/>
          <w:szCs w:val="32"/>
          <w:lang w:val="en-US" w:eastAsia="zh-CN"/>
        </w:rPr>
        <w:t>7</w:t>
      </w:r>
      <w:r>
        <w:rPr>
          <w:rFonts w:hint="eastAsia" w:ascii="楷体" w:hAnsi="楷体" w:eastAsia="楷体" w:cs="仿宋_GB2312"/>
          <w:sz w:val="32"/>
          <w:szCs w:val="32"/>
        </w:rPr>
        <w:t>万元，福利费</w:t>
      </w:r>
      <w:r>
        <w:rPr>
          <w:rFonts w:hint="eastAsia" w:ascii="楷体" w:hAnsi="楷体" w:eastAsia="楷体" w:cs="仿宋_GB2312"/>
          <w:sz w:val="32"/>
          <w:szCs w:val="32"/>
          <w:lang w:val="en-US" w:eastAsia="zh-CN"/>
        </w:rPr>
        <w:t>4.77</w:t>
      </w:r>
      <w:r>
        <w:rPr>
          <w:rFonts w:hint="eastAsia" w:ascii="楷体" w:hAnsi="楷体" w:eastAsia="楷体" w:cs="仿宋_GB2312"/>
          <w:sz w:val="32"/>
          <w:szCs w:val="32"/>
        </w:rPr>
        <w:t>万元，</w:t>
      </w:r>
      <w:r>
        <w:rPr>
          <w:rFonts w:hint="eastAsia" w:ascii="楷体" w:hAnsi="楷体" w:eastAsia="楷体" w:cs="仿宋_GB2312"/>
          <w:sz w:val="32"/>
          <w:szCs w:val="32"/>
          <w:lang w:val="en-US" w:eastAsia="zh-CN"/>
        </w:rPr>
        <w:t>体检费7.86万元，</w:t>
      </w:r>
      <w:r>
        <w:rPr>
          <w:rFonts w:hint="eastAsia" w:ascii="楷体" w:hAnsi="楷体" w:eastAsia="楷体" w:cs="仿宋_GB2312"/>
          <w:sz w:val="32"/>
          <w:szCs w:val="32"/>
        </w:rPr>
        <w:t>公务用车运行维护费</w:t>
      </w:r>
      <w:r>
        <w:rPr>
          <w:rFonts w:hint="eastAsia" w:ascii="楷体" w:hAnsi="楷体" w:eastAsia="楷体" w:cs="仿宋_GB2312"/>
          <w:sz w:val="32"/>
          <w:szCs w:val="32"/>
          <w:lang w:val="en-US" w:eastAsia="zh-CN"/>
        </w:rPr>
        <w:t>18.00</w:t>
      </w:r>
      <w:r>
        <w:rPr>
          <w:rFonts w:hint="eastAsia" w:ascii="楷体" w:hAnsi="楷体" w:eastAsia="楷体" w:cs="仿宋_GB2312"/>
          <w:sz w:val="32"/>
          <w:szCs w:val="32"/>
        </w:rPr>
        <w:t>万元，</w:t>
      </w:r>
      <w:r>
        <w:rPr>
          <w:rFonts w:hint="eastAsia" w:ascii="楷体" w:hAnsi="楷体" w:eastAsia="楷体" w:cs="仿宋_GB2312"/>
          <w:sz w:val="32"/>
          <w:szCs w:val="32"/>
          <w:lang w:val="en-US" w:eastAsia="zh-CN"/>
        </w:rPr>
        <w:t>党组织活动经费12.91万元，</w:t>
      </w:r>
      <w:r>
        <w:rPr>
          <w:rFonts w:hint="eastAsia" w:ascii="楷体" w:hAnsi="楷体" w:eastAsia="楷体" w:cs="仿宋_GB2312"/>
          <w:sz w:val="32"/>
          <w:szCs w:val="32"/>
        </w:rPr>
        <w:t>其他商品和服务支出</w:t>
      </w:r>
      <w:r>
        <w:rPr>
          <w:rFonts w:hint="eastAsia" w:ascii="楷体" w:hAnsi="楷体" w:eastAsia="楷体" w:cs="仿宋_GB2312"/>
          <w:sz w:val="32"/>
          <w:szCs w:val="32"/>
          <w:lang w:val="en-US" w:eastAsia="zh-CN"/>
        </w:rPr>
        <w:t>22.96</w:t>
      </w:r>
      <w:r>
        <w:rPr>
          <w:rFonts w:hint="eastAsia" w:ascii="楷体" w:hAnsi="楷体" w:eastAsia="楷体" w:cs="仿宋_GB2312"/>
          <w:sz w:val="32"/>
          <w:szCs w:val="32"/>
        </w:rPr>
        <w:t>万元。</w:t>
      </w:r>
    </w:p>
    <w:p>
      <w:pPr>
        <w:widowControl w:val="0"/>
        <w:numPr>
          <w:ilvl w:val="0"/>
          <w:numId w:val="0"/>
        </w:numPr>
        <w:ind w:firstLine="640" w:firstLineChars="200"/>
        <w:jc w:val="left"/>
        <w:rPr>
          <w:rFonts w:hint="eastAsia" w:ascii="楷体" w:hAnsi="楷体" w:eastAsia="楷体" w:cs="仿宋_GB2312"/>
          <w:sz w:val="32"/>
          <w:szCs w:val="32"/>
        </w:rPr>
      </w:pPr>
      <w:r>
        <w:rPr>
          <w:rFonts w:hint="eastAsia" w:ascii="楷体" w:hAnsi="楷体" w:eastAsia="楷体" w:cs="仿宋_GB2312"/>
          <w:sz w:val="32"/>
          <w:szCs w:val="32"/>
        </w:rPr>
        <w:t>按支出功能分类主要用于以下方面:</w:t>
      </w:r>
    </w:p>
    <w:p>
      <w:pPr>
        <w:widowControl w:val="0"/>
        <w:numPr>
          <w:ilvl w:val="0"/>
          <w:numId w:val="0"/>
        </w:numPr>
        <w:ind w:firstLine="640" w:firstLineChars="200"/>
        <w:jc w:val="left"/>
        <w:rPr>
          <w:rFonts w:hint="eastAsia" w:ascii="楷体" w:hAnsi="楷体" w:eastAsia="楷体" w:cs="仿宋_GB2312"/>
          <w:sz w:val="32"/>
          <w:szCs w:val="32"/>
        </w:rPr>
      </w:pPr>
      <w:r>
        <w:rPr>
          <w:rFonts w:hint="eastAsia" w:ascii="楷体" w:hAnsi="楷体" w:eastAsia="楷体" w:cs="仿宋_GB2312"/>
          <w:sz w:val="32"/>
          <w:szCs w:val="32"/>
        </w:rPr>
        <w:t>（一）</w:t>
      </w:r>
      <w:r>
        <w:rPr>
          <w:rFonts w:hint="eastAsia" w:ascii="楷体" w:hAnsi="楷体" w:eastAsia="楷体" w:cs="仿宋_GB2312"/>
          <w:sz w:val="32"/>
          <w:szCs w:val="32"/>
          <w:lang w:val="en-US" w:eastAsia="zh-CN"/>
        </w:rPr>
        <w:t>公共安全支出745.00</w:t>
      </w:r>
      <w:r>
        <w:rPr>
          <w:rFonts w:hint="eastAsia" w:ascii="楷体" w:hAnsi="楷体" w:eastAsia="楷体" w:cs="仿宋_GB2312"/>
          <w:sz w:val="32"/>
          <w:szCs w:val="32"/>
        </w:rPr>
        <w:t>万元，主要用于机关人员工资、日常运转以及为完成特定行政工作任务安排的年度项目支出。</w:t>
      </w:r>
    </w:p>
    <w:p>
      <w:pPr>
        <w:widowControl w:val="0"/>
        <w:numPr>
          <w:ilvl w:val="0"/>
          <w:numId w:val="0"/>
        </w:numPr>
        <w:ind w:firstLine="640" w:firstLineChars="200"/>
        <w:jc w:val="left"/>
        <w:rPr>
          <w:rFonts w:hint="eastAsia" w:ascii="楷体" w:hAnsi="楷体" w:eastAsia="楷体" w:cs="仿宋_GB2312"/>
          <w:sz w:val="32"/>
          <w:szCs w:val="32"/>
        </w:rPr>
      </w:pPr>
      <w:r>
        <w:rPr>
          <w:rFonts w:hint="eastAsia" w:ascii="楷体" w:hAnsi="楷体" w:eastAsia="楷体" w:cs="仿宋_GB2312"/>
          <w:sz w:val="32"/>
          <w:szCs w:val="32"/>
        </w:rPr>
        <w:t>（二）社会保障和就业</w:t>
      </w:r>
      <w:r>
        <w:rPr>
          <w:rFonts w:hint="eastAsia" w:ascii="楷体" w:hAnsi="楷体" w:eastAsia="楷体" w:cs="仿宋_GB2312"/>
          <w:sz w:val="32"/>
          <w:szCs w:val="32"/>
          <w:lang w:val="en-US" w:eastAsia="zh-CN"/>
        </w:rPr>
        <w:t>158.62</w:t>
      </w:r>
      <w:r>
        <w:rPr>
          <w:rFonts w:hint="eastAsia" w:ascii="楷体" w:hAnsi="楷体" w:eastAsia="楷体" w:cs="仿宋_GB2312"/>
          <w:sz w:val="32"/>
          <w:szCs w:val="32"/>
        </w:rPr>
        <w:t>万元，主要用于机关养老保险及职业年金缴费。</w:t>
      </w:r>
    </w:p>
    <w:p>
      <w:pPr>
        <w:widowControl w:val="0"/>
        <w:numPr>
          <w:ilvl w:val="0"/>
          <w:numId w:val="0"/>
        </w:numPr>
        <w:ind w:firstLine="640" w:firstLineChars="200"/>
        <w:jc w:val="left"/>
        <w:rPr>
          <w:rFonts w:hint="eastAsia" w:ascii="楷体" w:hAnsi="楷体" w:eastAsia="楷体" w:cs="仿宋_GB2312"/>
          <w:sz w:val="32"/>
          <w:szCs w:val="32"/>
        </w:rPr>
      </w:pPr>
      <w:r>
        <w:rPr>
          <w:rFonts w:hint="eastAsia" w:ascii="楷体" w:hAnsi="楷体" w:eastAsia="楷体" w:cs="仿宋_GB2312"/>
          <w:sz w:val="32"/>
          <w:szCs w:val="32"/>
        </w:rPr>
        <w:t>（三）医疗卫生</w:t>
      </w:r>
      <w:r>
        <w:rPr>
          <w:rFonts w:hint="eastAsia" w:ascii="楷体" w:hAnsi="楷体" w:eastAsia="楷体" w:cs="仿宋_GB2312"/>
          <w:sz w:val="32"/>
          <w:szCs w:val="32"/>
          <w:lang w:val="en-US" w:eastAsia="zh-CN"/>
        </w:rPr>
        <w:t>57.30</w:t>
      </w:r>
      <w:r>
        <w:rPr>
          <w:rFonts w:hint="eastAsia" w:ascii="楷体" w:hAnsi="楷体" w:eastAsia="楷体" w:cs="仿宋_GB2312"/>
          <w:sz w:val="32"/>
          <w:szCs w:val="32"/>
        </w:rPr>
        <w:t>万元，主要用于机关按照规定标准为职工缴纳的基本医疗保险及公务员医疗补助等支出。</w:t>
      </w:r>
    </w:p>
    <w:p>
      <w:pPr>
        <w:widowControl w:val="0"/>
        <w:numPr>
          <w:ilvl w:val="0"/>
          <w:numId w:val="0"/>
        </w:numPr>
        <w:ind w:firstLine="640" w:firstLineChars="200"/>
        <w:jc w:val="left"/>
        <w:rPr>
          <w:rFonts w:hint="eastAsia" w:ascii="楷体" w:hAnsi="楷体" w:eastAsia="楷体" w:cs="仿宋_GB2312"/>
          <w:sz w:val="32"/>
          <w:szCs w:val="32"/>
        </w:rPr>
      </w:pPr>
      <w:r>
        <w:rPr>
          <w:rFonts w:hint="eastAsia" w:ascii="楷体" w:hAnsi="楷体" w:eastAsia="楷体" w:cs="仿宋_GB2312"/>
          <w:sz w:val="32"/>
          <w:szCs w:val="32"/>
        </w:rPr>
        <w:t>（四）住房保障支出</w:t>
      </w:r>
      <w:r>
        <w:rPr>
          <w:rFonts w:hint="eastAsia" w:ascii="楷体" w:hAnsi="楷体" w:eastAsia="楷体" w:cs="仿宋_GB2312"/>
          <w:sz w:val="32"/>
          <w:szCs w:val="32"/>
          <w:lang w:val="en-US" w:eastAsia="zh-CN"/>
        </w:rPr>
        <w:t>77.49</w:t>
      </w:r>
      <w:r>
        <w:rPr>
          <w:rFonts w:hint="eastAsia" w:ascii="楷体" w:hAnsi="楷体" w:eastAsia="楷体" w:cs="仿宋_GB2312"/>
          <w:sz w:val="32"/>
          <w:szCs w:val="32"/>
        </w:rPr>
        <w:t>万元，用于机关按照规定标准为职工缴纳住房公积金等支出。</w:t>
      </w:r>
    </w:p>
    <w:p>
      <w:pPr>
        <w:widowControl w:val="0"/>
        <w:numPr>
          <w:ilvl w:val="0"/>
          <w:numId w:val="0"/>
        </w:numPr>
        <w:ind w:left="319" w:leftChars="152" w:firstLine="320" w:firstLineChars="100"/>
        <w:jc w:val="left"/>
        <w:rPr>
          <w:rFonts w:hint="eastAsia" w:ascii="黑体" w:hAnsi="黑体" w:eastAsia="黑体"/>
          <w:sz w:val="32"/>
          <w:szCs w:val="32"/>
        </w:rPr>
      </w:pPr>
      <w:r>
        <w:rPr>
          <w:rFonts w:hint="eastAsia" w:ascii="黑体" w:hAnsi="黑体" w:eastAsia="黑体"/>
          <w:sz w:val="32"/>
          <w:szCs w:val="32"/>
        </w:rPr>
        <w:t>四、财政拨款收支预算情况说明</w:t>
      </w:r>
    </w:p>
    <w:p>
      <w:pPr>
        <w:widowControl w:val="0"/>
        <w:numPr>
          <w:ilvl w:val="0"/>
          <w:numId w:val="0"/>
        </w:numPr>
        <w:ind w:firstLine="640" w:firstLineChars="200"/>
        <w:jc w:val="left"/>
        <w:rPr>
          <w:rFonts w:hint="default" w:ascii="楷体" w:hAnsi="楷体" w:eastAsia="楷体" w:cs="仿宋_GB2312"/>
          <w:sz w:val="32"/>
          <w:szCs w:val="32"/>
          <w:lang w:val="en-US" w:eastAsia="zh-CN"/>
        </w:rPr>
      </w:pPr>
      <w:r>
        <w:rPr>
          <w:rFonts w:hint="eastAsia" w:ascii="楷体" w:hAnsi="楷体" w:eastAsia="楷体" w:cs="仿宋_GB2312"/>
          <w:sz w:val="32"/>
          <w:szCs w:val="32"/>
        </w:rPr>
        <w:t>部门202</w:t>
      </w:r>
      <w:r>
        <w:rPr>
          <w:rFonts w:hint="eastAsia" w:ascii="楷体" w:hAnsi="楷体" w:eastAsia="楷体" w:cs="仿宋_GB2312"/>
          <w:sz w:val="32"/>
          <w:szCs w:val="32"/>
          <w:lang w:val="en-US" w:eastAsia="zh-CN"/>
        </w:rPr>
        <w:t>4</w:t>
      </w:r>
      <w:r>
        <w:rPr>
          <w:rFonts w:hint="eastAsia" w:ascii="楷体" w:hAnsi="楷体" w:eastAsia="楷体" w:cs="仿宋_GB2312"/>
          <w:sz w:val="32"/>
          <w:szCs w:val="32"/>
        </w:rPr>
        <w:t>年财政拨款收支总预算</w:t>
      </w:r>
      <w:r>
        <w:rPr>
          <w:rFonts w:hint="eastAsia" w:ascii="楷体" w:hAnsi="楷体" w:eastAsia="楷体" w:cs="仿宋_GB2312"/>
          <w:sz w:val="32"/>
          <w:szCs w:val="32"/>
          <w:lang w:val="en-US" w:eastAsia="zh-CN"/>
        </w:rPr>
        <w:t>1038.40</w:t>
      </w:r>
      <w:r>
        <w:rPr>
          <w:rFonts w:hint="eastAsia" w:ascii="楷体" w:hAnsi="楷体" w:eastAsia="楷体" w:cs="仿宋_GB2312"/>
          <w:sz w:val="32"/>
          <w:szCs w:val="32"/>
        </w:rPr>
        <w:t>万元,比202</w:t>
      </w:r>
      <w:r>
        <w:rPr>
          <w:rFonts w:hint="eastAsia" w:ascii="楷体" w:hAnsi="楷体" w:eastAsia="楷体" w:cs="仿宋_GB2312"/>
          <w:sz w:val="32"/>
          <w:szCs w:val="32"/>
          <w:lang w:val="en-US" w:eastAsia="zh-CN"/>
        </w:rPr>
        <w:t>3</w:t>
      </w:r>
      <w:r>
        <w:rPr>
          <w:rFonts w:hint="eastAsia" w:ascii="楷体" w:hAnsi="楷体" w:eastAsia="楷体" w:cs="仿宋_GB2312"/>
          <w:sz w:val="32"/>
          <w:szCs w:val="32"/>
        </w:rPr>
        <w:t>年财政拨款收支总预算</w:t>
      </w:r>
      <w:r>
        <w:rPr>
          <w:rFonts w:hint="eastAsia" w:ascii="楷体" w:hAnsi="楷体" w:eastAsia="楷体" w:cs="仿宋_GB2312"/>
          <w:sz w:val="32"/>
          <w:szCs w:val="32"/>
          <w:lang w:val="en-US" w:eastAsia="zh-CN"/>
        </w:rPr>
        <w:t>1244.60万元</w:t>
      </w:r>
      <w:r>
        <w:rPr>
          <w:rFonts w:hint="eastAsia" w:ascii="楷体" w:hAnsi="楷体" w:eastAsia="楷体" w:cs="仿宋_GB2312"/>
          <w:sz w:val="32"/>
          <w:szCs w:val="32"/>
        </w:rPr>
        <w:t>减少</w:t>
      </w:r>
      <w:r>
        <w:rPr>
          <w:rFonts w:hint="eastAsia" w:ascii="楷体" w:hAnsi="楷体" w:eastAsia="楷体" w:cs="仿宋_GB2312"/>
          <w:sz w:val="32"/>
          <w:szCs w:val="32"/>
          <w:lang w:val="en-US" w:eastAsia="zh-CN"/>
        </w:rPr>
        <w:t>206.20</w:t>
      </w:r>
      <w:r>
        <w:rPr>
          <w:rFonts w:hint="eastAsia" w:ascii="楷体" w:hAnsi="楷体" w:eastAsia="楷体" w:cs="仿宋_GB2312"/>
          <w:sz w:val="32"/>
          <w:szCs w:val="32"/>
        </w:rPr>
        <w:t>万元，主要原因:</w:t>
      </w:r>
      <w:r>
        <w:rPr>
          <w:rFonts w:hint="eastAsia" w:ascii="楷体" w:hAnsi="楷体" w:eastAsia="楷体" w:cs="仿宋_GB2312"/>
          <w:sz w:val="32"/>
          <w:szCs w:val="32"/>
          <w:lang w:val="en-US" w:eastAsia="zh-CN"/>
        </w:rPr>
        <w:t>1.严格按照预算编制要求核算人员经费。2.保险基数降低。</w:t>
      </w:r>
    </w:p>
    <w:p>
      <w:pPr>
        <w:ind w:firstLine="640" w:firstLineChars="200"/>
        <w:rPr>
          <w:rFonts w:ascii="黑体" w:hAns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（一）一般公共预算当年拨款规模变化情况</w:t>
      </w:r>
    </w:p>
    <w:p>
      <w:pPr>
        <w:widowControl w:val="0"/>
        <w:numPr>
          <w:ilvl w:val="0"/>
          <w:numId w:val="0"/>
        </w:numPr>
        <w:ind w:firstLine="640" w:firstLineChars="200"/>
        <w:jc w:val="left"/>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部门2024年一般公共预算当年拨款1038.40万元，比2023年预算数1244.60万元</w:t>
      </w:r>
      <w:r>
        <w:rPr>
          <w:rFonts w:hint="eastAsia" w:ascii="楷体" w:hAnsi="楷体" w:eastAsia="楷体" w:cs="仿宋_GB2312"/>
          <w:sz w:val="32"/>
          <w:szCs w:val="32"/>
        </w:rPr>
        <w:t>减少</w:t>
      </w:r>
      <w:r>
        <w:rPr>
          <w:rFonts w:hint="eastAsia" w:ascii="楷体" w:hAnsi="楷体" w:eastAsia="楷体" w:cs="仿宋_GB2312"/>
          <w:sz w:val="32"/>
          <w:szCs w:val="32"/>
          <w:lang w:val="en-US" w:eastAsia="zh-CN"/>
        </w:rPr>
        <w:t>206.20</w:t>
      </w:r>
      <w:r>
        <w:rPr>
          <w:rFonts w:hint="eastAsia" w:ascii="楷体" w:hAnsi="楷体" w:eastAsia="楷体" w:cs="仿宋_GB2312"/>
          <w:sz w:val="32"/>
          <w:szCs w:val="32"/>
        </w:rPr>
        <w:t>万元，主要原因:</w:t>
      </w:r>
      <w:r>
        <w:rPr>
          <w:rFonts w:hint="eastAsia" w:ascii="楷体" w:hAnsi="楷体" w:eastAsia="楷体" w:cs="仿宋_GB2312"/>
          <w:sz w:val="32"/>
          <w:szCs w:val="32"/>
          <w:lang w:val="en-US" w:eastAsia="zh-CN"/>
        </w:rPr>
        <w:t>1.严格按照预算编制要求核算人员经费。2.保险基数降低。</w:t>
      </w:r>
    </w:p>
    <w:p>
      <w:pPr>
        <w:pStyle w:val="7"/>
        <w:spacing w:before="0" w:line="360" w:lineRule="auto"/>
        <w:ind w:firstLine="640" w:firstLineChars="200"/>
        <w:rPr>
          <w:rFonts w:hint="eastAsia" w:ascii="楷体" w:hAnsi="楷体" w:eastAsia="楷体" w:cs="宋体"/>
          <w:sz w:val="32"/>
          <w:szCs w:val="32"/>
        </w:rPr>
      </w:pPr>
      <w:r>
        <w:rPr>
          <w:rFonts w:hint="eastAsia" w:ascii="楷体" w:hAnsi="楷体" w:eastAsia="楷体" w:cs="宋体"/>
          <w:sz w:val="32"/>
          <w:szCs w:val="32"/>
        </w:rPr>
        <w:t>（二）一般公共预算当年拨款结构情况</w:t>
      </w:r>
    </w:p>
    <w:p>
      <w:pPr>
        <w:pStyle w:val="7"/>
        <w:spacing w:before="0" w:line="360" w:lineRule="auto"/>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 xml:space="preserve">     部门2024年公共安全支出745万元，占比71.74%；社会保障和就业支出158.62万元，占15.28%；卫生健康支出57.30万元，占5.52%；住房保障支出77.49万元，占7.46%。</w:t>
      </w:r>
    </w:p>
    <w:p>
      <w:pPr>
        <w:pStyle w:val="7"/>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（三）一般公共预算当年拨款具体使用情况</w:t>
      </w:r>
    </w:p>
    <w:p>
      <w:pPr>
        <w:pStyle w:val="7"/>
        <w:spacing w:before="0" w:line="360" w:lineRule="auto"/>
        <w:ind w:firstLine="640" w:firstLineChars="200"/>
        <w:rPr>
          <w:rFonts w:hint="default"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部门工资福利支出917.89万元，占88.39%，商品和服务支出120.47万元，占11.60%，对个人和家庭的补助0.04万元，占0.01%。</w:t>
      </w:r>
    </w:p>
    <w:p>
      <w:pPr>
        <w:pStyle w:val="7"/>
        <w:spacing w:before="0" w:line="360" w:lineRule="auto"/>
        <w:ind w:firstLine="660"/>
        <w:rPr>
          <w:rFonts w:ascii="黑体" w:hAns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部门2024年一般公共预算基本支出1038.40万元，其中：人员经费917.93万元，主要包括：基本工资、津贴补贴、奖金、其他社会保障缴费、职工基本医疗保险、公务员医疗补助缴费、机关事业单位基本养老保险缴费、职业年金缴费、其他工资福利支出、奖励金、住房公积金。</w:t>
      </w:r>
    </w:p>
    <w:p>
      <w:pPr>
        <w:pStyle w:val="7"/>
        <w:spacing w:before="0" w:line="360" w:lineRule="auto"/>
        <w:ind w:firstLine="640" w:firstLineChars="200"/>
        <w:rPr>
          <w:rFonts w:ascii="黑体" w:hAnsi="黑体" w:eastAsia="黑体"/>
          <w:sz w:val="32"/>
          <w:szCs w:val="32"/>
        </w:rPr>
      </w:pPr>
      <w:r>
        <w:rPr>
          <w:rFonts w:hint="eastAsia" w:ascii="楷体" w:hAnsi="楷体" w:eastAsia="楷体" w:cs="仿宋_GB2312"/>
          <w:kern w:val="2"/>
          <w:sz w:val="32"/>
          <w:szCs w:val="32"/>
          <w:lang w:val="en-US" w:eastAsia="zh-CN" w:bidi="ar-SA"/>
        </w:rPr>
        <w:t>公用经费120.47万元，主要包括：办公费、水费、邮电费、取暖费、差旅费、维修（护）费、培训费、公务接待费、福利费、公务用车运行维护费、其他商品和服务支出。</w:t>
      </w:r>
      <w:r>
        <w:rPr>
          <w:rFonts w:hint="eastAsia" w:ascii="楷体" w:hAnsi="楷体" w:eastAsia="楷体" w:cs="仿宋_GB2312"/>
          <w:kern w:val="2"/>
          <w:sz w:val="32"/>
          <w:szCs w:val="32"/>
          <w:lang w:val="en-US" w:eastAsia="zh-CN" w:bidi="ar-SA"/>
        </w:rPr>
        <w:br w:type="textWrapping"/>
      </w:r>
      <w:r>
        <w:rPr>
          <w:rFonts w:hint="eastAsia" w:ascii="黑体" w:hAnsi="黑体" w:eastAsia="黑体"/>
          <w:sz w:val="32"/>
          <w:szCs w:val="32"/>
        </w:rPr>
        <w:t xml:space="preserve">    七、“三公”经费财政拨款预算安排情况说明</w:t>
      </w:r>
    </w:p>
    <w:p>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部门2024年“三公”经费财政拨款预算数19.67万元，其中：因公出国（境）经费0.00万元，公务接待费1.67万元，公务用车购置及运行维护费18.00万元。</w:t>
      </w:r>
    </w:p>
    <w:p>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（一）2024年因公出国（境）经费0.00万元。</w:t>
      </w:r>
    </w:p>
    <w:p>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（二）2024年公务接待经费1.67万元。较2023年预算经费1.60万元增加0.07万元，增加4.38%，主要原因案件量增加，接待费增加。</w:t>
      </w:r>
    </w:p>
    <w:p>
      <w:pPr>
        <w:pStyle w:val="7"/>
        <w:spacing w:before="0" w:line="360" w:lineRule="auto"/>
        <w:ind w:firstLine="640" w:firstLineChars="200"/>
        <w:rPr>
          <w:rFonts w:hint="default"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（三）2024年公务用车购置及运行维护费18.00万元。较2023年预算经费18万元增加0.00万元，增长0.00%，主要原因科学合理的按照车辆计算公务用车运行维护费，避免出现经费短缺现象。</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八、政府性基金</w:t>
      </w:r>
      <w:r>
        <w:rPr>
          <w:rFonts w:hint="eastAsia" w:ascii="黑体" w:hAnsi="黑体" w:eastAsia="黑体" w:cs="仿宋_GB2312"/>
          <w:kern w:val="2"/>
          <w:sz w:val="32"/>
          <w:szCs w:val="32"/>
        </w:rPr>
        <w:t>预算</w:t>
      </w:r>
      <w:r>
        <w:rPr>
          <w:rFonts w:hint="eastAsia" w:ascii="黑体" w:hAnsi="黑体" w:eastAsia="黑体"/>
          <w:sz w:val="32"/>
          <w:szCs w:val="32"/>
        </w:rPr>
        <w:t>支出情况说明</w:t>
      </w:r>
    </w:p>
    <w:p>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部门（单位）2024年政府性基金预算拨款安排的支出0.00万元。与2023年预算经费持平。</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pStyle w:val="7"/>
        <w:spacing w:before="0" w:line="360" w:lineRule="auto"/>
        <w:ind w:firstLine="640" w:firstLineChars="200"/>
        <w:rPr>
          <w:rFonts w:hint="default" w:ascii="楷体" w:hAnsi="楷体" w:eastAsia="楷体" w:cs="仿宋_GB2312"/>
          <w:kern w:val="2"/>
          <w:sz w:val="32"/>
          <w:szCs w:val="32"/>
          <w:lang w:val="en-US" w:eastAsia="zh-CN" w:bidi="ar-SA"/>
        </w:rPr>
      </w:pPr>
      <w:r>
        <w:rPr>
          <w:rFonts w:hint="eastAsia" w:ascii="楷体" w:hAns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lang w:val="en-US" w:eastAsia="zh-CN" w:bidi="ar-SA"/>
        </w:rPr>
        <w:t xml:space="preserve">  部门2024年机关运行经费财政拨款预算为120.14万元，比2023年预算108.74万元增加11.40万元，增加10.48%。，增加部分为其他商品服务支出。</w:t>
      </w:r>
    </w:p>
    <w:p>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（二）政府采购情况</w:t>
      </w:r>
      <w:r>
        <w:rPr>
          <w:rFonts w:hint="eastAsia" w:ascii="楷体" w:hAnsi="楷体" w:eastAsia="楷体" w:cs="仿宋_GB2312"/>
          <w:kern w:val="2"/>
          <w:sz w:val="32"/>
          <w:szCs w:val="32"/>
          <w:lang w:val="en-US" w:eastAsia="zh-CN" w:bidi="ar-SA"/>
        </w:rPr>
        <w:br w:type="textWrapping"/>
      </w:r>
      <w:r>
        <w:rPr>
          <w:rFonts w:hint="eastAsia" w:ascii="楷体" w:hAnsi="楷体" w:eastAsia="楷体" w:cs="仿宋_GB2312"/>
          <w:kern w:val="2"/>
          <w:sz w:val="32"/>
          <w:szCs w:val="32"/>
          <w:lang w:val="en-US" w:eastAsia="zh-CN" w:bidi="ar-SA"/>
        </w:rPr>
        <w:t>　　 2024年部门安排政府采购预算0.00万元。</w:t>
      </w:r>
    </w:p>
    <w:p>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（三）国有资产占有使用情况</w:t>
      </w:r>
    </w:p>
    <w:p>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截至2023年12月31日，我单位固定资产原值4240.10万元。</w:t>
      </w:r>
    </w:p>
    <w:p>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（四）绩效目标设置情况</w:t>
      </w:r>
      <w:r>
        <w:rPr>
          <w:rFonts w:hint="eastAsia" w:ascii="楷体" w:hAnsi="楷体" w:eastAsia="楷体" w:cs="仿宋_GB2312"/>
          <w:kern w:val="2"/>
          <w:sz w:val="32"/>
          <w:szCs w:val="32"/>
          <w:lang w:val="en-US" w:eastAsia="zh-CN" w:bidi="ar-SA"/>
        </w:rPr>
        <w:br w:type="textWrapping"/>
      </w:r>
      <w:r>
        <w:rPr>
          <w:rFonts w:hint="eastAsia" w:ascii="楷体" w:hAnsi="楷体" w:eastAsia="楷体" w:cs="仿宋_GB2312"/>
          <w:kern w:val="2"/>
          <w:sz w:val="32"/>
          <w:szCs w:val="32"/>
          <w:lang w:val="en-US" w:eastAsia="zh-CN" w:bidi="ar-SA"/>
        </w:rPr>
        <w:t>　　2024年部门（单位）通用项目和专用项目均按要求实行绩效目标管理，涉及一般公共预算当年拨款1038.40万元。</w:t>
      </w:r>
    </w:p>
    <w:p>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w:t>
      </w:r>
      <w:r>
        <w:rPr>
          <w:rFonts w:hint="eastAsia" w:ascii="楷体" w:hAnsi="楷体" w:eastAsia="楷体" w:cs="仿宋_GB2312"/>
          <w:kern w:val="2"/>
          <w:sz w:val="32"/>
          <w:szCs w:val="32"/>
          <w:lang w:val="en-US" w:eastAsia="zh-CN" w:bidi="ar-SA"/>
        </w:rPr>
        <w:t xml:space="preserve">   （一）财政拨款收入：指由财政拨款形成的部门收入。按现行管理制度，部门预算中反映的财政拨款仅包括一般公共预算拨款和政府性基金预算拨款。</w:t>
      </w:r>
      <w:r>
        <w:rPr>
          <w:rFonts w:hint="eastAsia" w:ascii="楷体" w:hAnsi="楷体" w:eastAsia="楷体" w:cs="仿宋_GB2312"/>
          <w:kern w:val="2"/>
          <w:sz w:val="32"/>
          <w:szCs w:val="32"/>
          <w:lang w:val="en-US" w:eastAsia="zh-CN" w:bidi="ar-SA"/>
        </w:rPr>
        <w:br w:type="textWrapping"/>
      </w:r>
      <w:r>
        <w:rPr>
          <w:rFonts w:hint="eastAsia" w:ascii="楷体" w:hAnsi="楷体" w:eastAsia="楷体" w:cs="仿宋_GB2312"/>
          <w:kern w:val="2"/>
          <w:sz w:val="32"/>
          <w:szCs w:val="32"/>
          <w:lang w:val="en-US" w:eastAsia="zh-CN" w:bidi="ar-SA"/>
        </w:rPr>
        <w:t>　　（二）事业收入：指所属事业单位开展专业业务活动及辅助活动所取得的收入。</w:t>
      </w:r>
      <w:r>
        <w:rPr>
          <w:rFonts w:hint="eastAsia" w:ascii="楷体" w:hAnsi="楷体" w:eastAsia="楷体" w:cs="仿宋_GB2312"/>
          <w:kern w:val="2"/>
          <w:sz w:val="32"/>
          <w:szCs w:val="32"/>
          <w:lang w:val="en-US" w:eastAsia="zh-CN" w:bidi="ar-SA"/>
        </w:rPr>
        <w:br w:type="textWrapping"/>
      </w:r>
      <w:r>
        <w:rPr>
          <w:rFonts w:hint="eastAsia" w:ascii="楷体" w:hAnsi="楷体" w:eastAsia="楷体" w:cs="仿宋_GB2312"/>
          <w:kern w:val="2"/>
          <w:sz w:val="32"/>
          <w:szCs w:val="32"/>
          <w:lang w:val="en-US" w:eastAsia="zh-CN" w:bidi="ar-SA"/>
        </w:rPr>
        <w:t>　　（三）事业单位经营收入：指所属事业单位在专业业务活动及其辅助活动之外开展非独立核算经营活动取得的收入。</w:t>
      </w:r>
      <w:r>
        <w:rPr>
          <w:rFonts w:hint="eastAsia" w:ascii="楷体" w:hAnsi="楷体" w:eastAsia="楷体" w:cs="仿宋_GB2312"/>
          <w:kern w:val="2"/>
          <w:sz w:val="32"/>
          <w:szCs w:val="32"/>
          <w:lang w:val="en-US" w:eastAsia="zh-CN" w:bidi="ar-SA"/>
        </w:rPr>
        <w:br w:type="textWrapping"/>
      </w:r>
      <w:r>
        <w:rPr>
          <w:rFonts w:hint="eastAsia" w:ascii="楷体" w:hAnsi="楷体" w:eastAsia="楷体" w:cs="仿宋_GB2312"/>
          <w:kern w:val="2"/>
          <w:sz w:val="32"/>
          <w:szCs w:val="32"/>
          <w:lang w:val="en-US" w:eastAsia="zh-CN" w:bidi="ar-SA"/>
        </w:rPr>
        <w:t>　　（四）其他收入：指除上述“财政拨款收入”、“事业收入”、“事业单位经营收入”等以外的收入，主要是所属行政事业单位按规定动用的售房收入、存款利息收入等。</w:t>
      </w:r>
      <w:r>
        <w:rPr>
          <w:rFonts w:hint="eastAsia" w:ascii="楷体" w:hAnsi="楷体" w:eastAsia="楷体" w:cs="仿宋_GB2312"/>
          <w:kern w:val="2"/>
          <w:sz w:val="32"/>
          <w:szCs w:val="32"/>
          <w:lang w:val="en-US" w:eastAsia="zh-CN" w:bidi="ar-SA"/>
        </w:rPr>
        <w:br w:type="textWrapping"/>
      </w:r>
      <w:r>
        <w:rPr>
          <w:rFonts w:hint="eastAsia" w:ascii="楷体" w:hAnsi="楷体" w:eastAsia="楷体" w:cs="仿宋_GB2312"/>
          <w:kern w:val="2"/>
          <w:sz w:val="32"/>
          <w:szCs w:val="32"/>
          <w:lang w:val="en-US" w:eastAsia="zh-CN" w:bidi="ar-SA"/>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eastAsia" w:ascii="楷体" w:hAnsi="楷体" w:eastAsia="楷体" w:cs="仿宋_GB2312"/>
          <w:kern w:val="2"/>
          <w:sz w:val="32"/>
          <w:szCs w:val="32"/>
          <w:lang w:val="en-US" w:eastAsia="zh-CN" w:bidi="ar-SA"/>
        </w:rPr>
        <w:br w:type="textWrapping"/>
      </w:r>
      <w:r>
        <w:rPr>
          <w:rFonts w:hint="eastAsia" w:ascii="楷体" w:hAnsi="楷体" w:eastAsia="楷体" w:cs="仿宋_GB2312"/>
          <w:kern w:val="2"/>
          <w:sz w:val="32"/>
          <w:szCs w:val="32"/>
          <w:lang w:val="en-US" w:eastAsia="zh-CN" w:bidi="ar-SA"/>
        </w:rPr>
        <w:t>　　（六）上年结转：指所属行政事业单位以前年度尚未完成、结转至本年按原规定用途继续使用的资金和以前年度已完成项目剩余资金经批准用于新用途使用的资金。</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95F50"/>
    <w:multiLevelType w:val="singleLevel"/>
    <w:tmpl w:val="1A795F50"/>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NTgzMzVkMjI5MjEwNjJmMDU5NTQzNWE0NzQzZTcifQ=="/>
  </w:docVars>
  <w:rsids>
    <w:rsidRoot w:val="7AE4629A"/>
    <w:rsid w:val="000451C2"/>
    <w:rsid w:val="0006464F"/>
    <w:rsid w:val="001634E3"/>
    <w:rsid w:val="001910FF"/>
    <w:rsid w:val="001B1BFD"/>
    <w:rsid w:val="00242435"/>
    <w:rsid w:val="0030031F"/>
    <w:rsid w:val="004379C5"/>
    <w:rsid w:val="00476B63"/>
    <w:rsid w:val="0054124B"/>
    <w:rsid w:val="00723B73"/>
    <w:rsid w:val="00793FEE"/>
    <w:rsid w:val="00803F7A"/>
    <w:rsid w:val="00842DA9"/>
    <w:rsid w:val="00887775"/>
    <w:rsid w:val="00923A98"/>
    <w:rsid w:val="00AB4C2F"/>
    <w:rsid w:val="00D264D1"/>
    <w:rsid w:val="00DB29FD"/>
    <w:rsid w:val="00FC59D7"/>
    <w:rsid w:val="07674A16"/>
    <w:rsid w:val="08E14513"/>
    <w:rsid w:val="09242365"/>
    <w:rsid w:val="0C6B6599"/>
    <w:rsid w:val="0F2A731A"/>
    <w:rsid w:val="13197D31"/>
    <w:rsid w:val="164003A4"/>
    <w:rsid w:val="16C5583A"/>
    <w:rsid w:val="177904B8"/>
    <w:rsid w:val="1B0406D7"/>
    <w:rsid w:val="1B403B5A"/>
    <w:rsid w:val="1C3F1E54"/>
    <w:rsid w:val="20361CB8"/>
    <w:rsid w:val="21B10C29"/>
    <w:rsid w:val="24575689"/>
    <w:rsid w:val="283E2C54"/>
    <w:rsid w:val="29566940"/>
    <w:rsid w:val="32BF7DF5"/>
    <w:rsid w:val="35C27EF0"/>
    <w:rsid w:val="398C292F"/>
    <w:rsid w:val="40055655"/>
    <w:rsid w:val="48EB0A3F"/>
    <w:rsid w:val="5ABE7391"/>
    <w:rsid w:val="5F0017C7"/>
    <w:rsid w:val="605B2E22"/>
    <w:rsid w:val="61693C9D"/>
    <w:rsid w:val="64CC0F4B"/>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99"/>
    <w:pPr>
      <w:ind w:firstLine="420" w:firstLineChars="200"/>
    </w:pPr>
  </w:style>
  <w:style w:type="paragraph" w:customStyle="1" w:styleId="7">
    <w:name w:val="正文文本1"/>
    <w:basedOn w:val="1"/>
    <w:autoRedefine/>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2681</Words>
  <Characters>3076</Characters>
  <Lines>13</Lines>
  <Paragraphs>3</Paragraphs>
  <TotalTime>0</TotalTime>
  <ScaleCrop>false</ScaleCrop>
  <LinksUpToDate>false</LinksUpToDate>
  <CharactersWithSpaces>3116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清淡如水</cp:lastModifiedBy>
  <cp:lastPrinted>2024-01-23T14:15:00Z</cp:lastPrinted>
  <dcterms:modified xsi:type="dcterms:W3CDTF">2024-01-24T13:01:15Z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6232EEB7783148E4ACEA7CEF142AA1A4</vt:lpwstr>
  </property>
</Properties>
</file>