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8361"/>
    <w:p w14:paraId="2B5AE447">
      <w:pPr>
        <w:pStyle w:val="9"/>
      </w:pPr>
    </w:p>
    <w:p w14:paraId="5EB46066"/>
    <w:p w14:paraId="04421623"/>
    <w:p w14:paraId="3C431302">
      <w:pPr>
        <w:ind w:firstLine="1050" w:firstLineChars="500"/>
      </w:pPr>
    </w:p>
    <w:p w14:paraId="49551B8A">
      <w:pPr>
        <w:ind w:firstLine="1050" w:firstLineChars="500"/>
      </w:pPr>
    </w:p>
    <w:p w14:paraId="7C6243CC">
      <w:pPr>
        <w:ind w:firstLine="1760" w:firstLineChars="400"/>
        <w:rPr>
          <w:rFonts w:ascii="黑体" w:hAnsi="黑体" w:eastAsia="黑体"/>
          <w:sz w:val="44"/>
          <w:szCs w:val="44"/>
        </w:rPr>
      </w:pPr>
    </w:p>
    <w:p w14:paraId="76A9915F">
      <w:pPr>
        <w:ind w:firstLine="1760" w:firstLineChars="400"/>
        <w:rPr>
          <w:rFonts w:ascii="黑体" w:hAnsi="黑体" w:eastAsia="黑体"/>
          <w:sz w:val="44"/>
          <w:szCs w:val="44"/>
        </w:rPr>
      </w:pPr>
    </w:p>
    <w:p w14:paraId="7E39E964">
      <w:pPr>
        <w:jc w:val="center"/>
        <w:rPr>
          <w:rFonts w:hint="default" w:ascii="Arial Unicode MS" w:hAnsi="宋体" w:eastAsia="Arial Unicode MS" w:cs="Times New Roman"/>
          <w:color w:val="000000"/>
          <w:sz w:val="44"/>
          <w:szCs w:val="44"/>
          <w:lang w:val="en-US" w:eastAsia="zh-CN"/>
        </w:rPr>
      </w:pPr>
      <w:r>
        <w:rPr>
          <w:rFonts w:hint="eastAsia" w:ascii="Arial Unicode MS" w:hAnsi="宋体" w:eastAsia="Arial Unicode MS" w:cs="Times New Roman"/>
          <w:color w:val="000000"/>
          <w:sz w:val="44"/>
          <w:szCs w:val="44"/>
          <w:lang w:val="en-US" w:eastAsia="zh-CN"/>
        </w:rPr>
        <w:t>理县人民检察院</w:t>
      </w:r>
    </w:p>
    <w:p w14:paraId="39214950">
      <w:pPr>
        <w:jc w:val="center"/>
        <w:rPr>
          <w:rFonts w:hint="eastAsia" w:ascii="Arial Unicode MS" w:hAnsi="宋体" w:eastAsia="Arial Unicode MS" w:cs="Times New Roman"/>
          <w:color w:val="000000"/>
          <w:sz w:val="44"/>
          <w:szCs w:val="44"/>
          <w:lang w:eastAsia="zh-CN"/>
        </w:rPr>
      </w:pPr>
      <w:r>
        <w:rPr>
          <w:rFonts w:hint="eastAsia" w:ascii="Arial Unicode MS" w:hAnsi="宋体" w:eastAsia="Arial Unicode MS" w:cs="Times New Roman"/>
          <w:color w:val="000000"/>
          <w:sz w:val="44"/>
          <w:szCs w:val="44"/>
          <w:lang w:eastAsia="zh-CN"/>
        </w:rPr>
        <w:t>202</w:t>
      </w:r>
      <w:r>
        <w:rPr>
          <w:rFonts w:hint="eastAsia" w:ascii="Arial Unicode MS" w:hAnsi="宋体" w:eastAsia="Arial Unicode MS" w:cs="Times New Roman"/>
          <w:color w:val="000000"/>
          <w:sz w:val="44"/>
          <w:szCs w:val="44"/>
          <w:lang w:val="en-US" w:eastAsia="zh-CN"/>
        </w:rPr>
        <w:t>6</w:t>
      </w:r>
      <w:r>
        <w:rPr>
          <w:rFonts w:hint="eastAsia" w:ascii="Arial Unicode MS" w:hAnsi="宋体" w:eastAsia="Arial Unicode MS" w:cs="Times New Roman"/>
          <w:color w:val="000000"/>
          <w:sz w:val="44"/>
          <w:szCs w:val="44"/>
          <w:lang w:eastAsia="zh-CN"/>
        </w:rPr>
        <w:t>年部门预算</w:t>
      </w:r>
    </w:p>
    <w:p w14:paraId="5968890C">
      <w:pPr>
        <w:jc w:val="center"/>
        <w:rPr>
          <w:rFonts w:hint="eastAsia" w:ascii="Arial Unicode MS" w:hAnsi="宋体" w:eastAsia="Arial Unicode MS" w:cs="Times New Roman"/>
          <w:color w:val="000000"/>
          <w:sz w:val="44"/>
          <w:szCs w:val="44"/>
          <w:lang w:eastAsia="zh-CN"/>
        </w:rPr>
      </w:pPr>
    </w:p>
    <w:p w14:paraId="3C3BC13C">
      <w:pPr>
        <w:ind w:firstLine="1760" w:firstLineChars="400"/>
        <w:rPr>
          <w:rFonts w:ascii="黑体" w:hAnsi="黑体" w:eastAsia="黑体"/>
          <w:sz w:val="44"/>
          <w:szCs w:val="44"/>
        </w:rPr>
      </w:pPr>
    </w:p>
    <w:p w14:paraId="0BEA9F77">
      <w:pPr>
        <w:ind w:firstLine="1760" w:firstLineChars="400"/>
        <w:rPr>
          <w:rFonts w:ascii="黑体" w:hAnsi="黑体" w:eastAsia="黑体"/>
          <w:sz w:val="44"/>
          <w:szCs w:val="44"/>
        </w:rPr>
      </w:pPr>
    </w:p>
    <w:p w14:paraId="3D01E9E6">
      <w:pPr>
        <w:ind w:firstLine="1760" w:firstLineChars="400"/>
        <w:rPr>
          <w:rFonts w:ascii="黑体" w:hAnsi="黑体" w:eastAsia="黑体"/>
          <w:sz w:val="44"/>
          <w:szCs w:val="44"/>
        </w:rPr>
      </w:pPr>
    </w:p>
    <w:p w14:paraId="009EF79B">
      <w:pPr>
        <w:ind w:firstLine="1760" w:firstLineChars="400"/>
        <w:rPr>
          <w:rFonts w:ascii="黑体" w:hAnsi="黑体" w:eastAsia="黑体"/>
          <w:sz w:val="44"/>
          <w:szCs w:val="44"/>
        </w:rPr>
      </w:pPr>
    </w:p>
    <w:p w14:paraId="50E02784">
      <w:pPr>
        <w:ind w:firstLine="1760" w:firstLineChars="400"/>
        <w:rPr>
          <w:rFonts w:ascii="黑体" w:hAnsi="黑体" w:eastAsia="黑体"/>
          <w:sz w:val="44"/>
          <w:szCs w:val="44"/>
        </w:rPr>
      </w:pPr>
    </w:p>
    <w:p w14:paraId="04F4F20E">
      <w:pPr>
        <w:ind w:firstLine="1760" w:firstLineChars="400"/>
        <w:rPr>
          <w:rFonts w:ascii="黑体" w:hAnsi="黑体" w:eastAsia="黑体"/>
          <w:sz w:val="44"/>
          <w:szCs w:val="44"/>
        </w:rPr>
      </w:pPr>
    </w:p>
    <w:p w14:paraId="4652ADC0">
      <w:pPr>
        <w:ind w:firstLine="1760" w:firstLineChars="400"/>
        <w:rPr>
          <w:rFonts w:ascii="黑体" w:hAnsi="黑体" w:eastAsia="黑体"/>
          <w:sz w:val="44"/>
          <w:szCs w:val="44"/>
        </w:rPr>
      </w:pPr>
    </w:p>
    <w:p w14:paraId="16F4B6D1">
      <w:pPr>
        <w:ind w:firstLine="1760" w:firstLineChars="400"/>
        <w:rPr>
          <w:rFonts w:ascii="黑体" w:hAnsi="黑体" w:eastAsia="黑体"/>
          <w:sz w:val="44"/>
          <w:szCs w:val="44"/>
        </w:rPr>
      </w:pPr>
    </w:p>
    <w:p w14:paraId="7BC1FFF1">
      <w:pPr>
        <w:ind w:firstLine="1760" w:firstLineChars="400"/>
        <w:rPr>
          <w:rFonts w:ascii="黑体" w:hAnsi="黑体" w:eastAsia="黑体"/>
          <w:sz w:val="44"/>
          <w:szCs w:val="44"/>
        </w:rPr>
      </w:pPr>
    </w:p>
    <w:p w14:paraId="2D1A3A2D">
      <w:pPr>
        <w:ind w:firstLine="1760" w:firstLineChars="400"/>
        <w:rPr>
          <w:rFonts w:ascii="黑体" w:hAnsi="黑体" w:eastAsia="黑体"/>
          <w:sz w:val="44"/>
          <w:szCs w:val="44"/>
        </w:rPr>
      </w:pPr>
    </w:p>
    <w:p w14:paraId="31BCAB4E">
      <w:pPr>
        <w:ind w:firstLine="1760" w:firstLineChars="400"/>
        <w:rPr>
          <w:rFonts w:ascii="黑体" w:hAnsi="黑体" w:eastAsia="黑体"/>
          <w:sz w:val="44"/>
          <w:szCs w:val="44"/>
        </w:rPr>
      </w:pPr>
    </w:p>
    <w:p w14:paraId="2BE54344">
      <w:pPr>
        <w:rPr>
          <w:rFonts w:ascii="黑体" w:hAnsi="黑体" w:eastAsia="黑体"/>
          <w:sz w:val="44"/>
          <w:szCs w:val="44"/>
        </w:rPr>
      </w:pPr>
    </w:p>
    <w:p w14:paraId="38A678CC">
      <w:pPr>
        <w:pStyle w:val="4"/>
        <w:keepNext/>
        <w:keepLines/>
        <w:pageBreakBefore w:val="0"/>
        <w:widowControl w:val="0"/>
        <w:kinsoku/>
        <w:wordWrap/>
        <w:overflowPunct/>
        <w:topLinePunct w:val="0"/>
        <w:autoSpaceDE/>
        <w:autoSpaceDN/>
        <w:bidi w:val="0"/>
        <w:adjustRightInd/>
        <w:snapToGrid/>
        <w:spacing w:before="0" w:after="0" w:line="576" w:lineRule="exact"/>
        <w:ind w:firstLine="880" w:firstLineChars="200"/>
        <w:jc w:val="center"/>
        <w:textAlignment w:val="auto"/>
        <w:rPr>
          <w:rFonts w:hint="default" w:ascii="Times New Roman" w:hAnsi="Times New Roman" w:eastAsia="仿宋_GB2312" w:cs="Times New Roman"/>
          <w:b/>
          <w:bCs/>
          <w:kern w:val="2"/>
          <w:sz w:val="32"/>
          <w:szCs w:val="32"/>
          <w:lang w:val="en-US" w:eastAsia="zh-CN" w:bidi="ar-SA"/>
        </w:rPr>
      </w:pPr>
      <w:bookmarkStart w:id="0" w:name="_Toc14997"/>
      <w:r>
        <w:rPr>
          <w:rFonts w:hint="default" w:ascii="Times New Roman" w:hAnsi="Times New Roman" w:eastAsia="Arial Unicode MS" w:cs="Times New Roman"/>
          <w:color w:val="000000"/>
          <w:kern w:val="2"/>
          <w:sz w:val="44"/>
          <w:szCs w:val="44"/>
          <w:lang w:eastAsia="zh-CN"/>
        </w:rPr>
        <w:t>目  录</w:t>
      </w:r>
      <w:bookmarkEnd w:id="0"/>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TOC \o "1-3" \h \z \u </w:instrText>
      </w:r>
      <w:r>
        <w:rPr>
          <w:rFonts w:hint="default" w:ascii="Times New Roman" w:hAnsi="Times New Roman" w:eastAsia="仿宋_GB2312" w:cs="Times New Roman"/>
          <w:sz w:val="32"/>
          <w:szCs w:val="32"/>
          <w:lang w:eastAsia="zh-CN"/>
        </w:rPr>
        <w:fldChar w:fldCharType="separate"/>
      </w:r>
    </w:p>
    <w:p w14:paraId="36C56992">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_Toc24154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一、基本职能及主要工作</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_Toc24154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1</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1CD5F4A8">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_Toc16031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（一）部门职能简介</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_Toc16031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1</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69F34631">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_Toc20872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（二）20</w:t>
      </w:r>
      <w:r>
        <w:rPr>
          <w:rFonts w:hint="default" w:ascii="Times New Roman" w:hAnsi="Times New Roman" w:eastAsia="方正楷体_GB2312" w:cs="Times New Roman"/>
          <w:sz w:val="32"/>
          <w:szCs w:val="32"/>
          <w:lang w:val="en-US" w:eastAsia="zh-CN"/>
        </w:rPr>
        <w:t>25</w:t>
      </w:r>
      <w:r>
        <w:rPr>
          <w:rFonts w:hint="default" w:ascii="Times New Roman" w:hAnsi="Times New Roman" w:eastAsia="方正楷体_GB2312" w:cs="Times New Roman"/>
          <w:sz w:val="32"/>
          <w:szCs w:val="32"/>
          <w:lang w:eastAsia="zh-CN"/>
        </w:rPr>
        <w:t>年重点工作</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_Toc20872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2</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2B8EB775">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_Toc31318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二、部门预算单位构成</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_Toc31318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2</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73E8AD2C">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_Toc9533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三、收支预算情况说明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_Toc9533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3</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6E608527">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_Toc5825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（一）收入预算情况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_Toc5825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3</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550537C9">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_Toc1278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（二）支出预算情况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_Toc1278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3</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4B392B6A">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_Toc26010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四、财政拨款收支预算情况说明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_Toc26010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4</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354D5D70">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_Toc9913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五、 一般公共预算当年拨款情况说明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_Toc9913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4</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299836E7">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_Toc19382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（一）一般公共预算当年拨款规模变化情况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_Toc19382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4</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0461B6AC">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"_Toc42693873"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（二）一般公共预算当年拨款结构情况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lang w:val="en-US" w:eastAsia="zh-CN"/>
        </w:rPr>
        <w:t>4</w:t>
      </w:r>
      <w:r>
        <w:rPr>
          <w:rFonts w:hint="default" w:ascii="Times New Roman" w:hAnsi="Times New Roman" w:eastAsia="方正楷体_GB2312" w:cs="Times New Roman"/>
          <w:sz w:val="32"/>
          <w:szCs w:val="32"/>
        </w:rPr>
        <w:fldChar w:fldCharType="end"/>
      </w:r>
    </w:p>
    <w:p w14:paraId="491D6C33">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_Toc12324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（三）一般公共预算当年拨款具体使用情况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_Toc12324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4</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54FA27F0">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_Toc9048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六、一般公共预算基本支出情况说明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_Toc9048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5</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5EC05014">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_Toc22586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七、“三公”经费财政拨款预算安排情况说明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_Toc22586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6</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600DE5B7">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_Toc32329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八、政府性基金预算支出情况说明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_Toc32329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6</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7E147B9E">
      <w:pPr>
        <w:pStyle w:val="12"/>
        <w:tabs>
          <w:tab w:val="right" w:leader="dot" w:pos="8306"/>
        </w:tabs>
        <w:rPr>
          <w:rFonts w:hint="default" w:ascii="Times New Roman" w:hAnsi="Times New Roman" w:cs="Times New Roman"/>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_Toc11629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九、其他重要事项的情况说明</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_Toc11629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6</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0376A7EA">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_Toc11711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（一）机关运行经费</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_Toc11711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6</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7A56A5DB">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"_Toc42693880"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（二）政府采购情况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lang w:val="en-US" w:eastAsia="zh-CN"/>
        </w:rPr>
        <w:t>6</w:t>
      </w:r>
      <w:r>
        <w:rPr>
          <w:rFonts w:hint="default" w:ascii="Times New Roman" w:hAnsi="Times New Roman" w:eastAsia="方正楷体_GB2312" w:cs="Times New Roman"/>
          <w:sz w:val="32"/>
          <w:szCs w:val="32"/>
          <w:lang w:eastAsia="zh-CN"/>
        </w:rPr>
        <w:fldChar w:fldCharType="end"/>
      </w:r>
    </w:p>
    <w:p w14:paraId="6B004E46">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_Toc26188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（三）国有资产占有使用情况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_Toc26188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6</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39364D54">
      <w:pPr>
        <w:pStyle w:val="13"/>
        <w:tabs>
          <w:tab w:val="right" w:leader="dot" w:pos="8296"/>
        </w:tabs>
        <w:ind w:left="0" w:leftChars="0" w:firstLine="0"/>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HYPERLINK \l _Toc4906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lang w:eastAsia="zh-CN"/>
        </w:rPr>
        <w:t>（四）绩效目标设置情况</w:t>
      </w:r>
      <w:r>
        <w:rPr>
          <w:rFonts w:hint="default" w:ascii="Times New Roman" w:hAnsi="Times New Roman" w:eastAsia="方正楷体_GB2312" w:cs="Times New Roman"/>
          <w:sz w:val="32"/>
          <w:szCs w:val="32"/>
        </w:rPr>
        <w:tab/>
      </w:r>
      <w:r>
        <w:rPr>
          <w:rFonts w:hint="default" w:ascii="Times New Roman" w:hAnsi="Times New Roman" w:eastAsia="方正楷体_GB2312" w:cs="Times New Roman"/>
          <w:sz w:val="32"/>
          <w:szCs w:val="32"/>
        </w:rPr>
        <w:fldChar w:fldCharType="begin"/>
      </w:r>
      <w:r>
        <w:rPr>
          <w:rFonts w:hint="default" w:ascii="Times New Roman" w:hAnsi="Times New Roman" w:eastAsia="方正楷体_GB2312" w:cs="Times New Roman"/>
          <w:sz w:val="32"/>
          <w:szCs w:val="32"/>
        </w:rPr>
        <w:instrText xml:space="preserve"> PAGEREF _Toc4906 \h </w:instrText>
      </w:r>
      <w:r>
        <w:rPr>
          <w:rFonts w:hint="default" w:ascii="Times New Roman" w:hAnsi="Times New Roman" w:eastAsia="方正楷体_GB2312" w:cs="Times New Roman"/>
          <w:sz w:val="32"/>
          <w:szCs w:val="32"/>
        </w:rPr>
        <w:fldChar w:fldCharType="separate"/>
      </w:r>
      <w:r>
        <w:rPr>
          <w:rFonts w:hint="default" w:ascii="Times New Roman" w:hAnsi="Times New Roman" w:eastAsia="方正楷体_GB2312" w:cs="Times New Roman"/>
          <w:sz w:val="32"/>
          <w:szCs w:val="32"/>
        </w:rPr>
        <w:t>7</w:t>
      </w:r>
      <w:r>
        <w:rPr>
          <w:rFonts w:hint="default" w:ascii="Times New Roman" w:hAnsi="Times New Roman" w:eastAsia="方正楷体_GB2312" w:cs="Times New Roman"/>
          <w:sz w:val="32"/>
          <w:szCs w:val="32"/>
        </w:rPr>
        <w:fldChar w:fldCharType="end"/>
      </w:r>
      <w:r>
        <w:rPr>
          <w:rFonts w:hint="default" w:ascii="Times New Roman" w:hAnsi="Times New Roman" w:eastAsia="方正楷体_GB2312" w:cs="Times New Roman"/>
          <w:sz w:val="32"/>
          <w:szCs w:val="32"/>
        </w:rPr>
        <w:fldChar w:fldCharType="end"/>
      </w:r>
    </w:p>
    <w:p w14:paraId="5FDF276E">
      <w:pPr>
        <w:pStyle w:val="12"/>
        <w:tabs>
          <w:tab w:val="right" w:leader="dot" w:pos="8306"/>
        </w:tabs>
        <w:rPr>
          <w:rStyle w:val="17"/>
          <w:rFonts w:hint="default" w:ascii="Times New Roman" w:hAnsi="Times New Roman" w:eastAsia="黑体" w:cs="Times New Roman"/>
          <w:kern w:val="2"/>
          <w:sz w:val="32"/>
          <w:szCs w:val="32"/>
          <w:lang w:val="en-US" w:eastAsia="zh-CN" w:bidi="ar-SA"/>
        </w:rPr>
      </w:pP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HYPERLINK \l _Toc19195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十、名词解释</w:t>
      </w:r>
      <w:r>
        <w:rPr>
          <w:rStyle w:val="17"/>
          <w:rFonts w:hint="default" w:ascii="Times New Roman" w:hAnsi="Times New Roman" w:eastAsia="黑体" w:cs="Times New Roman"/>
          <w:kern w:val="2"/>
          <w:sz w:val="32"/>
          <w:szCs w:val="32"/>
          <w:lang w:val="en-US" w:eastAsia="zh-CN" w:bidi="ar-SA"/>
        </w:rPr>
        <w:tab/>
      </w:r>
      <w:r>
        <w:rPr>
          <w:rStyle w:val="17"/>
          <w:rFonts w:hint="default" w:ascii="Times New Roman" w:hAnsi="Times New Roman" w:eastAsia="黑体" w:cs="Times New Roman"/>
          <w:kern w:val="2"/>
          <w:sz w:val="32"/>
          <w:szCs w:val="32"/>
          <w:lang w:val="en-US" w:eastAsia="zh-CN" w:bidi="ar-SA"/>
        </w:rPr>
        <w:fldChar w:fldCharType="begin"/>
      </w:r>
      <w:r>
        <w:rPr>
          <w:rStyle w:val="17"/>
          <w:rFonts w:hint="default" w:ascii="Times New Roman" w:hAnsi="Times New Roman" w:eastAsia="黑体" w:cs="Times New Roman"/>
          <w:kern w:val="2"/>
          <w:sz w:val="32"/>
          <w:szCs w:val="32"/>
          <w:lang w:val="en-US" w:eastAsia="zh-CN" w:bidi="ar-SA"/>
        </w:rPr>
        <w:instrText xml:space="preserve"> PAGEREF _Toc19195 \h </w:instrText>
      </w:r>
      <w:r>
        <w:rPr>
          <w:rStyle w:val="17"/>
          <w:rFonts w:hint="default" w:ascii="Times New Roman" w:hAnsi="Times New Roman" w:eastAsia="黑体" w:cs="Times New Roman"/>
          <w:kern w:val="2"/>
          <w:sz w:val="32"/>
          <w:szCs w:val="32"/>
          <w:lang w:val="en-US" w:eastAsia="zh-CN" w:bidi="ar-SA"/>
        </w:rPr>
        <w:fldChar w:fldCharType="separate"/>
      </w:r>
      <w:r>
        <w:rPr>
          <w:rStyle w:val="17"/>
          <w:rFonts w:hint="default" w:ascii="Times New Roman" w:hAnsi="Times New Roman" w:eastAsia="黑体" w:cs="Times New Roman"/>
          <w:kern w:val="2"/>
          <w:sz w:val="32"/>
          <w:szCs w:val="32"/>
          <w:lang w:val="en-US" w:eastAsia="zh-CN" w:bidi="ar-SA"/>
        </w:rPr>
        <w:t>7</w:t>
      </w:r>
      <w:r>
        <w:rPr>
          <w:rStyle w:val="17"/>
          <w:rFonts w:hint="default" w:ascii="Times New Roman" w:hAnsi="Times New Roman" w:eastAsia="黑体" w:cs="Times New Roman"/>
          <w:kern w:val="2"/>
          <w:sz w:val="32"/>
          <w:szCs w:val="32"/>
          <w:lang w:val="en-US" w:eastAsia="zh-CN" w:bidi="ar-SA"/>
        </w:rPr>
        <w:fldChar w:fldCharType="end"/>
      </w:r>
      <w:r>
        <w:rPr>
          <w:rStyle w:val="17"/>
          <w:rFonts w:hint="default" w:ascii="Times New Roman" w:hAnsi="Times New Roman" w:eastAsia="黑体" w:cs="Times New Roman"/>
          <w:kern w:val="2"/>
          <w:sz w:val="32"/>
          <w:szCs w:val="32"/>
          <w:lang w:val="en-US" w:eastAsia="zh-CN" w:bidi="ar-SA"/>
        </w:rPr>
        <w:fldChar w:fldCharType="end"/>
      </w:r>
    </w:p>
    <w:p w14:paraId="0D77E713">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0"/>
        <w:rPr>
          <w:rFonts w:hint="default" w:ascii="Times New Roman" w:hAnsi="Times New Roman" w:eastAsia="仿宋_GB2312" w:cs="Times New Roma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5C28CBC1">
      <w:pPr>
        <w:keepNext/>
        <w:keepLines/>
        <w:pageBreakBefore w:val="0"/>
        <w:widowControl w:val="0"/>
        <w:kinsoku/>
        <w:wordWrap/>
        <w:overflowPunct/>
        <w:topLinePunct w:val="0"/>
        <w:autoSpaceDE/>
        <w:autoSpaceDN/>
        <w:bidi w:val="0"/>
        <w:adjustRightInd w:val="0"/>
        <w:snapToGrid w:val="0"/>
        <w:spacing w:before="0" w:after="0" w:line="240" w:lineRule="auto"/>
        <w:jc w:val="both"/>
        <w:textAlignment w:val="auto"/>
        <w:outlineLvl w:val="0"/>
        <w:rPr>
          <w:rFonts w:ascii="仿宋_GB2312" w:eastAsia="仿宋_GB2312"/>
        </w:rPr>
      </w:pPr>
      <w:r>
        <w:rPr>
          <w:rFonts w:hint="default" w:ascii="Times New Roman" w:hAnsi="Times New Roman" w:eastAsia="仿宋_GB2312" w:cs="Times New Roman"/>
        </w:rPr>
        <w:fldChar w:fldCharType="end"/>
      </w:r>
      <w:bookmarkStart w:id="1" w:name="_Toc42693583"/>
      <w:bookmarkStart w:id="2" w:name="_Toc24154"/>
    </w:p>
    <w:p w14:paraId="6B9EFFD5">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lang w:val="en-US" w:eastAsia="zh-CN"/>
        </w:rPr>
      </w:pPr>
      <w:r>
        <w:rPr>
          <w:rFonts w:hint="eastAsia" w:ascii="黑体" w:hAnsi="黑体" w:eastAsia="黑体" w:cs="Times New Roman"/>
          <w:b w:val="0"/>
          <w:color w:val="000000"/>
          <w:lang w:val="en-US" w:eastAsia="zh-CN"/>
        </w:rPr>
        <w:t>一、基本职能及主要工作</w:t>
      </w:r>
      <w:bookmarkEnd w:id="1"/>
      <w:bookmarkEnd w:id="2"/>
    </w:p>
    <w:p w14:paraId="7D003043">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3" w:name="_Toc42693584"/>
      <w:bookmarkStart w:id="4" w:name="_Toc16031"/>
      <w:r>
        <w:rPr>
          <w:rFonts w:hint="default" w:ascii="Times New Roman" w:hAnsi="Times New Roman" w:eastAsia="楷体_GB2312" w:cs="Times New Roman"/>
          <w:b/>
          <w:bCs/>
          <w:color w:val="000000"/>
          <w:kern w:val="2"/>
          <w:sz w:val="32"/>
          <w:szCs w:val="32"/>
          <w:lang w:eastAsia="zh-CN"/>
        </w:rPr>
        <w:t>（一）部门职能简介</w:t>
      </w:r>
      <w:bookmarkEnd w:id="3"/>
      <w:bookmarkEnd w:id="4"/>
    </w:p>
    <w:p w14:paraId="19489639">
      <w:pPr>
        <w:spacing w:line="576" w:lineRule="exact"/>
        <w:ind w:firstLine="640" w:firstLineChars="200"/>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理县人民检察院共设置内设机构5个。</w:t>
      </w:r>
    </w:p>
    <w:p w14:paraId="7162DB7F">
      <w:pPr>
        <w:spacing w:line="576" w:lineRule="exact"/>
        <w:ind w:firstLine="640" w:firstLineChars="200"/>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办公室</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eastAsia="zh-CN"/>
        </w:rPr>
        <w:t>负责机关文电、会务、机要、档案、保密</w:t>
      </w:r>
      <w:r>
        <w:rPr>
          <w:rFonts w:hint="default" w:ascii="Times New Roman" w:hAnsi="Times New Roman" w:eastAsia="仿宋_GB2312" w:cs="Times New Roman"/>
          <w:bCs/>
          <w:sz w:val="32"/>
          <w:szCs w:val="32"/>
          <w:lang w:val="en-US" w:eastAsia="zh-CN"/>
        </w:rPr>
        <w:t>、财务、代表委员联络</w:t>
      </w:r>
      <w:r>
        <w:rPr>
          <w:rFonts w:hint="default" w:ascii="Times New Roman" w:hAnsi="Times New Roman" w:eastAsia="仿宋_GB2312" w:cs="Times New Roman"/>
          <w:bCs/>
          <w:sz w:val="32"/>
          <w:szCs w:val="32"/>
          <w:lang w:val="zh-CN" w:eastAsia="zh-CN"/>
        </w:rPr>
        <w:t>等工作</w:t>
      </w:r>
    </w:p>
    <w:p w14:paraId="12FA9937">
      <w:pPr>
        <w:spacing w:line="576" w:lineRule="exact"/>
        <w:ind w:firstLine="640" w:firstLineChars="200"/>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第一检察部</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eastAsia="zh-CN"/>
        </w:rPr>
        <w:t>办理刑事案件的审查逮捕、审查起诉、出庭支持公诉、抗诉，开展相关立案监督、侦查监督、审判监督以及相关案件的补充侦查等工作。</w:t>
      </w:r>
    </w:p>
    <w:p w14:paraId="175848C1">
      <w:pPr>
        <w:spacing w:line="576" w:lineRule="exact"/>
        <w:ind w:firstLine="640" w:firstLineChars="200"/>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第二检察部</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eastAsia="zh-CN"/>
        </w:rPr>
        <w:t>负责办理向理县人民检察院</w:t>
      </w:r>
      <w:bookmarkStart w:id="5" w:name="OLE_LINK1"/>
      <w:r>
        <w:rPr>
          <w:rFonts w:hint="default" w:ascii="Times New Roman" w:hAnsi="Times New Roman" w:eastAsia="仿宋_GB2312" w:cs="Times New Roman"/>
          <w:bCs/>
          <w:sz w:val="32"/>
          <w:szCs w:val="32"/>
          <w:lang w:val="zh-CN" w:eastAsia="zh-CN"/>
        </w:rPr>
        <w:t>申请监督的民事行政案件的审查、抗诉</w:t>
      </w:r>
      <w:bookmarkEnd w:id="5"/>
      <w:r>
        <w:rPr>
          <w:rFonts w:hint="default" w:ascii="Times New Roman" w:hAnsi="Times New Roman" w:eastAsia="仿宋_GB2312" w:cs="Times New Roman"/>
          <w:bCs/>
          <w:sz w:val="32"/>
          <w:szCs w:val="32"/>
          <w:lang w:val="zh-CN" w:eastAsia="zh-CN"/>
        </w:rPr>
        <w:t>，承办对同级人民法院民事行政诉讼活动的法律监督，对审判监督程序以外的其他民事行政审判程序中审判人员的违法行为提出检察建议。对民事行政执行活动实行法律监督。开展民事行政支持起诉工作。办理理县人民检察院管辖的民事行政申诉案件。负责办理法律规定由理县人民检察院办理的公益诉讼案件。</w:t>
      </w:r>
    </w:p>
    <w:p w14:paraId="098ADBF6">
      <w:pPr>
        <w:spacing w:line="576" w:lineRule="exact"/>
        <w:ind w:firstLine="640" w:firstLineChars="200"/>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zh-CN" w:eastAsia="zh-CN"/>
        </w:rPr>
        <w:t>第三检察部</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eastAsia="zh-CN"/>
        </w:rPr>
        <w:t>负责对看守所和社区矫正机构等执法活动的监督。负责受理向理县人民检察院的控告和申诉。承办理县人民检察院管辖的国家赔偿案件和国家司法救助案件。负责案件的统一受理流转、办案流程监控、涉案财物的监管、法律文书监管、案件信息公开。统一组织办案质量评查、业务考评和业务统计分析研判。</w:t>
      </w:r>
    </w:p>
    <w:p w14:paraId="309B9DF6">
      <w:pPr>
        <w:spacing w:line="576" w:lineRule="exact"/>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val="zh-CN" w:eastAsia="zh-CN"/>
        </w:rPr>
        <w:t>政治部</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zh-CN" w:eastAsia="zh-CN"/>
        </w:rPr>
        <w:t>负责本部门本系统思想政治工作、新闻宣传、舆论引导、组织人事及教育培训等工作。负责离退休干部管理工作。组织司法警察履行职责工作。</w:t>
      </w:r>
    </w:p>
    <w:p w14:paraId="1C54DA8D">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6" w:name="_Toc20872"/>
      <w:r>
        <w:rPr>
          <w:rFonts w:hint="default" w:ascii="Times New Roman" w:hAnsi="Times New Roman" w:eastAsia="楷体_GB2312" w:cs="Times New Roman"/>
          <w:b/>
          <w:bCs/>
          <w:color w:val="000000"/>
          <w:kern w:val="2"/>
          <w:sz w:val="32"/>
          <w:szCs w:val="32"/>
          <w:lang w:eastAsia="zh-CN"/>
        </w:rPr>
        <w:t>（二）202</w:t>
      </w:r>
      <w:r>
        <w:rPr>
          <w:rFonts w:hint="eastAsia" w:ascii="Times New Roman" w:hAnsi="Times New Roman" w:eastAsia="楷体_GB2312" w:cs="Times New Roman"/>
          <w:b/>
          <w:bCs/>
          <w:color w:val="000000"/>
          <w:kern w:val="2"/>
          <w:sz w:val="32"/>
          <w:szCs w:val="32"/>
          <w:lang w:val="en-US" w:eastAsia="zh-CN"/>
        </w:rPr>
        <w:t>6</w:t>
      </w:r>
      <w:r>
        <w:rPr>
          <w:rFonts w:hint="default" w:ascii="Times New Roman" w:hAnsi="Times New Roman" w:eastAsia="楷体_GB2312" w:cs="Times New Roman"/>
          <w:b/>
          <w:bCs/>
          <w:color w:val="000000"/>
          <w:kern w:val="2"/>
          <w:sz w:val="32"/>
          <w:szCs w:val="32"/>
          <w:lang w:eastAsia="zh-CN"/>
        </w:rPr>
        <w:t>年重点工作</w:t>
      </w:r>
      <w:bookmarkEnd w:id="6"/>
    </w:p>
    <w:p w14:paraId="1CD512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Nimbus Roman" w:hAnsi="Nimbus Roman" w:eastAsia="方正仿宋_GBK" w:cs="Nimbus Roman"/>
          <w:sz w:val="32"/>
          <w:szCs w:val="32"/>
        </w:rPr>
      </w:pPr>
      <w:bookmarkStart w:id="7" w:name="_Toc31318"/>
      <w:r>
        <w:rPr>
          <w:rFonts w:hint="default" w:ascii="Times New Roman" w:hAnsi="Times New Roman" w:eastAsia="仿宋_GB2312" w:cs="Times New Roman"/>
          <w:color w:val="000000"/>
          <w:kern w:val="2"/>
          <w:sz w:val="32"/>
          <w:szCs w:val="32"/>
          <w:lang w:val="en-US"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val="en-US" w:eastAsia="zh-CN"/>
        </w:rPr>
        <w:t>年</w:t>
      </w:r>
      <w:r>
        <w:rPr>
          <w:rFonts w:hint="default" w:ascii="Nimbus Roman" w:hAnsi="Nimbus Roman" w:eastAsia="方正仿宋_GBK" w:cs="Nimbus Roman"/>
          <w:sz w:val="32"/>
          <w:szCs w:val="32"/>
        </w:rPr>
        <w:t>是“十五五”规划的开局之年，也是全面推进检察工作现代化的关键一年。理县人民检察院将坚持以</w:t>
      </w:r>
      <w:r>
        <w:rPr>
          <w:rFonts w:hint="default" w:ascii="Nimbus Roman" w:hAnsi="Nimbus Roman" w:eastAsia="方正仿宋_GBK" w:cs="Nimbus Roman"/>
          <w:sz w:val="32"/>
          <w:szCs w:val="32"/>
          <w:lang w:eastAsia="zh-CN"/>
        </w:rPr>
        <w:t>习近平</w:t>
      </w:r>
      <w:r>
        <w:rPr>
          <w:rFonts w:hint="default" w:ascii="Nimbus Roman" w:hAnsi="Nimbus Roman" w:eastAsia="方正仿宋_GBK" w:cs="Nimbus Roman"/>
          <w:sz w:val="32"/>
          <w:szCs w:val="32"/>
        </w:rPr>
        <w:t>新时代中国特色</w:t>
      </w:r>
      <w:bookmarkStart w:id="25" w:name="_GoBack"/>
      <w:bookmarkEnd w:id="25"/>
      <w:r>
        <w:rPr>
          <w:rFonts w:hint="default" w:ascii="Nimbus Roman" w:hAnsi="Nimbus Roman" w:eastAsia="方正仿宋_GBK" w:cs="Nimbus Roman"/>
          <w:sz w:val="32"/>
          <w:szCs w:val="32"/>
        </w:rPr>
        <w:t>社会主义思想为指导，全面贯彻习近平法治思想，深入落实党的二十大及二十届历次全会精神，紧紧围绕县委中心工作，聚焦法律监督主责主业，以“高质效办好每一个案件”为基本价值追求，全面协调充分履行刑事、民事、行政、公益诉讼“四大检察”职能，</w:t>
      </w:r>
      <w:r>
        <w:rPr>
          <w:rFonts w:hint="default" w:ascii="Nimbus Roman" w:hAnsi="Nimbus Roman" w:eastAsia="方正仿宋_GBK" w:cs="Nimbus Roman"/>
          <w:sz w:val="32"/>
          <w:szCs w:val="32"/>
          <w:lang w:eastAsia="zh-CN"/>
        </w:rPr>
        <w:t>为</w:t>
      </w:r>
      <w:r>
        <w:rPr>
          <w:rFonts w:hint="default" w:ascii="Nimbus Roman" w:hAnsi="Nimbus Roman" w:eastAsia="方正仿宋_GBK" w:cs="Nimbus Roman"/>
          <w:sz w:val="32"/>
          <w:szCs w:val="32"/>
        </w:rPr>
        <w:t>奋力谱写中国式现代化理县新篇章，加快建设民族地区高质量发展阿坝典范“理县样板”作出</w:t>
      </w:r>
      <w:r>
        <w:rPr>
          <w:rFonts w:hint="default" w:ascii="Nimbus Roman" w:hAnsi="Nimbus Roman" w:eastAsia="方正仿宋_GBK" w:cs="Nimbus Roman"/>
          <w:sz w:val="32"/>
          <w:szCs w:val="32"/>
          <w:lang w:eastAsia="zh-CN"/>
        </w:rPr>
        <w:t>理县检察</w:t>
      </w:r>
      <w:r>
        <w:rPr>
          <w:rFonts w:hint="default" w:ascii="Nimbus Roman" w:hAnsi="Nimbus Roman" w:eastAsia="方正仿宋_GBK" w:cs="Nimbus Roman"/>
          <w:sz w:val="32"/>
          <w:szCs w:val="32"/>
        </w:rPr>
        <w:t>贡献。</w:t>
      </w:r>
    </w:p>
    <w:p w14:paraId="6704258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一、坚持政治引领，把党的绝对领导贯穿检察工作全过程</w:t>
      </w:r>
    </w:p>
    <w:p w14:paraId="0105BB1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Nimbus Roman" w:hAnsi="Nimbus Roman" w:eastAsia="方正仿宋_GBK" w:cs="Nimbus Roman"/>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强化理论武装，筑牢思想根基。</w:t>
      </w:r>
      <w:r>
        <w:rPr>
          <w:rFonts w:hint="default" w:ascii="Nimbus Roman" w:hAnsi="Nimbus Roman" w:eastAsia="方正仿宋_GBK" w:cs="Nimbus Roman"/>
          <w:sz w:val="32"/>
          <w:szCs w:val="32"/>
        </w:rPr>
        <w:t>始终把党的绝对领导贯穿检察工作全过程</w:t>
      </w:r>
      <w:r>
        <w:rPr>
          <w:rFonts w:hint="default" w:ascii="Nimbus Roman" w:hAnsi="Nimbus Roman" w:eastAsia="方正仿宋_GBK" w:cs="Nimbus Roman"/>
          <w:sz w:val="32"/>
          <w:szCs w:val="32"/>
          <w:lang w:eastAsia="zh-CN"/>
        </w:rPr>
        <w:t>、</w:t>
      </w:r>
      <w:r>
        <w:rPr>
          <w:rFonts w:hint="default" w:ascii="Nimbus Roman" w:hAnsi="Nimbus Roman" w:eastAsia="方正仿宋_GBK" w:cs="Nimbus Roman"/>
          <w:sz w:val="32"/>
          <w:szCs w:val="32"/>
        </w:rPr>
        <w:t>各方面，把学习贯彻党的二十届</w:t>
      </w:r>
      <w:r>
        <w:rPr>
          <w:rFonts w:hint="default" w:ascii="Nimbus Roman" w:hAnsi="Nimbus Roman" w:eastAsia="方正仿宋_GBK" w:cs="Nimbus Roman"/>
          <w:sz w:val="32"/>
          <w:szCs w:val="32"/>
          <w:lang w:eastAsia="zh-CN"/>
        </w:rPr>
        <w:t>历次</w:t>
      </w:r>
      <w:r>
        <w:rPr>
          <w:rFonts w:hint="default" w:ascii="Nimbus Roman" w:hAnsi="Nimbus Roman" w:eastAsia="方正仿宋_GBK" w:cs="Nimbus Roman"/>
          <w:sz w:val="32"/>
          <w:szCs w:val="32"/>
        </w:rPr>
        <w:t>全会精神与全国、全省</w:t>
      </w:r>
      <w:r>
        <w:rPr>
          <w:rFonts w:hint="default" w:ascii="Nimbus Roman" w:hAnsi="Nimbus Roman" w:eastAsia="方正仿宋_GBK" w:cs="Nimbus Roman"/>
          <w:sz w:val="32"/>
          <w:szCs w:val="32"/>
          <w:lang w:eastAsia="zh-CN"/>
        </w:rPr>
        <w:t>、全州</w:t>
      </w:r>
      <w:r>
        <w:rPr>
          <w:rFonts w:hint="default" w:ascii="Nimbus Roman" w:hAnsi="Nimbus Roman" w:eastAsia="方正仿宋_GBK" w:cs="Nimbus Roman"/>
          <w:sz w:val="32"/>
          <w:szCs w:val="32"/>
        </w:rPr>
        <w:t>检察长会议精神贯通起来学、一体推进</w:t>
      </w:r>
      <w:r>
        <w:rPr>
          <w:rFonts w:hint="default" w:ascii="Nimbus Roman" w:hAnsi="Nimbus Roman" w:eastAsia="方正仿宋_GBK" w:cs="Nimbus Roman"/>
          <w:sz w:val="32"/>
          <w:szCs w:val="32"/>
          <w:lang w:eastAsia="zh-CN"/>
        </w:rPr>
        <w:t>。</w:t>
      </w:r>
      <w:r>
        <w:rPr>
          <w:rFonts w:hint="eastAsia" w:ascii="Nimbus Roman" w:hAnsi="Nimbus Roman" w:eastAsia="方正仿宋_GBK" w:cs="Nimbus Roman"/>
          <w:sz w:val="32"/>
          <w:szCs w:val="32"/>
          <w:lang w:eastAsia="zh-CN"/>
        </w:rPr>
        <w:t>坚持和完善“第一议题”制度，持续深入开展“铸忠诚警魂</w:t>
      </w:r>
      <w:r>
        <w:rPr>
          <w:rFonts w:hint="eastAsia" w:ascii="Nimbus Roman" w:hAnsi="Nimbus Roman" w:eastAsia="方正仿宋_GBK" w:cs="Nimbus Roman"/>
          <w:sz w:val="32"/>
          <w:szCs w:val="32"/>
          <w:lang w:val="en-US" w:eastAsia="zh-CN"/>
        </w:rPr>
        <w:t>·建高原铁军</w:t>
      </w:r>
      <w:r>
        <w:rPr>
          <w:rFonts w:hint="eastAsia" w:ascii="Nimbus Roman" w:hAnsi="Nimbus Roman" w:eastAsia="方正仿宋_GBK" w:cs="Nimbus Roman"/>
          <w:sz w:val="32"/>
          <w:szCs w:val="32"/>
          <w:lang w:eastAsia="zh-CN"/>
        </w:rPr>
        <w:t>”教育活动。</w:t>
      </w:r>
      <w:r>
        <w:rPr>
          <w:rFonts w:hint="default" w:ascii="Nimbus Roman" w:hAnsi="Nimbus Roman" w:eastAsia="方正仿宋_GBK" w:cs="Nimbus Roman"/>
          <w:sz w:val="32"/>
          <w:szCs w:val="32"/>
          <w:lang w:val="en-US" w:eastAsia="zh-CN"/>
        </w:rPr>
        <w:t>充分利用</w:t>
      </w:r>
      <w:r>
        <w:rPr>
          <w:rFonts w:hint="eastAsia" w:ascii="Nimbus Roman" w:hAnsi="Nimbus Roman" w:eastAsia="方正仿宋_GBK" w:cs="Nimbus Roman"/>
          <w:sz w:val="32"/>
          <w:szCs w:val="32"/>
          <w:lang w:val="en-US" w:eastAsia="zh-CN"/>
        </w:rPr>
        <w:t>每周一</w:t>
      </w:r>
      <w:r>
        <w:rPr>
          <w:rFonts w:hint="default" w:ascii="Nimbus Roman" w:hAnsi="Nimbus Roman" w:eastAsia="方正仿宋_GBK" w:cs="Nimbus Roman"/>
          <w:sz w:val="32"/>
          <w:szCs w:val="32"/>
          <w:lang w:val="en-US" w:eastAsia="zh-CN"/>
        </w:rPr>
        <w:t>“拓岗绛玛·理县讲堂”</w:t>
      </w:r>
      <w:r>
        <w:rPr>
          <w:rFonts w:hint="eastAsia" w:ascii="Nimbus Roman" w:hAnsi="Nimbus Roman" w:eastAsia="方正仿宋_GBK" w:cs="Nimbus Roman"/>
          <w:sz w:val="32"/>
          <w:szCs w:val="32"/>
          <w:lang w:val="en-US" w:eastAsia="zh-CN"/>
        </w:rPr>
        <w:t>“</w:t>
      </w:r>
      <w:r>
        <w:rPr>
          <w:rFonts w:hint="default" w:ascii="Nimbus Roman" w:hAnsi="Nimbus Roman" w:eastAsia="方正仿宋_GBK" w:cs="Nimbus Roman"/>
          <w:sz w:val="32"/>
          <w:szCs w:val="32"/>
          <w:lang w:val="en-US" w:eastAsia="zh-CN"/>
        </w:rPr>
        <w:t>三会一课</w:t>
      </w:r>
      <w:r>
        <w:rPr>
          <w:rFonts w:hint="eastAsia" w:ascii="Nimbus Roman" w:hAnsi="Nimbus Roman" w:eastAsia="方正仿宋_GBK" w:cs="Nimbus Roman"/>
          <w:sz w:val="32"/>
          <w:szCs w:val="32"/>
          <w:lang w:val="en-US" w:eastAsia="zh-CN"/>
        </w:rPr>
        <w:t>”、党组理论学习中心组学习会议</w:t>
      </w:r>
      <w:r>
        <w:rPr>
          <w:rFonts w:hint="default" w:ascii="Nimbus Roman" w:hAnsi="Nimbus Roman" w:eastAsia="方正仿宋_GBK" w:cs="Nimbus Roman"/>
          <w:sz w:val="32"/>
          <w:szCs w:val="32"/>
          <w:lang w:val="en-US" w:eastAsia="zh-CN"/>
        </w:rPr>
        <w:t>等形式，开展系统理论学习，</w:t>
      </w:r>
      <w:r>
        <w:rPr>
          <w:rFonts w:hint="default" w:ascii="Nimbus Roman" w:hAnsi="Nimbus Roman" w:eastAsia="方正仿宋_GBK" w:cs="Nimbus Roman"/>
          <w:sz w:val="32"/>
          <w:szCs w:val="32"/>
        </w:rPr>
        <w:t>不断提高政治判断力、政治领悟力、政治执行力，把政治忠诚转化为守护社会稳定、促进民族团结的实际成效。</w:t>
      </w:r>
    </w:p>
    <w:p w14:paraId="73E1E3F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Nimbus Roman" w:hAnsi="Nimbus Roman" w:eastAsia="方正仿宋_GBK" w:cs="Nimbus Roman"/>
          <w:sz w:val="32"/>
          <w:szCs w:val="32"/>
        </w:rPr>
      </w:pPr>
      <w:r>
        <w:rPr>
          <w:rFonts w:hint="default" w:ascii="方正楷体_GBK" w:hAnsi="方正楷体_GBK" w:eastAsia="方正楷体_GBK" w:cs="方正楷体_GBK"/>
          <w:b/>
          <w:bCs/>
          <w:sz w:val="32"/>
          <w:szCs w:val="32"/>
          <w:lang w:eastAsia="zh-CN"/>
        </w:rPr>
        <w:t>（二）坚持党的绝对领导，主动接受监督。</w:t>
      </w:r>
      <w:r>
        <w:rPr>
          <w:rFonts w:hint="default" w:ascii="Nimbus Roman" w:hAnsi="Nimbus Roman" w:eastAsia="方正仿宋_GBK" w:cs="Nimbus Roman"/>
          <w:sz w:val="32"/>
          <w:szCs w:val="32"/>
        </w:rPr>
        <w:t>严格执行《中国共产党政法工作条例》，坚持重大事项、重要工作及时向县委、县委政法委请示报告。自觉接受人大监督、民主监督和社会监督，深入践行全过程人民民主，认真办理代表委员建议提案，常态化开展检察开放日活动，确保检察权始终在阳光下运行。</w:t>
      </w:r>
    </w:p>
    <w:p w14:paraId="1E9AE667">
      <w:pPr>
        <w:keepNext w:val="0"/>
        <w:keepLines w:val="0"/>
        <w:pageBreakBefore w:val="0"/>
        <w:kinsoku/>
        <w:wordWrap/>
        <w:overflowPunct/>
        <w:topLinePunct w:val="0"/>
        <w:autoSpaceDE/>
        <w:autoSpaceDN/>
        <w:bidi w:val="0"/>
        <w:adjustRightInd/>
        <w:snapToGrid/>
        <w:spacing w:line="576" w:lineRule="exact"/>
        <w:ind w:firstLine="619" w:firstLineChars="200"/>
        <w:textAlignment w:val="auto"/>
        <w:rPr>
          <w:rFonts w:hint="default" w:ascii="Nimbus Roman" w:hAnsi="Nimbus Roman" w:eastAsia="方正仿宋_GBK" w:cs="Nimbus Roman"/>
          <w:b w:val="0"/>
          <w:bCs w:val="0"/>
          <w:spacing w:val="-6"/>
          <w:sz w:val="32"/>
          <w:szCs w:val="32"/>
        </w:rPr>
      </w:pPr>
      <w:r>
        <w:rPr>
          <w:rFonts w:hint="default" w:ascii="方正楷体_GBK" w:hAnsi="方正楷体_GBK" w:eastAsia="方正楷体_GBK" w:cs="方正楷体_GBK"/>
          <w:b/>
          <w:bCs/>
          <w:spacing w:val="-6"/>
          <w:sz w:val="32"/>
          <w:szCs w:val="32"/>
          <w:lang w:eastAsia="zh-CN"/>
        </w:rPr>
        <w:t>（三）深化党建与业务融合，</w:t>
      </w:r>
      <w:r>
        <w:rPr>
          <w:rFonts w:hint="default" w:ascii="方正楷体_GBK" w:hAnsi="方正楷体_GBK" w:eastAsia="方正楷体_GBK" w:cs="方正楷体_GBK"/>
          <w:b/>
          <w:bCs/>
          <w:spacing w:val="-6"/>
          <w:sz w:val="32"/>
          <w:szCs w:val="32"/>
          <w:lang w:val="en-US" w:eastAsia="zh-CN"/>
        </w:rPr>
        <w:t>提升履职质效</w:t>
      </w:r>
      <w:r>
        <w:rPr>
          <w:rFonts w:hint="default" w:ascii="方正楷体_GBK" w:hAnsi="方正楷体_GBK" w:eastAsia="方正楷体_GBK" w:cs="方正楷体_GBK"/>
          <w:b/>
          <w:bCs/>
          <w:spacing w:val="-6"/>
          <w:sz w:val="32"/>
          <w:szCs w:val="32"/>
          <w:lang w:eastAsia="zh-CN"/>
        </w:rPr>
        <w:t>。</w:t>
      </w:r>
      <w:r>
        <w:rPr>
          <w:rFonts w:hint="default" w:ascii="Nimbus Roman" w:hAnsi="Nimbus Roman" w:eastAsia="方正仿宋_GBK" w:cs="Nimbus Roman"/>
          <w:b w:val="0"/>
          <w:bCs w:val="0"/>
          <w:spacing w:val="-6"/>
          <w:sz w:val="32"/>
          <w:szCs w:val="32"/>
        </w:rPr>
        <w:t>巩固拓展主题教育成果，创新党建工作载体，</w:t>
      </w:r>
      <w:r>
        <w:rPr>
          <w:rFonts w:hint="eastAsia" w:ascii="Nimbus Roman" w:hAnsi="Nimbus Roman" w:eastAsia="方正仿宋_GBK" w:cs="Nimbus Roman"/>
          <w:b w:val="0"/>
          <w:bCs w:val="0"/>
          <w:spacing w:val="-6"/>
          <w:sz w:val="32"/>
          <w:szCs w:val="32"/>
          <w:lang w:eastAsia="zh-CN"/>
        </w:rPr>
        <w:t>坚强“吉祥卫士”党建品牌，</w:t>
      </w:r>
      <w:r>
        <w:rPr>
          <w:rFonts w:hint="default" w:ascii="Nimbus Roman" w:hAnsi="Nimbus Roman" w:eastAsia="方正仿宋_GBK" w:cs="Nimbus Roman"/>
          <w:b w:val="0"/>
          <w:bCs w:val="0"/>
          <w:spacing w:val="-6"/>
          <w:sz w:val="32"/>
          <w:szCs w:val="32"/>
        </w:rPr>
        <w:t>推动党建与队伍</w:t>
      </w:r>
      <w:r>
        <w:rPr>
          <w:rFonts w:hint="eastAsia" w:ascii="Nimbus Roman" w:hAnsi="Nimbus Roman" w:eastAsia="方正仿宋_GBK" w:cs="Nimbus Roman"/>
          <w:b w:val="0"/>
          <w:bCs w:val="0"/>
          <w:spacing w:val="-6"/>
          <w:sz w:val="32"/>
          <w:szCs w:val="32"/>
          <w:lang w:eastAsia="zh-CN"/>
        </w:rPr>
        <w:t>、党建与</w:t>
      </w:r>
      <w:r>
        <w:rPr>
          <w:rFonts w:hint="default" w:ascii="Nimbus Roman" w:hAnsi="Nimbus Roman" w:eastAsia="方正仿宋_GBK" w:cs="Nimbus Roman"/>
          <w:b w:val="0"/>
          <w:bCs w:val="0"/>
          <w:spacing w:val="-6"/>
          <w:sz w:val="32"/>
          <w:szCs w:val="32"/>
        </w:rPr>
        <w:t>业务建设深度融合。严肃党内政治生活，加强党员教育管理，发挥党支部战斗堡垒作用和党员先锋模范作用。</w:t>
      </w:r>
    </w:p>
    <w:p w14:paraId="3236DE6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Nimbus Roman" w:hAnsi="Nimbus Roman" w:eastAsia="方正仿宋_GBK" w:cs="Nimbus Roman"/>
          <w:sz w:val="32"/>
          <w:szCs w:val="32"/>
        </w:rPr>
      </w:pPr>
      <w:r>
        <w:rPr>
          <w:rFonts w:hint="eastAsia" w:ascii="方正黑体_GBK" w:hAnsi="方正黑体_GBK" w:eastAsia="方正黑体_GBK" w:cs="方正黑体_GBK"/>
          <w:sz w:val="32"/>
          <w:szCs w:val="32"/>
        </w:rPr>
        <w:t>二、聚焦中心大局，以高质效检察履职护航高质量发展</w:t>
      </w:r>
    </w:p>
    <w:p w14:paraId="1F61A5FA">
      <w:pPr>
        <w:pStyle w:val="6"/>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Nimbus Roman" w:hAnsi="Nimbus Roman" w:eastAsia="方正仿宋_GBK" w:cs="Nimbus Roman"/>
          <w:kern w:val="2"/>
          <w:sz w:val="32"/>
          <w:szCs w:val="32"/>
          <w:u w:val="none"/>
          <w:lang w:val="en-US" w:eastAsia="zh-CN" w:bidi="ar-SA"/>
        </w:rPr>
      </w:pPr>
      <w:r>
        <w:rPr>
          <w:rFonts w:hint="default" w:ascii="Nimbus Roman" w:hAnsi="Nimbus Roman" w:eastAsia="方正仿宋_GBK" w:cs="Nimbus Roman"/>
          <w:kern w:val="2"/>
          <w:sz w:val="32"/>
          <w:szCs w:val="32"/>
          <w:u w:val="none"/>
          <w:lang w:val="en-US" w:eastAsia="zh-CN" w:bidi="ar-SA"/>
        </w:rPr>
        <w:t>坚定不移贯彻总体国家安全观，积极参与涉藏州县依法常态化治理，严厉打击各类渗透、破坏、颠覆、分裂活动。常态化推进扫黑除恶斗争，依法严惩严重暴力犯罪、多发性侵财犯罪、毒品犯罪，切实增强人民群众安全感。扎实开展化解矛盾风险、维护社会稳定专项治理。在办好案件的同时，要加强调研分析和形势研判，结合办案中发现的维护社会稳定的普遍问题、苗头性、倾向性问题，及时形成相关工作报告或检察建议，向</w:t>
      </w:r>
      <w:r>
        <w:rPr>
          <w:rFonts w:hint="eastAsia" w:ascii="Nimbus Roman" w:hAnsi="Nimbus Roman" w:eastAsia="方正仿宋_GBK" w:cs="Nimbus Roman"/>
          <w:kern w:val="2"/>
          <w:sz w:val="32"/>
          <w:szCs w:val="32"/>
          <w:u w:val="none"/>
          <w:lang w:val="en-US" w:eastAsia="zh-CN" w:bidi="ar-SA"/>
        </w:rPr>
        <w:t>县</w:t>
      </w:r>
      <w:r>
        <w:rPr>
          <w:rFonts w:hint="default" w:ascii="Nimbus Roman" w:hAnsi="Nimbus Roman" w:eastAsia="方正仿宋_GBK" w:cs="Nimbus Roman"/>
          <w:kern w:val="2"/>
          <w:sz w:val="32"/>
          <w:szCs w:val="32"/>
          <w:u w:val="none"/>
          <w:lang w:val="en-US" w:eastAsia="zh-CN" w:bidi="ar-SA"/>
        </w:rPr>
        <w:t>委、政府汇报沟通，助推“被动维稳”向“主动创稳”发展。</w:t>
      </w:r>
    </w:p>
    <w:p w14:paraId="7B51666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三、深耕法律监督，全面加强“四大检察”基本职能建设</w:t>
      </w:r>
    </w:p>
    <w:p w14:paraId="2B99C39F">
      <w:pPr>
        <w:pStyle w:val="7"/>
        <w:ind w:firstLine="320" w:firstLineChars="100"/>
        <w:rPr>
          <w:rFonts w:hint="default" w:ascii="Nimbus Roman" w:hAnsi="Nimbus Roman" w:eastAsia="方正仿宋_GBK" w:cs="Nimbus Roman"/>
          <w:b w:val="0"/>
          <w:bCs w:val="0"/>
          <w:spacing w:val="-6"/>
          <w:sz w:val="32"/>
          <w:szCs w:val="32"/>
        </w:rPr>
      </w:pPr>
      <w:r>
        <w:rPr>
          <w:rFonts w:hint="default" w:ascii="Nimbus Roman" w:hAnsi="Nimbus Roman" w:eastAsia="方正仿宋_GBK" w:cs="Nimbus Roman"/>
          <w:sz w:val="32"/>
          <w:szCs w:val="32"/>
        </w:rPr>
        <w:t>聚焦逮捕起诉质量、刑事诉讼监督、公诉办案时效“三项重点”，</w:t>
      </w:r>
      <w:r>
        <w:rPr>
          <w:rFonts w:hint="default" w:ascii="Nimbus Roman" w:hAnsi="Nimbus Roman" w:eastAsia="方正仿宋_GBK" w:cs="Nimbus Roman"/>
          <w:b w:val="0"/>
          <w:bCs w:val="0"/>
          <w:color w:val="000000"/>
          <w:kern w:val="2"/>
          <w:sz w:val="32"/>
          <w:szCs w:val="32"/>
          <w:lang w:val="en-US" w:eastAsia="zh-CN" w:bidi="ar-SA"/>
        </w:rPr>
        <w:t>强化对刑事立案、侦查、审判、执行的全流程监督，</w:t>
      </w:r>
      <w:r>
        <w:rPr>
          <w:rFonts w:hint="default" w:ascii="Nimbus Roman" w:hAnsi="Nimbus Roman" w:eastAsia="方正仿宋_GBK" w:cs="Nimbus Roman"/>
          <w:sz w:val="32"/>
          <w:szCs w:val="32"/>
        </w:rPr>
        <w:t>做实审查能力、出庭能力“两个提升”。全面认真细致做好证据审查、讯问询问、听取意见等各环节工作，打牢高质效办案的基础。深化侦查监督与协作配合机制，提升立案监督和侦查活动监督质效。加强刑事审判监督。深化“派驻+巡回+科技”刑事执行监督机制。</w:t>
      </w:r>
    </w:p>
    <w:p w14:paraId="7FE373F9">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r>
        <w:rPr>
          <w:rFonts w:hint="default" w:ascii="Times New Roman" w:hAnsi="Times New Roman" w:eastAsia="黑体" w:cs="Times New Roman"/>
          <w:b w:val="0"/>
          <w:color w:val="000000"/>
          <w:sz w:val="32"/>
          <w:szCs w:val="32"/>
        </w:rPr>
        <w:t>二、部门预算单位构成</w:t>
      </w:r>
      <w:bookmarkEnd w:id="7"/>
    </w:p>
    <w:p w14:paraId="3D8CBA56">
      <w:pPr>
        <w:spacing w:line="576" w:lineRule="exact"/>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理县人民检察院</w:t>
      </w:r>
      <w:r>
        <w:rPr>
          <w:rFonts w:hint="default" w:ascii="Times New Roman" w:hAnsi="Times New Roman" w:eastAsia="仿宋_GB2312" w:cs="Times New Roman"/>
          <w:bCs/>
          <w:sz w:val="32"/>
          <w:szCs w:val="32"/>
          <w:lang w:eastAsia="zh-CN"/>
        </w:rPr>
        <w:t>属一级预算单位</w:t>
      </w:r>
      <w:r>
        <w:rPr>
          <w:rFonts w:hint="default" w:ascii="Times New Roman" w:hAnsi="Times New Roman" w:eastAsia="仿宋_GB2312" w:cs="Times New Roman"/>
          <w:bCs/>
          <w:sz w:val="32"/>
          <w:szCs w:val="32"/>
          <w:lang w:val="en-US" w:eastAsia="zh-CN"/>
        </w:rPr>
        <w:t>,无下属二级预算单位。</w:t>
      </w:r>
      <w:r>
        <w:rPr>
          <w:rFonts w:hint="default" w:ascii="Times New Roman" w:hAnsi="Times New Roman" w:eastAsia="仿宋_GB2312" w:cs="Times New Roman"/>
          <w:bCs/>
          <w:sz w:val="32"/>
          <w:szCs w:val="32"/>
        </w:rPr>
        <w:t>理县人民检察院</w:t>
      </w:r>
      <w:r>
        <w:rPr>
          <w:rFonts w:hint="default" w:ascii="Times New Roman" w:hAnsi="Times New Roman" w:eastAsia="仿宋_GB2312" w:cs="Times New Roman"/>
          <w:bCs/>
          <w:sz w:val="32"/>
          <w:szCs w:val="32"/>
          <w:lang w:val="en-US" w:eastAsia="zh-CN"/>
        </w:rPr>
        <w:t>机关总编制25名，其中：行政编制22名，工勤编制3名。在职人员总数2</w:t>
      </w: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lang w:val="en-US" w:eastAsia="zh-CN"/>
        </w:rPr>
        <w:t>人，其中：行政人员在职</w:t>
      </w:r>
      <w:r>
        <w:rPr>
          <w:rFonts w:hint="eastAsia" w:ascii="Times New Roman" w:hAnsi="Times New Roman" w:eastAsia="仿宋_GB2312" w:cs="Times New Roman"/>
          <w:bCs/>
          <w:sz w:val="32"/>
          <w:szCs w:val="32"/>
          <w:lang w:val="en-US" w:eastAsia="zh-CN"/>
        </w:rPr>
        <w:t>20</w:t>
      </w:r>
      <w:r>
        <w:rPr>
          <w:rFonts w:hint="default" w:ascii="Times New Roman" w:hAnsi="Times New Roman" w:eastAsia="仿宋_GB2312" w:cs="Times New Roman"/>
          <w:bCs/>
          <w:sz w:val="32"/>
          <w:szCs w:val="32"/>
          <w:lang w:val="en-US" w:eastAsia="zh-CN"/>
        </w:rPr>
        <w:t>人，工勤在职3人。空编</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名，其中：行政编制</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名。</w:t>
      </w:r>
      <w:r>
        <w:rPr>
          <w:rFonts w:hint="default" w:ascii="Times New Roman" w:hAnsi="Times New Roman" w:eastAsia="仿宋_GB2312" w:cs="Times New Roman"/>
          <w:bCs/>
          <w:sz w:val="32"/>
          <w:szCs w:val="32"/>
        </w:rPr>
        <w:t>理县人民检察院</w:t>
      </w:r>
      <w:r>
        <w:rPr>
          <w:rFonts w:hint="default" w:ascii="Times New Roman" w:hAnsi="Times New Roman" w:eastAsia="仿宋_GB2312" w:cs="Times New Roman"/>
          <w:bCs/>
          <w:sz w:val="32"/>
          <w:szCs w:val="32"/>
          <w:lang w:val="en-US" w:eastAsia="zh-CN"/>
        </w:rPr>
        <w:t>离退休人员13人，其中：离休0人，退休13人。</w:t>
      </w:r>
      <w:r>
        <w:rPr>
          <w:rFonts w:hint="default" w:ascii="Times New Roman" w:hAnsi="Times New Roman" w:eastAsia="仿宋_GB2312" w:cs="Times New Roman"/>
          <w:bCs/>
          <w:sz w:val="32"/>
          <w:szCs w:val="32"/>
        </w:rPr>
        <w:t>车辆编制为</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实有车辆</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台。</w:t>
      </w:r>
    </w:p>
    <w:p w14:paraId="0137C6B3">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8" w:name="_Toc9533"/>
      <w:r>
        <w:rPr>
          <w:rFonts w:hint="default" w:ascii="Times New Roman" w:hAnsi="Times New Roman" w:eastAsia="黑体" w:cs="Times New Roman"/>
          <w:b w:val="0"/>
          <w:color w:val="000000"/>
          <w:sz w:val="32"/>
          <w:szCs w:val="32"/>
        </w:rPr>
        <w:t>三、收支预算情况说明</w:t>
      </w:r>
      <w:bookmarkEnd w:id="8"/>
    </w:p>
    <w:p w14:paraId="7A57C0F5">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仿宋_GB2312" w:cs="Times New Roman"/>
          <w:color w:val="000000"/>
          <w:kern w:val="2"/>
          <w:sz w:val="32"/>
          <w:szCs w:val="32"/>
          <w:lang w:eastAsia="zh-CN"/>
        </w:rPr>
        <w:t>按照综合预算的原则，</w:t>
      </w: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val="en-US"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val="en-US" w:eastAsia="zh-CN"/>
        </w:rPr>
        <w:t>年</w:t>
      </w:r>
      <w:r>
        <w:rPr>
          <w:rFonts w:hint="default" w:ascii="Times New Roman" w:hAnsi="Times New Roman" w:eastAsia="仿宋_GB2312" w:cs="Times New Roman"/>
          <w:color w:val="000000"/>
          <w:kern w:val="2"/>
          <w:sz w:val="32"/>
          <w:szCs w:val="32"/>
          <w:lang w:eastAsia="zh-CN"/>
        </w:rPr>
        <w:t>所有收入和支出均纳入部门预算管理。收入包括：一般公共预算拨款收入</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元；支出包括：公共安全支出</w:t>
      </w:r>
      <w:r>
        <w:rPr>
          <w:rFonts w:hint="eastAsia" w:ascii="Times New Roman" w:hAnsi="Times New Roman" w:eastAsia="仿宋_GB2312" w:cs="Times New Roman"/>
          <w:color w:val="000000"/>
          <w:kern w:val="2"/>
          <w:sz w:val="32"/>
          <w:szCs w:val="32"/>
          <w:lang w:val="en-US" w:eastAsia="zh-CN"/>
        </w:rPr>
        <w:t>396.89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元；社会保障和就业支出</w:t>
      </w:r>
      <w:r>
        <w:rPr>
          <w:rFonts w:hint="eastAsia" w:ascii="Times New Roman" w:hAnsi="Times New Roman" w:eastAsia="仿宋_GB2312" w:cs="Times New Roman"/>
          <w:color w:val="000000"/>
          <w:kern w:val="2"/>
          <w:sz w:val="32"/>
          <w:szCs w:val="32"/>
          <w:lang w:val="en-US" w:eastAsia="zh-CN"/>
        </w:rPr>
        <w:t>78.22</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元，卫生健康支出</w:t>
      </w:r>
      <w:r>
        <w:rPr>
          <w:rFonts w:hint="eastAsia" w:ascii="Times New Roman" w:hAnsi="Times New Roman" w:eastAsia="仿宋_GB2312" w:cs="Times New Roman"/>
          <w:color w:val="000000"/>
          <w:kern w:val="2"/>
          <w:sz w:val="32"/>
          <w:szCs w:val="32"/>
          <w:lang w:val="en-US" w:eastAsia="zh-CN"/>
        </w:rPr>
        <w:t>30.39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元，住房保障支出</w:t>
      </w:r>
      <w:r>
        <w:rPr>
          <w:rFonts w:hint="eastAsia" w:ascii="Times New Roman" w:hAnsi="Times New Roman" w:eastAsia="仿宋_GB2312" w:cs="Times New Roman"/>
          <w:color w:val="000000"/>
          <w:kern w:val="2"/>
          <w:sz w:val="32"/>
          <w:szCs w:val="32"/>
          <w:lang w:val="en-US" w:eastAsia="zh-CN"/>
        </w:rPr>
        <w:t>37.93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w:t>
      </w:r>
      <w:r>
        <w:rPr>
          <w:rFonts w:hint="eastAsia" w:ascii="Times New Roman" w:hAnsi="Times New Roman" w:eastAsia="仿宋_GB2312" w:cs="Times New Roman"/>
          <w:color w:val="000000"/>
          <w:kern w:val="2"/>
          <w:sz w:val="32"/>
          <w:szCs w:val="32"/>
          <w:lang w:val="en-US" w:eastAsia="zh-CN"/>
        </w:rPr>
        <w:t>,其他支出48.71万元</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年收支总预算</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w:t>
      </w:r>
    </w:p>
    <w:p w14:paraId="697C3F63">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hint="default" w:ascii="Times New Roman" w:hAnsi="Times New Roman" w:eastAsia="楷体_GB2312" w:cs="Times New Roman"/>
          <w:b/>
          <w:bCs/>
          <w:color w:val="000000"/>
          <w:kern w:val="2"/>
          <w:sz w:val="32"/>
          <w:szCs w:val="32"/>
          <w:lang w:eastAsia="zh-CN"/>
        </w:rPr>
      </w:pPr>
      <w:bookmarkStart w:id="9" w:name="_Toc5825"/>
      <w:r>
        <w:rPr>
          <w:rFonts w:hint="default" w:ascii="Times New Roman" w:hAnsi="Times New Roman" w:eastAsia="楷体_GB2312" w:cs="Times New Roman"/>
          <w:b/>
          <w:bCs/>
          <w:color w:val="000000"/>
          <w:kern w:val="2"/>
          <w:sz w:val="32"/>
          <w:szCs w:val="32"/>
          <w:lang w:eastAsia="zh-CN"/>
        </w:rPr>
        <w:t>（一）收入预算情况</w:t>
      </w:r>
      <w:bookmarkEnd w:id="9"/>
    </w:p>
    <w:p w14:paraId="69304EEB">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年收入预算</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元；其中：一般公共预算拨款收入</w:t>
      </w:r>
      <w:r>
        <w:rPr>
          <w:rFonts w:hint="eastAsia" w:ascii="Times New Roman" w:hAnsi="Times New Roman" w:eastAsia="仿宋_GB2312" w:cs="Times New Roman"/>
          <w:color w:val="000000"/>
          <w:kern w:val="2"/>
          <w:sz w:val="32"/>
          <w:szCs w:val="32"/>
          <w:lang w:val="en-US" w:eastAsia="zh-CN"/>
        </w:rPr>
        <w:t>543.42</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元，占</w:t>
      </w:r>
      <w:r>
        <w:rPr>
          <w:rFonts w:hint="eastAsia" w:ascii="Times New Roman" w:hAnsi="Times New Roman" w:eastAsia="仿宋_GB2312" w:cs="Times New Roman"/>
          <w:color w:val="000000"/>
          <w:kern w:val="2"/>
          <w:sz w:val="32"/>
          <w:szCs w:val="32"/>
          <w:lang w:val="en-US" w:eastAsia="zh-CN"/>
        </w:rPr>
        <w:t>91.77</w:t>
      </w:r>
      <w:r>
        <w:rPr>
          <w:rFonts w:hint="default"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eastAsia="zh-CN"/>
        </w:rPr>
        <w:t>，上年结转其他收入</w:t>
      </w:r>
      <w:r>
        <w:rPr>
          <w:rFonts w:hint="eastAsia" w:ascii="Times New Roman" w:hAnsi="Times New Roman" w:eastAsia="仿宋_GB2312" w:cs="Times New Roman"/>
          <w:color w:val="000000"/>
          <w:kern w:val="2"/>
          <w:sz w:val="32"/>
          <w:szCs w:val="32"/>
          <w:lang w:val="en-US" w:eastAsia="zh-CN"/>
        </w:rPr>
        <w:t>48.71万元，</w:t>
      </w:r>
      <w:r>
        <w:rPr>
          <w:rFonts w:hint="default" w:ascii="Times New Roman" w:hAnsi="Times New Roman" w:eastAsia="仿宋_GB2312" w:cs="Times New Roman"/>
          <w:color w:val="000000"/>
          <w:kern w:val="2"/>
          <w:sz w:val="32"/>
          <w:szCs w:val="32"/>
          <w:lang w:eastAsia="zh-CN"/>
        </w:rPr>
        <w:t>占</w:t>
      </w:r>
      <w:r>
        <w:rPr>
          <w:rFonts w:hint="eastAsia" w:ascii="Times New Roman" w:hAnsi="Times New Roman" w:eastAsia="仿宋_GB2312" w:cs="Times New Roman"/>
          <w:color w:val="000000"/>
          <w:kern w:val="2"/>
          <w:sz w:val="32"/>
          <w:szCs w:val="32"/>
          <w:lang w:val="en-US" w:eastAsia="zh-CN"/>
        </w:rPr>
        <w:t>8.23</w:t>
      </w:r>
      <w:r>
        <w:rPr>
          <w:rFonts w:hint="default" w:ascii="Times New Roman" w:hAnsi="Times New Roman" w:eastAsia="仿宋_GB2312" w:cs="Times New Roman"/>
          <w:color w:val="000000"/>
          <w:kern w:val="2"/>
          <w:sz w:val="32"/>
          <w:szCs w:val="32"/>
          <w:lang w:eastAsia="zh-CN"/>
        </w:rPr>
        <w:t>%。</w:t>
      </w:r>
    </w:p>
    <w:p w14:paraId="07E05623">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hint="default" w:ascii="Times New Roman" w:hAnsi="Times New Roman" w:eastAsia="楷体_GB2312" w:cs="Times New Roman"/>
          <w:b/>
          <w:bCs/>
          <w:color w:val="000000"/>
          <w:kern w:val="2"/>
          <w:sz w:val="32"/>
          <w:szCs w:val="32"/>
          <w:lang w:eastAsia="zh-CN"/>
        </w:rPr>
      </w:pPr>
      <w:bookmarkStart w:id="10" w:name="_Toc1278"/>
      <w:r>
        <w:rPr>
          <w:rFonts w:hint="default" w:ascii="Times New Roman" w:hAnsi="Times New Roman" w:eastAsia="楷体_GB2312" w:cs="Times New Roman"/>
          <w:b/>
          <w:bCs/>
          <w:color w:val="000000"/>
          <w:kern w:val="2"/>
          <w:sz w:val="32"/>
          <w:szCs w:val="32"/>
          <w:lang w:eastAsia="zh-CN"/>
        </w:rPr>
        <w:t>（二）支出预算情况</w:t>
      </w:r>
      <w:bookmarkEnd w:id="10"/>
    </w:p>
    <w:p w14:paraId="3530EBE8">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年支出预算</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元，其中：基本支出</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w:t>
      </w:r>
      <w:r>
        <w:rPr>
          <w:rFonts w:hint="default" w:ascii="Times New Roman" w:hAnsi="Times New Roman" w:eastAsia="仿宋_GB2312" w:cs="Times New Roman"/>
          <w:color w:val="000000"/>
          <w:kern w:val="2"/>
          <w:sz w:val="32"/>
          <w:szCs w:val="32"/>
          <w:lang w:val="en-US" w:eastAsia="zh-CN"/>
        </w:rPr>
        <w:t>占比100.00</w:t>
      </w:r>
      <w:r>
        <w:rPr>
          <w:rFonts w:hint="default" w:ascii="Times New Roman" w:hAnsi="Times New Roman" w:eastAsia="仿宋_GB2312" w:cs="Times New Roman"/>
          <w:color w:val="000000"/>
          <w:kern w:val="2"/>
          <w:sz w:val="32"/>
          <w:szCs w:val="32"/>
          <w:lang w:eastAsia="zh-CN"/>
        </w:rPr>
        <w:t>%。</w:t>
      </w:r>
    </w:p>
    <w:p w14:paraId="62CD3973">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1" w:name="_Toc26010"/>
      <w:r>
        <w:rPr>
          <w:rFonts w:hint="default" w:ascii="Times New Roman" w:hAnsi="Times New Roman" w:eastAsia="黑体" w:cs="Times New Roman"/>
          <w:b w:val="0"/>
          <w:color w:val="000000"/>
          <w:sz w:val="32"/>
          <w:szCs w:val="32"/>
        </w:rPr>
        <w:t>四、财政拨款收支预算情况说明</w:t>
      </w:r>
      <w:bookmarkEnd w:id="11"/>
    </w:p>
    <w:p w14:paraId="5F95C9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年财政拨款收支总预算</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eastAsia="zh-CN"/>
        </w:rPr>
        <w:t>万</w:t>
      </w:r>
      <w:r>
        <w:rPr>
          <w:rFonts w:hint="default" w:ascii="Times New Roman" w:hAnsi="Times New Roman" w:eastAsia="仿宋_GB2312" w:cs="Times New Roman"/>
          <w:color w:val="000000"/>
          <w:kern w:val="2"/>
          <w:sz w:val="32"/>
          <w:szCs w:val="32"/>
          <w:lang w:val="en-US" w:eastAsia="zh-CN"/>
        </w:rPr>
        <w:t>元</w:t>
      </w:r>
      <w:r>
        <w:rPr>
          <w:rFonts w:hint="default" w:ascii="Times New Roman" w:hAnsi="Times New Roman" w:eastAsia="仿宋_GB2312" w:cs="Times New Roman"/>
          <w:color w:val="000000"/>
          <w:kern w:val="2"/>
          <w:sz w:val="32"/>
          <w:szCs w:val="32"/>
          <w:lang w:eastAsia="zh-CN"/>
        </w:rPr>
        <w:t>，比202</w:t>
      </w:r>
      <w:r>
        <w:rPr>
          <w:rFonts w:hint="eastAsia" w:ascii="Times New Roman" w:hAnsi="Times New Roman" w:eastAsia="仿宋_GB2312" w:cs="Times New Roman"/>
          <w:color w:val="000000"/>
          <w:kern w:val="2"/>
          <w:sz w:val="32"/>
          <w:szCs w:val="32"/>
          <w:lang w:val="en-US" w:eastAsia="zh-CN"/>
        </w:rPr>
        <w:t>5</w:t>
      </w:r>
      <w:r>
        <w:rPr>
          <w:rFonts w:hint="default" w:ascii="Times New Roman" w:hAnsi="Times New Roman" w:eastAsia="仿宋_GB2312" w:cs="Times New Roman"/>
          <w:color w:val="000000"/>
          <w:kern w:val="2"/>
          <w:sz w:val="32"/>
          <w:szCs w:val="32"/>
          <w:lang w:eastAsia="zh-CN"/>
        </w:rPr>
        <w:t>年财政拨款收支总预算</w:t>
      </w:r>
      <w:r>
        <w:rPr>
          <w:rFonts w:hint="eastAsia" w:ascii="Times New Roman" w:hAnsi="Times New Roman" w:eastAsia="仿宋_GB2312" w:cs="Times New Roman"/>
          <w:color w:val="000000"/>
          <w:kern w:val="2"/>
          <w:sz w:val="32"/>
          <w:szCs w:val="32"/>
          <w:lang w:eastAsia="zh-CN"/>
        </w:rPr>
        <w:t>增加</w:t>
      </w:r>
      <w:r>
        <w:rPr>
          <w:rFonts w:hint="eastAsia" w:ascii="Times New Roman" w:hAnsi="Times New Roman" w:eastAsia="仿宋_GB2312" w:cs="Times New Roman"/>
          <w:color w:val="000000"/>
          <w:kern w:val="2"/>
          <w:sz w:val="32"/>
          <w:szCs w:val="32"/>
          <w:lang w:val="en-US" w:eastAsia="zh-CN"/>
        </w:rPr>
        <w:t>66.27</w:t>
      </w:r>
      <w:r>
        <w:rPr>
          <w:rFonts w:hint="default" w:ascii="Times New Roman" w:hAnsi="Times New Roman" w:eastAsia="仿宋_GB2312" w:cs="Times New Roman"/>
          <w:color w:val="000000"/>
          <w:kern w:val="2"/>
          <w:sz w:val="32"/>
          <w:szCs w:val="32"/>
          <w:lang w:eastAsia="zh-CN"/>
        </w:rPr>
        <w:t>万元，主要原因</w:t>
      </w:r>
      <w:r>
        <w:rPr>
          <w:rFonts w:hint="default" w:ascii="Times New Roman" w:hAnsi="Times New Roman" w:eastAsia="仿宋_GB2312" w:cs="Times New Roman"/>
          <w:color w:val="000000"/>
          <w:kern w:val="2"/>
          <w:sz w:val="32"/>
          <w:szCs w:val="32"/>
          <w:lang w:val="en-US" w:eastAsia="zh-CN"/>
        </w:rPr>
        <w:t>是本年度人员</w:t>
      </w:r>
      <w:r>
        <w:rPr>
          <w:rFonts w:hint="eastAsia" w:ascii="Times New Roman" w:hAnsi="Times New Roman" w:eastAsia="仿宋_GB2312" w:cs="Times New Roman"/>
          <w:color w:val="000000"/>
          <w:kern w:val="2"/>
          <w:sz w:val="32"/>
          <w:szCs w:val="32"/>
          <w:lang w:val="en-US" w:eastAsia="zh-CN"/>
        </w:rPr>
        <w:t>增加</w:t>
      </w:r>
      <w:r>
        <w:rPr>
          <w:rFonts w:hint="default" w:ascii="Times New Roman" w:hAnsi="Times New Roman" w:eastAsia="仿宋_GB2312" w:cs="Times New Roman"/>
          <w:color w:val="000000"/>
          <w:kern w:val="2"/>
          <w:sz w:val="32"/>
          <w:szCs w:val="32"/>
          <w:lang w:val="en-US" w:eastAsia="zh-CN"/>
        </w:rPr>
        <w:t>。</w:t>
      </w:r>
    </w:p>
    <w:p w14:paraId="6C8384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eastAsia="zh-CN"/>
        </w:rPr>
        <w:t>收入包括：本年一般公共预算拨款收入</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eastAsia="zh-CN"/>
        </w:rPr>
        <w:t>万</w:t>
      </w:r>
      <w:r>
        <w:rPr>
          <w:rFonts w:hint="default" w:ascii="Times New Roman" w:hAnsi="Times New Roman" w:eastAsia="仿宋_GB2312" w:cs="Times New Roman"/>
          <w:color w:val="000000"/>
          <w:kern w:val="2"/>
          <w:sz w:val="32"/>
          <w:szCs w:val="32"/>
          <w:lang w:val="en-US" w:eastAsia="zh-CN"/>
        </w:rPr>
        <w:t>元。</w:t>
      </w:r>
    </w:p>
    <w:p w14:paraId="61770A9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支出包括：公共安全支出</w:t>
      </w:r>
      <w:r>
        <w:rPr>
          <w:rFonts w:hint="eastAsia" w:ascii="Times New Roman" w:hAnsi="Times New Roman" w:eastAsia="仿宋_GB2312" w:cs="Times New Roman"/>
          <w:color w:val="000000"/>
          <w:kern w:val="2"/>
          <w:sz w:val="32"/>
          <w:szCs w:val="32"/>
          <w:lang w:val="en-US" w:eastAsia="zh-CN"/>
        </w:rPr>
        <w:t>396.89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元；社会保障和就业支出</w:t>
      </w:r>
      <w:r>
        <w:rPr>
          <w:rFonts w:hint="eastAsia" w:ascii="Times New Roman" w:hAnsi="Times New Roman" w:eastAsia="仿宋_GB2312" w:cs="Times New Roman"/>
          <w:color w:val="000000"/>
          <w:kern w:val="2"/>
          <w:sz w:val="32"/>
          <w:szCs w:val="32"/>
          <w:lang w:val="en-US" w:eastAsia="zh-CN"/>
        </w:rPr>
        <w:t>78.22</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元，卫生健康支出</w:t>
      </w:r>
      <w:r>
        <w:rPr>
          <w:rFonts w:hint="eastAsia" w:ascii="Times New Roman" w:hAnsi="Times New Roman" w:eastAsia="仿宋_GB2312" w:cs="Times New Roman"/>
          <w:color w:val="000000"/>
          <w:kern w:val="2"/>
          <w:sz w:val="32"/>
          <w:szCs w:val="32"/>
          <w:lang w:val="en-US" w:eastAsia="zh-CN"/>
        </w:rPr>
        <w:t>30.39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元，住房保障支出</w:t>
      </w:r>
      <w:r>
        <w:rPr>
          <w:rFonts w:hint="eastAsia" w:ascii="Times New Roman" w:hAnsi="Times New Roman" w:eastAsia="仿宋_GB2312" w:cs="Times New Roman"/>
          <w:color w:val="000000"/>
          <w:kern w:val="2"/>
          <w:sz w:val="32"/>
          <w:szCs w:val="32"/>
          <w:lang w:val="en-US" w:eastAsia="zh-CN"/>
        </w:rPr>
        <w:t>37.93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w:t>
      </w:r>
      <w:r>
        <w:rPr>
          <w:rFonts w:hint="eastAsia" w:ascii="Times New Roman" w:hAnsi="Times New Roman" w:eastAsia="仿宋_GB2312" w:cs="Times New Roman"/>
          <w:color w:val="000000"/>
          <w:kern w:val="2"/>
          <w:sz w:val="32"/>
          <w:szCs w:val="32"/>
          <w:lang w:val="en-US" w:eastAsia="zh-CN"/>
        </w:rPr>
        <w:t>,其他支出48.71万元</w:t>
      </w:r>
      <w:r>
        <w:rPr>
          <w:rFonts w:hint="default" w:ascii="Times New Roman" w:hAnsi="Times New Roman" w:eastAsia="仿宋_GB2312" w:cs="Times New Roman"/>
          <w:color w:val="000000"/>
          <w:kern w:val="2"/>
          <w:sz w:val="32"/>
          <w:szCs w:val="32"/>
          <w:lang w:eastAsia="zh-CN"/>
        </w:rPr>
        <w:t>。</w:t>
      </w:r>
    </w:p>
    <w:p w14:paraId="41FED27F">
      <w:pPr>
        <w:pStyle w:val="4"/>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2" w:name="_Toc9913"/>
      <w:r>
        <w:rPr>
          <w:rFonts w:hint="default" w:ascii="Times New Roman" w:hAnsi="Times New Roman" w:eastAsia="黑体" w:cs="Times New Roman"/>
          <w:b w:val="0"/>
          <w:color w:val="000000"/>
          <w:sz w:val="32"/>
          <w:szCs w:val="32"/>
        </w:rPr>
        <w:t>一般公共预算当年拨款情况说明</w:t>
      </w:r>
      <w:bookmarkEnd w:id="12"/>
    </w:p>
    <w:p w14:paraId="2C226C31">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3" w:firstLineChars="200"/>
        <w:textAlignment w:val="auto"/>
        <w:rPr>
          <w:rFonts w:hint="default" w:ascii="Times New Roman" w:hAnsi="Times New Roman" w:eastAsia="楷体_GB2312" w:cs="Times New Roman"/>
          <w:b/>
          <w:bCs/>
          <w:kern w:val="2"/>
          <w:sz w:val="32"/>
          <w:szCs w:val="32"/>
          <w:lang w:eastAsia="zh-CN"/>
        </w:rPr>
      </w:pPr>
      <w:bookmarkStart w:id="13" w:name="_Toc19382"/>
      <w:r>
        <w:rPr>
          <w:rFonts w:hint="default" w:ascii="Times New Roman" w:hAnsi="Times New Roman" w:eastAsia="楷体_GB2312" w:cs="Times New Roman"/>
          <w:b/>
          <w:bCs/>
          <w:color w:val="000000"/>
          <w:kern w:val="2"/>
          <w:sz w:val="32"/>
          <w:szCs w:val="32"/>
          <w:lang w:eastAsia="zh-CN"/>
        </w:rPr>
        <w:t>（一）一般公共预算当年拨款规模变化情况</w:t>
      </w:r>
      <w:bookmarkEnd w:id="13"/>
    </w:p>
    <w:p w14:paraId="0BE09C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eastAsia="zh-CN"/>
        </w:rPr>
        <w:t>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年财政拨款收支总预算</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eastAsia="zh-CN"/>
        </w:rPr>
        <w:t>万</w:t>
      </w:r>
      <w:r>
        <w:rPr>
          <w:rFonts w:hint="default" w:ascii="Times New Roman" w:hAnsi="Times New Roman" w:eastAsia="仿宋_GB2312" w:cs="Times New Roman"/>
          <w:color w:val="000000"/>
          <w:kern w:val="2"/>
          <w:sz w:val="32"/>
          <w:szCs w:val="32"/>
          <w:lang w:val="en-US" w:eastAsia="zh-CN"/>
        </w:rPr>
        <w:t>元</w:t>
      </w:r>
      <w:r>
        <w:rPr>
          <w:rFonts w:hint="default" w:ascii="Times New Roman" w:hAnsi="Times New Roman" w:eastAsia="仿宋_GB2312" w:cs="Times New Roman"/>
          <w:color w:val="000000"/>
          <w:kern w:val="2"/>
          <w:sz w:val="32"/>
          <w:szCs w:val="32"/>
          <w:lang w:eastAsia="zh-CN"/>
        </w:rPr>
        <w:t>，比202</w:t>
      </w:r>
      <w:r>
        <w:rPr>
          <w:rFonts w:hint="eastAsia" w:ascii="Times New Roman" w:hAnsi="Times New Roman" w:eastAsia="仿宋_GB2312" w:cs="Times New Roman"/>
          <w:color w:val="000000"/>
          <w:kern w:val="2"/>
          <w:sz w:val="32"/>
          <w:szCs w:val="32"/>
          <w:lang w:val="en-US" w:eastAsia="zh-CN"/>
        </w:rPr>
        <w:t>5</w:t>
      </w:r>
      <w:r>
        <w:rPr>
          <w:rFonts w:hint="default" w:ascii="Times New Roman" w:hAnsi="Times New Roman" w:eastAsia="仿宋_GB2312" w:cs="Times New Roman"/>
          <w:color w:val="000000"/>
          <w:kern w:val="2"/>
          <w:sz w:val="32"/>
          <w:szCs w:val="32"/>
          <w:lang w:eastAsia="zh-CN"/>
        </w:rPr>
        <w:t>年财政拨款收支总预算</w:t>
      </w:r>
      <w:r>
        <w:rPr>
          <w:rFonts w:hint="eastAsia" w:ascii="Times New Roman" w:hAnsi="Times New Roman" w:eastAsia="仿宋_GB2312" w:cs="Times New Roman"/>
          <w:color w:val="000000"/>
          <w:kern w:val="2"/>
          <w:sz w:val="32"/>
          <w:szCs w:val="32"/>
          <w:lang w:eastAsia="zh-CN"/>
        </w:rPr>
        <w:t>增加</w:t>
      </w:r>
      <w:r>
        <w:rPr>
          <w:rFonts w:hint="eastAsia" w:ascii="Times New Roman" w:hAnsi="Times New Roman" w:eastAsia="仿宋_GB2312" w:cs="Times New Roman"/>
          <w:color w:val="000000"/>
          <w:kern w:val="2"/>
          <w:sz w:val="32"/>
          <w:szCs w:val="32"/>
          <w:lang w:val="en-US" w:eastAsia="zh-CN"/>
        </w:rPr>
        <w:t>66.27</w:t>
      </w:r>
      <w:r>
        <w:rPr>
          <w:rFonts w:hint="default" w:ascii="Times New Roman" w:hAnsi="Times New Roman" w:eastAsia="仿宋_GB2312" w:cs="Times New Roman"/>
          <w:color w:val="000000"/>
          <w:kern w:val="2"/>
          <w:sz w:val="32"/>
          <w:szCs w:val="32"/>
          <w:lang w:eastAsia="zh-CN"/>
        </w:rPr>
        <w:t>万元，主要原因</w:t>
      </w:r>
      <w:r>
        <w:rPr>
          <w:rFonts w:hint="default" w:ascii="Times New Roman" w:hAnsi="Times New Roman" w:eastAsia="仿宋_GB2312" w:cs="Times New Roman"/>
          <w:color w:val="000000"/>
          <w:kern w:val="2"/>
          <w:sz w:val="32"/>
          <w:szCs w:val="32"/>
          <w:lang w:val="en-US" w:eastAsia="zh-CN"/>
        </w:rPr>
        <w:t>是本年度人员</w:t>
      </w:r>
      <w:r>
        <w:rPr>
          <w:rFonts w:hint="eastAsia" w:ascii="Times New Roman" w:hAnsi="Times New Roman" w:eastAsia="仿宋_GB2312" w:cs="Times New Roman"/>
          <w:color w:val="000000"/>
          <w:kern w:val="2"/>
          <w:sz w:val="32"/>
          <w:szCs w:val="32"/>
          <w:lang w:val="en-US" w:eastAsia="zh-CN"/>
        </w:rPr>
        <w:t>增加</w:t>
      </w:r>
      <w:r>
        <w:rPr>
          <w:rFonts w:hint="default" w:ascii="Times New Roman" w:hAnsi="Times New Roman" w:eastAsia="仿宋_GB2312" w:cs="Times New Roman"/>
          <w:color w:val="000000"/>
          <w:kern w:val="2"/>
          <w:sz w:val="32"/>
          <w:szCs w:val="32"/>
          <w:lang w:val="en-US" w:eastAsia="zh-CN"/>
        </w:rPr>
        <w:t>。</w:t>
      </w:r>
    </w:p>
    <w:p w14:paraId="727EB9D5">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　</w:t>
      </w:r>
      <w:r>
        <w:rPr>
          <w:rFonts w:hint="default" w:ascii="Times New Roman" w:hAnsi="Times New Roman" w:eastAsia="楷体_GB2312" w:cs="Times New Roman"/>
          <w:b/>
          <w:bCs/>
          <w:color w:val="000000"/>
          <w:kern w:val="2"/>
          <w:sz w:val="32"/>
          <w:szCs w:val="32"/>
          <w:lang w:eastAsia="zh-CN"/>
        </w:rPr>
        <w:t>（二）一般公共预算当年拨款结构情况</w:t>
      </w:r>
    </w:p>
    <w:p w14:paraId="18D081EF">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公共安全支出</w:t>
      </w:r>
      <w:r>
        <w:rPr>
          <w:rFonts w:hint="eastAsia" w:ascii="Times New Roman" w:hAnsi="Times New Roman" w:eastAsia="仿宋_GB2312" w:cs="Times New Roman"/>
          <w:color w:val="000000"/>
          <w:kern w:val="2"/>
          <w:sz w:val="32"/>
          <w:szCs w:val="32"/>
          <w:lang w:val="en-US" w:eastAsia="zh-CN"/>
        </w:rPr>
        <w:t>396.89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元，占</w:t>
      </w:r>
      <w:r>
        <w:rPr>
          <w:rFonts w:hint="eastAsia" w:ascii="Times New Roman" w:hAnsi="Times New Roman" w:eastAsia="仿宋_GB2312" w:cs="Times New Roman"/>
          <w:color w:val="000000"/>
          <w:kern w:val="2"/>
          <w:sz w:val="32"/>
          <w:szCs w:val="32"/>
          <w:lang w:val="en-US" w:eastAsia="zh-CN"/>
        </w:rPr>
        <w:t>67.02</w:t>
      </w:r>
      <w:r>
        <w:rPr>
          <w:rFonts w:hint="default" w:ascii="Times New Roman" w:hAnsi="Times New Roman" w:eastAsia="仿宋_GB2312" w:cs="Times New Roman"/>
          <w:color w:val="000000"/>
          <w:kern w:val="2"/>
          <w:sz w:val="32"/>
          <w:szCs w:val="32"/>
          <w:lang w:eastAsia="zh-CN"/>
        </w:rPr>
        <w:t>%；社会保障和就业支出</w:t>
      </w:r>
      <w:r>
        <w:rPr>
          <w:rFonts w:hint="eastAsia" w:ascii="Times New Roman" w:hAnsi="Times New Roman" w:eastAsia="仿宋_GB2312" w:cs="Times New Roman"/>
          <w:color w:val="000000"/>
          <w:kern w:val="2"/>
          <w:sz w:val="32"/>
          <w:szCs w:val="32"/>
          <w:lang w:val="en-US" w:eastAsia="zh-CN"/>
        </w:rPr>
        <w:t>78..22</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元，占</w:t>
      </w:r>
      <w:r>
        <w:rPr>
          <w:rFonts w:hint="default" w:ascii="Times New Roman" w:hAnsi="Times New Roman" w:eastAsia="仿宋_GB2312" w:cs="Times New Roman"/>
          <w:color w:val="000000"/>
          <w:kern w:val="2"/>
          <w:sz w:val="32"/>
          <w:szCs w:val="32"/>
          <w:lang w:val="en-US" w:eastAsia="zh-CN"/>
        </w:rPr>
        <w:t>1</w:t>
      </w:r>
      <w:r>
        <w:rPr>
          <w:rFonts w:hint="eastAsia" w:ascii="Times New Roman" w:hAnsi="Times New Roman" w:eastAsia="仿宋_GB2312" w:cs="Times New Roman"/>
          <w:color w:val="000000"/>
          <w:kern w:val="2"/>
          <w:sz w:val="32"/>
          <w:szCs w:val="32"/>
          <w:lang w:val="en-US" w:eastAsia="zh-CN"/>
        </w:rPr>
        <w:t>3.2</w:t>
      </w:r>
      <w:r>
        <w:rPr>
          <w:rFonts w:hint="default" w:ascii="Times New Roman" w:hAnsi="Times New Roman" w:eastAsia="仿宋_GB2312" w:cs="Times New Roman"/>
          <w:color w:val="000000"/>
          <w:kern w:val="2"/>
          <w:sz w:val="32"/>
          <w:szCs w:val="32"/>
          <w:lang w:eastAsia="zh-CN"/>
        </w:rPr>
        <w:t>%；卫生健康支出</w:t>
      </w:r>
      <w:r>
        <w:rPr>
          <w:rFonts w:hint="eastAsia" w:ascii="Times New Roman" w:hAnsi="Times New Roman" w:eastAsia="仿宋_GB2312" w:cs="Times New Roman"/>
          <w:color w:val="000000"/>
          <w:kern w:val="2"/>
          <w:sz w:val="32"/>
          <w:szCs w:val="32"/>
          <w:lang w:val="en-US" w:eastAsia="zh-CN"/>
        </w:rPr>
        <w:t>30.39</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元，占</w:t>
      </w:r>
      <w:r>
        <w:rPr>
          <w:rFonts w:hint="eastAsia" w:ascii="Times New Roman" w:hAnsi="Times New Roman" w:eastAsia="仿宋_GB2312" w:cs="Times New Roman"/>
          <w:color w:val="000000"/>
          <w:kern w:val="2"/>
          <w:sz w:val="32"/>
          <w:szCs w:val="32"/>
          <w:lang w:val="en-US" w:eastAsia="zh-CN"/>
        </w:rPr>
        <w:t>5.13</w:t>
      </w:r>
      <w:r>
        <w:rPr>
          <w:rFonts w:hint="default" w:ascii="Times New Roman" w:hAnsi="Times New Roman" w:eastAsia="仿宋_GB2312" w:cs="Times New Roman"/>
          <w:color w:val="000000"/>
          <w:kern w:val="2"/>
          <w:sz w:val="32"/>
          <w:szCs w:val="32"/>
          <w:lang w:eastAsia="zh-CN"/>
        </w:rPr>
        <w:t>%；住房保障支出</w:t>
      </w:r>
      <w:r>
        <w:rPr>
          <w:rFonts w:hint="eastAsia" w:ascii="Times New Roman" w:hAnsi="Times New Roman" w:eastAsia="仿宋_GB2312" w:cs="Times New Roman"/>
          <w:color w:val="000000"/>
          <w:kern w:val="2"/>
          <w:sz w:val="32"/>
          <w:szCs w:val="32"/>
          <w:lang w:val="en-US" w:eastAsia="zh-CN"/>
        </w:rPr>
        <w:t>37.93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元，占</w:t>
      </w:r>
      <w:r>
        <w:rPr>
          <w:rFonts w:hint="eastAsia" w:ascii="Times New Roman" w:hAnsi="Times New Roman" w:eastAsia="仿宋_GB2312" w:cs="Times New Roman"/>
          <w:color w:val="000000"/>
          <w:kern w:val="2"/>
          <w:sz w:val="32"/>
          <w:szCs w:val="32"/>
          <w:lang w:val="en-US" w:eastAsia="zh-CN"/>
        </w:rPr>
        <w:t>6.4</w:t>
      </w:r>
      <w:r>
        <w:rPr>
          <w:rFonts w:hint="default"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eastAsia="zh-CN"/>
        </w:rPr>
        <w:t>，</w:t>
      </w:r>
      <w:r>
        <w:rPr>
          <w:rFonts w:hint="eastAsia" w:ascii="Times New Roman" w:hAnsi="Times New Roman" w:eastAsia="仿宋_GB2312" w:cs="Times New Roman"/>
          <w:color w:val="000000"/>
          <w:kern w:val="2"/>
          <w:sz w:val="32"/>
          <w:szCs w:val="32"/>
          <w:lang w:val="en-US" w:eastAsia="zh-CN"/>
        </w:rPr>
        <w:t>其他支出48.71万元，占8.22%</w:t>
      </w:r>
      <w:r>
        <w:rPr>
          <w:rFonts w:hint="default" w:ascii="Times New Roman" w:hAnsi="Times New Roman" w:eastAsia="仿宋_GB2312" w:cs="Times New Roman"/>
          <w:color w:val="000000"/>
          <w:kern w:val="2"/>
          <w:sz w:val="32"/>
          <w:szCs w:val="32"/>
          <w:lang w:eastAsia="zh-CN"/>
        </w:rPr>
        <w:t>。</w:t>
      </w:r>
    </w:p>
    <w:p w14:paraId="3BD596B1">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14" w:name="_Toc12324"/>
      <w:r>
        <w:rPr>
          <w:rFonts w:hint="default" w:ascii="Times New Roman" w:hAnsi="Times New Roman" w:eastAsia="楷体_GB2312" w:cs="Times New Roman"/>
          <w:b/>
          <w:bCs/>
          <w:color w:val="000000"/>
          <w:kern w:val="2"/>
          <w:sz w:val="32"/>
          <w:szCs w:val="32"/>
          <w:lang w:eastAsia="zh-CN"/>
        </w:rPr>
        <w:t>（三）一般公共预算当年拨款具体使用情况</w:t>
      </w:r>
      <w:bookmarkEnd w:id="14"/>
    </w:p>
    <w:p w14:paraId="7BC3477A">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eastAsia="zh-CN"/>
        </w:rPr>
        <w:t>1.公共安全支出（204）</w:t>
      </w:r>
      <w:r>
        <w:rPr>
          <w:rFonts w:hint="default" w:ascii="Times New Roman" w:hAnsi="Times New Roman" w:eastAsia="仿宋_GB2312" w:cs="Times New Roman"/>
          <w:color w:val="000000"/>
          <w:kern w:val="2"/>
          <w:sz w:val="32"/>
          <w:szCs w:val="32"/>
          <w:lang w:val="en-US" w:eastAsia="zh-CN"/>
        </w:rPr>
        <w:t>检察院</w:t>
      </w:r>
      <w:r>
        <w:rPr>
          <w:rFonts w:hint="default" w:ascii="Times New Roman" w:hAnsi="Times New Roman" w:eastAsia="仿宋_GB2312" w:cs="Times New Roman"/>
          <w:color w:val="000000"/>
          <w:kern w:val="2"/>
          <w:sz w:val="32"/>
          <w:szCs w:val="32"/>
          <w:lang w:eastAsia="zh-CN"/>
        </w:rPr>
        <w:t>（0</w:t>
      </w:r>
      <w:r>
        <w:rPr>
          <w:rFonts w:hint="default" w:ascii="Times New Roman" w:hAnsi="Times New Roman" w:eastAsia="仿宋_GB2312" w:cs="Times New Roman"/>
          <w:color w:val="000000"/>
          <w:kern w:val="2"/>
          <w:sz w:val="32"/>
          <w:szCs w:val="32"/>
          <w:lang w:val="en-US" w:eastAsia="zh-CN"/>
        </w:rPr>
        <w:t>4</w:t>
      </w:r>
      <w:r>
        <w:rPr>
          <w:rFonts w:hint="default" w:ascii="Times New Roman" w:hAnsi="Times New Roman" w:eastAsia="仿宋_GB2312" w:cs="Times New Roman"/>
          <w:color w:val="000000"/>
          <w:kern w:val="2"/>
          <w:sz w:val="32"/>
          <w:szCs w:val="32"/>
          <w:lang w:eastAsia="zh-CN"/>
        </w:rPr>
        <w:t>）行政运行（01）202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396.89</w:t>
      </w:r>
      <w:r>
        <w:rPr>
          <w:rFonts w:hint="default" w:ascii="Times New Roman" w:hAnsi="Times New Roman" w:eastAsia="仿宋_GB2312" w:cs="Times New Roman"/>
          <w:color w:val="000000"/>
          <w:kern w:val="2"/>
          <w:sz w:val="32"/>
          <w:szCs w:val="32"/>
          <w:lang w:val="en-US" w:eastAsia="zh-CN"/>
        </w:rPr>
        <w:t>万元</w:t>
      </w:r>
      <w:r>
        <w:rPr>
          <w:rFonts w:hint="default" w:ascii="Times New Roman" w:hAnsi="Times New Roman" w:eastAsia="仿宋_GB2312" w:cs="Times New Roman"/>
          <w:color w:val="000000"/>
          <w:kern w:val="2"/>
          <w:sz w:val="32"/>
          <w:szCs w:val="32"/>
          <w:lang w:eastAsia="zh-CN"/>
        </w:rPr>
        <w:t>，主要用于:单位202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年的人员经费和日常公用经费等基本支出。</w:t>
      </w:r>
    </w:p>
    <w:p w14:paraId="390303E3">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lang w:eastAsia="zh-CN"/>
        </w:rPr>
        <w:t>.社会保障和就业支出（208）行政事业单位养老支出（05）机关事业单位基本养老保险缴费支出（05）202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52.14</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元，主要用于单位缴纳基本养老保险费。</w:t>
      </w:r>
    </w:p>
    <w:p w14:paraId="482329D2">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eastAsia="zh-CN"/>
        </w:rPr>
        <w:t>.社会保障和就业支出（208）行政事业单位养老支出（05）机关事业单位职业年金缴费支出（06）202</w:t>
      </w:r>
      <w:r>
        <w:rPr>
          <w:rFonts w:hint="eastAsia" w:ascii="Times New Roman" w:hAnsi="Times New Roman" w:eastAsia="仿宋_GB2312" w:cs="Times New Roman"/>
          <w:color w:val="000000"/>
          <w:kern w:val="2"/>
          <w:sz w:val="32"/>
          <w:szCs w:val="32"/>
          <w:lang w:val="en-US" w:eastAsia="zh-CN"/>
        </w:rPr>
        <w:t>6</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26.07</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元，主要用于单位缴纳职业年金。</w:t>
      </w:r>
    </w:p>
    <w:p w14:paraId="6157EF62">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rPr>
        <w:t>4</w:t>
      </w:r>
      <w:r>
        <w:rPr>
          <w:rFonts w:hint="default" w:ascii="Times New Roman" w:hAnsi="Times New Roman" w:eastAsia="仿宋_GB2312" w:cs="Times New Roman"/>
          <w:color w:val="000000"/>
          <w:kern w:val="2"/>
          <w:sz w:val="32"/>
          <w:szCs w:val="32"/>
          <w:lang w:eastAsia="zh-CN"/>
        </w:rPr>
        <w:t>.卫生健康支出（210）行政事业单位医疗（11）行政单位医疗（01）202</w:t>
      </w:r>
      <w:r>
        <w:rPr>
          <w:rFonts w:hint="default" w:ascii="Times New Roman" w:hAnsi="Times New Roman" w:eastAsia="仿宋_GB2312" w:cs="Times New Roman"/>
          <w:color w:val="000000"/>
          <w:kern w:val="2"/>
          <w:sz w:val="32"/>
          <w:szCs w:val="32"/>
          <w:lang w:val="en-US" w:eastAsia="zh-CN"/>
        </w:rPr>
        <w:t>4</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22.81</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元，主要用于行政单位缴纳基本医疗保险。</w:t>
      </w:r>
    </w:p>
    <w:p w14:paraId="679D45C3">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en-US" w:eastAsia="zh-CN"/>
        </w:rPr>
        <w:t>5</w:t>
      </w:r>
      <w:r>
        <w:rPr>
          <w:rFonts w:hint="default" w:ascii="Times New Roman" w:hAnsi="Times New Roman" w:eastAsia="仿宋_GB2312" w:cs="Times New Roman"/>
          <w:color w:val="000000"/>
          <w:kern w:val="2"/>
          <w:sz w:val="32"/>
          <w:szCs w:val="32"/>
          <w:lang w:eastAsia="zh-CN"/>
        </w:rPr>
        <w:t>.卫生健康支出（210）行政事业单位医疗（11）公务员医疗补助（0</w:t>
      </w:r>
      <w:r>
        <w:rPr>
          <w:rFonts w:hint="default" w:ascii="Times New Roman" w:hAnsi="Times New Roman" w:eastAsia="仿宋_GB2312" w:cs="Times New Roman"/>
          <w:color w:val="000000"/>
          <w:kern w:val="2"/>
          <w:sz w:val="32"/>
          <w:szCs w:val="32"/>
          <w:lang w:val="en-US" w:eastAsia="zh-CN"/>
        </w:rPr>
        <w:t>3</w:t>
      </w:r>
      <w:r>
        <w:rPr>
          <w:rFonts w:hint="default" w:ascii="Times New Roman" w:hAnsi="Times New Roman" w:eastAsia="仿宋_GB2312" w:cs="Times New Roman"/>
          <w:color w:val="000000"/>
          <w:kern w:val="2"/>
          <w:sz w:val="32"/>
          <w:szCs w:val="32"/>
          <w:lang w:eastAsia="zh-CN"/>
        </w:rPr>
        <w:t>）202</w:t>
      </w:r>
      <w:r>
        <w:rPr>
          <w:rFonts w:hint="default" w:ascii="Times New Roman" w:hAnsi="Times New Roman" w:eastAsia="仿宋_GB2312" w:cs="Times New Roman"/>
          <w:color w:val="000000"/>
          <w:kern w:val="2"/>
          <w:sz w:val="32"/>
          <w:szCs w:val="32"/>
          <w:lang w:val="en-US" w:eastAsia="zh-CN"/>
        </w:rPr>
        <w:t>4</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7.57</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元，主要用于行政单</w:t>
      </w:r>
      <w:r>
        <w:rPr>
          <w:rFonts w:hint="default" w:ascii="Times New Roman" w:hAnsi="Times New Roman" w:eastAsia="仿宋_GB2312" w:cs="Times New Roman"/>
          <w:color w:val="000000"/>
          <w:kern w:val="2"/>
          <w:sz w:val="32"/>
          <w:szCs w:val="32"/>
          <w:lang w:val="en-US" w:eastAsia="zh-CN"/>
        </w:rPr>
        <w:t>位缴纳公务员医疗补助。</w:t>
      </w:r>
    </w:p>
    <w:p w14:paraId="18F218CF">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rPr>
        <w:t>6.住房保障支出（221）住房改革支出（02）住房公积金（01）</w:t>
      </w:r>
      <w:r>
        <w:rPr>
          <w:rFonts w:hint="default" w:ascii="Times New Roman" w:hAnsi="Times New Roman" w:eastAsia="仿宋_GB2312" w:cs="Times New Roman"/>
          <w:color w:val="000000"/>
          <w:kern w:val="2"/>
          <w:sz w:val="32"/>
          <w:szCs w:val="32"/>
          <w:lang w:eastAsia="zh-CN"/>
        </w:rPr>
        <w:t>20</w:t>
      </w:r>
      <w:r>
        <w:rPr>
          <w:rFonts w:hint="eastAsia" w:ascii="Times New Roman" w:hAnsi="Times New Roman" w:eastAsia="仿宋_GB2312" w:cs="Times New Roman"/>
          <w:color w:val="000000"/>
          <w:kern w:val="2"/>
          <w:sz w:val="32"/>
          <w:szCs w:val="32"/>
          <w:lang w:val="en-US" w:eastAsia="zh-CN"/>
        </w:rPr>
        <w:t>26</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37.93</w:t>
      </w:r>
      <w:r>
        <w:rPr>
          <w:rFonts w:hint="default" w:ascii="Times New Roman" w:hAnsi="Times New Roman" w:eastAsia="仿宋_GB2312" w:cs="Times New Roman"/>
          <w:color w:val="000000"/>
          <w:kern w:val="2"/>
          <w:sz w:val="32"/>
          <w:szCs w:val="32"/>
          <w:lang w:val="en-US" w:eastAsia="zh-CN"/>
        </w:rPr>
        <w:t>万</w:t>
      </w:r>
      <w:r>
        <w:rPr>
          <w:rFonts w:hint="default" w:ascii="Times New Roman" w:hAnsi="Times New Roman" w:eastAsia="仿宋_GB2312" w:cs="Times New Roman"/>
          <w:color w:val="000000"/>
          <w:kern w:val="2"/>
          <w:sz w:val="32"/>
          <w:szCs w:val="32"/>
          <w:lang w:eastAsia="zh-CN"/>
        </w:rPr>
        <w:t>元，主要用于单位为职工缴纳住房公积金。</w:t>
      </w:r>
    </w:p>
    <w:p w14:paraId="0DAD32AA">
      <w:pPr>
        <w:pStyle w:val="2"/>
        <w:rPr>
          <w:rFonts w:hint="default"/>
          <w:lang w:val="en-US" w:eastAsia="zh-CN"/>
        </w:rPr>
      </w:pPr>
      <w:r>
        <w:rPr>
          <w:rFonts w:hint="eastAsia" w:ascii="Times New Roman" w:hAnsi="Times New Roman" w:eastAsia="仿宋_GB2312" w:cs="Times New Roman"/>
          <w:color w:val="000000"/>
          <w:kern w:val="2"/>
          <w:sz w:val="32"/>
          <w:szCs w:val="32"/>
          <w:lang w:val="en-US" w:eastAsia="zh-CN"/>
        </w:rPr>
        <w:t xml:space="preserve">    7.其他支出</w:t>
      </w:r>
      <w:r>
        <w:rPr>
          <w:rFonts w:hint="default" w:ascii="Times New Roman" w:hAnsi="Times New Roman" w:eastAsia="仿宋_GB2312" w:cs="Times New Roman"/>
          <w:color w:val="000000"/>
          <w:kern w:val="2"/>
          <w:sz w:val="32"/>
          <w:szCs w:val="32"/>
          <w:lang w:eastAsia="zh-CN"/>
        </w:rPr>
        <w:t>（204）</w:t>
      </w:r>
      <w:r>
        <w:rPr>
          <w:rFonts w:hint="default" w:ascii="Times New Roman" w:hAnsi="Times New Roman" w:eastAsia="仿宋_GB2312" w:cs="Times New Roman"/>
          <w:color w:val="000000"/>
          <w:kern w:val="2"/>
          <w:sz w:val="32"/>
          <w:szCs w:val="32"/>
          <w:lang w:val="en-US" w:eastAsia="zh-CN"/>
        </w:rPr>
        <w:t>检察院</w:t>
      </w:r>
      <w:r>
        <w:rPr>
          <w:rFonts w:hint="default" w:ascii="Times New Roman" w:hAnsi="Times New Roman" w:eastAsia="仿宋_GB2312" w:cs="Times New Roman"/>
          <w:color w:val="000000"/>
          <w:kern w:val="2"/>
          <w:sz w:val="32"/>
          <w:szCs w:val="32"/>
          <w:lang w:eastAsia="zh-CN"/>
        </w:rPr>
        <w:t>（0</w:t>
      </w:r>
      <w:r>
        <w:rPr>
          <w:rFonts w:hint="default" w:ascii="Times New Roman" w:hAnsi="Times New Roman" w:eastAsia="仿宋_GB2312" w:cs="Times New Roman"/>
          <w:color w:val="000000"/>
          <w:kern w:val="2"/>
          <w:sz w:val="32"/>
          <w:szCs w:val="32"/>
          <w:lang w:val="en-US" w:eastAsia="zh-CN"/>
        </w:rPr>
        <w:t>4</w:t>
      </w:r>
      <w:r>
        <w:rPr>
          <w:rFonts w:hint="default" w:ascii="Times New Roman" w:hAnsi="Times New Roman" w:eastAsia="仿宋_GB2312" w:cs="Times New Roman"/>
          <w:color w:val="000000"/>
          <w:kern w:val="2"/>
          <w:sz w:val="32"/>
          <w:szCs w:val="32"/>
          <w:lang w:eastAsia="zh-CN"/>
        </w:rPr>
        <w:t>）行政运行（01）20</w:t>
      </w:r>
      <w:r>
        <w:rPr>
          <w:rFonts w:hint="eastAsia" w:ascii="Times New Roman" w:hAnsi="Times New Roman" w:eastAsia="仿宋_GB2312" w:cs="Times New Roman"/>
          <w:color w:val="000000"/>
          <w:kern w:val="2"/>
          <w:sz w:val="32"/>
          <w:szCs w:val="32"/>
          <w:lang w:val="en-US" w:eastAsia="zh-CN"/>
        </w:rPr>
        <w:t>26</w:t>
      </w:r>
      <w:r>
        <w:rPr>
          <w:rFonts w:hint="default" w:ascii="Times New Roman" w:hAnsi="Times New Roman" w:eastAsia="仿宋_GB2312" w:cs="Times New Roman"/>
          <w:color w:val="000000"/>
          <w:kern w:val="2"/>
          <w:sz w:val="32"/>
          <w:szCs w:val="32"/>
          <w:lang w:eastAsia="zh-CN"/>
        </w:rPr>
        <w:t>年预算数为</w:t>
      </w:r>
      <w:r>
        <w:rPr>
          <w:rFonts w:hint="eastAsia" w:ascii="Times New Roman" w:hAnsi="Times New Roman" w:eastAsia="仿宋_GB2312" w:cs="Times New Roman"/>
          <w:color w:val="000000"/>
          <w:kern w:val="2"/>
          <w:sz w:val="32"/>
          <w:szCs w:val="32"/>
          <w:lang w:val="en-US" w:eastAsia="zh-CN"/>
        </w:rPr>
        <w:t>48.71万元，主要是上年结转资金。</w:t>
      </w:r>
    </w:p>
    <w:p w14:paraId="13AEEEFD">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5" w:name="_Toc9048"/>
      <w:r>
        <w:rPr>
          <w:rFonts w:hint="default" w:ascii="Times New Roman" w:hAnsi="Times New Roman" w:eastAsia="黑体" w:cs="Times New Roman"/>
          <w:b w:val="0"/>
          <w:color w:val="000000"/>
          <w:sz w:val="32"/>
          <w:szCs w:val="32"/>
        </w:rPr>
        <w:t>六、一般公共预算基本支出情况说明</w:t>
      </w:r>
      <w:bookmarkEnd w:id="15"/>
    </w:p>
    <w:p w14:paraId="56FE3F22">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 w:cs="Times New Roman"/>
          <w:color w:val="000000"/>
          <w:sz w:val="32"/>
          <w:szCs w:val="32"/>
        </w:rPr>
        <w:t>理县人民检察院</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年一般公共预算基本支出</w:t>
      </w:r>
      <w:r>
        <w:rPr>
          <w:rFonts w:hint="eastAsia" w:ascii="Times New Roman" w:hAnsi="Times New Roman" w:cs="Times New Roman"/>
          <w:color w:val="000000"/>
          <w:kern w:val="2"/>
          <w:sz w:val="32"/>
          <w:szCs w:val="32"/>
          <w:lang w:val="en-US" w:eastAsia="zh-CN"/>
        </w:rPr>
        <w:t>592.13</w:t>
      </w:r>
      <w:r>
        <w:rPr>
          <w:rFonts w:hint="default" w:ascii="Times New Roman" w:hAnsi="Times New Roman" w:cs="Times New Roman"/>
          <w:kern w:val="2"/>
          <w:sz w:val="32"/>
          <w:szCs w:val="32"/>
        </w:rPr>
        <w:t>万元，其中：人员经费</w:t>
      </w:r>
      <w:r>
        <w:rPr>
          <w:rFonts w:hint="eastAsia" w:ascii="Times New Roman" w:hAnsi="Times New Roman" w:cs="Times New Roman"/>
          <w:kern w:val="2"/>
          <w:sz w:val="32"/>
          <w:szCs w:val="32"/>
          <w:lang w:val="en-US" w:eastAsia="zh-CN"/>
        </w:rPr>
        <w:t>461.53</w:t>
      </w:r>
      <w:r>
        <w:rPr>
          <w:rFonts w:hint="default" w:ascii="Times New Roman" w:hAnsi="Times New Roman" w:cs="Times New Roman"/>
          <w:kern w:val="2"/>
          <w:sz w:val="32"/>
          <w:szCs w:val="32"/>
        </w:rPr>
        <w:t>万元，主要包括：基本工资、津贴补贴、奖金、机关事业单位基本养老保险缴费</w:t>
      </w:r>
      <w:r>
        <w:rPr>
          <w:rFonts w:hint="default" w:ascii="Times New Roman" w:hAnsi="Times New Roman" w:cs="Times New Roman"/>
          <w:kern w:val="2"/>
          <w:sz w:val="32"/>
          <w:szCs w:val="32"/>
          <w:lang w:eastAsia="zh-CN"/>
        </w:rPr>
        <w:t>、职业年金缴费、职工基本医疗保险缴费、公务员医疗补助缴费、其他社会保障缴费、住房公积金、其他工资福利支出、离退休人员公用经费、奖励金。</w:t>
      </w:r>
    </w:p>
    <w:p w14:paraId="2F7AF550">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lang w:eastAsia="zh-CN"/>
        </w:rPr>
      </w:pPr>
      <w:r>
        <w:rPr>
          <w:rFonts w:hint="default" w:ascii="Times New Roman" w:hAnsi="Times New Roman" w:cs="Times New Roman"/>
          <w:kern w:val="2"/>
          <w:sz w:val="32"/>
          <w:szCs w:val="32"/>
        </w:rPr>
        <w:t>公用经费</w:t>
      </w:r>
      <w:r>
        <w:rPr>
          <w:rFonts w:hint="eastAsia" w:ascii="Times New Roman" w:hAnsi="Times New Roman" w:cs="Times New Roman"/>
          <w:kern w:val="2"/>
          <w:sz w:val="32"/>
          <w:szCs w:val="32"/>
          <w:lang w:val="en-US" w:eastAsia="zh-CN"/>
        </w:rPr>
        <w:t>81.89</w:t>
      </w:r>
      <w:r>
        <w:rPr>
          <w:rFonts w:hint="default" w:ascii="Times New Roman" w:hAnsi="Times New Roman" w:cs="Times New Roman"/>
          <w:kern w:val="2"/>
          <w:sz w:val="32"/>
          <w:szCs w:val="32"/>
        </w:rPr>
        <w:t>万元，主要包括：办公费</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水费、邮电费、</w:t>
      </w:r>
      <w:r>
        <w:rPr>
          <w:rFonts w:hint="default" w:ascii="Times New Roman" w:hAnsi="Times New Roman" w:cs="Times New Roman"/>
          <w:kern w:val="2"/>
          <w:sz w:val="32"/>
          <w:szCs w:val="32"/>
          <w:lang w:val="en-US" w:eastAsia="zh-CN"/>
        </w:rPr>
        <w:t>取暖费、</w:t>
      </w:r>
      <w:r>
        <w:rPr>
          <w:rFonts w:hint="default" w:ascii="Times New Roman" w:hAnsi="Times New Roman" w:cs="Times New Roman"/>
          <w:kern w:val="2"/>
          <w:sz w:val="32"/>
          <w:szCs w:val="32"/>
        </w:rPr>
        <w:t>差旅费、维修（护）费、培训费、公务接待费</w:t>
      </w:r>
      <w:r>
        <w:rPr>
          <w:rFonts w:hint="default" w:ascii="Times New Roman" w:hAnsi="Times New Roman" w:cs="Times New Roman"/>
          <w:kern w:val="2"/>
          <w:sz w:val="32"/>
          <w:szCs w:val="32"/>
          <w:lang w:eastAsia="zh-CN"/>
        </w:rPr>
        <w:t>、福利费、公务用车运行维护费、其他商品和服务支出。</w:t>
      </w:r>
    </w:p>
    <w:p w14:paraId="36706330">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lang w:val="en-US" w:eastAsia="zh-CN"/>
        </w:rPr>
      </w:pPr>
      <w:r>
        <w:rPr>
          <w:rFonts w:hint="eastAsia" w:ascii="Times New Roman" w:hAnsi="Times New Roman" w:cs="Times New Roman"/>
          <w:kern w:val="2"/>
          <w:sz w:val="32"/>
          <w:szCs w:val="32"/>
          <w:lang w:eastAsia="zh-CN"/>
        </w:rPr>
        <w:t>项目支出</w:t>
      </w:r>
      <w:r>
        <w:rPr>
          <w:rFonts w:hint="eastAsia" w:ascii="Times New Roman" w:hAnsi="Times New Roman" w:cs="Times New Roman"/>
          <w:kern w:val="2"/>
          <w:sz w:val="32"/>
          <w:szCs w:val="32"/>
          <w:lang w:val="en-US" w:eastAsia="zh-CN"/>
        </w:rPr>
        <w:t>48.71万元，主要包括：援助经费用于日常办公需求。</w:t>
      </w:r>
    </w:p>
    <w:p w14:paraId="4CB758C7">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6" w:name="_Toc22586"/>
      <w:r>
        <w:rPr>
          <w:rFonts w:hint="default" w:ascii="Times New Roman" w:hAnsi="Times New Roman" w:eastAsia="黑体" w:cs="Times New Roman"/>
          <w:b w:val="0"/>
          <w:color w:val="000000"/>
          <w:sz w:val="32"/>
          <w:szCs w:val="32"/>
        </w:rPr>
        <w:t>七、“三公”经费财政拨款预算安排情况说明</w:t>
      </w:r>
      <w:bookmarkEnd w:id="16"/>
    </w:p>
    <w:p w14:paraId="2E076A74">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eastAsia="仿宋" w:cs="Times New Roman"/>
          <w:color w:val="000000"/>
          <w:sz w:val="32"/>
          <w:szCs w:val="32"/>
        </w:rPr>
        <w:t>理县人民检察院</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年“三公”经费财政拨款预算数</w:t>
      </w:r>
      <w:r>
        <w:rPr>
          <w:rFonts w:hint="eastAsia" w:ascii="Times New Roman" w:hAnsi="Times New Roman" w:cs="Times New Roman"/>
          <w:kern w:val="2"/>
          <w:sz w:val="32"/>
          <w:szCs w:val="32"/>
          <w:lang w:val="en-US" w:eastAsia="zh-CN"/>
        </w:rPr>
        <w:t>23.75</w:t>
      </w:r>
      <w:r>
        <w:rPr>
          <w:rFonts w:hint="default" w:ascii="Times New Roman" w:hAnsi="Times New Roman" w:cs="Times New Roman"/>
          <w:kern w:val="2"/>
          <w:sz w:val="32"/>
          <w:szCs w:val="32"/>
        </w:rPr>
        <w:t>万元，其中：因公出国（境）经费</w:t>
      </w:r>
      <w:r>
        <w:rPr>
          <w:rFonts w:hint="default" w:ascii="Times New Roman" w:hAnsi="Times New Roman" w:cs="Times New Roman"/>
          <w:kern w:val="2"/>
          <w:sz w:val="32"/>
          <w:szCs w:val="32"/>
          <w:lang w:val="en-US" w:eastAsia="zh-CN"/>
        </w:rPr>
        <w:t>0.00</w:t>
      </w:r>
      <w:r>
        <w:rPr>
          <w:rFonts w:hint="default" w:ascii="Times New Roman" w:hAnsi="Times New Roman" w:cs="Times New Roman"/>
          <w:kern w:val="2"/>
          <w:sz w:val="32"/>
          <w:szCs w:val="32"/>
        </w:rPr>
        <w:t>万元，公务接待费</w:t>
      </w:r>
      <w:r>
        <w:rPr>
          <w:rFonts w:hint="default" w:ascii="Times New Roman" w:hAnsi="Times New Roman" w:cs="Times New Roman"/>
          <w:kern w:val="2"/>
          <w:sz w:val="32"/>
          <w:szCs w:val="32"/>
          <w:lang w:val="en-US" w:eastAsia="zh-CN"/>
        </w:rPr>
        <w:t>1.2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万元，公务用车购置及运行维护费22.5万元。</w:t>
      </w:r>
    </w:p>
    <w:p w14:paraId="266D6A49">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（一）202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年因公出国（境）经费</w:t>
      </w:r>
      <w:r>
        <w:rPr>
          <w:rFonts w:hint="default" w:ascii="Times New Roman" w:hAnsi="Times New Roman" w:cs="Times New Roman"/>
          <w:kern w:val="2"/>
          <w:sz w:val="32"/>
          <w:szCs w:val="32"/>
          <w:lang w:val="en-US" w:eastAsia="zh-CN"/>
        </w:rPr>
        <w:t>0.00</w:t>
      </w:r>
      <w:r>
        <w:rPr>
          <w:rFonts w:hint="default" w:ascii="Times New Roman" w:hAnsi="Times New Roman" w:cs="Times New Roman"/>
          <w:kern w:val="2"/>
          <w:sz w:val="32"/>
          <w:szCs w:val="32"/>
        </w:rPr>
        <w:t>万元。</w:t>
      </w:r>
    </w:p>
    <w:p w14:paraId="359E2F79">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cs="Times New Roman"/>
          <w:kern w:val="2"/>
          <w:sz w:val="32"/>
          <w:szCs w:val="32"/>
        </w:rPr>
        <w:t>（二）</w:t>
      </w:r>
      <w:r>
        <w:rPr>
          <w:rFonts w:hint="default" w:ascii="Times New Roman" w:hAnsi="Times New Roman" w:cs="Times New Roman"/>
          <w:color w:val="000000"/>
          <w:kern w:val="2"/>
          <w:sz w:val="32"/>
          <w:szCs w:val="32"/>
        </w:rPr>
        <w:t>202</w:t>
      </w:r>
      <w:r>
        <w:rPr>
          <w:rFonts w:hint="eastAsia"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年公务接待经费</w:t>
      </w:r>
      <w:r>
        <w:rPr>
          <w:rFonts w:hint="default" w:ascii="Times New Roman" w:hAnsi="Times New Roman" w:cs="Times New Roman"/>
          <w:color w:val="000000"/>
          <w:kern w:val="2"/>
          <w:sz w:val="32"/>
          <w:szCs w:val="32"/>
          <w:lang w:val="en-US" w:eastAsia="zh-CN"/>
        </w:rPr>
        <w:t>1.2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万元。较202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eastAsia" w:ascii="Times New Roman" w:hAnsi="Times New Roman" w:cs="Times New Roman"/>
          <w:sz w:val="32"/>
          <w:szCs w:val="32"/>
          <w:lang w:val="en-US" w:eastAsia="zh-CN"/>
        </w:rPr>
        <w:t>减少</w:t>
      </w:r>
      <w:r>
        <w:rPr>
          <w:rFonts w:hint="default" w:ascii="Times New Roman" w:hAnsi="Times New Roman" w:cs="Times New Roman"/>
          <w:sz w:val="32"/>
          <w:szCs w:val="32"/>
          <w:lang w:val="en-US" w:eastAsia="zh-CN"/>
        </w:rPr>
        <w:t>0.1万</w:t>
      </w:r>
      <w:r>
        <w:rPr>
          <w:rFonts w:hint="default" w:ascii="Times New Roman" w:hAnsi="Times New Roman" w:cs="Times New Roman"/>
          <w:color w:val="000000"/>
          <w:kern w:val="2"/>
          <w:sz w:val="32"/>
          <w:szCs w:val="32"/>
        </w:rPr>
        <w:t>元，主要原因</w:t>
      </w:r>
      <w:r>
        <w:rPr>
          <w:rFonts w:hint="default" w:ascii="Times New Roman" w:hAnsi="Times New Roman" w:cs="Times New Roman"/>
          <w:color w:val="000000"/>
          <w:kern w:val="2"/>
          <w:sz w:val="32"/>
          <w:szCs w:val="32"/>
          <w:lang w:val="en-US" w:eastAsia="zh-CN"/>
        </w:rPr>
        <w:t>是按照预算比例</w:t>
      </w:r>
      <w:r>
        <w:rPr>
          <w:rFonts w:hint="eastAsia" w:ascii="Times New Roman" w:hAnsi="Times New Roman" w:cs="Times New Roman"/>
          <w:color w:val="000000"/>
          <w:kern w:val="2"/>
          <w:sz w:val="32"/>
          <w:szCs w:val="32"/>
          <w:lang w:val="en-US" w:eastAsia="zh-CN"/>
        </w:rPr>
        <w:t>逐年压减三公经费</w:t>
      </w:r>
      <w:r>
        <w:rPr>
          <w:rFonts w:hint="default" w:ascii="Times New Roman" w:hAnsi="Times New Roman" w:cs="Times New Roman"/>
          <w:color w:val="000000"/>
          <w:kern w:val="2"/>
          <w:sz w:val="32"/>
          <w:szCs w:val="32"/>
          <w:lang w:val="en-US" w:eastAsia="zh-CN"/>
        </w:rPr>
        <w:t>。</w:t>
      </w:r>
    </w:p>
    <w:p w14:paraId="7C30E30C">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cs="Times New Roman"/>
          <w:color w:val="000000"/>
          <w:kern w:val="2"/>
          <w:sz w:val="32"/>
          <w:szCs w:val="32"/>
          <w:lang w:val="en-US" w:eastAsia="zh-CN"/>
        </w:rPr>
      </w:pPr>
      <w:r>
        <w:rPr>
          <w:rFonts w:hint="default" w:ascii="Times New Roman" w:hAnsi="Times New Roman" w:cs="Times New Roman"/>
          <w:color w:val="000000"/>
          <w:kern w:val="2"/>
          <w:sz w:val="32"/>
          <w:szCs w:val="32"/>
        </w:rPr>
        <w:t>（三）202</w:t>
      </w:r>
      <w:r>
        <w:rPr>
          <w:rFonts w:hint="eastAsia" w:ascii="Times New Roman" w:hAnsi="Times New Roman" w:cs="Times New Roman"/>
          <w:color w:val="000000"/>
          <w:kern w:val="2"/>
          <w:sz w:val="32"/>
          <w:szCs w:val="32"/>
          <w:lang w:val="en-US" w:eastAsia="zh-CN"/>
        </w:rPr>
        <w:t>6</w:t>
      </w:r>
      <w:r>
        <w:rPr>
          <w:rFonts w:hint="default" w:ascii="Times New Roman" w:hAnsi="Times New Roman" w:cs="Times New Roman"/>
          <w:color w:val="000000"/>
          <w:kern w:val="2"/>
          <w:sz w:val="32"/>
          <w:szCs w:val="32"/>
        </w:rPr>
        <w:t>年公务用车购置及运行维护费22.5</w:t>
      </w:r>
      <w:r>
        <w:rPr>
          <w:rFonts w:hint="default" w:ascii="Times New Roman" w:hAnsi="Times New Roman" w:cs="Times New Roman"/>
          <w:color w:val="000000"/>
          <w:kern w:val="2"/>
          <w:sz w:val="32"/>
          <w:szCs w:val="32"/>
          <w:lang w:val="en-US" w:eastAsia="zh-CN"/>
        </w:rPr>
        <w:t>0</w:t>
      </w:r>
      <w:r>
        <w:rPr>
          <w:rFonts w:hint="default" w:ascii="Times New Roman" w:hAnsi="Times New Roman" w:cs="Times New Roman"/>
          <w:color w:val="000000"/>
          <w:kern w:val="2"/>
          <w:sz w:val="32"/>
          <w:szCs w:val="32"/>
        </w:rPr>
        <w:t>万元。</w:t>
      </w:r>
      <w:r>
        <w:rPr>
          <w:rFonts w:hint="default" w:ascii="Times New Roman" w:hAnsi="Times New Roman" w:cs="Times New Roman"/>
          <w:color w:val="000000"/>
          <w:kern w:val="2"/>
          <w:sz w:val="32"/>
          <w:szCs w:val="32"/>
          <w:lang w:val="en-US" w:eastAsia="zh-CN"/>
        </w:rPr>
        <w:t>与</w:t>
      </w:r>
      <w:r>
        <w:rPr>
          <w:rFonts w:hint="default" w:ascii="Times New Roman" w:hAnsi="Times New Roman" w:cs="Times New Roman"/>
          <w:color w:val="000000"/>
          <w:kern w:val="2"/>
          <w:sz w:val="32"/>
          <w:szCs w:val="32"/>
        </w:rPr>
        <w:t>202</w:t>
      </w:r>
      <w:r>
        <w:rPr>
          <w:rFonts w:hint="eastAsia" w:ascii="Times New Roman" w:hAnsi="Times New Roman" w:cs="Times New Roman"/>
          <w:color w:val="000000"/>
          <w:kern w:val="2"/>
          <w:sz w:val="32"/>
          <w:szCs w:val="32"/>
          <w:lang w:val="en-US" w:eastAsia="zh-CN"/>
        </w:rPr>
        <w:t>5</w:t>
      </w:r>
      <w:r>
        <w:rPr>
          <w:rFonts w:hint="default" w:ascii="Times New Roman" w:hAnsi="Times New Roman" w:cs="Times New Roman"/>
          <w:color w:val="000000"/>
          <w:kern w:val="2"/>
          <w:sz w:val="32"/>
          <w:szCs w:val="32"/>
        </w:rPr>
        <w:t>年预算经费</w:t>
      </w:r>
      <w:r>
        <w:rPr>
          <w:rFonts w:hint="default" w:ascii="Times New Roman" w:hAnsi="Times New Roman" w:cs="Times New Roman"/>
          <w:sz w:val="32"/>
          <w:szCs w:val="32"/>
          <w:lang w:val="en-US" w:eastAsia="zh-CN"/>
        </w:rPr>
        <w:t>持平</w:t>
      </w:r>
      <w:r>
        <w:rPr>
          <w:rFonts w:hint="default" w:ascii="Times New Roman" w:hAnsi="Times New Roman" w:cs="Times New Roman"/>
          <w:color w:val="000000"/>
          <w:kern w:val="2"/>
          <w:sz w:val="32"/>
          <w:szCs w:val="32"/>
          <w:lang w:val="en-US" w:eastAsia="zh-CN"/>
        </w:rPr>
        <w:t>。</w:t>
      </w:r>
    </w:p>
    <w:p w14:paraId="2212840F">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7" w:name="_Toc32329"/>
      <w:r>
        <w:rPr>
          <w:rFonts w:hint="default" w:ascii="Times New Roman" w:hAnsi="Times New Roman" w:eastAsia="黑体" w:cs="Times New Roman"/>
          <w:b w:val="0"/>
          <w:color w:val="000000"/>
          <w:sz w:val="32"/>
          <w:szCs w:val="32"/>
        </w:rPr>
        <w:t>八、政府性基金预算支出情况说明</w:t>
      </w:r>
      <w:bookmarkEnd w:id="17"/>
    </w:p>
    <w:p w14:paraId="546F2E5C">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年无政府性基金预算拨款安排的支出。</w:t>
      </w:r>
    </w:p>
    <w:p w14:paraId="75C158DD">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18" w:name="_Toc11629"/>
      <w:r>
        <w:rPr>
          <w:rFonts w:hint="default" w:ascii="Times New Roman" w:hAnsi="Times New Roman" w:eastAsia="黑体" w:cs="Times New Roman"/>
          <w:b w:val="0"/>
          <w:color w:val="000000"/>
          <w:sz w:val="32"/>
          <w:szCs w:val="32"/>
        </w:rPr>
        <w:t>九、其他重要事项的情况说明</w:t>
      </w:r>
      <w:bookmarkEnd w:id="18"/>
    </w:p>
    <w:p w14:paraId="6F8C4F3B">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19" w:name="_Toc11711"/>
      <w:r>
        <w:rPr>
          <w:rFonts w:hint="default" w:ascii="Times New Roman" w:hAnsi="Times New Roman" w:eastAsia="楷体_GB2312" w:cs="Times New Roman"/>
          <w:b/>
          <w:bCs/>
          <w:color w:val="000000"/>
          <w:kern w:val="2"/>
          <w:sz w:val="32"/>
          <w:szCs w:val="32"/>
          <w:lang w:eastAsia="zh-CN"/>
        </w:rPr>
        <w:t>（一）机关运行经费</w:t>
      </w:r>
      <w:bookmarkEnd w:id="19"/>
    </w:p>
    <w:p w14:paraId="3A04855C">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cs="Times New Roman"/>
          <w:color w:val="FF0000"/>
          <w:kern w:val="2"/>
          <w:sz w:val="32"/>
          <w:szCs w:val="32"/>
        </w:rPr>
      </w:pPr>
      <w:bookmarkStart w:id="20" w:name="_Toc28287"/>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val="en-US" w:eastAsia="zh-CN" w:bidi="ar-SA"/>
        </w:rPr>
        <w:t>202</w:t>
      </w: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年机关运行经费财政拨款预算为</w:t>
      </w:r>
      <w:r>
        <w:rPr>
          <w:rFonts w:hint="eastAsia" w:ascii="Times New Roman" w:hAnsi="Times New Roman" w:eastAsia="仿宋_GB2312" w:cs="Times New Roman"/>
          <w:color w:val="000000"/>
          <w:kern w:val="2"/>
          <w:sz w:val="32"/>
          <w:szCs w:val="32"/>
          <w:lang w:val="en-US" w:eastAsia="zh-CN" w:bidi="ar-SA"/>
        </w:rPr>
        <w:t>81.89</w:t>
      </w:r>
      <w:r>
        <w:rPr>
          <w:rFonts w:hint="default" w:ascii="Times New Roman" w:hAnsi="Times New Roman" w:eastAsia="仿宋_GB2312" w:cs="Times New Roman"/>
          <w:color w:val="000000"/>
          <w:kern w:val="2"/>
          <w:sz w:val="32"/>
          <w:szCs w:val="32"/>
          <w:lang w:val="en-US" w:eastAsia="zh-CN" w:bidi="ar-SA"/>
        </w:rPr>
        <w:t>万元，比202</w:t>
      </w: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年预算</w:t>
      </w:r>
      <w:r>
        <w:rPr>
          <w:rFonts w:hint="eastAsia" w:ascii="Times New Roman" w:hAnsi="Times New Roman" w:eastAsia="仿宋_GB2312" w:cs="Times New Roman"/>
          <w:color w:val="000000"/>
          <w:kern w:val="2"/>
          <w:sz w:val="32"/>
          <w:szCs w:val="32"/>
          <w:lang w:val="en-US" w:eastAsia="zh-CN" w:bidi="ar-SA"/>
        </w:rPr>
        <w:t>83.16</w:t>
      </w:r>
      <w:r>
        <w:rPr>
          <w:rFonts w:hint="default" w:ascii="Times New Roman" w:hAnsi="Times New Roman" w:eastAsia="仿宋_GB2312" w:cs="Times New Roman"/>
          <w:color w:val="000000"/>
          <w:kern w:val="2"/>
          <w:sz w:val="32"/>
          <w:szCs w:val="32"/>
          <w:lang w:val="en-US" w:eastAsia="zh-CN" w:bidi="ar-SA"/>
        </w:rPr>
        <w:t>万元</w:t>
      </w:r>
      <w:r>
        <w:rPr>
          <w:rFonts w:hint="eastAsia" w:ascii="Times New Roman" w:hAnsi="Times New Roman" w:eastAsia="仿宋_GB2312" w:cs="Times New Roman"/>
          <w:color w:val="000000"/>
          <w:kern w:val="2"/>
          <w:sz w:val="32"/>
          <w:szCs w:val="32"/>
          <w:lang w:val="en-US" w:eastAsia="zh-CN" w:bidi="ar-SA"/>
        </w:rPr>
        <w:t>减少1.37</w:t>
      </w:r>
      <w:r>
        <w:rPr>
          <w:rFonts w:hint="default" w:ascii="Times New Roman" w:hAnsi="Times New Roman" w:eastAsia="仿宋_GB2312" w:cs="Times New Roman"/>
          <w:color w:val="000000"/>
          <w:kern w:val="2"/>
          <w:sz w:val="32"/>
          <w:szCs w:val="32"/>
          <w:lang w:val="en-US" w:eastAsia="zh-CN" w:bidi="ar-SA"/>
        </w:rPr>
        <w:t>万元，主要原因是按照预算比例办公费受人员工资等影。</w:t>
      </w:r>
      <w:bookmarkEnd w:id="20"/>
      <w:r>
        <w:rPr>
          <w:rFonts w:hint="default" w:ascii="Times New Roman" w:hAnsi="Times New Roman" w:eastAsia="仿宋_GB2312" w:cs="Times New Roman"/>
          <w:color w:val="000000"/>
          <w:kern w:val="2"/>
          <w:sz w:val="32"/>
          <w:szCs w:val="32"/>
          <w:lang w:val="en-US" w:eastAsia="zh-CN" w:bidi="ar-SA"/>
        </w:rPr>
        <w:t xml:space="preserve"> </w:t>
      </w:r>
    </w:p>
    <w:p w14:paraId="3B0147BD">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楷体_GB2312" w:cs="Times New Roman"/>
          <w:b/>
          <w:bCs/>
          <w:color w:val="000000"/>
          <w:kern w:val="2"/>
          <w:sz w:val="32"/>
          <w:szCs w:val="32"/>
          <w:lang w:eastAsia="zh-CN"/>
        </w:rPr>
      </w:pPr>
      <w:r>
        <w:rPr>
          <w:rFonts w:hint="default" w:ascii="Times New Roman" w:hAnsi="Times New Roman" w:eastAsia="楷体_GB2312" w:cs="Times New Roman"/>
          <w:b/>
          <w:bCs/>
          <w:color w:val="000000"/>
          <w:kern w:val="2"/>
          <w:sz w:val="32"/>
          <w:szCs w:val="32"/>
          <w:lang w:eastAsia="zh-CN"/>
        </w:rPr>
        <w:t>（二）政府采购情况</w:t>
      </w:r>
    </w:p>
    <w:p w14:paraId="28F4CF88">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仿宋_GB2312" w:cs="Times New Roman"/>
          <w:color w:val="000000"/>
          <w:kern w:val="2"/>
          <w:sz w:val="32"/>
          <w:szCs w:val="32"/>
          <w:lang w:val="en-US" w:eastAsia="zh-CN" w:bidi="ar-SA"/>
        </w:rPr>
        <w:t xml:space="preserve"> 202</w:t>
      </w: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年</w:t>
      </w: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color w:val="000000"/>
          <w:kern w:val="2"/>
          <w:sz w:val="32"/>
          <w:szCs w:val="32"/>
          <w:lang w:val="en-US" w:eastAsia="zh-CN" w:bidi="ar-SA"/>
        </w:rPr>
        <w:t>未安排政府采购预算。</w:t>
      </w:r>
    </w:p>
    <w:p w14:paraId="51DAF14D">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21" w:name="_Toc26188"/>
      <w:r>
        <w:rPr>
          <w:rFonts w:hint="default" w:ascii="Times New Roman" w:hAnsi="Times New Roman" w:eastAsia="楷体_GB2312" w:cs="Times New Roman"/>
          <w:b/>
          <w:bCs/>
          <w:color w:val="000000"/>
          <w:kern w:val="2"/>
          <w:sz w:val="32"/>
          <w:szCs w:val="32"/>
          <w:lang w:eastAsia="zh-CN"/>
        </w:rPr>
        <w:t>（三）国有资产占有使用情况</w:t>
      </w:r>
      <w:bookmarkEnd w:id="21"/>
    </w:p>
    <w:p w14:paraId="71EE59C9">
      <w:pPr>
        <w:pStyle w:val="19"/>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cs="Times New Roman"/>
          <w:kern w:val="2"/>
          <w:sz w:val="32"/>
          <w:szCs w:val="32"/>
        </w:rPr>
        <w:t>截至202</w:t>
      </w:r>
      <w:r>
        <w:rPr>
          <w:rFonts w:hint="eastAsia" w:ascii="Times New Roman" w:hAnsi="Times New Roman" w:cs="Times New Roman"/>
          <w:kern w:val="2"/>
          <w:sz w:val="32"/>
          <w:szCs w:val="32"/>
          <w:lang w:val="en-US" w:eastAsia="zh-CN"/>
        </w:rPr>
        <w:t>5</w:t>
      </w:r>
      <w:r>
        <w:rPr>
          <w:rFonts w:hint="default" w:ascii="Times New Roman" w:hAnsi="Times New Roman" w:cs="Times New Roman"/>
          <w:kern w:val="2"/>
          <w:sz w:val="32"/>
          <w:szCs w:val="32"/>
        </w:rPr>
        <w:t>年12</w:t>
      </w:r>
      <w:r>
        <w:rPr>
          <w:rFonts w:hint="default" w:ascii="Times New Roman" w:hAnsi="Times New Roman" w:cs="Times New Roman"/>
          <w:color w:val="auto"/>
          <w:kern w:val="2"/>
          <w:sz w:val="32"/>
          <w:szCs w:val="32"/>
        </w:rPr>
        <w:t>月31日，我单位固定资产</w:t>
      </w:r>
      <w:r>
        <w:rPr>
          <w:rFonts w:hint="eastAsia" w:ascii="Times New Roman" w:hAnsi="Times New Roman" w:cs="Times New Roman"/>
          <w:color w:val="auto"/>
          <w:kern w:val="2"/>
          <w:sz w:val="32"/>
          <w:szCs w:val="32"/>
          <w:lang w:val="en-US" w:eastAsia="zh-CN"/>
        </w:rPr>
        <w:t>1988.92</w:t>
      </w:r>
      <w:r>
        <w:rPr>
          <w:rFonts w:hint="default" w:ascii="Times New Roman" w:hAnsi="Times New Roman" w:cs="Times New Roman"/>
          <w:color w:val="auto"/>
          <w:kern w:val="2"/>
          <w:sz w:val="32"/>
          <w:szCs w:val="32"/>
        </w:rPr>
        <w:t>万元。</w:t>
      </w:r>
      <w:r>
        <w:rPr>
          <w:rFonts w:hint="default" w:ascii="Times New Roman" w:hAnsi="Times New Roman" w:eastAsia="仿宋_GB2312" w:cs="Times New Roman"/>
          <w:color w:val="auto"/>
          <w:kern w:val="2"/>
          <w:sz w:val="32"/>
          <w:szCs w:val="32"/>
          <w:lang w:eastAsia="zh-CN"/>
        </w:rPr>
        <w:t>其中：房屋</w:t>
      </w:r>
      <w:r>
        <w:rPr>
          <w:rFonts w:hint="default" w:ascii="Times New Roman" w:hAnsi="Times New Roman" w:cs="Times New Roman"/>
          <w:color w:val="auto"/>
          <w:kern w:val="2"/>
          <w:sz w:val="32"/>
          <w:szCs w:val="32"/>
          <w:lang w:val="en-US" w:eastAsia="zh-CN"/>
        </w:rPr>
        <w:t>2935.04</w:t>
      </w:r>
      <w:r>
        <w:rPr>
          <w:rFonts w:hint="default" w:ascii="Times New Roman" w:hAnsi="Times New Roman" w:eastAsia="仿宋_GB2312" w:cs="Times New Roman"/>
          <w:color w:val="auto"/>
          <w:kern w:val="2"/>
          <w:sz w:val="32"/>
          <w:szCs w:val="32"/>
          <w:lang w:eastAsia="zh-CN"/>
        </w:rPr>
        <w:t>平方米，价值</w:t>
      </w:r>
      <w:r>
        <w:rPr>
          <w:rFonts w:hint="default" w:ascii="Times New Roman" w:hAnsi="Times New Roman" w:cs="Times New Roman"/>
          <w:color w:val="auto"/>
          <w:kern w:val="2"/>
          <w:sz w:val="32"/>
          <w:szCs w:val="32"/>
          <w:lang w:val="en-US" w:eastAsia="zh-CN"/>
        </w:rPr>
        <w:t>827.87万</w:t>
      </w:r>
      <w:r>
        <w:rPr>
          <w:rFonts w:hint="default" w:ascii="Times New Roman" w:hAnsi="Times New Roman" w:eastAsia="仿宋_GB2312" w:cs="Times New Roman"/>
          <w:color w:val="auto"/>
          <w:kern w:val="2"/>
          <w:sz w:val="32"/>
          <w:szCs w:val="32"/>
          <w:lang w:eastAsia="zh-CN"/>
        </w:rPr>
        <w:t>元；公务用车</w:t>
      </w:r>
      <w:r>
        <w:rPr>
          <w:rFonts w:hint="default" w:ascii="Times New Roman" w:hAnsi="Times New Roman"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lang w:eastAsia="zh-CN"/>
        </w:rPr>
        <w:t>辆，价值</w:t>
      </w:r>
      <w:r>
        <w:rPr>
          <w:rFonts w:hint="default" w:ascii="Times New Roman" w:hAnsi="Times New Roman" w:cs="Times New Roman"/>
          <w:color w:val="auto"/>
          <w:kern w:val="2"/>
          <w:sz w:val="32"/>
          <w:szCs w:val="32"/>
          <w:lang w:val="en-US" w:eastAsia="zh-CN"/>
        </w:rPr>
        <w:t>224.42万</w:t>
      </w:r>
      <w:r>
        <w:rPr>
          <w:rFonts w:hint="default" w:ascii="Times New Roman" w:hAnsi="Times New Roman" w:eastAsia="仿宋_GB2312" w:cs="Times New Roman"/>
          <w:color w:val="auto"/>
          <w:kern w:val="2"/>
          <w:sz w:val="32"/>
          <w:szCs w:val="32"/>
          <w:lang w:eastAsia="zh-CN"/>
        </w:rPr>
        <w:t>元；其他固定资产</w:t>
      </w:r>
      <w:r>
        <w:rPr>
          <w:rFonts w:hint="eastAsia" w:ascii="Times New Roman" w:hAnsi="Times New Roman" w:cs="Times New Roman"/>
          <w:color w:val="auto"/>
          <w:kern w:val="2"/>
          <w:sz w:val="32"/>
          <w:szCs w:val="32"/>
          <w:lang w:val="en-US" w:eastAsia="zh-CN"/>
        </w:rPr>
        <w:t>936.63</w:t>
      </w:r>
      <w:r>
        <w:rPr>
          <w:rFonts w:hint="default" w:ascii="Times New Roman" w:hAnsi="Times New Roman" w:cs="Times New Roman"/>
          <w:color w:val="auto"/>
          <w:kern w:val="2"/>
          <w:sz w:val="32"/>
          <w:szCs w:val="32"/>
          <w:lang w:val="en-US" w:eastAsia="zh-CN"/>
        </w:rPr>
        <w:t>万</w:t>
      </w:r>
      <w:r>
        <w:rPr>
          <w:rFonts w:hint="default" w:ascii="Times New Roman" w:hAnsi="Times New Roman" w:eastAsia="仿宋_GB2312" w:cs="Times New Roman"/>
          <w:color w:val="auto"/>
          <w:kern w:val="2"/>
          <w:sz w:val="32"/>
          <w:szCs w:val="32"/>
          <w:lang w:eastAsia="zh-CN"/>
        </w:rPr>
        <w:t>元。</w:t>
      </w:r>
    </w:p>
    <w:p w14:paraId="56BC3266">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default" w:ascii="Times New Roman" w:hAnsi="Times New Roman" w:eastAsia="楷体_GB2312" w:cs="Times New Roman"/>
          <w:b/>
          <w:bCs/>
          <w:color w:val="000000"/>
          <w:kern w:val="2"/>
          <w:sz w:val="32"/>
          <w:szCs w:val="32"/>
          <w:lang w:eastAsia="zh-CN"/>
        </w:rPr>
      </w:pPr>
      <w:bookmarkStart w:id="22" w:name="_Toc4906"/>
      <w:r>
        <w:rPr>
          <w:rFonts w:hint="default" w:ascii="Times New Roman" w:hAnsi="Times New Roman" w:eastAsia="楷体_GB2312" w:cs="Times New Roman"/>
          <w:b/>
          <w:bCs/>
          <w:color w:val="000000"/>
          <w:kern w:val="2"/>
          <w:sz w:val="32"/>
          <w:szCs w:val="32"/>
          <w:lang w:eastAsia="zh-CN"/>
        </w:rPr>
        <w:t>（四）绩效目标设置情况</w:t>
      </w:r>
      <w:bookmarkEnd w:id="22"/>
    </w:p>
    <w:p w14:paraId="3924FE19">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sz w:val="32"/>
          <w:szCs w:val="32"/>
        </w:rPr>
      </w:pPr>
      <w:bookmarkStart w:id="23" w:name="_Toc18542"/>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年</w:t>
      </w:r>
      <w:r>
        <w:rPr>
          <w:rFonts w:hint="default" w:ascii="Times New Roman" w:hAnsi="Times New Roman" w:eastAsia="仿宋" w:cs="Times New Roman"/>
          <w:color w:val="000000"/>
          <w:sz w:val="32"/>
          <w:szCs w:val="32"/>
        </w:rPr>
        <w:t>理县人民检察院</w:t>
      </w:r>
      <w:r>
        <w:rPr>
          <w:rFonts w:hint="default" w:ascii="Times New Roman" w:hAnsi="Times New Roman" w:eastAsia="仿宋_GB2312" w:cs="Times New Roman"/>
          <w:kern w:val="2"/>
          <w:sz w:val="32"/>
          <w:szCs w:val="32"/>
          <w:lang w:val="en-US" w:eastAsia="zh-CN" w:bidi="ar-SA"/>
        </w:rPr>
        <w:t>通用项目和专用项目均按要求实行绩效目标管理，涉及一般公共预算当年拨款</w:t>
      </w:r>
      <w:r>
        <w:rPr>
          <w:rFonts w:hint="eastAsia" w:ascii="Times New Roman" w:hAnsi="Times New Roman" w:eastAsia="仿宋_GB2312" w:cs="Times New Roman"/>
          <w:color w:val="000000"/>
          <w:kern w:val="2"/>
          <w:sz w:val="32"/>
          <w:szCs w:val="32"/>
          <w:lang w:val="en-US" w:eastAsia="zh-CN"/>
        </w:rPr>
        <w:t>592.13</w:t>
      </w:r>
      <w:r>
        <w:rPr>
          <w:rFonts w:hint="default" w:ascii="Times New Roman" w:hAnsi="Times New Roman" w:eastAsia="仿宋_GB2312" w:cs="Times New Roman"/>
          <w:color w:val="000000"/>
          <w:kern w:val="2"/>
          <w:sz w:val="32"/>
          <w:szCs w:val="32"/>
          <w:lang w:val="en-US" w:eastAsia="zh-CN"/>
        </w:rPr>
        <w:t>万元</w:t>
      </w:r>
      <w:r>
        <w:rPr>
          <w:rFonts w:hint="default" w:ascii="Times New Roman" w:hAnsi="Times New Roman" w:eastAsia="仿宋_GB2312" w:cs="Times New Roman"/>
          <w:kern w:val="2"/>
          <w:sz w:val="32"/>
          <w:szCs w:val="32"/>
          <w:lang w:val="en-US" w:eastAsia="zh-CN" w:bidi="ar-SA"/>
        </w:rPr>
        <w:t>。</w:t>
      </w:r>
      <w:bookmarkEnd w:id="23"/>
    </w:p>
    <w:p w14:paraId="0F658ECF">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000000"/>
          <w:sz w:val="32"/>
          <w:szCs w:val="32"/>
        </w:rPr>
      </w:pPr>
      <w:bookmarkStart w:id="24" w:name="_Toc19195"/>
      <w:r>
        <w:rPr>
          <w:rFonts w:hint="default" w:ascii="Times New Roman" w:hAnsi="Times New Roman" w:eastAsia="黑体" w:cs="Times New Roman"/>
          <w:b w:val="0"/>
          <w:color w:val="000000"/>
          <w:sz w:val="32"/>
          <w:szCs w:val="32"/>
        </w:rPr>
        <w:t>十、名词解释</w:t>
      </w:r>
      <w:bookmarkEnd w:id="24"/>
    </w:p>
    <w:p w14:paraId="282040CB">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eastAsia="zh-CN"/>
        </w:rPr>
        <w:t>（一）财政拨款收入：</w:t>
      </w:r>
      <w:r>
        <w:rPr>
          <w:rFonts w:hint="default" w:ascii="Times New Roman" w:hAnsi="Times New Roman" w:eastAsia="仿宋_GB2312" w:cs="Times New Roman"/>
          <w:color w:val="000000"/>
          <w:kern w:val="2"/>
          <w:sz w:val="32"/>
          <w:szCs w:val="32"/>
          <w:lang w:eastAsia="zh-CN"/>
        </w:rPr>
        <w:t>指由财政拨款形成的部门收入。按现行管理制度，部门预算中反映的财政拨款仅包括一般公共预算拨款和政府性基金预算拨款。</w:t>
      </w:r>
    </w:p>
    <w:p w14:paraId="4477F622">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楷体_GB2312" w:cs="Times New Roman"/>
          <w:b/>
          <w:sz w:val="32"/>
          <w:szCs w:val="32"/>
          <w:lang w:eastAsia="zh-CN"/>
        </w:rPr>
        <w:t>（二）其他收入：</w:t>
      </w:r>
      <w:r>
        <w:rPr>
          <w:rFonts w:hint="default" w:ascii="Times New Roman" w:hAnsi="Times New Roman" w:eastAsia="仿宋_GB2312" w:cs="Times New Roman"/>
          <w:color w:val="000000"/>
          <w:kern w:val="2"/>
          <w:sz w:val="32"/>
          <w:szCs w:val="32"/>
          <w:lang w:eastAsia="zh-CN"/>
        </w:rPr>
        <w:t>指除上述“财政拨款收入”、“事业收入”、“事业单位经营收入”等以外的收入，主要是所属行政事业单位按规定动用的售房收入、存款利息收入等。</w:t>
      </w:r>
    </w:p>
    <w:p w14:paraId="100B03F3">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楷体_GB2312" w:cs="Times New Roman"/>
          <w:b/>
          <w:sz w:val="32"/>
          <w:szCs w:val="32"/>
          <w:lang w:eastAsia="zh-CN"/>
        </w:rPr>
        <w:t>（三）上年结转：</w:t>
      </w:r>
      <w:r>
        <w:rPr>
          <w:rFonts w:hint="default" w:ascii="Times New Roman" w:hAnsi="Times New Roman" w:eastAsia="仿宋_GB2312" w:cs="Times New Roman"/>
          <w:color w:val="000000"/>
          <w:kern w:val="2"/>
          <w:sz w:val="32"/>
          <w:szCs w:val="32"/>
          <w:lang w:eastAsia="zh-CN"/>
        </w:rPr>
        <w:t>指所属行政事业单位以前年度尚未完成、结转至本年按原规定用途继续使用的资金和以前年度已完成项目剩余资金经批准用于新用途使用的资金。</w:t>
      </w:r>
    </w:p>
    <w:p w14:paraId="29D11710">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eastAsia="zh-CN"/>
        </w:rPr>
        <w:t>（四）基本支出：</w:t>
      </w:r>
      <w:r>
        <w:rPr>
          <w:rFonts w:hint="default" w:ascii="Times New Roman" w:hAnsi="Times New Roman" w:eastAsia="仿宋_GB2312" w:cs="Times New Roman"/>
          <w:sz w:val="32"/>
          <w:szCs w:val="32"/>
          <w:lang w:eastAsia="zh-CN"/>
        </w:rPr>
        <w:t>指为保证机构正常运转，完成日常工作任务而发生的人员支出和公用支出。</w:t>
      </w:r>
    </w:p>
    <w:p w14:paraId="7229F302">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eastAsia="zh-CN"/>
        </w:rPr>
        <w:t>（五）项目支出</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lang w:eastAsia="zh-CN"/>
        </w:rPr>
        <w:t>指在基本支出之外为完成特定行政任务和事业发展目标所发生的支出。</w:t>
      </w:r>
    </w:p>
    <w:p w14:paraId="16E51DAE">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000000"/>
          <w:kern w:val="2"/>
          <w:sz w:val="32"/>
          <w:szCs w:val="32"/>
          <w:lang w:eastAsia="zh-CN"/>
        </w:rPr>
      </w:pPr>
      <w:r>
        <w:rPr>
          <w:rFonts w:hint="default" w:ascii="Times New Roman" w:hAnsi="Times New Roman" w:eastAsia="楷体_GB2312" w:cs="Times New Roman"/>
          <w:b/>
          <w:sz w:val="32"/>
          <w:szCs w:val="32"/>
          <w:lang w:eastAsia="zh-CN"/>
        </w:rPr>
        <w:t>（六）“三公”经费：</w:t>
      </w:r>
      <w:r>
        <w:rPr>
          <w:rFonts w:hint="default" w:ascii="Times New Roman" w:hAnsi="Times New Roman" w:eastAsia="仿宋_GB2312" w:cs="Times New Roman"/>
          <w:color w:val="000000"/>
          <w:kern w:val="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F40CDC2">
      <w:pPr>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F88532-04C7-4013-97CA-026DEF28F0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DF71EA-7B17-4F11-AF4C-5F1569B48679}"/>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3" w:fontKey="{67094395-89DB-4815-9F72-E1189992F4DB}"/>
  </w:font>
  <w:font w:name="Arial Unicode MS">
    <w:panose1 w:val="020B0604020202020204"/>
    <w:charset w:val="86"/>
    <w:family w:val="auto"/>
    <w:pitch w:val="default"/>
    <w:sig w:usb0="FFFFFFFF" w:usb1="E9FFFFFF" w:usb2="0000003F" w:usb3="00000000" w:csb0="603F01FF" w:csb1="FFFF0000"/>
    <w:embedRegular r:id="rId4" w:fontKey="{2FB42DA0-678F-48DD-B75A-EC053727876A}"/>
  </w:font>
  <w:font w:name="方正楷体_GB2312">
    <w:panose1 w:val="02000000000000000000"/>
    <w:charset w:val="86"/>
    <w:family w:val="auto"/>
    <w:pitch w:val="default"/>
    <w:sig w:usb0="A00002BF" w:usb1="184F6CFA" w:usb2="00000012" w:usb3="00000000" w:csb0="00040001" w:csb1="00000000"/>
    <w:embedRegular r:id="rId5" w:fontKey="{5FEBA2B7-C7E3-4ED7-A83E-332C06723193}"/>
  </w:font>
  <w:font w:name="楷体_GB2312">
    <w:panose1 w:val="02010609030101010101"/>
    <w:charset w:val="86"/>
    <w:family w:val="modern"/>
    <w:pitch w:val="default"/>
    <w:sig w:usb0="00000001" w:usb1="080E0000" w:usb2="00000000" w:usb3="00000000" w:csb0="00040000" w:csb1="00000000"/>
    <w:embedRegular r:id="rId6" w:fontKey="{F89F603B-5539-4698-BD51-A9CE21CDAA66}"/>
  </w:font>
  <w:font w:name="Nimbus Roman">
    <w:altName w:val="Segoe Print"/>
    <w:panose1 w:val="00000500000000000000"/>
    <w:charset w:val="00"/>
    <w:family w:val="auto"/>
    <w:pitch w:val="default"/>
    <w:sig w:usb0="00000000" w:usb1="00000000" w:usb2="00000000" w:usb3="00000000" w:csb0="6000009F" w:csb1="00000000"/>
    <w:embedRegular r:id="rId7" w:fontKey="{E77DBC9F-B187-4D85-9F43-3436FA270F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embedRegular r:id="rId8" w:fontKey="{AB061470-FB36-468E-A92B-22A4D906E40D}"/>
  </w:font>
  <w:font w:name="方正黑体_GBK">
    <w:panose1 w:val="02010600010101010101"/>
    <w:charset w:val="86"/>
    <w:family w:val="auto"/>
    <w:pitch w:val="default"/>
    <w:sig w:usb0="00000001" w:usb1="080E0000" w:usb2="00000000" w:usb3="00000000" w:csb0="00040000" w:csb1="00000000"/>
    <w:embedRegular r:id="rId9" w:fontKey="{17ED4F1F-624A-4AC6-B8EA-80ABD589B9B5}"/>
  </w:font>
  <w:font w:name="方正楷体_GBK">
    <w:panose1 w:val="02000000000000000000"/>
    <w:charset w:val="86"/>
    <w:family w:val="auto"/>
    <w:pitch w:val="default"/>
    <w:sig w:usb0="800002BF" w:usb1="38CF7CFA" w:usb2="00000016" w:usb3="00000000" w:csb0="00040000" w:csb1="00000000"/>
    <w:embedRegular r:id="rId10" w:fontKey="{0A5210D5-B533-4C1F-BEFE-BFE482230B9F}"/>
  </w:font>
  <w:font w:name="楷体">
    <w:panose1 w:val="02010609060101010101"/>
    <w:charset w:val="86"/>
    <w:family w:val="modern"/>
    <w:pitch w:val="default"/>
    <w:sig w:usb0="800002BF" w:usb1="38CF7CFA" w:usb2="00000016" w:usb3="00000000" w:csb0="00040001" w:csb1="00000000"/>
    <w:embedRegular r:id="rId11" w:fontKey="{0584B926-882B-483A-A2BC-65174FF01D61}"/>
  </w:font>
  <w:font w:name="仿宋">
    <w:panose1 w:val="02010609060101010101"/>
    <w:charset w:val="86"/>
    <w:family w:val="auto"/>
    <w:pitch w:val="default"/>
    <w:sig w:usb0="800002BF" w:usb1="38CF7CFA" w:usb2="00000016" w:usb3="00000000" w:csb0="00040001" w:csb1="00000000"/>
    <w:embedRegular r:id="rId12" w:fontKey="{DC71D88F-B044-4E23-AC6E-68A8C7F9B77D}"/>
  </w:font>
  <w:font w:name="WPSEMBED3">
    <w:panose1 w:val="020B0604020202020204"/>
    <w:charset w:val="86"/>
    <w:family w:val="auto"/>
    <w:pitch w:val="default"/>
    <w:sig w:usb0="FFFFFFFF" w:usb1="E9FFFFFF" w:usb2="0000003F" w:usb3="00000000" w:csb0="603F01FF" w:csb1="FFFF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83E50">
    <w:pPr>
      <w:pStyle w:val="10"/>
      <w:jc w:val="center"/>
      <w:rPr>
        <w:lang w:eastAsia="zh-CN"/>
      </w:rPr>
    </w:pPr>
  </w:p>
  <w:p w14:paraId="70488D5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544DD">
    <w:pPr>
      <w:pStyle w:val="10"/>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A574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4A5741">
                    <w:pPr>
                      <w:pStyle w:val="10"/>
                    </w:pPr>
                    <w:r>
                      <w:fldChar w:fldCharType="begin"/>
                    </w:r>
                    <w:r>
                      <w:instrText xml:space="preserve"> PAGE  \* MERGEFORMAT </w:instrText>
                    </w:r>
                    <w:r>
                      <w:fldChar w:fldCharType="separate"/>
                    </w:r>
                    <w:r>
                      <w:t>3</w:t>
                    </w:r>
                    <w:r>
                      <w:fldChar w:fldCharType="end"/>
                    </w:r>
                  </w:p>
                </w:txbxContent>
              </v:textbox>
            </v:shape>
          </w:pict>
        </mc:Fallback>
      </mc:AlternateContent>
    </w:r>
  </w:p>
  <w:p w14:paraId="023A803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8A5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1BEA"/>
    <w:multiLevelType w:val="singleLevel"/>
    <w:tmpl w:val="270D1BE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ZjUwNDllYzM0NWMxOTFjYmNkOTQyNjQ5YTRmNTg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32E25B0"/>
    <w:rsid w:val="07674A16"/>
    <w:rsid w:val="07F13FAE"/>
    <w:rsid w:val="082046BE"/>
    <w:rsid w:val="09E96E59"/>
    <w:rsid w:val="13197D31"/>
    <w:rsid w:val="13391339"/>
    <w:rsid w:val="1585667E"/>
    <w:rsid w:val="164003A4"/>
    <w:rsid w:val="16C5583A"/>
    <w:rsid w:val="177904B8"/>
    <w:rsid w:val="1A911621"/>
    <w:rsid w:val="1B0406D7"/>
    <w:rsid w:val="1B414DF5"/>
    <w:rsid w:val="20361CB8"/>
    <w:rsid w:val="208448A6"/>
    <w:rsid w:val="218C3338"/>
    <w:rsid w:val="22983056"/>
    <w:rsid w:val="24141A54"/>
    <w:rsid w:val="24857B00"/>
    <w:rsid w:val="27A7133A"/>
    <w:rsid w:val="27F1416A"/>
    <w:rsid w:val="29566940"/>
    <w:rsid w:val="2ABE3496"/>
    <w:rsid w:val="32BF7DF5"/>
    <w:rsid w:val="347436ED"/>
    <w:rsid w:val="3659703F"/>
    <w:rsid w:val="37A46F67"/>
    <w:rsid w:val="3921253A"/>
    <w:rsid w:val="3DF633C5"/>
    <w:rsid w:val="3E9E5E48"/>
    <w:rsid w:val="3FFCF6BE"/>
    <w:rsid w:val="44CA52C6"/>
    <w:rsid w:val="44FB4F3D"/>
    <w:rsid w:val="47FD3CCE"/>
    <w:rsid w:val="485056D2"/>
    <w:rsid w:val="48EB0A3F"/>
    <w:rsid w:val="4C577725"/>
    <w:rsid w:val="56C16D7E"/>
    <w:rsid w:val="57911B80"/>
    <w:rsid w:val="61693C9D"/>
    <w:rsid w:val="64CC0F4B"/>
    <w:rsid w:val="680E23EA"/>
    <w:rsid w:val="68532558"/>
    <w:rsid w:val="68887377"/>
    <w:rsid w:val="6F8A5317"/>
    <w:rsid w:val="724F3294"/>
    <w:rsid w:val="75947170"/>
    <w:rsid w:val="77272607"/>
    <w:rsid w:val="79483E01"/>
    <w:rsid w:val="7A3F0883"/>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autoRedefine/>
    <w:qFormat/>
    <w:uiPriority w:val="99"/>
    <w:pPr>
      <w:keepNext/>
      <w:keepLines/>
      <w:widowControl w:val="0"/>
      <w:spacing w:before="260" w:after="260" w:line="416" w:lineRule="auto"/>
      <w:ind w:firstLine="0"/>
      <w:jc w:val="both"/>
      <w:outlineLvl w:val="1"/>
    </w:pPr>
    <w:rPr>
      <w:rFonts w:ascii="Cambria" w:hAnsi="Cambria" w:cs="Times New Roman"/>
      <w:b/>
      <w:bCs/>
      <w:kern w:val="2"/>
      <w:sz w:val="32"/>
      <w:szCs w:val="32"/>
      <w:lang w:eastAsia="zh-CN"/>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3"/>
    <w:qFormat/>
    <w:uiPriority w:val="0"/>
    <w:rPr>
      <w:rFonts w:ascii="Calibri" w:hAnsi="Calibri" w:eastAsia="宋体" w:cs="Times New Roman"/>
    </w:rPr>
  </w:style>
  <w:style w:type="paragraph" w:customStyle="1" w:styleId="3">
    <w:name w:val="正文11"/>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Normal Indent"/>
    <w:basedOn w:val="1"/>
    <w:autoRedefine/>
    <w:qFormat/>
    <w:uiPriority w:val="0"/>
    <w:pPr>
      <w:ind w:firstLine="420"/>
    </w:pPr>
  </w:style>
  <w:style w:type="paragraph" w:styleId="6">
    <w:name w:val="Body Text"/>
    <w:basedOn w:val="1"/>
    <w:next w:val="7"/>
    <w:qFormat/>
    <w:uiPriority w:val="0"/>
    <w:pPr>
      <w:widowControl w:val="0"/>
      <w:spacing w:after="0"/>
      <w:jc w:val="both"/>
    </w:pPr>
    <w:rPr>
      <w:rFonts w:ascii="Times New Roman" w:hAnsi="Times New Roman" w:eastAsia="华文中宋" w:cs="Times New Roman"/>
      <w:kern w:val="2"/>
      <w:sz w:val="96"/>
      <w:szCs w:val="24"/>
      <w:u w:val="thick"/>
      <w:lang w:val="en-US" w:eastAsia="zh-CN" w:bidi="ar-SA"/>
    </w:rPr>
  </w:style>
  <w:style w:type="paragraph" w:styleId="7">
    <w:name w:val="Plain Text"/>
    <w:basedOn w:val="1"/>
    <w:qFormat/>
    <w:uiPriority w:val="0"/>
    <w:rPr>
      <w:rFonts w:ascii="宋体" w:hAnsi="Courier New" w:eastAsia="宋体" w:cs="Times New Roman"/>
    </w:rPr>
  </w:style>
  <w:style w:type="paragraph" w:styleId="8">
    <w:name w:val="Body Text Indent"/>
    <w:basedOn w:val="1"/>
    <w:next w:val="9"/>
    <w:autoRedefine/>
    <w:qFormat/>
    <w:uiPriority w:val="0"/>
    <w:pPr>
      <w:spacing w:line="500" w:lineRule="exact"/>
      <w:ind w:firstLine="720" w:firstLineChars="240"/>
    </w:pPr>
    <w:rPr>
      <w:rFonts w:ascii="仿宋_GB2312"/>
      <w:b/>
      <w:sz w:val="30"/>
      <w:szCs w:val="24"/>
    </w:rPr>
  </w:style>
  <w:style w:type="paragraph" w:styleId="9">
    <w:name w:val="Body Text First Indent 2"/>
    <w:basedOn w:val="8"/>
    <w:next w:val="1"/>
    <w:autoRedefine/>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autoRedefine/>
    <w:semiHidden/>
    <w:qFormat/>
    <w:uiPriority w:val="99"/>
    <w:pPr>
      <w:ind w:left="420" w:leftChars="200"/>
    </w:pPr>
  </w:style>
  <w:style w:type="character" w:styleId="16">
    <w:name w:val="Strong"/>
    <w:basedOn w:val="15"/>
    <w:autoRedefine/>
    <w:qFormat/>
    <w:uiPriority w:val="99"/>
    <w:rPr>
      <w:rFonts w:cs="Times New Roman"/>
      <w:b/>
    </w:rPr>
  </w:style>
  <w:style w:type="character" w:styleId="17">
    <w:name w:val="Hyperlink"/>
    <w:basedOn w:val="15"/>
    <w:autoRedefine/>
    <w:qFormat/>
    <w:uiPriority w:val="99"/>
    <w:rPr>
      <w:rFonts w:cs="Times New Roman"/>
      <w:color w:val="323232"/>
      <w:u w:val="none"/>
    </w:rPr>
  </w:style>
  <w:style w:type="paragraph" w:styleId="18">
    <w:name w:val="List Paragraph"/>
    <w:basedOn w:val="1"/>
    <w:autoRedefine/>
    <w:qFormat/>
    <w:uiPriority w:val="99"/>
    <w:pPr>
      <w:ind w:firstLine="420" w:firstLineChars="200"/>
    </w:pPr>
  </w:style>
  <w:style w:type="paragraph" w:customStyle="1" w:styleId="19">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4321</Words>
  <Characters>4733</Characters>
  <Lines>13</Lines>
  <Paragraphs>3</Paragraphs>
  <TotalTime>0</TotalTime>
  <ScaleCrop>false</ScaleCrop>
  <LinksUpToDate>false</LinksUpToDate>
  <CharactersWithSpaces>4764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小马</cp:lastModifiedBy>
  <cp:lastPrinted>2025-02-20T02:11:00Z</cp:lastPrinted>
  <dcterms:modified xsi:type="dcterms:W3CDTF">2026-03-24T03:38:43Z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C83A3A8037504030B651099373E2DE8D_13</vt:lpwstr>
  </property>
  <property fmtid="{D5CDD505-2E9C-101B-9397-08002B2CF9AE}" pid="4" name="KSOTemplateDocerSaveRecord">
    <vt:lpwstr>eyJoZGlkIjoiYjhlOThhOGU3YzZjZDVlZWVmOWJmYjhhZjE2OGRjZTQiLCJ1c2VySWQiOiI1MTgyMjczNDQifQ==</vt:lpwstr>
  </property>
</Properties>
</file>