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val="en-US" w:eastAsia="zh-CN"/>
        </w:rPr>
      </w:pPr>
      <w:r>
        <w:rPr>
          <w:rFonts w:hint="eastAsia" w:ascii="黑体" w:eastAsia="黑体"/>
          <w:sz w:val="44"/>
          <w:szCs w:val="44"/>
          <w:lang w:val="en-US" w:eastAsia="zh-CN"/>
        </w:rPr>
        <w:t>理县人民法院</w:t>
      </w:r>
    </w:p>
    <w:p>
      <w:pPr>
        <w:jc w:val="center"/>
        <w:rPr>
          <w:rFonts w:ascii="黑体" w:eastAsia="黑体"/>
          <w:sz w:val="44"/>
          <w:szCs w:val="44"/>
        </w:rPr>
      </w:pPr>
      <w:r>
        <w:rPr>
          <w:rFonts w:ascii="黑体" w:eastAsia="黑体"/>
          <w:sz w:val="44"/>
          <w:szCs w:val="44"/>
        </w:rPr>
        <w:t>2025</w:t>
      </w:r>
      <w:r>
        <w:rPr>
          <w:rFonts w:hint="eastAsia" w:ascii="黑体" w:eastAsia="黑体"/>
          <w:sz w:val="44"/>
          <w:szCs w:val="44"/>
        </w:rPr>
        <w:t>年部门预算</w:t>
      </w:r>
    </w:p>
    <w:p>
      <w:pPr>
        <w:ind w:firstLine="1760" w:firstLineChars="400"/>
        <w:rPr>
          <w:rFonts w:ascii="黑体" w:eastAsia="黑体"/>
          <w:sz w:val="44"/>
          <w:szCs w:val="44"/>
        </w:rPr>
      </w:pPr>
    </w:p>
    <w:p>
      <w:pPr>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hint="default" w:ascii="黑体" w:eastAsia="黑体"/>
          <w:sz w:val="44"/>
          <w:szCs w:val="44"/>
          <w:lang w:val="en-US" w:eastAsia="zh-CN"/>
        </w:rPr>
      </w:pPr>
    </w:p>
    <w:p>
      <w:pPr>
        <w:rPr>
          <w:rFonts w:hint="default" w:ascii="黑体" w:eastAsia="黑体"/>
          <w:sz w:val="44"/>
          <w:szCs w:val="44"/>
          <w:lang w:val="en-US" w:eastAsia="zh-CN"/>
        </w:rPr>
      </w:pPr>
    </w:p>
    <w:p>
      <w:pPr>
        <w:rPr>
          <w:rFonts w:hint="default" w:ascii="黑体" w:eastAsia="黑体"/>
          <w:sz w:val="44"/>
          <w:szCs w:val="44"/>
          <w:lang w:val="en-US" w:eastAsia="zh-CN"/>
        </w:rPr>
      </w:pPr>
    </w:p>
    <w:p>
      <w:pPr>
        <w:ind w:firstLine="1280" w:firstLineChars="40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已经保密审查、内容审定、同意对外公开。</w:t>
      </w:r>
    </w:p>
    <w:p>
      <w:pPr>
        <w:ind w:firstLine="1280" w:firstLineChars="400"/>
        <w:jc w:val="center"/>
        <w:rPr>
          <w:rFonts w:hint="eastAsia" w:ascii="仿宋_GB2312" w:eastAsia="仿宋_GB2312" w:cs="仿宋_GB2312"/>
          <w:kern w:val="2"/>
          <w:sz w:val="32"/>
          <w:szCs w:val="32"/>
          <w:lang w:val="en-US" w:eastAsia="zh-CN" w:bidi="ar-SA"/>
        </w:rPr>
      </w:pPr>
      <w:r>
        <w:rPr>
          <w:rFonts w:hint="eastAsia" w:ascii="仿宋_GB2312" w:eastAsia="仿宋_GB2312" w:cs="仿宋_GB2312"/>
          <w:kern w:val="2"/>
          <w:sz w:val="32"/>
          <w:szCs w:val="32"/>
          <w:lang w:val="en-US" w:eastAsia="zh-CN" w:bidi="ar-SA"/>
        </w:rPr>
        <w:t xml:space="preserve">                 </w:t>
      </w:r>
    </w:p>
    <w:p>
      <w:pPr>
        <w:ind w:firstLine="1280" w:firstLineChars="400"/>
        <w:jc w:val="center"/>
        <w:rPr>
          <w:rFonts w:hint="eastAsia" w:ascii="黑体" w:eastAsia="黑体"/>
          <w:sz w:val="52"/>
          <w:szCs w:val="52"/>
        </w:rPr>
      </w:pPr>
      <w:r>
        <w:rPr>
          <w:rFonts w:hint="eastAsia" w:ascii="仿宋_GB2312" w:eastAsia="仿宋_GB2312" w:cs="仿宋_GB2312"/>
          <w:kern w:val="2"/>
          <w:sz w:val="32"/>
          <w:szCs w:val="32"/>
          <w:lang w:val="en-US" w:eastAsia="zh-CN" w:bidi="ar-SA"/>
        </w:rPr>
        <w:t xml:space="preserve">                   2025年2月17日</w:t>
      </w:r>
      <w:bookmarkStart w:id="0" w:name="_GoBack"/>
      <w:bookmarkEnd w:id="0"/>
    </w:p>
    <w:p>
      <w:pPr>
        <w:ind w:firstLine="3120" w:firstLineChars="600"/>
        <w:rPr>
          <w:rFonts w:ascii="黑体" w:eastAsia="黑体"/>
          <w:sz w:val="52"/>
          <w:szCs w:val="52"/>
        </w:rPr>
      </w:pPr>
      <w:r>
        <w:rPr>
          <w:rFonts w:hint="eastAsia" w:ascii="黑体" w:eastAsia="黑体"/>
          <w:sz w:val="52"/>
          <w:szCs w:val="52"/>
        </w:rPr>
        <w:t>目</w:t>
      </w:r>
      <w:r>
        <w:rPr>
          <w:rFonts w:hint="eastAsia" w:ascii="黑体" w:eastAsia="黑体"/>
          <w:sz w:val="52"/>
          <w:szCs w:val="52"/>
          <w:lang w:val="en-US" w:eastAsia="zh-CN"/>
        </w:rPr>
        <w:t xml:space="preserve"> </w:t>
      </w:r>
      <w:r>
        <w:rPr>
          <w:rFonts w:hint="eastAsia" w:ascii="黑体" w:eastAsia="黑体"/>
          <w:sz w:val="52"/>
          <w:szCs w:val="52"/>
        </w:rPr>
        <w:t>录</w:t>
      </w:r>
    </w:p>
    <w:p>
      <w:pPr>
        <w:ind w:firstLine="3080" w:firstLineChars="700"/>
        <w:rPr>
          <w:rFonts w:ascii="黑体" w:eastAsia="黑体"/>
          <w:sz w:val="44"/>
          <w:szCs w:val="44"/>
        </w:rPr>
      </w:pPr>
    </w:p>
    <w:p>
      <w:pPr>
        <w:pStyle w:val="12"/>
        <w:ind w:firstLine="0" w:firstLineChars="0"/>
        <w:rPr>
          <w:rFonts w:ascii="黑体" w:eastAsia="黑体"/>
          <w:sz w:val="32"/>
          <w:szCs w:val="32"/>
        </w:rPr>
      </w:pPr>
      <w:r>
        <w:rPr>
          <w:rFonts w:hint="eastAsia" w:ascii="黑体" w:eastAsia="黑体"/>
          <w:sz w:val="32"/>
          <w:szCs w:val="32"/>
        </w:rPr>
        <w:t>一、基本职能及主要工作</w:t>
      </w:r>
    </w:p>
    <w:p>
      <w:pPr>
        <w:rPr>
          <w:rFonts w:ascii="楷体" w:eastAsia="楷体"/>
          <w:sz w:val="32"/>
          <w:szCs w:val="32"/>
        </w:rPr>
      </w:pPr>
      <w:r>
        <w:rPr>
          <w:rFonts w:hint="eastAsia" w:ascii="楷体" w:eastAsia="楷体"/>
          <w:sz w:val="32"/>
          <w:szCs w:val="32"/>
        </w:rPr>
        <w:t>（一）部门职能简介</w:t>
      </w:r>
    </w:p>
    <w:p>
      <w:pPr>
        <w:rPr>
          <w:rFonts w:ascii="楷体" w:eastAsia="楷体"/>
          <w:sz w:val="32"/>
          <w:szCs w:val="32"/>
        </w:rPr>
      </w:pPr>
      <w:r>
        <w:rPr>
          <w:rFonts w:hint="eastAsia" w:ascii="楷体" w:eastAsia="楷体"/>
          <w:sz w:val="32"/>
          <w:szCs w:val="32"/>
        </w:rPr>
        <w:t>（二）</w:t>
      </w:r>
      <w:r>
        <w:rPr>
          <w:rFonts w:ascii="楷体" w:eastAsia="楷体"/>
          <w:sz w:val="32"/>
          <w:szCs w:val="32"/>
        </w:rPr>
        <w:t>2025</w:t>
      </w:r>
      <w:r>
        <w:rPr>
          <w:rFonts w:hint="eastAsia" w:ascii="楷体" w:eastAsia="楷体"/>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 w:eastAsia="楷体"/>
          <w:sz w:val="32"/>
          <w:szCs w:val="32"/>
        </w:rPr>
      </w:pPr>
      <w:r>
        <w:rPr>
          <w:rFonts w:hint="eastAsia" w:ascii="楷体" w:eastAsia="楷体"/>
          <w:sz w:val="32"/>
          <w:szCs w:val="32"/>
        </w:rPr>
        <w:t>（一）收入预算情况</w:t>
      </w:r>
    </w:p>
    <w:p>
      <w:pPr>
        <w:rPr>
          <w:rFonts w:ascii="楷体" w:eastAsia="楷体"/>
          <w:sz w:val="32"/>
          <w:szCs w:val="32"/>
        </w:rPr>
      </w:pPr>
      <w:r>
        <w:rPr>
          <w:rFonts w:hint="eastAsia" w:ascii="楷体" w:eastAsia="楷体"/>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12"/>
        <w:rPr>
          <w:rFonts w:ascii="黑体" w:eastAsia="黑体"/>
          <w:sz w:val="32"/>
          <w:szCs w:val="32"/>
        </w:rPr>
      </w:pPr>
      <w:r>
        <w:rPr>
          <w:rFonts w:hint="eastAsia" w:ascii="黑体" w:eastAsia="黑体"/>
          <w:sz w:val="32"/>
          <w:szCs w:val="32"/>
        </w:rPr>
        <w:t>一、基本职能及主要工作</w:t>
      </w:r>
    </w:p>
    <w:p>
      <w:pPr>
        <w:ind w:firstLine="640" w:firstLineChars="200"/>
        <w:rPr>
          <w:rFonts w:ascii="楷体" w:eastAsia="楷体"/>
          <w:sz w:val="32"/>
          <w:szCs w:val="32"/>
        </w:rPr>
      </w:pPr>
      <w:r>
        <w:rPr>
          <w:rFonts w:hint="eastAsia" w:ascii="楷体" w:eastAsia="楷体"/>
          <w:sz w:val="32"/>
          <w:szCs w:val="32"/>
        </w:rPr>
        <w:t>（一）部门职能简介</w:t>
      </w:r>
    </w:p>
    <w:p>
      <w:pPr>
        <w:pStyle w:val="13"/>
        <w:spacing w:before="0" w:line="360" w:lineRule="auto"/>
        <w:ind w:firstLine="640" w:firstLineChars="200"/>
        <w:rPr>
          <w:rFonts w:hint="eastAsia" w:cs="仿宋_GB2312"/>
          <w:kern w:val="2"/>
          <w:sz w:val="32"/>
          <w:szCs w:val="32"/>
        </w:rPr>
      </w:pPr>
      <w:r>
        <w:rPr>
          <w:rFonts w:hint="eastAsia" w:cs="仿宋_GB2312"/>
          <w:kern w:val="2"/>
          <w:sz w:val="32"/>
          <w:szCs w:val="32"/>
        </w:rPr>
        <w:t>理县人民法院是国家审判机关，依法独立行使审判权，对理县人民代表大会及其常务委员会负责并报告工作。</w:t>
      </w:r>
    </w:p>
    <w:p>
      <w:pPr>
        <w:pStyle w:val="13"/>
        <w:spacing w:before="0" w:line="360" w:lineRule="auto"/>
        <w:ind w:firstLine="642" w:firstLineChars="200"/>
        <w:rPr>
          <w:rFonts w:hint="eastAsia" w:cs="仿宋_GB2312"/>
          <w:b/>
          <w:bCs/>
          <w:kern w:val="2"/>
          <w:sz w:val="32"/>
          <w:szCs w:val="32"/>
        </w:rPr>
      </w:pPr>
      <w:r>
        <w:rPr>
          <w:rFonts w:hint="eastAsia" w:cs="仿宋_GB2312"/>
          <w:b/>
          <w:bCs/>
          <w:kern w:val="2"/>
          <w:sz w:val="32"/>
          <w:szCs w:val="32"/>
        </w:rPr>
        <w:t>其主要职责是：</w:t>
      </w:r>
    </w:p>
    <w:p>
      <w:pPr>
        <w:pStyle w:val="13"/>
        <w:spacing w:before="0" w:line="360" w:lineRule="auto"/>
        <w:ind w:firstLine="660"/>
        <w:rPr>
          <w:rFonts w:hint="eastAsia" w:cs="仿宋_GB2312"/>
          <w:kern w:val="2"/>
          <w:sz w:val="32"/>
          <w:szCs w:val="32"/>
        </w:rPr>
      </w:pPr>
      <w:r>
        <w:rPr>
          <w:rFonts w:hint="eastAsia" w:cs="仿宋_GB2312"/>
          <w:kern w:val="2"/>
          <w:sz w:val="32"/>
          <w:szCs w:val="32"/>
        </w:rPr>
        <w:t>1、审判法律规定由基层人民法院管辖的刑事、民事、经济和行政等一审案件；</w:t>
      </w:r>
    </w:p>
    <w:p>
      <w:pPr>
        <w:pStyle w:val="13"/>
        <w:spacing w:before="0" w:line="360" w:lineRule="auto"/>
        <w:ind w:firstLine="660"/>
        <w:rPr>
          <w:rFonts w:hint="eastAsia" w:cs="仿宋_GB2312"/>
          <w:kern w:val="2"/>
          <w:sz w:val="32"/>
          <w:szCs w:val="32"/>
        </w:rPr>
      </w:pPr>
      <w:r>
        <w:rPr>
          <w:rFonts w:hint="eastAsia" w:cs="仿宋_GB2312"/>
          <w:kern w:val="2"/>
          <w:sz w:val="32"/>
          <w:szCs w:val="32"/>
        </w:rPr>
        <w:t>2、审理中级人民法院指令再审的案件；受理不服本案判决、裁定的各种申诉和申请再审等案件；</w:t>
      </w:r>
    </w:p>
    <w:p>
      <w:pPr>
        <w:pStyle w:val="13"/>
        <w:spacing w:before="0" w:line="360" w:lineRule="auto"/>
        <w:ind w:firstLine="660"/>
        <w:rPr>
          <w:rFonts w:hint="eastAsia" w:cs="仿宋_GB2312"/>
          <w:kern w:val="2"/>
          <w:sz w:val="32"/>
          <w:szCs w:val="32"/>
        </w:rPr>
      </w:pPr>
      <w:r>
        <w:rPr>
          <w:rFonts w:hint="eastAsia" w:cs="仿宋_GB2312"/>
          <w:kern w:val="2"/>
          <w:sz w:val="32"/>
          <w:szCs w:val="32"/>
        </w:rPr>
        <w:t>3、审理中级人民法院指定管辖的案件；</w:t>
      </w:r>
    </w:p>
    <w:p>
      <w:pPr>
        <w:pStyle w:val="13"/>
        <w:spacing w:before="0" w:line="360" w:lineRule="auto"/>
        <w:ind w:firstLine="660"/>
        <w:rPr>
          <w:rFonts w:hint="eastAsia" w:cs="仿宋_GB2312"/>
          <w:kern w:val="2"/>
          <w:sz w:val="32"/>
          <w:szCs w:val="32"/>
        </w:rPr>
      </w:pPr>
      <w:r>
        <w:rPr>
          <w:rFonts w:hint="eastAsia" w:cs="仿宋_GB2312"/>
          <w:kern w:val="2"/>
          <w:sz w:val="32"/>
          <w:szCs w:val="32"/>
        </w:rPr>
        <w:t>4、对已生效的各类法律文书有执行内容的财物执行；办理委托、协助执行机关工作；</w:t>
      </w:r>
    </w:p>
    <w:p>
      <w:pPr>
        <w:pStyle w:val="13"/>
        <w:spacing w:before="0" w:line="360" w:lineRule="auto"/>
        <w:ind w:firstLine="660"/>
        <w:rPr>
          <w:rFonts w:hint="eastAsia" w:cs="仿宋_GB2312"/>
          <w:kern w:val="2"/>
          <w:sz w:val="32"/>
          <w:szCs w:val="32"/>
        </w:rPr>
      </w:pPr>
      <w:r>
        <w:rPr>
          <w:rFonts w:hint="eastAsia" w:cs="仿宋_GB2312"/>
          <w:kern w:val="2"/>
          <w:sz w:val="32"/>
          <w:szCs w:val="32"/>
        </w:rPr>
        <w:t>5、监督和指导全县基层人民法院；人民调解委员会工作；</w:t>
      </w:r>
    </w:p>
    <w:p>
      <w:pPr>
        <w:pStyle w:val="13"/>
        <w:spacing w:before="0" w:line="360" w:lineRule="auto"/>
        <w:ind w:firstLine="660"/>
        <w:rPr>
          <w:rFonts w:hint="eastAsia" w:cs="仿宋_GB2312"/>
          <w:kern w:val="2"/>
          <w:sz w:val="32"/>
          <w:szCs w:val="32"/>
        </w:rPr>
      </w:pPr>
      <w:r>
        <w:rPr>
          <w:rFonts w:hint="eastAsia" w:cs="仿宋_GB2312"/>
          <w:kern w:val="2"/>
          <w:sz w:val="32"/>
          <w:szCs w:val="32"/>
        </w:rPr>
        <w:t>6、依法审理国家赔偿案件；</w:t>
      </w:r>
    </w:p>
    <w:p>
      <w:pPr>
        <w:pStyle w:val="13"/>
        <w:spacing w:before="0" w:line="360" w:lineRule="auto"/>
        <w:ind w:firstLine="660"/>
        <w:rPr>
          <w:rFonts w:hint="eastAsia" w:cs="仿宋_GB2312"/>
          <w:kern w:val="2"/>
          <w:sz w:val="32"/>
          <w:szCs w:val="32"/>
        </w:rPr>
      </w:pPr>
      <w:r>
        <w:rPr>
          <w:rFonts w:hint="eastAsia" w:cs="仿宋_GB2312"/>
          <w:kern w:val="2"/>
          <w:sz w:val="32"/>
          <w:szCs w:val="32"/>
        </w:rPr>
        <w:t>7、接待申诉来访，受理应由基层人民法院管辖的告诉、申诉案件；</w:t>
      </w:r>
    </w:p>
    <w:p>
      <w:pPr>
        <w:pStyle w:val="13"/>
        <w:spacing w:before="0" w:line="360" w:lineRule="auto"/>
        <w:ind w:firstLine="660"/>
        <w:rPr>
          <w:rFonts w:hint="eastAsia" w:cs="仿宋_GB2312"/>
          <w:kern w:val="2"/>
          <w:sz w:val="32"/>
          <w:szCs w:val="32"/>
        </w:rPr>
      </w:pPr>
      <w:r>
        <w:rPr>
          <w:rFonts w:hint="eastAsia" w:cs="仿宋_GB2312"/>
          <w:kern w:val="2"/>
          <w:sz w:val="32"/>
          <w:szCs w:val="32"/>
        </w:rPr>
        <w:t>8、针对案件审理过程中发现的问题提出司法建议；</w:t>
      </w:r>
    </w:p>
    <w:p>
      <w:pPr>
        <w:pStyle w:val="13"/>
        <w:spacing w:before="0" w:line="360" w:lineRule="auto"/>
        <w:ind w:firstLine="660"/>
        <w:rPr>
          <w:rFonts w:hint="eastAsia" w:cs="仿宋_GB2312"/>
          <w:kern w:val="2"/>
          <w:sz w:val="32"/>
          <w:szCs w:val="32"/>
        </w:rPr>
      </w:pPr>
      <w:r>
        <w:rPr>
          <w:rFonts w:hint="eastAsia" w:cs="仿宋_GB2312"/>
          <w:kern w:val="2"/>
          <w:sz w:val="32"/>
          <w:szCs w:val="32"/>
        </w:rPr>
        <w:t>9、领导本院干警的思想、政治、教育、培训、监察和纪检工作。依照权限法官、执行员、书记员、司法警察、司法鉴定人员及司法行政人员，协同主管部门管理人民法院设置、人员编制工作，领导本院社团工作；</w:t>
      </w:r>
    </w:p>
    <w:p>
      <w:pPr>
        <w:pStyle w:val="13"/>
        <w:spacing w:before="0" w:line="360" w:lineRule="auto"/>
        <w:ind w:firstLine="660"/>
        <w:rPr>
          <w:rFonts w:hint="eastAsia" w:cs="仿宋_GB2312"/>
          <w:kern w:val="2"/>
          <w:sz w:val="32"/>
          <w:szCs w:val="32"/>
        </w:rPr>
      </w:pPr>
      <w:r>
        <w:rPr>
          <w:rFonts w:hint="eastAsia" w:cs="仿宋_GB2312"/>
          <w:kern w:val="2"/>
          <w:sz w:val="32"/>
          <w:szCs w:val="32"/>
        </w:rPr>
        <w:t>10、管理本院的有关经费和物质装备；</w:t>
      </w:r>
    </w:p>
    <w:p>
      <w:pPr>
        <w:pStyle w:val="13"/>
        <w:spacing w:before="0" w:line="360" w:lineRule="auto"/>
        <w:ind w:firstLine="660"/>
        <w:rPr>
          <w:rFonts w:hint="eastAsia" w:cs="仿宋_GB2312"/>
          <w:kern w:val="2"/>
          <w:sz w:val="32"/>
          <w:szCs w:val="32"/>
        </w:rPr>
      </w:pPr>
      <w:r>
        <w:rPr>
          <w:rFonts w:hint="eastAsia" w:cs="仿宋_GB2312"/>
          <w:kern w:val="2"/>
          <w:sz w:val="32"/>
          <w:szCs w:val="32"/>
        </w:rPr>
        <w:t>11、宣传法制，教育公民，忠于社会主义祖国；自觉地遵守宪法、法律和社会公德；</w:t>
      </w:r>
    </w:p>
    <w:p>
      <w:pPr>
        <w:pStyle w:val="13"/>
        <w:spacing w:before="0" w:line="360" w:lineRule="auto"/>
        <w:ind w:firstLine="660"/>
        <w:rPr>
          <w:rFonts w:hint="eastAsia" w:cs="仿宋_GB2312"/>
          <w:kern w:val="2"/>
          <w:sz w:val="32"/>
          <w:szCs w:val="32"/>
        </w:rPr>
      </w:pPr>
      <w:r>
        <w:rPr>
          <w:rFonts w:hint="eastAsia" w:cs="仿宋_GB2312"/>
          <w:kern w:val="2"/>
          <w:sz w:val="32"/>
          <w:szCs w:val="32"/>
        </w:rPr>
        <w:t>12、承办其他应由本院负责的工作和县委、县人大及上级法院等上级组织和领导交力的其他工作。</w:t>
      </w:r>
    </w:p>
    <w:p>
      <w:pPr>
        <w:ind w:firstLine="642" w:firstLineChars="200"/>
        <w:rPr>
          <w:rFonts w:ascii="楷体" w:eastAsia="楷体"/>
          <w:b/>
          <w:bCs/>
          <w:sz w:val="32"/>
          <w:szCs w:val="32"/>
        </w:rPr>
      </w:pPr>
      <w:r>
        <w:rPr>
          <w:rFonts w:hint="eastAsia" w:ascii="楷体" w:eastAsia="楷体"/>
          <w:b/>
          <w:bCs/>
          <w:sz w:val="32"/>
          <w:szCs w:val="32"/>
        </w:rPr>
        <w:t>（二）</w:t>
      </w:r>
      <w:r>
        <w:rPr>
          <w:rFonts w:ascii="楷体" w:eastAsia="楷体"/>
          <w:b/>
          <w:bCs/>
          <w:sz w:val="32"/>
          <w:szCs w:val="32"/>
        </w:rPr>
        <w:t>2025</w:t>
      </w:r>
      <w:r>
        <w:rPr>
          <w:rFonts w:hint="eastAsia" w:ascii="楷体" w:eastAsia="楷体"/>
          <w:b/>
          <w:bCs/>
          <w:sz w:val="32"/>
          <w:szCs w:val="32"/>
        </w:rPr>
        <w:t>年重点工作</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right="0" w:firstLine="640" w:firstLineChars="200"/>
        <w:jc w:val="both"/>
        <w:textAlignment w:val="auto"/>
        <w:rPr>
          <w:rFonts w:hint="default" w:ascii="仿宋_GB2312" w:hAnsi="Calibri" w:eastAsia="仿宋_GB2312" w:cs="仿宋_GB2312"/>
          <w:kern w:val="2"/>
          <w:sz w:val="32"/>
          <w:szCs w:val="32"/>
          <w:lang w:val="en-US" w:eastAsia="zh-CN" w:bidi="ar-SA"/>
        </w:rPr>
      </w:pPr>
      <w:r>
        <w:rPr>
          <w:rFonts w:hint="default" w:ascii="仿宋_GB2312" w:hAnsi="Calibri" w:eastAsia="仿宋_GB2312" w:cs="仿宋_GB2312"/>
          <w:kern w:val="2"/>
          <w:sz w:val="32"/>
          <w:szCs w:val="32"/>
          <w:lang w:val="en-US" w:eastAsia="zh-CN" w:bidi="ar-SA"/>
        </w:rPr>
        <w:t>2025年我院工作的指导思想和目标任务是：坚持以习近平新时代中国特色社会主义思想为指导，深入学习贯彻习近平法治思想和党的二十届三中全会精神，坚定拥护“两个确立”、坚决做到“两个维护”，按照省、州、县全会部署要求，紧紧围绕“努力让人民群众在每一个司法案件中感受到公平正义”的目标，以审判工作现代化助力建设社会主义</w:t>
      </w:r>
      <w:r>
        <w:rPr>
          <w:rFonts w:hint="eastAsia" w:ascii="仿宋_GB2312" w:hAnsi="Calibri" w:eastAsia="仿宋_GB2312" w:cs="仿宋_GB2312"/>
          <w:kern w:val="2"/>
          <w:sz w:val="32"/>
          <w:szCs w:val="32"/>
          <w:lang w:val="en-US" w:eastAsia="zh-CN" w:bidi="ar-SA"/>
        </w:rPr>
        <w:t>现代化新理县</w:t>
      </w:r>
      <w:r>
        <w:rPr>
          <w:rFonts w:hint="default" w:ascii="仿宋_GB2312" w:hAnsi="Calibri" w:eastAsia="仿宋_GB2312" w:cs="仿宋_GB2312"/>
          <w:kern w:val="2"/>
          <w:sz w:val="32"/>
          <w:szCs w:val="32"/>
          <w:lang w:val="en-US" w:eastAsia="zh-CN" w:bidi="ar-SA"/>
        </w:rPr>
        <w:t>。</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4" w:lineRule="exact"/>
        <w:ind w:left="0" w:right="0" w:firstLine="642" w:firstLineChars="200"/>
        <w:jc w:val="both"/>
        <w:textAlignment w:val="auto"/>
        <w:rPr>
          <w:rFonts w:hint="eastAsia" w:ascii="仿宋_GB2312" w:hAnsi="Calibri" w:eastAsia="仿宋_GB2312" w:cs="仿宋_GB2312"/>
          <w:kern w:val="2"/>
          <w:sz w:val="32"/>
          <w:szCs w:val="32"/>
          <w:lang w:val="en-US" w:eastAsia="zh-CN" w:bidi="ar-SA"/>
        </w:rPr>
      </w:pPr>
      <w:r>
        <w:rPr>
          <w:rFonts w:hint="default" w:ascii="仿宋_GB2312" w:hAnsi="Calibri" w:eastAsia="仿宋_GB2312" w:cs="仿宋_GB2312"/>
          <w:b/>
          <w:bCs/>
          <w:kern w:val="2"/>
          <w:sz w:val="32"/>
          <w:szCs w:val="32"/>
          <w:lang w:val="en-US" w:eastAsia="zh-CN" w:bidi="ar-SA"/>
        </w:rPr>
        <w:t>一是坚定听党指挥的政治自觉。</w:t>
      </w:r>
      <w:r>
        <w:rPr>
          <w:rFonts w:hint="eastAsia" w:ascii="仿宋_GB2312" w:hAnsi="Calibri" w:eastAsia="仿宋_GB2312" w:cs="仿宋_GB2312"/>
          <w:kern w:val="2"/>
          <w:sz w:val="32"/>
          <w:szCs w:val="32"/>
          <w:lang w:val="en-US" w:eastAsia="zh-CN" w:bidi="ar-SA"/>
        </w:rPr>
        <w:t>坚持党对法院工作的绝对领导，坚定不移走中国特色社会主义法治道路。</w:t>
      </w:r>
      <w:r>
        <w:rPr>
          <w:rFonts w:hint="default" w:ascii="仿宋_GB2312" w:hAnsi="Calibri" w:eastAsia="仿宋_GB2312" w:cs="仿宋_GB2312"/>
          <w:kern w:val="2"/>
          <w:sz w:val="32"/>
          <w:szCs w:val="32"/>
          <w:lang w:val="en-US" w:eastAsia="zh-CN" w:bidi="ar-SA"/>
        </w:rPr>
        <w:t>全面贯彻新发展理念，以</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关键少数</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带动</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绝大多数</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，创新理论学习形式，坚持不懈用党的创新理论统一思想、统一意志、统一行动。</w:t>
      </w:r>
      <w:r>
        <w:rPr>
          <w:rFonts w:hint="eastAsia" w:ascii="仿宋_GB2312" w:hAnsi="Calibri" w:eastAsia="仿宋_GB2312" w:cs="仿宋_GB2312"/>
          <w:kern w:val="2"/>
          <w:sz w:val="32"/>
          <w:szCs w:val="32"/>
          <w:lang w:val="en-US" w:eastAsia="zh-CN" w:bidi="ar-SA"/>
        </w:rPr>
        <w:t>认真贯彻政法工作条例，更加自觉把党的领导落实到法院工作各领域各环节。</w:t>
      </w:r>
    </w:p>
    <w:p>
      <w:pPr>
        <w:keepNext w:val="0"/>
        <w:keepLines w:val="0"/>
        <w:pageBreakBefore w:val="0"/>
        <w:widowControl w:val="0"/>
        <w:kinsoku/>
        <w:wordWrap/>
        <w:overflowPunct/>
        <w:topLinePunct w:val="0"/>
        <w:autoSpaceDE/>
        <w:autoSpaceDN/>
        <w:bidi w:val="0"/>
        <w:adjustRightInd/>
        <w:snapToGrid/>
        <w:spacing w:line="574" w:lineRule="exact"/>
        <w:ind w:firstLine="642" w:firstLineChars="200"/>
        <w:textAlignment w:val="auto"/>
        <w:rPr>
          <w:rFonts w:hint="eastAsia" w:ascii="仿宋_GB2312" w:hAnsi="Calibri" w:eastAsia="仿宋_GB2312" w:cs="仿宋_GB2312"/>
          <w:kern w:val="2"/>
          <w:sz w:val="32"/>
          <w:szCs w:val="32"/>
          <w:lang w:val="en-US" w:eastAsia="zh-CN" w:bidi="ar-SA"/>
        </w:rPr>
      </w:pPr>
      <w:r>
        <w:rPr>
          <w:rFonts w:hint="default" w:ascii="仿宋_GB2312" w:hAnsi="Calibri" w:eastAsia="仿宋_GB2312" w:cs="仿宋_GB2312"/>
          <w:b/>
          <w:bCs/>
          <w:kern w:val="2"/>
          <w:sz w:val="32"/>
          <w:szCs w:val="32"/>
          <w:lang w:val="en-US" w:eastAsia="zh-CN" w:bidi="ar-SA"/>
        </w:rPr>
        <w:t>二是展现服务大局的司法担当。</w:t>
      </w:r>
      <w:r>
        <w:rPr>
          <w:rFonts w:hint="default" w:ascii="仿宋_GB2312" w:hAnsi="Calibri" w:eastAsia="仿宋_GB2312" w:cs="仿宋_GB2312"/>
          <w:kern w:val="2"/>
          <w:sz w:val="32"/>
          <w:szCs w:val="32"/>
          <w:lang w:val="en" w:eastAsia="zh-CN" w:bidi="ar-SA"/>
        </w:rPr>
        <w:t>做实</w:t>
      </w:r>
      <w:r>
        <w:rPr>
          <w:rFonts w:hint="eastAsia" w:ascii="仿宋_GB2312" w:hAnsi="Calibri" w:eastAsia="仿宋_GB2312" w:cs="仿宋_GB2312"/>
          <w:kern w:val="2"/>
          <w:sz w:val="32"/>
          <w:szCs w:val="32"/>
          <w:lang w:val="en" w:eastAsia="zh-CN" w:bidi="ar-SA"/>
        </w:rPr>
        <w:t>“</w:t>
      </w:r>
      <w:r>
        <w:rPr>
          <w:rFonts w:hint="default" w:ascii="仿宋_GB2312" w:hAnsi="Calibri" w:eastAsia="仿宋_GB2312" w:cs="仿宋_GB2312"/>
          <w:kern w:val="2"/>
          <w:sz w:val="32"/>
          <w:szCs w:val="32"/>
          <w:lang w:val="en" w:eastAsia="zh-CN" w:bidi="ar-SA"/>
        </w:rPr>
        <w:t>从政治上看、从法治上办</w:t>
      </w:r>
      <w:r>
        <w:rPr>
          <w:rFonts w:hint="eastAsia" w:ascii="仿宋_GB2312" w:hAnsi="Calibri" w:eastAsia="仿宋_GB2312" w:cs="仿宋_GB2312"/>
          <w:kern w:val="2"/>
          <w:sz w:val="32"/>
          <w:szCs w:val="32"/>
          <w:lang w:val="en" w:eastAsia="zh-CN" w:bidi="ar-SA"/>
        </w:rPr>
        <w:t>”</w:t>
      </w:r>
      <w:r>
        <w:rPr>
          <w:rFonts w:hint="default" w:ascii="仿宋_GB2312" w:hAnsi="Calibri" w:eastAsia="仿宋_GB2312" w:cs="仿宋_GB2312"/>
          <w:kern w:val="2"/>
          <w:sz w:val="32"/>
          <w:szCs w:val="32"/>
          <w:lang w:val="en" w:eastAsia="zh-CN" w:bidi="ar-SA"/>
        </w:rPr>
        <w:t>，统筹抓好审判执行和护航高质量发展。</w:t>
      </w:r>
      <w:r>
        <w:rPr>
          <w:rFonts w:hint="default" w:ascii="仿宋_GB2312" w:hAnsi="Calibri" w:eastAsia="仿宋_GB2312" w:cs="仿宋_GB2312"/>
          <w:kern w:val="2"/>
          <w:sz w:val="32"/>
          <w:szCs w:val="32"/>
          <w:lang w:val="en-US" w:eastAsia="zh-CN" w:bidi="ar-SA"/>
        </w:rPr>
        <w:t>依法打击各类犯罪，坚决维护国家安全和社会稳定。提升破产审判、金融审判、环境资源审判专业化水平，践行善意、文明司法理念，</w:t>
      </w:r>
      <w:r>
        <w:rPr>
          <w:rFonts w:hint="default" w:ascii="仿宋_GB2312" w:hAnsi="Calibri" w:eastAsia="仿宋_GB2312" w:cs="仿宋_GB2312"/>
          <w:kern w:val="2"/>
          <w:sz w:val="32"/>
          <w:szCs w:val="32"/>
          <w:lang w:val="en" w:eastAsia="zh-CN" w:bidi="ar-SA"/>
        </w:rPr>
        <w:t>服务优化营商环境。</w:t>
      </w:r>
      <w:r>
        <w:rPr>
          <w:rFonts w:hint="default" w:ascii="仿宋_GB2312" w:hAnsi="Calibri" w:eastAsia="仿宋_GB2312" w:cs="仿宋_GB2312"/>
          <w:kern w:val="2"/>
          <w:sz w:val="32"/>
          <w:szCs w:val="32"/>
          <w:lang w:val="en-US" w:eastAsia="zh-CN" w:bidi="ar-SA"/>
        </w:rPr>
        <w:t>充分发挥人民法庭前沿阵地作用，积极融入</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微网实格</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t>提升基层治理效能。</w:t>
      </w:r>
    </w:p>
    <w:p>
      <w:pPr>
        <w:keepNext w:val="0"/>
        <w:keepLines w:val="0"/>
        <w:pageBreakBefore w:val="0"/>
        <w:widowControl w:val="0"/>
        <w:kinsoku/>
        <w:wordWrap/>
        <w:overflowPunct/>
        <w:topLinePunct w:val="0"/>
        <w:autoSpaceDE/>
        <w:autoSpaceDN/>
        <w:bidi w:val="0"/>
        <w:adjustRightInd/>
        <w:snapToGrid/>
        <w:spacing w:line="574" w:lineRule="exact"/>
        <w:ind w:firstLine="642" w:firstLineChars="200"/>
        <w:textAlignment w:val="auto"/>
        <w:rPr>
          <w:rFonts w:hint="default" w:ascii="仿宋_GB2312" w:hAnsi="Calibri" w:eastAsia="仿宋_GB2312" w:cs="仿宋_GB2312"/>
          <w:kern w:val="2"/>
          <w:sz w:val="32"/>
          <w:szCs w:val="32"/>
          <w:lang w:val="en-US" w:eastAsia="zh-CN" w:bidi="ar-SA"/>
        </w:rPr>
      </w:pPr>
      <w:r>
        <w:rPr>
          <w:rFonts w:hint="default" w:ascii="仿宋_GB2312" w:hAnsi="Calibri" w:eastAsia="仿宋_GB2312" w:cs="仿宋_GB2312"/>
          <w:b/>
          <w:bCs/>
          <w:kern w:val="2"/>
          <w:sz w:val="32"/>
          <w:szCs w:val="32"/>
          <w:lang w:val="en-US" w:eastAsia="zh-CN" w:bidi="ar-SA"/>
        </w:rPr>
        <w:t>三是提升便民利民的法治温度。</w:t>
      </w:r>
      <w:r>
        <w:rPr>
          <w:rFonts w:hint="eastAsia" w:ascii="仿宋_GB2312" w:hAnsi="Calibri" w:eastAsia="仿宋_GB2312" w:cs="仿宋_GB2312"/>
          <w:kern w:val="2"/>
          <w:sz w:val="32"/>
          <w:szCs w:val="32"/>
          <w:lang w:val="en-US" w:eastAsia="zh-CN" w:bidi="ar-SA"/>
        </w:rPr>
        <w:t>加大依法维护妇女儿童合法权益力度</w:t>
      </w:r>
      <w:r>
        <w:rPr>
          <w:rFonts w:hint="default" w:ascii="仿宋_GB2312" w:hAnsi="Calibri" w:eastAsia="仿宋_GB2312" w:cs="仿宋_GB2312"/>
          <w:kern w:val="2"/>
          <w:sz w:val="32"/>
          <w:szCs w:val="32"/>
          <w:lang w:val="en-US" w:eastAsia="zh-CN" w:bidi="ar-SA"/>
        </w:rPr>
        <w:t>，</w:t>
      </w:r>
      <w:r>
        <w:rPr>
          <w:rFonts w:hint="eastAsia" w:ascii="仿宋_GB2312" w:hAnsi="Calibri" w:eastAsia="仿宋_GB2312" w:cs="仿宋_GB2312"/>
          <w:kern w:val="2"/>
          <w:sz w:val="32"/>
          <w:szCs w:val="32"/>
          <w:lang w:val="en-US" w:eastAsia="zh-CN" w:bidi="ar-SA"/>
        </w:rPr>
        <w:t>构筑有力度、有速度、有温度的司法保护屏障。</w:t>
      </w:r>
      <w:r>
        <w:rPr>
          <w:rFonts w:hint="default" w:ascii="仿宋_GB2312" w:hAnsi="Calibri" w:eastAsia="仿宋_GB2312" w:cs="仿宋_GB2312"/>
          <w:kern w:val="2"/>
          <w:sz w:val="32"/>
          <w:szCs w:val="32"/>
          <w:lang w:val="en" w:eastAsia="zh-CN" w:bidi="ar-SA"/>
        </w:rPr>
        <w:t>维护胜诉当事人合法权益，让</w:t>
      </w:r>
      <w:r>
        <w:rPr>
          <w:rFonts w:hint="eastAsia" w:ascii="仿宋_GB2312" w:hAnsi="Calibri" w:eastAsia="仿宋_GB2312" w:cs="仿宋_GB2312"/>
          <w:kern w:val="2"/>
          <w:sz w:val="32"/>
          <w:szCs w:val="32"/>
          <w:lang w:val="en" w:eastAsia="zh-CN" w:bidi="ar-SA"/>
        </w:rPr>
        <w:t>“</w:t>
      </w:r>
      <w:r>
        <w:rPr>
          <w:rFonts w:hint="default" w:ascii="仿宋_GB2312" w:hAnsi="Calibri" w:eastAsia="仿宋_GB2312" w:cs="仿宋_GB2312"/>
          <w:kern w:val="2"/>
          <w:sz w:val="32"/>
          <w:szCs w:val="32"/>
          <w:lang w:val="en" w:eastAsia="zh-CN" w:bidi="ar-SA"/>
        </w:rPr>
        <w:t>纸上权益</w:t>
      </w:r>
      <w:r>
        <w:rPr>
          <w:rFonts w:hint="eastAsia" w:ascii="仿宋_GB2312" w:hAnsi="Calibri" w:eastAsia="仿宋_GB2312" w:cs="仿宋_GB2312"/>
          <w:kern w:val="2"/>
          <w:sz w:val="32"/>
          <w:szCs w:val="32"/>
          <w:lang w:val="en" w:eastAsia="zh-CN" w:bidi="ar-SA"/>
        </w:rPr>
        <w:t>”</w:t>
      </w:r>
      <w:r>
        <w:rPr>
          <w:rFonts w:hint="default" w:ascii="仿宋_GB2312" w:hAnsi="Calibri" w:eastAsia="仿宋_GB2312" w:cs="仿宋_GB2312"/>
          <w:kern w:val="2"/>
          <w:sz w:val="32"/>
          <w:szCs w:val="32"/>
          <w:lang w:val="en" w:eastAsia="zh-CN" w:bidi="ar-SA"/>
        </w:rPr>
        <w:t>变成</w:t>
      </w:r>
      <w:r>
        <w:rPr>
          <w:rFonts w:hint="eastAsia" w:ascii="仿宋_GB2312" w:hAnsi="Calibri" w:eastAsia="仿宋_GB2312" w:cs="仿宋_GB2312"/>
          <w:kern w:val="2"/>
          <w:sz w:val="32"/>
          <w:szCs w:val="32"/>
          <w:lang w:val="en" w:eastAsia="zh-CN" w:bidi="ar-SA"/>
        </w:rPr>
        <w:t>“</w:t>
      </w:r>
      <w:r>
        <w:rPr>
          <w:rFonts w:hint="default" w:ascii="仿宋_GB2312" w:hAnsi="Calibri" w:eastAsia="仿宋_GB2312" w:cs="仿宋_GB2312"/>
          <w:kern w:val="2"/>
          <w:sz w:val="32"/>
          <w:szCs w:val="32"/>
          <w:lang w:val="en" w:eastAsia="zh-CN" w:bidi="ar-SA"/>
        </w:rPr>
        <w:t>真金白银</w:t>
      </w:r>
      <w:r>
        <w:rPr>
          <w:rFonts w:hint="eastAsia" w:ascii="仿宋_GB2312" w:hAnsi="Calibri" w:eastAsia="仿宋_GB2312" w:cs="仿宋_GB2312"/>
          <w:kern w:val="2"/>
          <w:sz w:val="32"/>
          <w:szCs w:val="32"/>
          <w:lang w:val="en" w:eastAsia="zh-CN" w:bidi="ar-SA"/>
        </w:rPr>
        <w:t>”</w:t>
      </w:r>
      <w:r>
        <w:rPr>
          <w:rFonts w:hint="default" w:ascii="仿宋_GB2312" w:hAnsi="Calibri" w:eastAsia="仿宋_GB2312" w:cs="仿宋_GB2312"/>
          <w:kern w:val="2"/>
          <w:sz w:val="32"/>
          <w:szCs w:val="32"/>
          <w:lang w:val="en" w:eastAsia="zh-CN" w:bidi="ar-SA"/>
        </w:rPr>
        <w:t>。</w:t>
      </w:r>
      <w:r>
        <w:rPr>
          <w:rFonts w:hint="default" w:ascii="仿宋_GB2312" w:hAnsi="Calibri" w:eastAsia="仿宋_GB2312" w:cs="仿宋_GB2312"/>
          <w:kern w:val="2"/>
          <w:sz w:val="32"/>
          <w:szCs w:val="32"/>
          <w:lang w:val="en-US" w:eastAsia="zh-CN" w:bidi="ar-SA"/>
        </w:rPr>
        <w:t>延伸诉讼服务的广度深度温度，以</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如我在诉</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理念，努力提升诉讼服务水平。</w:t>
      </w:r>
      <w:r>
        <w:rPr>
          <w:rFonts w:hint="eastAsia" w:ascii="仿宋_GB2312" w:hAnsi="Calibri" w:eastAsia="仿宋_GB2312" w:cs="仿宋_GB2312"/>
          <w:kern w:val="2"/>
          <w:sz w:val="32"/>
          <w:szCs w:val="32"/>
          <w:lang w:val="en-US" w:eastAsia="zh-CN" w:bidi="ar-SA"/>
        </w:rPr>
        <w:t>做强石榴籽调解、吉祥云朵工作室品牌，不断推进诉前调解规范化、标准化运行。</w:t>
      </w:r>
      <w:r>
        <w:rPr>
          <w:rFonts w:hint="default" w:ascii="仿宋_GB2312" w:hAnsi="Calibri" w:eastAsia="仿宋_GB2312" w:cs="仿宋_GB2312"/>
          <w:kern w:val="2"/>
          <w:sz w:val="32"/>
          <w:szCs w:val="32"/>
          <w:lang w:val="en-US" w:eastAsia="zh-CN" w:bidi="ar-SA"/>
        </w:rPr>
        <w:t>强化科技赋能，服务保障审判工作提质增效，增强人民群众司法获得感和满意度。开展法治宣传、巡回审判，为群众提供高效便民的法治服务。</w:t>
      </w:r>
    </w:p>
    <w:p>
      <w:pPr>
        <w:pStyle w:val="13"/>
        <w:spacing w:before="0" w:line="360" w:lineRule="auto"/>
        <w:ind w:firstLine="660"/>
        <w:rPr>
          <w:rFonts w:hint="default" w:ascii="仿宋_GB2312" w:hAnsi="Calibri" w:eastAsia="仿宋_GB2312" w:cs="仿宋_GB2312"/>
          <w:kern w:val="2"/>
          <w:sz w:val="32"/>
          <w:szCs w:val="32"/>
          <w:lang w:val="en-US" w:eastAsia="zh-CN" w:bidi="ar-SA"/>
        </w:rPr>
      </w:pPr>
      <w:r>
        <w:rPr>
          <w:rFonts w:hint="default" w:ascii="仿宋_GB2312" w:hAnsi="Calibri" w:eastAsia="仿宋_GB2312" w:cs="仿宋_GB2312"/>
          <w:b/>
          <w:bCs/>
          <w:kern w:val="2"/>
          <w:sz w:val="32"/>
          <w:szCs w:val="32"/>
          <w:lang w:val="en-US" w:eastAsia="zh-CN" w:bidi="ar-SA"/>
        </w:rPr>
        <w:t>四是锤炼素质过硬的法院队伍</w:t>
      </w:r>
      <w:r>
        <w:rPr>
          <w:rFonts w:hint="default" w:ascii="仿宋_GB2312" w:hAnsi="Calibri" w:eastAsia="仿宋_GB2312" w:cs="仿宋_GB2312"/>
          <w:kern w:val="2"/>
          <w:sz w:val="32"/>
          <w:szCs w:val="32"/>
          <w:lang w:val="en-US" w:eastAsia="zh-CN" w:bidi="ar-SA"/>
        </w:rPr>
        <w:t>。扎实推进</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铸忠诚警魂·建高原铁军</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教育活动，在严管和厚爱中激励</w:t>
      </w:r>
      <w:r>
        <w:rPr>
          <w:rFonts w:hint="eastAsia" w:ascii="仿宋_GB2312" w:hAnsi="Calibri" w:eastAsia="仿宋_GB2312" w:cs="仿宋_GB2312"/>
          <w:kern w:val="2"/>
          <w:sz w:val="32"/>
          <w:szCs w:val="32"/>
          <w:lang w:val="en-US" w:eastAsia="zh-CN" w:bidi="ar-SA"/>
        </w:rPr>
        <w:t>干警</w:t>
      </w:r>
      <w:r>
        <w:rPr>
          <w:rFonts w:hint="default" w:ascii="仿宋_GB2312" w:hAnsi="Calibri" w:eastAsia="仿宋_GB2312" w:cs="仿宋_GB2312"/>
          <w:kern w:val="2"/>
          <w:sz w:val="32"/>
          <w:szCs w:val="32"/>
          <w:lang w:val="en-US" w:eastAsia="zh-CN" w:bidi="ar-SA"/>
        </w:rPr>
        <w:t>担当作为。持续强化党风廉政建设和反腐败工作，紧盯关键领域、关键岗位、关键人员，强化日常监督。对标审判质量管理指标体系，深化法官自我管理，持续提优整体质效</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严格执行防止干预司法</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三个规定</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和新时代政法干警</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十个严禁</w:t>
      </w:r>
      <w:r>
        <w:rPr>
          <w:rFonts w:hint="eastAsia" w:ascii="仿宋_GB2312" w:hAnsi="Calibri" w:eastAsia="仿宋_GB2312" w:cs="仿宋_GB2312"/>
          <w:kern w:val="2"/>
          <w:sz w:val="32"/>
          <w:szCs w:val="32"/>
          <w:lang w:val="en-US" w:eastAsia="zh-CN" w:bidi="ar-SA"/>
        </w:rPr>
        <w:t>”</w:t>
      </w:r>
      <w:r>
        <w:rPr>
          <w:rFonts w:hint="default" w:ascii="仿宋_GB2312" w:hAnsi="Calibri" w:eastAsia="仿宋_GB2312" w:cs="仿宋_GB2312"/>
          <w:kern w:val="2"/>
          <w:sz w:val="32"/>
          <w:szCs w:val="32"/>
          <w:lang w:val="en-US" w:eastAsia="zh-CN" w:bidi="ar-SA"/>
        </w:rPr>
        <w:t>等铁规禁令，确保廉洁从业、规范用权成为常态。以党建与业务相互促进为目标，切实发挥党建引领示范作用，不断提升党组织的凝聚力、战斗力。</w:t>
      </w:r>
    </w:p>
    <w:p>
      <w:pPr>
        <w:pStyle w:val="13"/>
        <w:spacing w:before="0" w:line="360" w:lineRule="auto"/>
        <w:ind w:firstLine="660"/>
        <w:rPr>
          <w:rFonts w:hint="eastAsia" w:ascii="仿宋_GB2312" w:hAnsi="Calibri" w:eastAsia="仿宋_GB2312" w:cs="仿宋_GB2312"/>
          <w:b/>
          <w:bCs/>
          <w:kern w:val="2"/>
          <w:sz w:val="32"/>
          <w:szCs w:val="32"/>
          <w:lang w:val="en-US" w:eastAsia="zh-CN" w:bidi="ar-SA"/>
        </w:rPr>
      </w:pPr>
      <w:r>
        <w:rPr>
          <w:rFonts w:hint="eastAsia" w:ascii="仿宋_GB2312" w:hAnsi="Calibri" w:eastAsia="仿宋_GB2312" w:cs="仿宋_GB2312"/>
          <w:b/>
          <w:bCs/>
          <w:kern w:val="2"/>
          <w:sz w:val="32"/>
          <w:szCs w:val="32"/>
          <w:lang w:val="en-US" w:eastAsia="zh-CN" w:bidi="ar-SA"/>
        </w:rPr>
        <w:t>二、部门预算单位构成</w:t>
      </w:r>
    </w:p>
    <w:p>
      <w:pPr>
        <w:pStyle w:val="13"/>
        <w:spacing w:before="0" w:line="360" w:lineRule="auto"/>
        <w:ind w:firstLine="66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理县人民法院属财政全额拨款的行政单位，内设综合办公室、政治部、立案庭、综合审判庭、执行局、法警队6个股室。理县法院机关及全额拨款行政编制为51名，工勤3人。实有在职行政人员42人，工勤4人。临聘人员27人，车辆编制为12</w:t>
      </w:r>
      <w:r>
        <w:rPr>
          <w:rFonts w:hint="eastAsia" w:cs="仿宋_GB2312"/>
          <w:kern w:val="2"/>
          <w:sz w:val="32"/>
          <w:szCs w:val="32"/>
          <w:lang w:val="en-US" w:eastAsia="zh-CN" w:bidi="ar-SA"/>
        </w:rPr>
        <w:t>辆</w:t>
      </w:r>
      <w:r>
        <w:rPr>
          <w:rFonts w:hint="eastAsia" w:ascii="仿宋_GB2312" w:hAnsi="Calibri" w:eastAsia="仿宋_GB2312" w:cs="仿宋_GB2312"/>
          <w:kern w:val="2"/>
          <w:sz w:val="32"/>
          <w:szCs w:val="32"/>
          <w:lang w:val="en-US" w:eastAsia="zh-CN" w:bidi="ar-SA"/>
        </w:rPr>
        <w:t>,实有车辆12</w:t>
      </w:r>
      <w:r>
        <w:rPr>
          <w:rFonts w:hint="eastAsia" w:cs="仿宋_GB2312"/>
          <w:kern w:val="2"/>
          <w:sz w:val="32"/>
          <w:szCs w:val="32"/>
          <w:lang w:val="en-US" w:eastAsia="zh-CN" w:bidi="ar-SA"/>
        </w:rPr>
        <w:t>辆</w:t>
      </w:r>
      <w:r>
        <w:rPr>
          <w:rFonts w:hint="eastAsia" w:ascii="仿宋_GB2312" w:hAnsi="Calibri" w:eastAsia="仿宋_GB2312" w:cs="仿宋_GB2312"/>
          <w:kern w:val="2"/>
          <w:sz w:val="32"/>
          <w:szCs w:val="32"/>
          <w:lang w:val="en-US" w:eastAsia="zh-CN" w:bidi="ar-SA"/>
        </w:rPr>
        <w:t>。</w:t>
      </w:r>
    </w:p>
    <w:p>
      <w:pPr>
        <w:pStyle w:val="13"/>
        <w:spacing w:before="0" w:line="360" w:lineRule="auto"/>
        <w:ind w:firstLine="660"/>
        <w:rPr>
          <w:rFonts w:hint="eastAsia" w:ascii="仿宋_GB2312" w:hAnsi="Calibri" w:eastAsia="仿宋_GB2312" w:cs="仿宋_GB2312"/>
          <w:b/>
          <w:bCs/>
          <w:kern w:val="2"/>
          <w:sz w:val="32"/>
          <w:szCs w:val="32"/>
          <w:lang w:val="en-US" w:eastAsia="zh-CN" w:bidi="ar-SA"/>
        </w:rPr>
      </w:pPr>
      <w:r>
        <w:rPr>
          <w:rFonts w:hint="eastAsia" w:ascii="仿宋_GB2312" w:hAnsi="Calibri" w:eastAsia="仿宋_GB2312" w:cs="仿宋_GB2312"/>
          <w:b/>
          <w:bCs/>
          <w:kern w:val="2"/>
          <w:sz w:val="32"/>
          <w:szCs w:val="32"/>
          <w:lang w:val="en-US" w:eastAsia="zh-CN" w:bidi="ar-SA"/>
        </w:rPr>
        <w:t>三、收支预算情况说明</w:t>
      </w:r>
    </w:p>
    <w:p>
      <w:pPr>
        <w:pStyle w:val="13"/>
        <w:spacing w:before="0" w:line="360" w:lineRule="auto"/>
        <w:ind w:firstLine="660"/>
        <w:rPr>
          <w:rFonts w:hint="eastAsia" w:ascii="仿宋_GB2312" w:hAnsi="Calibri" w:eastAsia="仿宋_GB2312" w:cs="仿宋_GB2312"/>
          <w:b/>
          <w:bCs/>
          <w:kern w:val="2"/>
          <w:sz w:val="32"/>
          <w:szCs w:val="32"/>
          <w:lang w:val="en-US" w:eastAsia="zh-CN" w:bidi="ar-SA"/>
        </w:rPr>
      </w:pPr>
      <w:r>
        <w:rPr>
          <w:rFonts w:hint="eastAsia" w:ascii="仿宋_GB2312" w:hAnsi="Calibri" w:eastAsia="仿宋_GB2312" w:cs="仿宋_GB2312"/>
          <w:b/>
          <w:bCs/>
          <w:kern w:val="2"/>
          <w:sz w:val="32"/>
          <w:szCs w:val="32"/>
          <w:lang w:val="en-US" w:eastAsia="zh-CN" w:bidi="ar-SA"/>
        </w:rPr>
        <w:t>（一）收入预算情况</w:t>
      </w:r>
    </w:p>
    <w:p>
      <w:pPr>
        <w:pStyle w:val="13"/>
        <w:spacing w:before="0" w:line="360" w:lineRule="auto"/>
        <w:ind w:firstLine="660"/>
        <w:rPr>
          <w:rFonts w:hint="eastAsia" w:ascii="仿宋_GB2312" w:hAnsi="Calibri" w:eastAsia="仿宋_GB2312" w:cs="仿宋_GB2312"/>
          <w:kern w:val="2"/>
          <w:sz w:val="32"/>
          <w:szCs w:val="32"/>
          <w:lang w:val="en-US" w:eastAsia="zh-CN" w:bidi="ar-SA"/>
        </w:rPr>
      </w:pPr>
      <w:r>
        <w:rPr>
          <w:rFonts w:hint="eastAsia" w:ascii="仿宋_GB2312" w:hAnsi="Calibri" w:eastAsia="仿宋_GB2312" w:cs="仿宋_GB2312"/>
          <w:kern w:val="2"/>
          <w:sz w:val="32"/>
          <w:szCs w:val="32"/>
          <w:lang w:val="en-US" w:eastAsia="zh-CN" w:bidi="ar-SA"/>
        </w:rPr>
        <w:t>按照综合预算的原则，理县人民法院所有收入和支出均纳入部门预算管理。收入包括：一般公共预算拨款收入1046.03万元；支出包括：公</w:t>
      </w:r>
      <w:r>
        <w:rPr>
          <w:rFonts w:hint="eastAsia" w:cs="仿宋_GB2312"/>
          <w:kern w:val="2"/>
          <w:sz w:val="32"/>
          <w:szCs w:val="32"/>
          <w:lang w:val="en-US" w:eastAsia="zh-CN"/>
        </w:rPr>
        <w:t>共安全支出767.37万元，社会保障和就业支出149.22万元，卫生健康支出56.94万元，住房保障支出72.50万元。</w:t>
      </w:r>
    </w:p>
    <w:p>
      <w:pPr>
        <w:numPr>
          <w:ilvl w:val="0"/>
          <w:numId w:val="1"/>
        </w:numPr>
        <w:ind w:left="640" w:leftChars="0" w:firstLine="0" w:firstLineChars="0"/>
        <w:jc w:val="left"/>
        <w:rPr>
          <w:rFonts w:hint="eastAsia" w:ascii="楷体" w:eastAsia="楷体" w:cs="仿宋_GB2312"/>
          <w:b/>
          <w:bCs/>
          <w:sz w:val="32"/>
          <w:szCs w:val="32"/>
        </w:rPr>
      </w:pPr>
      <w:r>
        <w:rPr>
          <w:rFonts w:hint="eastAsia" w:ascii="楷体" w:eastAsia="楷体" w:cs="仿宋_GB2312"/>
          <w:b/>
          <w:bCs/>
          <w:sz w:val="32"/>
          <w:szCs w:val="32"/>
        </w:rPr>
        <w:t>支出预算情况</w:t>
      </w:r>
    </w:p>
    <w:p>
      <w:pPr>
        <w:pStyle w:val="13"/>
        <w:spacing w:before="0" w:line="360" w:lineRule="auto"/>
        <w:ind w:firstLine="660"/>
        <w:rPr>
          <w:rFonts w:hint="eastAsia" w:ascii="楷体" w:eastAsia="楷体" w:cs="仿宋_GB2312"/>
          <w:sz w:val="32"/>
          <w:szCs w:val="32"/>
        </w:rPr>
      </w:pPr>
      <w:r>
        <w:rPr>
          <w:rFonts w:hint="eastAsia" w:cs="仿宋_GB2312"/>
          <w:kern w:val="2"/>
          <w:sz w:val="32"/>
          <w:szCs w:val="32"/>
          <w:lang w:val="en-US" w:eastAsia="zh-CN"/>
        </w:rPr>
        <w:t>理县人民法院2024年支出预算1046.03万元，其中：基本支出1046.03万元，占100%。</w:t>
      </w:r>
    </w:p>
    <w:p>
      <w:pPr>
        <w:pStyle w:val="13"/>
        <w:numPr>
          <w:ilvl w:val="0"/>
          <w:numId w:val="2"/>
        </w:numPr>
        <w:spacing w:before="0" w:line="360" w:lineRule="auto"/>
        <w:ind w:firstLine="660"/>
        <w:rPr>
          <w:rFonts w:hint="eastAsia" w:ascii="黑体" w:eastAsia="黑体"/>
          <w:sz w:val="32"/>
          <w:szCs w:val="32"/>
        </w:rPr>
      </w:pPr>
      <w:r>
        <w:rPr>
          <w:rFonts w:hint="eastAsia" w:ascii="黑体" w:eastAsia="黑体"/>
          <w:sz w:val="32"/>
          <w:szCs w:val="32"/>
        </w:rPr>
        <w:t>财政拨款收支预算情况说明</w:t>
      </w:r>
    </w:p>
    <w:p>
      <w:pPr>
        <w:pStyle w:val="13"/>
        <w:numPr>
          <w:ilvl w:val="0"/>
          <w:numId w:val="0"/>
        </w:numPr>
        <w:spacing w:before="0" w:line="360" w:lineRule="auto"/>
        <w:ind w:firstLine="640" w:firstLineChars="200"/>
        <w:rPr>
          <w:rFonts w:ascii="ˎ̥" w:hAnsi="ˎ̥" w:cs="宋体"/>
          <w:sz w:val="16"/>
        </w:rPr>
      </w:pPr>
      <w:r>
        <w:rPr>
          <w:rFonts w:hint="eastAsia" w:cs="仿宋_GB2312"/>
          <w:kern w:val="2"/>
          <w:sz w:val="32"/>
          <w:szCs w:val="32"/>
          <w:lang w:val="en-US" w:eastAsia="zh-CN"/>
        </w:rPr>
        <w:t>理县人民法院2025年财政拨款收支总预算1046.03万元,比2024年财政拨款收支总预算增加79.47万元，主要原因：人员调动、招考录入增加4人。收入包括：本年一般公共预算拨款收入1046.03万元；支出包括：公共安全支出1046.03万元。</w:t>
      </w:r>
    </w:p>
    <w:p>
      <w:pPr>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3"/>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pPr>
        <w:pStyle w:val="13"/>
        <w:spacing w:before="0" w:line="360" w:lineRule="auto"/>
        <w:ind w:firstLine="660"/>
        <w:rPr>
          <w:rFonts w:cs="仿宋_GB2312"/>
          <w:kern w:val="2"/>
          <w:sz w:val="32"/>
          <w:szCs w:val="32"/>
        </w:rPr>
      </w:pPr>
      <w:r>
        <w:rPr>
          <w:rFonts w:hint="eastAsia" w:cs="仿宋_GB2312"/>
          <w:kern w:val="2"/>
          <w:sz w:val="32"/>
          <w:szCs w:val="32"/>
          <w:lang w:val="en-US" w:eastAsia="zh-CN"/>
        </w:rPr>
        <w:t>理县人民法院2025年财政拨款收支总预算1046.03万元,比2024年财政拨款收支总预算增加79.47万元，主要原因：人员调动、招考录入增加4人。</w:t>
      </w:r>
      <w:r>
        <w:rPr>
          <w:rFonts w:hint="eastAsia" w:cs="仿宋_GB2312"/>
          <w:kern w:val="2"/>
          <w:sz w:val="32"/>
          <w:szCs w:val="32"/>
        </w:rPr>
        <w:t>　　</w:t>
      </w:r>
    </w:p>
    <w:p>
      <w:pPr>
        <w:pStyle w:val="13"/>
        <w:spacing w:before="0" w:line="360" w:lineRule="auto"/>
        <w:ind w:left="638" w:leftChars="304" w:firstLine="0" w:firstLineChars="0"/>
        <w:rPr>
          <w:rFonts w:hint="default" w:eastAsia="仿宋_GB2312" w:cs="仿宋_GB2312"/>
          <w:b/>
          <w:bCs/>
          <w:kern w:val="2"/>
          <w:sz w:val="32"/>
          <w:szCs w:val="32"/>
          <w:lang w:val="en-US" w:eastAsia="zh-CN"/>
        </w:rPr>
      </w:pPr>
      <w:r>
        <w:rPr>
          <w:rFonts w:hint="eastAsia" w:cs="仿宋_GB2312"/>
          <w:b/>
          <w:bCs/>
          <w:kern w:val="2"/>
          <w:sz w:val="32"/>
          <w:szCs w:val="32"/>
        </w:rPr>
        <w:t>一般公共预算当年拨款结构情</w:t>
      </w:r>
      <w:r>
        <w:rPr>
          <w:rFonts w:hint="eastAsia" w:cs="仿宋_GB2312"/>
          <w:b/>
          <w:bCs/>
          <w:kern w:val="2"/>
          <w:sz w:val="32"/>
          <w:szCs w:val="32"/>
          <w:lang w:val="en-US" w:eastAsia="zh-CN"/>
        </w:rPr>
        <w:t xml:space="preserve">况  </w:t>
      </w:r>
    </w:p>
    <w:p>
      <w:pPr>
        <w:pStyle w:val="13"/>
        <w:spacing w:before="0" w:line="360" w:lineRule="auto"/>
        <w:ind w:firstLine="640" w:firstLineChars="200"/>
        <w:rPr>
          <w:rFonts w:hint="eastAsia" w:cs="仿宋_GB2312"/>
          <w:kern w:val="2"/>
          <w:sz w:val="32"/>
          <w:szCs w:val="32"/>
        </w:rPr>
      </w:pPr>
      <w:r>
        <w:rPr>
          <w:rFonts w:hint="eastAsia" w:cs="仿宋_GB2312"/>
          <w:kern w:val="2"/>
          <w:sz w:val="32"/>
          <w:szCs w:val="32"/>
          <w:lang w:val="en-US" w:eastAsia="zh-CN"/>
        </w:rPr>
        <w:t>一般公共预算拨款收入1046.03万元</w:t>
      </w:r>
      <w:r>
        <w:rPr>
          <w:rFonts w:hint="eastAsia" w:cs="仿宋_GB2312"/>
          <w:kern w:val="2"/>
          <w:sz w:val="32"/>
          <w:szCs w:val="32"/>
        </w:rPr>
        <w:t>占</w:t>
      </w:r>
      <w:r>
        <w:rPr>
          <w:rFonts w:hint="eastAsia" w:cs="仿宋_GB2312"/>
          <w:kern w:val="2"/>
          <w:sz w:val="32"/>
          <w:szCs w:val="32"/>
          <w:lang w:val="en-US" w:eastAsia="zh-CN"/>
        </w:rPr>
        <w:t>100</w:t>
      </w:r>
      <w:r>
        <w:rPr>
          <w:rFonts w:hint="eastAsia" w:cs="仿宋_GB2312"/>
          <w:kern w:val="2"/>
          <w:sz w:val="32"/>
          <w:szCs w:val="32"/>
        </w:rPr>
        <w:t>%</w:t>
      </w:r>
      <w:r>
        <w:rPr>
          <w:rFonts w:hint="eastAsia" w:cs="仿宋_GB2312"/>
          <w:kern w:val="2"/>
          <w:sz w:val="32"/>
          <w:szCs w:val="32"/>
          <w:lang w:val="en-US" w:eastAsia="zh-CN"/>
        </w:rPr>
        <w:t>；支出包括：公共安全支出767.37万元，社会保障和就业支出149.22万元，卫生健康支出56.94万元，住房保障支出72.50万元。</w:t>
      </w:r>
    </w:p>
    <w:p>
      <w:pPr>
        <w:pStyle w:val="13"/>
        <w:spacing w:before="0" w:line="360" w:lineRule="auto"/>
        <w:ind w:firstLine="640" w:firstLineChars="200"/>
        <w:rPr>
          <w:rFonts w:hint="eastAsia" w:eastAsia="仿宋_GB2312" w:cs="仿宋_GB2312"/>
          <w:kern w:val="2"/>
          <w:sz w:val="32"/>
          <w:szCs w:val="32"/>
          <w:lang w:val="en-US" w:eastAsia="zh-CN"/>
        </w:rPr>
      </w:pPr>
      <w:r>
        <w:rPr>
          <w:rFonts w:hint="eastAsia" w:cs="仿宋_GB2312"/>
          <w:kern w:val="2"/>
          <w:sz w:val="32"/>
          <w:szCs w:val="32"/>
        </w:rPr>
        <w:t>一般公共服务支出</w:t>
      </w:r>
      <w:r>
        <w:rPr>
          <w:rFonts w:hint="eastAsia" w:cs="仿宋_GB2312"/>
          <w:kern w:val="2"/>
          <w:sz w:val="32"/>
          <w:szCs w:val="32"/>
          <w:lang w:val="en-US" w:eastAsia="zh-CN"/>
        </w:rPr>
        <w:t>767.37</w:t>
      </w:r>
      <w:r>
        <w:rPr>
          <w:rFonts w:hint="eastAsia" w:cs="仿宋_GB2312"/>
          <w:kern w:val="2"/>
          <w:sz w:val="32"/>
          <w:szCs w:val="32"/>
        </w:rPr>
        <w:t>万元，占</w:t>
      </w:r>
      <w:r>
        <w:rPr>
          <w:rFonts w:hint="eastAsia" w:cs="仿宋_GB2312"/>
          <w:kern w:val="2"/>
          <w:sz w:val="32"/>
          <w:szCs w:val="32"/>
          <w:lang w:val="en-US" w:eastAsia="zh-CN"/>
        </w:rPr>
        <w:t>73.36</w:t>
      </w:r>
      <w:r>
        <w:rPr>
          <w:rFonts w:hint="eastAsia" w:cs="仿宋_GB2312"/>
          <w:kern w:val="2"/>
          <w:sz w:val="32"/>
          <w:szCs w:val="32"/>
        </w:rPr>
        <w:t>%；社会保障和就业支占</w:t>
      </w:r>
      <w:r>
        <w:rPr>
          <w:rFonts w:hint="eastAsia" w:cs="仿宋_GB2312"/>
          <w:kern w:val="2"/>
          <w:sz w:val="32"/>
          <w:szCs w:val="32"/>
          <w:lang w:val="en-US" w:eastAsia="zh-CN"/>
        </w:rPr>
        <w:t>14.26</w:t>
      </w:r>
      <w:r>
        <w:rPr>
          <w:rFonts w:hint="eastAsia" w:cs="仿宋_GB2312"/>
          <w:kern w:val="2"/>
          <w:sz w:val="32"/>
          <w:szCs w:val="32"/>
        </w:rPr>
        <w:t>%；</w:t>
      </w:r>
      <w:r>
        <w:rPr>
          <w:rFonts w:hint="eastAsia" w:cs="仿宋_GB2312"/>
          <w:kern w:val="2"/>
          <w:sz w:val="32"/>
          <w:szCs w:val="32"/>
          <w:lang w:val="en-US" w:eastAsia="zh-CN"/>
        </w:rPr>
        <w:t>卫生健康支出</w:t>
      </w:r>
      <w:r>
        <w:rPr>
          <w:rFonts w:hint="eastAsia" w:cs="仿宋_GB2312"/>
          <w:kern w:val="2"/>
          <w:sz w:val="32"/>
          <w:szCs w:val="32"/>
        </w:rPr>
        <w:t>占</w:t>
      </w:r>
      <w:r>
        <w:rPr>
          <w:rFonts w:hint="eastAsia" w:cs="仿宋_GB2312"/>
          <w:kern w:val="2"/>
          <w:sz w:val="32"/>
          <w:szCs w:val="32"/>
          <w:lang w:val="en-US" w:eastAsia="zh-CN"/>
        </w:rPr>
        <w:t>5.45</w:t>
      </w:r>
      <w:r>
        <w:rPr>
          <w:rFonts w:hint="eastAsia" w:cs="仿宋_GB2312"/>
          <w:kern w:val="2"/>
          <w:sz w:val="32"/>
          <w:szCs w:val="32"/>
        </w:rPr>
        <w:t>%</w:t>
      </w:r>
      <w:r>
        <w:rPr>
          <w:rFonts w:hint="eastAsia" w:cs="仿宋_GB2312"/>
          <w:kern w:val="2"/>
          <w:sz w:val="32"/>
          <w:szCs w:val="32"/>
          <w:lang w:val="en-US" w:eastAsia="zh-CN"/>
        </w:rPr>
        <w:t>，</w:t>
      </w:r>
      <w:r>
        <w:rPr>
          <w:rFonts w:hint="eastAsia" w:cs="仿宋_GB2312"/>
          <w:kern w:val="2"/>
          <w:sz w:val="32"/>
          <w:szCs w:val="32"/>
        </w:rPr>
        <w:t>住房保障支出占</w:t>
      </w:r>
      <w:r>
        <w:rPr>
          <w:rFonts w:hint="eastAsia" w:cs="仿宋_GB2312"/>
          <w:kern w:val="2"/>
          <w:sz w:val="32"/>
          <w:szCs w:val="32"/>
          <w:lang w:val="en-US" w:eastAsia="zh-CN"/>
        </w:rPr>
        <w:t>6.93</w:t>
      </w:r>
      <w:r>
        <w:rPr>
          <w:rFonts w:hint="eastAsia" w:cs="仿宋_GB2312"/>
          <w:kern w:val="2"/>
          <w:sz w:val="32"/>
          <w:szCs w:val="32"/>
        </w:rPr>
        <w:t>%</w:t>
      </w:r>
      <w:r>
        <w:rPr>
          <w:rFonts w:hint="eastAsia" w:cs="仿宋_GB2312"/>
          <w:kern w:val="2"/>
          <w:sz w:val="32"/>
          <w:szCs w:val="32"/>
          <w:lang w:eastAsia="zh-CN"/>
        </w:rPr>
        <w:t>。</w:t>
      </w:r>
    </w:p>
    <w:p>
      <w:pPr>
        <w:pStyle w:val="13"/>
        <w:numPr>
          <w:ilvl w:val="0"/>
          <w:numId w:val="1"/>
        </w:numPr>
        <w:spacing w:before="0" w:line="360" w:lineRule="auto"/>
        <w:ind w:left="640" w:leftChars="0" w:firstLine="0" w:firstLineChars="0"/>
        <w:rPr>
          <w:rFonts w:hint="eastAsia" w:cs="仿宋_GB2312"/>
          <w:kern w:val="2"/>
          <w:sz w:val="32"/>
          <w:szCs w:val="32"/>
        </w:rPr>
      </w:pPr>
      <w:r>
        <w:rPr>
          <w:rFonts w:hint="eastAsia" w:cs="仿宋_GB2312"/>
          <w:kern w:val="2"/>
          <w:sz w:val="32"/>
          <w:szCs w:val="32"/>
        </w:rPr>
        <w:t>一般公共预算当年拨款具体使用情况</w:t>
      </w:r>
    </w:p>
    <w:p>
      <w:pPr>
        <w:ind w:firstLine="640" w:firstLineChars="200"/>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t>1</w:t>
      </w:r>
      <w:r>
        <w:rPr>
          <w:rFonts w:hint="eastAsia" w:ascii="仿宋_GB2312" w:eastAsia="仿宋_GB2312" w:cs="仿宋_GB2312"/>
          <w:color w:val="000000" w:themeColor="text1"/>
          <w:kern w:val="2"/>
          <w:sz w:val="32"/>
          <w:szCs w:val="32"/>
          <w:lang w:val="en-US" w:eastAsia="zh-CN" w:bidi="ar-SA"/>
          <w14:textFill>
            <w14:solidFill>
              <w14:schemeClr w14:val="tx1"/>
            </w14:solidFill>
          </w14:textFill>
        </w:rPr>
        <w:t>.</w:t>
      </w:r>
      <w:r>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t>人员支出</w:t>
      </w:r>
      <w:r>
        <w:rPr>
          <w:rFonts w:hint="eastAsia" w:ascii="仿宋_GB2312" w:eastAsia="仿宋_GB2312" w:cs="仿宋_GB2312"/>
          <w:color w:val="000000" w:themeColor="text1"/>
          <w:kern w:val="2"/>
          <w:sz w:val="32"/>
          <w:szCs w:val="32"/>
          <w:lang w:val="en-US" w:eastAsia="zh-CN" w:bidi="ar-SA"/>
          <w14:textFill>
            <w14:solidFill>
              <w14:schemeClr w14:val="tx1"/>
            </w14:solidFill>
          </w14:textFill>
        </w:rPr>
        <w:t>873.24</w:t>
      </w:r>
      <w:r>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t>万元，主要用于：工资福利、养老保险缴费、职业年金缴费、医疗保险缴费、公务员医疗补助缴费等。</w:t>
      </w:r>
    </w:p>
    <w:p>
      <w:pPr>
        <w:ind w:firstLine="640" w:firstLineChars="200"/>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t>2.公用支出</w:t>
      </w:r>
      <w:r>
        <w:rPr>
          <w:rFonts w:hint="eastAsia" w:ascii="仿宋_GB2312" w:eastAsia="仿宋_GB2312" w:cs="仿宋_GB2312"/>
          <w:color w:val="000000" w:themeColor="text1"/>
          <w:kern w:val="2"/>
          <w:sz w:val="32"/>
          <w:szCs w:val="32"/>
          <w:lang w:val="en-US" w:eastAsia="zh-CN" w:bidi="ar-SA"/>
          <w14:textFill>
            <w14:solidFill>
              <w14:schemeClr w14:val="tx1"/>
            </w14:solidFill>
          </w14:textFill>
        </w:rPr>
        <w:t>136.79</w:t>
      </w:r>
      <w:r>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t>万元，主要用于日常公务运行等。</w:t>
      </w:r>
    </w:p>
    <w:p>
      <w:pPr>
        <w:ind w:firstLine="640" w:firstLineChars="200"/>
        <w:rPr>
          <w:rFonts w:hint="eastAsia" w:cs="仿宋_GB2312"/>
          <w:b/>
          <w:bCs/>
          <w:color w:val="000000" w:themeColor="text1"/>
          <w:kern w:val="2"/>
          <w:sz w:val="32"/>
          <w:szCs w:val="32"/>
          <w14:textFill>
            <w14:solidFill>
              <w14:schemeClr w14:val="tx1"/>
            </w14:solidFill>
          </w14:textFill>
        </w:rPr>
      </w:pPr>
      <w:r>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t>3.劳务费</w:t>
      </w:r>
      <w:r>
        <w:rPr>
          <w:rFonts w:hint="eastAsia" w:ascii="仿宋_GB2312" w:eastAsia="仿宋_GB2312" w:cs="仿宋_GB2312"/>
          <w:color w:val="000000" w:themeColor="text1"/>
          <w:kern w:val="2"/>
          <w:sz w:val="32"/>
          <w:szCs w:val="32"/>
          <w:lang w:val="en-US" w:eastAsia="zh-CN" w:bidi="ar-SA"/>
          <w14:textFill>
            <w14:solidFill>
              <w14:schemeClr w14:val="tx1"/>
            </w14:solidFill>
          </w14:textFill>
        </w:rPr>
        <w:t>36</w:t>
      </w:r>
      <w:r>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t>万元，主要用于临聘厨师、保洁等</w:t>
      </w:r>
      <w:r>
        <w:rPr>
          <w:rFonts w:hint="eastAsia" w:ascii="仿宋_GB2312" w:eastAsia="仿宋_GB2312" w:cs="仿宋_GB2312"/>
          <w:color w:val="000000" w:themeColor="text1"/>
          <w:kern w:val="2"/>
          <w:sz w:val="32"/>
          <w:szCs w:val="32"/>
          <w:lang w:val="en-US" w:eastAsia="zh-CN" w:bidi="ar-SA"/>
          <w14:textFill>
            <w14:solidFill>
              <w14:schemeClr w14:val="tx1"/>
            </w14:solidFill>
          </w14:textFill>
        </w:rPr>
        <w:t>劳务</w:t>
      </w:r>
      <w:r>
        <w:rPr>
          <w:rFonts w:hint="eastAsia" w:ascii="仿宋_GB2312" w:hAnsi="Calibri" w:eastAsia="仿宋_GB2312" w:cs="仿宋_GB2312"/>
          <w:color w:val="000000" w:themeColor="text1"/>
          <w:kern w:val="2"/>
          <w:sz w:val="32"/>
          <w:szCs w:val="32"/>
          <w:lang w:val="en-US" w:eastAsia="zh-CN" w:bidi="ar-SA"/>
          <w14:textFill>
            <w14:solidFill>
              <w14:schemeClr w14:val="tx1"/>
            </w14:solidFill>
          </w14:textFill>
        </w:rPr>
        <w:t>费用。</w:t>
      </w:r>
    </w:p>
    <w:p>
      <w:pPr>
        <w:pStyle w:val="13"/>
        <w:spacing w:before="0" w:line="360" w:lineRule="auto"/>
        <w:ind w:firstLine="642" w:firstLineChars="200"/>
        <w:rPr>
          <w:rFonts w:hint="eastAsia" w:cs="仿宋_GB2312"/>
          <w:b/>
          <w:bCs/>
          <w:kern w:val="2"/>
          <w:sz w:val="32"/>
          <w:szCs w:val="32"/>
        </w:rPr>
      </w:pPr>
      <w:r>
        <w:rPr>
          <w:rFonts w:hint="eastAsia" w:cs="仿宋_GB2312"/>
          <w:b/>
          <w:bCs/>
          <w:kern w:val="2"/>
          <w:sz w:val="32"/>
          <w:szCs w:val="32"/>
        </w:rPr>
        <w:t>六、一般公共预算基本支出情况说明</w:t>
      </w:r>
    </w:p>
    <w:p>
      <w:pPr>
        <w:pStyle w:val="13"/>
        <w:spacing w:before="0" w:line="360" w:lineRule="auto"/>
        <w:ind w:firstLine="640" w:firstLineChars="200"/>
        <w:rPr>
          <w:rFonts w:cs="仿宋_GB2312"/>
          <w:kern w:val="2"/>
          <w:sz w:val="32"/>
          <w:szCs w:val="32"/>
        </w:rPr>
      </w:pPr>
      <w:r>
        <w:rPr>
          <w:rFonts w:hint="eastAsia" w:cs="仿宋_GB2312"/>
          <w:kern w:val="2"/>
          <w:sz w:val="32"/>
          <w:szCs w:val="32"/>
        </w:rPr>
        <w:t>单位2025年一般公共预算基本支出</w:t>
      </w:r>
      <w:r>
        <w:rPr>
          <w:rFonts w:hint="eastAsia" w:cs="仿宋_GB2312"/>
          <w:kern w:val="2"/>
          <w:sz w:val="32"/>
          <w:szCs w:val="32"/>
          <w:lang w:val="en-US" w:eastAsia="zh-CN"/>
        </w:rPr>
        <w:t xml:space="preserve">1010.03         </w:t>
      </w:r>
      <w:r>
        <w:rPr>
          <w:rFonts w:hint="eastAsia" w:cs="仿宋_GB2312"/>
          <w:kern w:val="2"/>
          <w:sz w:val="32"/>
          <w:szCs w:val="32"/>
        </w:rPr>
        <w:t>万元，其中：人员经费</w:t>
      </w:r>
      <w:r>
        <w:rPr>
          <w:rFonts w:hint="eastAsia" w:cs="仿宋_GB2312"/>
          <w:kern w:val="2"/>
          <w:sz w:val="32"/>
          <w:szCs w:val="32"/>
          <w:lang w:val="en-US" w:eastAsia="zh-CN"/>
        </w:rPr>
        <w:t>873.24</w:t>
      </w:r>
      <w:r>
        <w:rPr>
          <w:rFonts w:hint="eastAsia"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pPr>
        <w:pStyle w:val="13"/>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136.79</w:t>
      </w:r>
      <w:r>
        <w:rPr>
          <w:rFonts w:hint="eastAsia" w:cs="仿宋_GB2312"/>
          <w:kern w:val="2"/>
          <w:sz w:val="32"/>
          <w:szCs w:val="32"/>
        </w:rPr>
        <w:t>万元，主要包括：办公费、印刷费、手续费、水费、电费、邮电费、差旅费、维修（护）费、租赁费、会议费、培训费、劳务费、工会经费、福利费、其他交通工具运行维护费、其他商品和服务支出。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pPr>
        <w:pStyle w:val="13"/>
        <w:spacing w:before="0" w:line="360" w:lineRule="auto"/>
        <w:ind w:firstLine="640" w:firstLineChars="200"/>
        <w:rPr>
          <w:rFonts w:cs="仿宋_GB2312"/>
          <w:kern w:val="2"/>
          <w:sz w:val="32"/>
          <w:szCs w:val="32"/>
        </w:rPr>
      </w:pPr>
      <w:r>
        <w:rPr>
          <w:rFonts w:hint="eastAsia" w:cs="仿宋_GB2312"/>
          <w:kern w:val="2"/>
          <w:sz w:val="32"/>
          <w:szCs w:val="32"/>
        </w:rPr>
        <w:t>部门（单位）2025年“三公”经费财政拨款预算数</w:t>
      </w:r>
      <w:r>
        <w:rPr>
          <w:rFonts w:hint="eastAsia" w:cs="仿宋_GB2312"/>
          <w:kern w:val="2"/>
          <w:sz w:val="32"/>
          <w:szCs w:val="32"/>
          <w:lang w:val="en-US" w:eastAsia="zh-CN"/>
        </w:rPr>
        <w:t>136.79</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1.87</w:t>
      </w:r>
      <w:r>
        <w:rPr>
          <w:rFonts w:hint="eastAsia" w:cs="仿宋_GB2312"/>
          <w:kern w:val="2"/>
          <w:sz w:val="32"/>
          <w:szCs w:val="32"/>
        </w:rPr>
        <w:t>万元，公务用车购置及运行维护费</w:t>
      </w:r>
      <w:r>
        <w:rPr>
          <w:rFonts w:hint="eastAsia" w:cs="仿宋_GB2312"/>
          <w:kern w:val="2"/>
          <w:sz w:val="32"/>
          <w:szCs w:val="32"/>
          <w:lang w:val="en-US" w:eastAsia="zh-CN"/>
        </w:rPr>
        <w:t>22.50</w:t>
      </w:r>
      <w:r>
        <w:rPr>
          <w:rFonts w:hint="eastAsia" w:cs="仿宋_GB2312"/>
          <w:kern w:val="2"/>
          <w:sz w:val="32"/>
          <w:szCs w:val="32"/>
        </w:rPr>
        <w:t>万元。</w:t>
      </w:r>
    </w:p>
    <w:p>
      <w:pPr>
        <w:pStyle w:val="13"/>
        <w:spacing w:before="0" w:line="360" w:lineRule="auto"/>
        <w:ind w:firstLine="640" w:firstLineChars="200"/>
        <w:rPr>
          <w:rFonts w:cs="仿宋_GB2312"/>
          <w:kern w:val="2"/>
          <w:sz w:val="32"/>
          <w:szCs w:val="32"/>
        </w:rPr>
      </w:pPr>
      <w:r>
        <w:rPr>
          <w:rFonts w:hint="eastAsia" w:cs="仿宋_GB2312"/>
          <w:kern w:val="2"/>
          <w:sz w:val="32"/>
          <w:szCs w:val="32"/>
        </w:rPr>
        <w:t>（一）2025年因公出国（境）经费</w:t>
      </w:r>
      <w:r>
        <w:rPr>
          <w:rFonts w:hint="eastAsia" w:cs="仿宋_GB2312"/>
          <w:kern w:val="2"/>
          <w:sz w:val="32"/>
          <w:szCs w:val="32"/>
          <w:lang w:val="en-US" w:eastAsia="zh-CN"/>
        </w:rPr>
        <w:t>0</w:t>
      </w:r>
      <w:r>
        <w:rPr>
          <w:rFonts w:hint="eastAsia" w:cs="仿宋_GB2312"/>
          <w:kern w:val="2"/>
          <w:sz w:val="32"/>
          <w:szCs w:val="32"/>
        </w:rPr>
        <w:t>万元。</w:t>
      </w:r>
    </w:p>
    <w:p>
      <w:pPr>
        <w:pStyle w:val="13"/>
        <w:spacing w:before="0" w:line="360" w:lineRule="auto"/>
        <w:ind w:firstLine="640" w:firstLineChars="200"/>
        <w:rPr>
          <w:rFonts w:hint="default" w:eastAsia="仿宋_GB2312"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2025年公务接待经费</w:t>
      </w:r>
      <w:r>
        <w:rPr>
          <w:rFonts w:hint="eastAsia" w:cs="仿宋_GB2312"/>
          <w:color w:val="000000"/>
          <w:kern w:val="2"/>
          <w:sz w:val="32"/>
          <w:szCs w:val="32"/>
          <w:lang w:val="en-US" w:eastAsia="zh-CN"/>
        </w:rPr>
        <w:t>1.87</w:t>
      </w:r>
      <w:r>
        <w:rPr>
          <w:rFonts w:hint="eastAsia" w:cs="仿宋_GB2312"/>
          <w:color w:val="000000"/>
          <w:kern w:val="2"/>
          <w:sz w:val="32"/>
          <w:szCs w:val="32"/>
        </w:rPr>
        <w:t>万元。较2024年预算经费</w:t>
      </w:r>
      <w:r>
        <w:rPr>
          <w:rFonts w:hint="eastAsia" w:cs="宋体"/>
          <w:sz w:val="32"/>
          <w:szCs w:val="32"/>
        </w:rPr>
        <w:t>增加</w:t>
      </w:r>
      <w:r>
        <w:rPr>
          <w:rFonts w:hint="eastAsia" w:cs="宋体"/>
          <w:sz w:val="32"/>
          <w:szCs w:val="32"/>
          <w:lang w:val="en-US" w:eastAsia="zh-CN"/>
        </w:rPr>
        <w:t>0.15</w:t>
      </w:r>
      <w:r>
        <w:rPr>
          <w:rFonts w:hint="eastAsia" w:cs="仿宋_GB2312"/>
          <w:color w:val="000000"/>
          <w:kern w:val="2"/>
          <w:sz w:val="32"/>
          <w:szCs w:val="32"/>
        </w:rPr>
        <w:t>万元，</w:t>
      </w:r>
      <w:r>
        <w:rPr>
          <w:rFonts w:hint="eastAsia" w:cs="宋体"/>
          <w:sz w:val="32"/>
          <w:szCs w:val="32"/>
        </w:rPr>
        <w:t>增长</w:t>
      </w:r>
      <w:r>
        <w:rPr>
          <w:rFonts w:hint="eastAsia" w:cs="仿宋_GB2312"/>
          <w:color w:val="000000"/>
          <w:kern w:val="2"/>
          <w:sz w:val="32"/>
          <w:szCs w:val="32"/>
          <w:lang w:val="en-US" w:eastAsia="zh-CN"/>
        </w:rPr>
        <w:t>8.7</w:t>
      </w:r>
      <w:r>
        <w:rPr>
          <w:rFonts w:hint="eastAsia" w:cs="仿宋_GB2312"/>
          <w:color w:val="000000"/>
          <w:kern w:val="2"/>
          <w:sz w:val="32"/>
          <w:szCs w:val="32"/>
        </w:rPr>
        <w:t>%，主要原因</w:t>
      </w:r>
      <w:r>
        <w:rPr>
          <w:rFonts w:hint="eastAsia" w:cs="仿宋_GB2312"/>
          <w:color w:val="000000"/>
          <w:kern w:val="2"/>
          <w:sz w:val="32"/>
          <w:szCs w:val="32"/>
          <w:lang w:val="en-US" w:eastAsia="zh-CN"/>
        </w:rPr>
        <w:t>是今年公务活动较去年有所增加，故预算数相应增加。</w:t>
      </w:r>
    </w:p>
    <w:p>
      <w:pPr>
        <w:pStyle w:val="13"/>
        <w:spacing w:before="0" w:line="360" w:lineRule="auto"/>
        <w:ind w:firstLine="640" w:firstLineChars="200"/>
        <w:rPr>
          <w:rFonts w:hint="eastAsia" w:eastAsia="仿宋_GB2312" w:cs="宋体"/>
          <w:sz w:val="32"/>
          <w:szCs w:val="32"/>
          <w:lang w:val="en-US" w:eastAsia="zh-CN"/>
        </w:rPr>
      </w:pPr>
      <w:r>
        <w:rPr>
          <w:rFonts w:hint="eastAsia" w:cs="仿宋_GB2312"/>
          <w:color w:val="000000"/>
          <w:kern w:val="2"/>
          <w:sz w:val="32"/>
          <w:szCs w:val="32"/>
        </w:rPr>
        <w:t>（三）2025年公务用车购置及运行维护费</w:t>
      </w:r>
      <w:r>
        <w:rPr>
          <w:rFonts w:hint="eastAsia" w:cs="仿宋_GB2312"/>
          <w:color w:val="000000"/>
          <w:kern w:val="2"/>
          <w:sz w:val="32"/>
          <w:szCs w:val="32"/>
          <w:lang w:val="en-US" w:eastAsia="zh-CN"/>
        </w:rPr>
        <w:t>22.50</w:t>
      </w:r>
      <w:r>
        <w:rPr>
          <w:rFonts w:hint="eastAsia" w:cs="仿宋_GB2312"/>
          <w:color w:val="000000"/>
          <w:kern w:val="2"/>
          <w:sz w:val="32"/>
          <w:szCs w:val="32"/>
        </w:rPr>
        <w:t>万元</w:t>
      </w:r>
      <w:r>
        <w:rPr>
          <w:rFonts w:hint="eastAsia" w:cs="仿宋_GB2312"/>
          <w:color w:val="000000"/>
          <w:kern w:val="2"/>
          <w:sz w:val="32"/>
          <w:szCs w:val="32"/>
          <w:lang w:eastAsia="zh-CN"/>
        </w:rPr>
        <w:t>，</w:t>
      </w:r>
      <w:r>
        <w:rPr>
          <w:rFonts w:hint="eastAsia" w:cs="仿宋_GB2312"/>
          <w:color w:val="000000"/>
          <w:kern w:val="2"/>
          <w:sz w:val="32"/>
          <w:szCs w:val="32"/>
          <w:lang w:val="en-US" w:eastAsia="zh-CN"/>
        </w:rPr>
        <w:t>与2024年相比</w:t>
      </w:r>
      <w:r>
        <w:rPr>
          <w:rFonts w:hint="eastAsia" w:cs="仿宋_GB2312"/>
          <w:color w:val="000000"/>
          <w:kern w:val="2"/>
          <w:sz w:val="32"/>
          <w:szCs w:val="32"/>
        </w:rPr>
        <w:t>预算经</w:t>
      </w:r>
      <w:r>
        <w:rPr>
          <w:rFonts w:hint="eastAsia" w:cs="仿宋_GB2312"/>
          <w:color w:val="000000" w:themeColor="text1"/>
          <w:kern w:val="2"/>
          <w:sz w:val="32"/>
          <w:szCs w:val="32"/>
          <w14:textFill>
            <w14:solidFill>
              <w14:schemeClr w14:val="tx1"/>
            </w14:solidFill>
          </w14:textFill>
        </w:rPr>
        <w:t>费</w:t>
      </w:r>
      <w:r>
        <w:rPr>
          <w:rFonts w:hint="eastAsia" w:cs="仿宋_GB2312"/>
          <w:color w:val="000000" w:themeColor="text1"/>
          <w:kern w:val="2"/>
          <w:sz w:val="32"/>
          <w:szCs w:val="32"/>
          <w:lang w:val="en-US" w:eastAsia="zh-CN"/>
          <w14:textFill>
            <w14:solidFill>
              <w14:schemeClr w14:val="tx1"/>
            </w14:solidFill>
          </w14:textFill>
        </w:rPr>
        <w:t>相同</w:t>
      </w:r>
      <w:r>
        <w:rPr>
          <w:rFonts w:hint="eastAsia" w:cs="仿宋_GB2312"/>
          <w:color w:val="000000"/>
          <w:kern w:val="2"/>
          <w:sz w:val="32"/>
          <w:szCs w:val="32"/>
          <w:lang w:val="en-US" w:eastAsia="zh-CN"/>
        </w:rPr>
        <w:t>。</w:t>
      </w:r>
    </w:p>
    <w:p>
      <w:pPr>
        <w:pStyle w:val="13"/>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13"/>
        <w:spacing w:before="0" w:line="360" w:lineRule="auto"/>
        <w:ind w:firstLine="640" w:firstLineChars="200"/>
        <w:rPr>
          <w:rFonts w:hint="eastAsia" w:cs="仿宋_GB2312"/>
          <w:kern w:val="2"/>
          <w:sz w:val="32"/>
          <w:szCs w:val="32"/>
        </w:rPr>
      </w:pPr>
      <w:r>
        <w:rPr>
          <w:rFonts w:hint="eastAsia" w:cs="仿宋_GB2312"/>
          <w:kern w:val="2"/>
          <w:sz w:val="32"/>
          <w:szCs w:val="32"/>
        </w:rPr>
        <w:t>部门（单位）2025年政府性基金预算拨款安排的支出</w:t>
      </w:r>
      <w:r>
        <w:rPr>
          <w:rFonts w:hint="eastAsia" w:cs="仿宋_GB2312"/>
          <w:kern w:val="2"/>
          <w:sz w:val="32"/>
          <w:szCs w:val="32"/>
          <w:lang w:val="en-US" w:eastAsia="zh-CN"/>
        </w:rPr>
        <w:t>0</w:t>
      </w:r>
      <w:r>
        <w:rPr>
          <w:rFonts w:hint="eastAsia" w:cs="仿宋_GB2312"/>
          <w:kern w:val="2"/>
          <w:sz w:val="32"/>
          <w:szCs w:val="32"/>
        </w:rPr>
        <w:t>万元。</w:t>
      </w:r>
    </w:p>
    <w:p>
      <w:pPr>
        <w:pStyle w:val="13"/>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pStyle w:val="13"/>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部门（单位）2025年机关运行经费财政拨款预算为</w:t>
      </w:r>
      <w:r>
        <w:rPr>
          <w:rFonts w:hint="eastAsia" w:cs="仿宋_GB2312"/>
          <w:kern w:val="2"/>
          <w:sz w:val="32"/>
          <w:szCs w:val="32"/>
          <w:lang w:val="en-US" w:eastAsia="zh-CN"/>
        </w:rPr>
        <w:t>136.79</w:t>
      </w:r>
      <w:r>
        <w:rPr>
          <w:rFonts w:hint="eastAsia" w:cs="仿宋_GB2312"/>
          <w:kern w:val="2"/>
          <w:sz w:val="32"/>
          <w:szCs w:val="32"/>
        </w:rPr>
        <w:t>万元，比2024年预算</w:t>
      </w:r>
      <w:r>
        <w:rPr>
          <w:rFonts w:hint="eastAsia" w:cs="宋体"/>
          <w:sz w:val="32"/>
          <w:szCs w:val="32"/>
        </w:rPr>
        <w:t>增加</w:t>
      </w:r>
      <w:r>
        <w:rPr>
          <w:rFonts w:hint="eastAsia" w:cs="宋体"/>
          <w:sz w:val="32"/>
          <w:szCs w:val="32"/>
          <w:lang w:val="en-US" w:eastAsia="zh-CN"/>
        </w:rPr>
        <w:t>10.85</w:t>
      </w:r>
      <w:r>
        <w:rPr>
          <w:rFonts w:hint="eastAsia" w:cs="仿宋_GB2312"/>
          <w:color w:val="000000"/>
          <w:kern w:val="2"/>
          <w:sz w:val="32"/>
          <w:szCs w:val="32"/>
        </w:rPr>
        <w:t>万元，</w:t>
      </w:r>
      <w:r>
        <w:rPr>
          <w:rFonts w:hint="eastAsia" w:cs="仿宋_GB2312"/>
          <w:color w:val="000000"/>
          <w:kern w:val="2"/>
          <w:sz w:val="32"/>
          <w:szCs w:val="32"/>
          <w:lang w:val="en-US" w:eastAsia="zh-CN"/>
        </w:rPr>
        <w:t>增加8.61</w:t>
      </w:r>
      <w:r>
        <w:rPr>
          <w:rFonts w:hint="eastAsia" w:cs="仿宋_GB2312"/>
          <w:color w:val="000000"/>
          <w:kern w:val="2"/>
          <w:sz w:val="32"/>
          <w:szCs w:val="32"/>
        </w:rPr>
        <w:t xml:space="preserve">%。 </w:t>
      </w:r>
    </w:p>
    <w:p>
      <w:pPr>
        <w:pStyle w:val="13"/>
        <w:spacing w:before="0" w:line="360" w:lineRule="auto"/>
        <w:ind w:firstLine="640" w:firstLineChars="200"/>
        <w:rPr>
          <w:rFonts w:hint="eastAsia" w:cs="仿宋_GB2312"/>
          <w:color w:val="000000"/>
          <w:kern w:val="2"/>
          <w:sz w:val="32"/>
          <w:szCs w:val="32"/>
          <w:lang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2025年</w:t>
      </w:r>
      <w:r>
        <w:rPr>
          <w:rFonts w:hint="eastAsia" w:cs="仿宋_GB2312"/>
          <w:kern w:val="2"/>
          <w:sz w:val="32"/>
          <w:szCs w:val="32"/>
        </w:rPr>
        <w:t>部门（单位）</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lang w:eastAsia="zh-CN"/>
        </w:rPr>
        <w:t>。</w:t>
      </w:r>
    </w:p>
    <w:p>
      <w:pPr>
        <w:pStyle w:val="13"/>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pPr>
        <w:pStyle w:val="13"/>
        <w:spacing w:before="0" w:line="360" w:lineRule="auto"/>
        <w:ind w:firstLine="640" w:firstLineChars="200"/>
        <w:rPr>
          <w:rFonts w:cs="仿宋_GB2312"/>
          <w:kern w:val="2"/>
          <w:sz w:val="32"/>
          <w:szCs w:val="32"/>
        </w:rPr>
      </w:pPr>
      <w:r>
        <w:rPr>
          <w:rFonts w:hint="eastAsia" w:cs="仿宋_GB2312"/>
          <w:kern w:val="2"/>
          <w:sz w:val="32"/>
          <w:szCs w:val="32"/>
        </w:rPr>
        <w:t>截至2024年12月31日，我单位固定资产</w:t>
      </w:r>
      <w:r>
        <w:rPr>
          <w:rFonts w:hint="eastAsia" w:cs="仿宋_GB2312"/>
          <w:kern w:val="2"/>
          <w:sz w:val="32"/>
          <w:szCs w:val="32"/>
          <w:lang w:val="en-US" w:eastAsia="zh-CN"/>
        </w:rPr>
        <w:t>3829.41</w:t>
      </w:r>
      <w:r>
        <w:rPr>
          <w:rFonts w:hint="eastAsia" w:cs="仿宋_GB2312"/>
          <w:kern w:val="2"/>
          <w:sz w:val="32"/>
          <w:szCs w:val="32"/>
        </w:rPr>
        <w:t>万元。</w:t>
      </w:r>
    </w:p>
    <w:p>
      <w:pPr>
        <w:pStyle w:val="13"/>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2025年部门（单位）通用项目和专用项目均按要求实行绩效目标管理，涉及一般公共预算当年拨款</w:t>
      </w:r>
      <w:r>
        <w:rPr>
          <w:rFonts w:hint="eastAsia" w:cs="仿宋_GB2312"/>
          <w:kern w:val="2"/>
          <w:sz w:val="32"/>
          <w:szCs w:val="32"/>
          <w:lang w:val="en-US" w:eastAsia="zh-CN"/>
        </w:rPr>
        <w:t>1046.03</w:t>
      </w:r>
      <w:r>
        <w:rPr>
          <w:rFonts w:hint="eastAsia" w:cs="仿宋_GB2312"/>
          <w:kern w:val="2"/>
          <w:sz w:val="32"/>
          <w:szCs w:val="32"/>
        </w:rPr>
        <w:t>万元。</w:t>
      </w:r>
    </w:p>
    <w:p>
      <w:pPr>
        <w:pStyle w:val="13"/>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
    <w:altName w:val="Bitstream Vera Sans"/>
    <w:panose1 w:val="00000000000000000000"/>
    <w:charset w:val="00"/>
    <w:family w:val="roman"/>
    <w:pitch w:val="default"/>
    <w:sig w:usb0="00000000" w:usb1="00000000" w:usb2="00000000" w:usb3="00000000" w:csb0="00000001" w:csb1="00000000"/>
  </w:font>
  <w:font w:name="Bitstream Vera Sans">
    <w:panose1 w:val="020B0603030804020204"/>
    <w:charset w:val="00"/>
    <w:family w:val="auto"/>
    <w:pitch w:val="default"/>
    <w:sig w:usb0="800000AF" w:usb1="1000204A" w:usb2="00000000" w:usb3="00000000" w:csb0="00000001" w:csb1="00000000"/>
  </w:font>
  <w:font w:name="ˎ̥">
    <w:altName w:val="华文中宋"/>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78316E"/>
    <w:multiLevelType w:val="singleLevel"/>
    <w:tmpl w:val="9C78316E"/>
    <w:lvl w:ilvl="0" w:tentative="0">
      <w:start w:val="4"/>
      <w:numFmt w:val="chineseCounting"/>
      <w:suff w:val="nothing"/>
      <w:lvlText w:val="%1、"/>
      <w:lvlJc w:val="left"/>
      <w:rPr>
        <w:rFonts w:hint="eastAsia"/>
      </w:rPr>
    </w:lvl>
  </w:abstractNum>
  <w:abstractNum w:abstractNumId="1">
    <w:nsid w:val="CE71BDED"/>
    <w:multiLevelType w:val="singleLevel"/>
    <w:tmpl w:val="CE71BDED"/>
    <w:lvl w:ilvl="0" w:tentative="0">
      <w:start w:val="2"/>
      <w:numFmt w:val="chineseCounting"/>
      <w:suff w:val="nothing"/>
      <w:lvlText w:val="（%1）"/>
      <w:lvlJc w:val="left"/>
      <w:pPr>
        <w:ind w:left="640" w:leftChars="0" w:firstLine="0" w:firstLineChars="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00F27441"/>
    <w:rsid w:val="01891B53"/>
    <w:rsid w:val="03726617"/>
    <w:rsid w:val="047A1C27"/>
    <w:rsid w:val="07CF228A"/>
    <w:rsid w:val="07E21FBD"/>
    <w:rsid w:val="08940DDD"/>
    <w:rsid w:val="0962176F"/>
    <w:rsid w:val="0D41049E"/>
    <w:rsid w:val="0DE95727"/>
    <w:rsid w:val="0F0C3DC3"/>
    <w:rsid w:val="0F346E76"/>
    <w:rsid w:val="15AE5E38"/>
    <w:rsid w:val="16B32D77"/>
    <w:rsid w:val="17253C74"/>
    <w:rsid w:val="17A56B63"/>
    <w:rsid w:val="1A0C4C78"/>
    <w:rsid w:val="1C316C17"/>
    <w:rsid w:val="1E095AEF"/>
    <w:rsid w:val="1E480648"/>
    <w:rsid w:val="20C22534"/>
    <w:rsid w:val="21494A03"/>
    <w:rsid w:val="21EB5ABA"/>
    <w:rsid w:val="225C2514"/>
    <w:rsid w:val="235D20DB"/>
    <w:rsid w:val="23636CC4"/>
    <w:rsid w:val="24796CA0"/>
    <w:rsid w:val="267302E9"/>
    <w:rsid w:val="26AE3997"/>
    <w:rsid w:val="2769195B"/>
    <w:rsid w:val="294C08E0"/>
    <w:rsid w:val="2A23225B"/>
    <w:rsid w:val="2C041C52"/>
    <w:rsid w:val="2DAD2309"/>
    <w:rsid w:val="2E3F3416"/>
    <w:rsid w:val="2EA94D33"/>
    <w:rsid w:val="302418E2"/>
    <w:rsid w:val="302E54F0"/>
    <w:rsid w:val="30F06C49"/>
    <w:rsid w:val="3150222C"/>
    <w:rsid w:val="31C07D8B"/>
    <w:rsid w:val="32461216"/>
    <w:rsid w:val="333E722B"/>
    <w:rsid w:val="336A2CE3"/>
    <w:rsid w:val="34927AF5"/>
    <w:rsid w:val="36C546D4"/>
    <w:rsid w:val="370A33EF"/>
    <w:rsid w:val="37A12A4B"/>
    <w:rsid w:val="381B27FE"/>
    <w:rsid w:val="383756BA"/>
    <w:rsid w:val="3AC3717D"/>
    <w:rsid w:val="3B067468"/>
    <w:rsid w:val="3C1F57AA"/>
    <w:rsid w:val="3C6D55F2"/>
    <w:rsid w:val="3CF530CE"/>
    <w:rsid w:val="3D2A188A"/>
    <w:rsid w:val="42512A5B"/>
    <w:rsid w:val="42843695"/>
    <w:rsid w:val="453D3DF1"/>
    <w:rsid w:val="456972E5"/>
    <w:rsid w:val="48627FD5"/>
    <w:rsid w:val="48FC4E0F"/>
    <w:rsid w:val="497447CE"/>
    <w:rsid w:val="49C734B5"/>
    <w:rsid w:val="4B2A6FB1"/>
    <w:rsid w:val="4B3F45FD"/>
    <w:rsid w:val="4B631127"/>
    <w:rsid w:val="4B9033BF"/>
    <w:rsid w:val="4BDC009E"/>
    <w:rsid w:val="4CC74C2B"/>
    <w:rsid w:val="4D4203D5"/>
    <w:rsid w:val="5289067D"/>
    <w:rsid w:val="52BE04FE"/>
    <w:rsid w:val="538E2936"/>
    <w:rsid w:val="54B71721"/>
    <w:rsid w:val="54E30179"/>
    <w:rsid w:val="559612BE"/>
    <w:rsid w:val="56055C3D"/>
    <w:rsid w:val="5613292F"/>
    <w:rsid w:val="56290384"/>
    <w:rsid w:val="56FC7846"/>
    <w:rsid w:val="57C5173E"/>
    <w:rsid w:val="58990865"/>
    <w:rsid w:val="5A7E49A3"/>
    <w:rsid w:val="5C335AB8"/>
    <w:rsid w:val="5C51244E"/>
    <w:rsid w:val="5C657C3C"/>
    <w:rsid w:val="5CF665B3"/>
    <w:rsid w:val="5D1B5E9C"/>
    <w:rsid w:val="5EA84833"/>
    <w:rsid w:val="5F4B4EC7"/>
    <w:rsid w:val="5FCD78EF"/>
    <w:rsid w:val="60272A7D"/>
    <w:rsid w:val="616B7AA3"/>
    <w:rsid w:val="62016DE4"/>
    <w:rsid w:val="62A817CD"/>
    <w:rsid w:val="62E47B0C"/>
    <w:rsid w:val="645A76B7"/>
    <w:rsid w:val="661B5186"/>
    <w:rsid w:val="679A4C3E"/>
    <w:rsid w:val="69787200"/>
    <w:rsid w:val="69A311C6"/>
    <w:rsid w:val="6A2C3D87"/>
    <w:rsid w:val="6AAB0F10"/>
    <w:rsid w:val="6C587BDB"/>
    <w:rsid w:val="6F40431D"/>
    <w:rsid w:val="702C664F"/>
    <w:rsid w:val="719941B8"/>
    <w:rsid w:val="72534367"/>
    <w:rsid w:val="7505505E"/>
    <w:rsid w:val="75840291"/>
    <w:rsid w:val="779F6DB2"/>
    <w:rsid w:val="79224A93"/>
    <w:rsid w:val="793547C6"/>
    <w:rsid w:val="79975E57"/>
    <w:rsid w:val="79E461EC"/>
    <w:rsid w:val="7A035A75"/>
    <w:rsid w:val="7A4A7E8E"/>
    <w:rsid w:val="7A5D7F56"/>
    <w:rsid w:val="7AB4311D"/>
    <w:rsid w:val="7ACF0C4A"/>
    <w:rsid w:val="7B8C66C0"/>
    <w:rsid w:val="7BB059D9"/>
    <w:rsid w:val="7DA600A3"/>
    <w:rsid w:val="7E325D87"/>
    <w:rsid w:val="7E9957F7"/>
    <w:rsid w:val="7EC64112"/>
    <w:rsid w:val="7F8A5140"/>
    <w:rsid w:val="7FFA4074"/>
    <w:rsid w:val="FF9A39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rPr>
  </w:style>
  <w:style w:type="paragraph" w:styleId="3">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4">
    <w:name w:val="heading 3"/>
    <w:basedOn w:val="1"/>
    <w:next w:val="1"/>
    <w:qFormat/>
    <w:uiPriority w:val="0"/>
    <w:pPr>
      <w:keepNext/>
      <w:keepLines/>
      <w:widowControl w:val="0"/>
      <w:spacing w:before="260" w:after="260" w:line="415" w:lineRule="auto"/>
      <w:outlineLvl w:val="2"/>
    </w:pPr>
    <w:rPr>
      <w:b/>
      <w:sz w:val="32"/>
    </w:rPr>
  </w:style>
  <w:style w:type="character" w:default="1" w:styleId="11">
    <w:name w:val="Default Paragraph Font"/>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5">
    <w:name w:val="Salutation"/>
    <w:basedOn w:val="1"/>
    <w:next w:val="6"/>
    <w:qFormat/>
    <w:uiPriority w:val="0"/>
    <w:rPr>
      <w:rFonts w:ascii="Calibri" w:hAnsi="Calibri" w:eastAsia="宋体" w:cs="Times New Roman"/>
    </w:rPr>
  </w:style>
  <w:style w:type="paragraph" w:customStyle="1" w:styleId="6">
    <w:name w:val="正文11"/>
    <w:next w:val="5"/>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2">
    <w:name w:val="List Paragraph"/>
    <w:basedOn w:val="1"/>
    <w:qFormat/>
    <w:uiPriority w:val="0"/>
    <w:pPr>
      <w:ind w:firstLine="200" w:firstLineChars="200"/>
    </w:pPr>
  </w:style>
  <w:style w:type="paragraph" w:customStyle="1" w:styleId="13">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10</Pages>
  <Words>3412</Words>
  <Characters>3693</Characters>
  <Lines>124</Lines>
  <Paragraphs>51</Paragraphs>
  <TotalTime>9</TotalTime>
  <ScaleCrop>false</ScaleCrop>
  <LinksUpToDate>false</LinksUpToDate>
  <CharactersWithSpaces>3772</CharactersWithSpaces>
  <Application>WPS Office_11.8.2.12219_F1E327BC-269C-435d-A152-05C5408002CA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2022-12-30T17:44:00Z</dcterms:created>
  <dc:creator>疯丫头。。</dc:creator>
  <cp:lastModifiedBy>陈海燕</cp:lastModifiedBy>
  <cp:lastPrinted>2018-01-30T17:39:00Z</cp:lastPrinted>
  <dcterms:modified xsi:type="dcterms:W3CDTF">2025-02-17T14:27:48Z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KSOTemplateDocerSaveRecord">
    <vt:lpwstr>eyJoZGlkIjoiNjRhMTAzYWI3NmJiMTIwOTM5Yzk5NjJiZjNhOWFmYmEifQ==</vt:lpwstr>
  </property>
  <property fmtid="{D5CDD505-2E9C-101B-9397-08002B2CF9AE}" pid="4" name="ICV">
    <vt:lpwstr>43299E7F4AAE49E4A58F5F2D7B9116B5_12</vt:lpwstr>
  </property>
</Properties>
</file>