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方正小标宋简体" w:hAnsi="宋体" w:eastAsia="方正小标宋简体" w:cs="Times New Roman"/>
          <w:color w:val="000000"/>
          <w:sz w:val="44"/>
          <w:szCs w:val="44"/>
          <w:lang w:eastAsia="zh-CN"/>
        </w:rPr>
      </w:pPr>
      <w:bookmarkStart w:id="0" w:name="_Toc15377426"/>
      <w:bookmarkStart w:id="1" w:name="_Toc15396598"/>
      <w:bookmarkStart w:id="2" w:name="_Toc15377194"/>
      <w:bookmarkStart w:id="3" w:name="_Toc15396476"/>
      <w:bookmarkStart w:id="4" w:name="_Toc20075968"/>
      <w:bookmarkStart w:id="5" w:name="_Toc15306268"/>
      <w:bookmarkStart w:id="6" w:name="_Toc15378442"/>
      <w:r>
        <w:rPr>
          <w:rFonts w:hint="eastAsia" w:ascii="方正小标宋简体" w:hAnsi="宋体" w:eastAsia="方正小标宋简体" w:cs="Times New Roman"/>
          <w:color w:val="000000"/>
          <w:sz w:val="44"/>
          <w:szCs w:val="44"/>
          <w:lang w:eastAsia="zh-CN"/>
        </w:rPr>
        <w:t>茂县人民法院</w:t>
      </w:r>
      <w:bookmarkEnd w:id="0"/>
      <w:bookmarkEnd w:id="1"/>
      <w:bookmarkEnd w:id="2"/>
      <w:bookmarkEnd w:id="3"/>
      <w:bookmarkEnd w:id="4"/>
      <w:bookmarkEnd w:id="5"/>
      <w:bookmarkEnd w:id="6"/>
    </w:p>
    <w:p>
      <w:pPr>
        <w:jc w:val="center"/>
        <w:rPr>
          <w:rFonts w:hint="eastAsia" w:ascii="方正小标宋简体" w:hAnsi="宋体" w:eastAsia="方正小标宋简体" w:cs="Times New Roman"/>
          <w:color w:val="000000"/>
          <w:sz w:val="44"/>
          <w:szCs w:val="44"/>
          <w:lang w:eastAsia="zh-CN"/>
        </w:rPr>
      </w:pPr>
      <w:r>
        <w:rPr>
          <w:rFonts w:hint="eastAsia" w:ascii="方正小标宋简体" w:hAnsi="宋体" w:eastAsia="方正小标宋简体" w:cs="Times New Roman"/>
          <w:color w:val="000000"/>
          <w:sz w:val="44"/>
          <w:szCs w:val="44"/>
          <w:lang w:eastAsia="zh-CN"/>
        </w:rPr>
        <w:t>2024年部门预算</w:t>
      </w:r>
    </w:p>
    <w:p>
      <w:pPr>
        <w:jc w:val="center"/>
        <w:rPr>
          <w:rFonts w:hint="eastAsia" w:ascii="方正小标宋简体" w:hAnsi="宋体" w:eastAsia="方正小标宋简体" w:cs="Times New Roman"/>
          <w:color w:val="000000"/>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widowControl w:val="0"/>
        <w:adjustRightInd w:val="0"/>
        <w:snapToGrid w:val="0"/>
        <w:spacing w:line="576" w:lineRule="exact"/>
        <w:ind w:firstLine="0"/>
        <w:jc w:val="center"/>
        <w:outlineLvl w:val="0"/>
        <w:rPr>
          <w:rFonts w:ascii="仿宋_GB2312" w:hAnsi="宋体" w:eastAsia="仿宋_GB2312"/>
          <w:b/>
          <w:sz w:val="44"/>
          <w:szCs w:val="44"/>
          <w:lang w:eastAsia="zh-CN"/>
        </w:rPr>
      </w:pPr>
      <w:r>
        <w:rPr>
          <w:rFonts w:hint="eastAsia" w:ascii="方正小标宋简体" w:hAnsi="宋体" w:eastAsia="方正小标宋简体" w:cs="Times New Roman"/>
          <w:color w:val="000000"/>
          <w:kern w:val="2"/>
          <w:sz w:val="44"/>
          <w:szCs w:val="44"/>
          <w:lang w:eastAsia="zh-CN"/>
        </w:rPr>
        <w:t>目</w:t>
      </w:r>
      <w:r>
        <w:rPr>
          <w:rFonts w:ascii="方正小标宋简体" w:hAnsi="宋体" w:eastAsia="方正小标宋简体" w:cs="Times New Roman"/>
          <w:color w:val="000000"/>
          <w:kern w:val="2"/>
          <w:sz w:val="44"/>
          <w:szCs w:val="44"/>
          <w:lang w:eastAsia="zh-CN"/>
        </w:rPr>
        <w:t xml:space="preserve">  </w:t>
      </w:r>
      <w:r>
        <w:rPr>
          <w:rFonts w:hint="eastAsia" w:ascii="方正小标宋简体" w:hAnsi="宋体" w:eastAsia="方正小标宋简体" w:cs="Times New Roman"/>
          <w:color w:val="000000"/>
          <w:kern w:val="2"/>
          <w:sz w:val="44"/>
          <w:szCs w:val="44"/>
          <w:lang w:eastAsia="zh-CN"/>
        </w:rPr>
        <w:t>录</w:t>
      </w:r>
      <w:r>
        <w:rPr>
          <w:rFonts w:ascii="仿宋_GB2312" w:eastAsia="仿宋_GB2312"/>
          <w:sz w:val="32"/>
          <w:szCs w:val="32"/>
          <w:lang w:eastAsia="zh-CN"/>
        </w:rPr>
        <w:fldChar w:fldCharType="begin"/>
      </w:r>
      <w:r>
        <w:rPr>
          <w:rFonts w:ascii="仿宋_GB2312" w:eastAsia="仿宋_GB2312"/>
          <w:sz w:val="32"/>
          <w:szCs w:val="32"/>
          <w:lang w:eastAsia="zh-CN"/>
        </w:rPr>
        <w:instrText xml:space="preserve"> TOC \o "1-3" \h \z \u </w:instrText>
      </w:r>
      <w:r>
        <w:rPr>
          <w:rFonts w:ascii="仿宋_GB2312" w:eastAsia="仿宋_GB2312"/>
          <w:sz w:val="32"/>
          <w:szCs w:val="32"/>
          <w:lang w:eastAsia="zh-CN"/>
        </w:rPr>
        <w:fldChar w:fldCharType="separate"/>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"_Toc42693863" </w:instrText>
      </w:r>
      <w:r>
        <w:fldChar w:fldCharType="separate"/>
      </w:r>
      <w:r>
        <w:rPr>
          <w:rStyle w:val="12"/>
          <w:rFonts w:hint="eastAsia" w:ascii="仿宋_GB2312" w:hAnsi="黑体" w:eastAsia="仿宋_GB2312"/>
          <w:sz w:val="32"/>
          <w:szCs w:val="32"/>
        </w:rPr>
        <w:t>一、基本职能及主要工作</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_Toc42693863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"_Toc42693864" </w:instrText>
      </w:r>
      <w:r>
        <w:fldChar w:fldCharType="separate"/>
      </w:r>
      <w:r>
        <w:rPr>
          <w:rStyle w:val="12"/>
          <w:rFonts w:hint="eastAsia" w:ascii="仿宋_GB2312" w:hAnsi="仿宋" w:eastAsia="仿宋_GB2312"/>
          <w:bCs/>
          <w:sz w:val="32"/>
          <w:szCs w:val="32"/>
          <w:lang w:eastAsia="zh-CN"/>
        </w:rPr>
        <w:t>（一）部门职能简介</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_Toc42693864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"_Toc42693865" </w:instrText>
      </w:r>
      <w:r>
        <w:fldChar w:fldCharType="separate"/>
      </w:r>
      <w:r>
        <w:rPr>
          <w:rStyle w:val="12"/>
          <w:rFonts w:hint="eastAsia" w:ascii="仿宋_GB2312" w:hAnsi="仿宋" w:eastAsia="仿宋_GB2312"/>
          <w:bCs/>
          <w:sz w:val="32"/>
          <w:szCs w:val="32"/>
          <w:lang w:eastAsia="zh-CN"/>
        </w:rPr>
        <w:t>（二）2024年重点工作</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_Toc42693865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"_Toc42693866" </w:instrText>
      </w:r>
      <w:r>
        <w:fldChar w:fldCharType="separate"/>
      </w:r>
      <w:r>
        <w:rPr>
          <w:rStyle w:val="12"/>
          <w:rFonts w:hint="eastAsia" w:ascii="仿宋_GB2312" w:hAnsi="黑体" w:eastAsia="仿宋_GB2312"/>
          <w:sz w:val="32"/>
          <w:szCs w:val="32"/>
        </w:rPr>
        <w:t>二、部门预算单位构成</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_Toc42693866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"_Toc42693867" </w:instrText>
      </w:r>
      <w:r>
        <w:fldChar w:fldCharType="separate"/>
      </w:r>
      <w:r>
        <w:rPr>
          <w:rStyle w:val="12"/>
          <w:rFonts w:hint="eastAsia" w:ascii="仿宋_GB2312" w:eastAsia="仿宋_GB2312"/>
          <w:sz w:val="32"/>
          <w:szCs w:val="32"/>
        </w:rPr>
        <w:t>三、收支预算情况说明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_Toc42693867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"_Toc42693868" </w:instrText>
      </w:r>
      <w:r>
        <w:fldChar w:fldCharType="separate"/>
      </w:r>
      <w:r>
        <w:rPr>
          <w:rStyle w:val="12"/>
          <w:rFonts w:hint="eastAsia" w:ascii="仿宋_GB2312" w:hAnsi="仿宋" w:eastAsia="仿宋_GB2312"/>
          <w:bCs/>
          <w:sz w:val="32"/>
          <w:szCs w:val="32"/>
          <w:lang w:eastAsia="zh-CN"/>
        </w:rPr>
        <w:t>（一）收入预算情况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_Toc42693868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"_Toc42693869" </w:instrText>
      </w:r>
      <w:r>
        <w:fldChar w:fldCharType="separate"/>
      </w:r>
      <w:r>
        <w:rPr>
          <w:rStyle w:val="12"/>
          <w:rFonts w:hint="eastAsia" w:ascii="仿宋_GB2312" w:hAnsi="仿宋" w:eastAsia="仿宋_GB2312"/>
          <w:bCs/>
          <w:sz w:val="32"/>
          <w:szCs w:val="32"/>
          <w:lang w:eastAsia="zh-CN"/>
        </w:rPr>
        <w:t>（二）支出预算情况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_Toc42693869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"_Toc42693870" </w:instrText>
      </w:r>
      <w:r>
        <w:fldChar w:fldCharType="separate"/>
      </w:r>
      <w:r>
        <w:rPr>
          <w:rStyle w:val="12"/>
          <w:rFonts w:hint="eastAsia" w:ascii="仿宋_GB2312" w:hAnsi="黑体" w:eastAsia="仿宋_GB2312"/>
          <w:sz w:val="32"/>
          <w:szCs w:val="32"/>
        </w:rPr>
        <w:t>四、财政拨款收支预算情况说明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_Toc42693870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"_Toc42693871" </w:instrText>
      </w:r>
      <w:r>
        <w:fldChar w:fldCharType="separate"/>
      </w:r>
      <w:r>
        <w:rPr>
          <w:rStyle w:val="12"/>
          <w:rFonts w:hint="eastAsia" w:ascii="仿宋_GB2312" w:hAnsi="黑体" w:eastAsia="仿宋_GB2312"/>
          <w:sz w:val="32"/>
          <w:szCs w:val="32"/>
        </w:rPr>
        <w:t>五、一般公共预算当年拨款情况说明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_Toc42693871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"_Toc42693872" </w:instrText>
      </w:r>
      <w:r>
        <w:fldChar w:fldCharType="separate"/>
      </w:r>
      <w:r>
        <w:rPr>
          <w:rStyle w:val="12"/>
          <w:rFonts w:hint="eastAsia" w:ascii="仿宋_GB2312" w:hAnsi="仿宋" w:eastAsia="仿宋_GB2312"/>
          <w:bCs/>
          <w:sz w:val="32"/>
          <w:szCs w:val="32"/>
          <w:lang w:eastAsia="zh-CN"/>
        </w:rPr>
        <w:t>（一）一般公共预算当年拨款规模变化情况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_Toc42693872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"_Toc42693873" </w:instrText>
      </w:r>
      <w:r>
        <w:fldChar w:fldCharType="separate"/>
      </w:r>
      <w:r>
        <w:rPr>
          <w:rStyle w:val="12"/>
          <w:rFonts w:hint="eastAsia" w:ascii="仿宋_GB2312" w:hAnsi="仿宋" w:eastAsia="仿宋_GB2312"/>
          <w:bCs/>
          <w:sz w:val="32"/>
          <w:szCs w:val="32"/>
          <w:lang w:eastAsia="zh-CN"/>
        </w:rPr>
        <w:t>（二）一般公共预算当年拨款结构情况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_Toc42693873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"_Toc42693874" </w:instrText>
      </w:r>
      <w:r>
        <w:fldChar w:fldCharType="separate"/>
      </w:r>
      <w:r>
        <w:rPr>
          <w:rStyle w:val="12"/>
          <w:rFonts w:hint="eastAsia" w:ascii="仿宋_GB2312" w:hAnsi="仿宋" w:eastAsia="仿宋_GB2312"/>
          <w:bCs/>
          <w:sz w:val="32"/>
          <w:szCs w:val="32"/>
          <w:lang w:eastAsia="zh-CN"/>
        </w:rPr>
        <w:t>（三）一般公共预算当年拨款具体使用情况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_Toc42693874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"_Toc42693875" </w:instrText>
      </w:r>
      <w:r>
        <w:fldChar w:fldCharType="separate"/>
      </w:r>
      <w:r>
        <w:rPr>
          <w:rStyle w:val="12"/>
          <w:rFonts w:hint="eastAsia" w:ascii="仿宋_GB2312" w:hAnsi="黑体" w:eastAsia="仿宋_GB2312"/>
          <w:sz w:val="32"/>
          <w:szCs w:val="32"/>
        </w:rPr>
        <w:t>六、一般公共预算基本支出情况说明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_Toc42693875 \h </w:instrText>
      </w:r>
      <w:r>
        <w:rPr>
          <w:rFonts w:ascii="仿宋_GB2312" w:eastAsia="仿宋_GB2312"/>
          <w:sz w:val="32"/>
          <w:szCs w:val="32"/>
        </w:rPr>
        <w:fldChar w:fldCharType="separate"/>
      </w:r>
      <w:r>
        <w:rPr>
          <w:rFonts w:ascii="仿宋_GB2312" w:eastAsia="仿宋_GB2312"/>
          <w:sz w:val="32"/>
          <w:szCs w:val="32"/>
        </w:rPr>
        <w:t>5</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"_Toc42693876" </w:instrText>
      </w:r>
      <w:r>
        <w:fldChar w:fldCharType="separate"/>
      </w:r>
      <w:r>
        <w:rPr>
          <w:rStyle w:val="12"/>
          <w:rFonts w:hint="eastAsia" w:ascii="仿宋_GB2312" w:hAnsi="黑体" w:eastAsia="仿宋_GB2312"/>
          <w:sz w:val="32"/>
          <w:szCs w:val="32"/>
        </w:rPr>
        <w:t>七、“三公”经费财政拨款预算安排情况说明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"_Toc42693877" </w:instrText>
      </w:r>
      <w:r>
        <w:fldChar w:fldCharType="separate"/>
      </w:r>
      <w:r>
        <w:rPr>
          <w:rStyle w:val="12"/>
          <w:rFonts w:hint="eastAsia" w:ascii="仿宋_GB2312" w:hAnsi="黑体" w:eastAsia="仿宋_GB2312"/>
          <w:sz w:val="32"/>
          <w:szCs w:val="32"/>
        </w:rPr>
        <w:t>八、政府性基金预算支出情况说明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"_Toc42693878" </w:instrText>
      </w:r>
      <w:r>
        <w:fldChar w:fldCharType="separate"/>
      </w:r>
      <w:r>
        <w:rPr>
          <w:rStyle w:val="12"/>
          <w:rFonts w:hint="eastAsia" w:ascii="仿宋_GB2312" w:hAnsi="黑体" w:eastAsia="仿宋_GB2312"/>
          <w:sz w:val="32"/>
          <w:szCs w:val="32"/>
        </w:rPr>
        <w:t>九、其他重要事项的情况说明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"_Toc42693879" </w:instrText>
      </w:r>
      <w:r>
        <w:fldChar w:fldCharType="separate"/>
      </w:r>
      <w:r>
        <w:rPr>
          <w:rStyle w:val="12"/>
          <w:rFonts w:hint="eastAsia" w:ascii="仿宋_GB2312" w:hAnsi="仿宋" w:eastAsia="仿宋_GB2312"/>
          <w:bCs/>
          <w:sz w:val="32"/>
          <w:szCs w:val="32"/>
          <w:lang w:eastAsia="zh-CN"/>
        </w:rPr>
        <w:t>（一）机关运行经费</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"_Toc42693880" </w:instrText>
      </w:r>
      <w:r>
        <w:fldChar w:fldCharType="separate"/>
      </w:r>
      <w:r>
        <w:rPr>
          <w:rStyle w:val="12"/>
          <w:rFonts w:hint="eastAsia" w:ascii="仿宋_GB2312" w:hAnsi="仿宋" w:eastAsia="仿宋_GB2312"/>
          <w:bCs/>
          <w:sz w:val="32"/>
          <w:szCs w:val="32"/>
          <w:lang w:eastAsia="zh-CN"/>
        </w:rPr>
        <w:t>（二）政府采购情况</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"_Toc42693881" </w:instrText>
      </w:r>
      <w:r>
        <w:fldChar w:fldCharType="separate"/>
      </w:r>
      <w:r>
        <w:rPr>
          <w:rStyle w:val="12"/>
          <w:rFonts w:hint="eastAsia" w:ascii="仿宋_GB2312" w:hAnsi="仿宋" w:eastAsia="仿宋_GB2312"/>
          <w:bCs/>
          <w:sz w:val="32"/>
          <w:szCs w:val="32"/>
          <w:lang w:eastAsia="zh-CN"/>
        </w:rPr>
        <w:t>（三）国有资产占有使用情况</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"_Toc42693882" </w:instrText>
      </w:r>
      <w:r>
        <w:fldChar w:fldCharType="separate"/>
      </w:r>
      <w:r>
        <w:rPr>
          <w:rStyle w:val="12"/>
          <w:rFonts w:hint="eastAsia" w:ascii="仿宋_GB2312" w:hAnsi="仿宋" w:eastAsia="仿宋_GB2312"/>
          <w:bCs/>
          <w:sz w:val="32"/>
          <w:szCs w:val="32"/>
          <w:lang w:eastAsia="zh-CN"/>
        </w:rPr>
        <w:t>（四）绩效目标设置情况</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8"/>
        <w:tabs>
          <w:tab w:val="right" w:leader="dot" w:pos="8296"/>
        </w:tabs>
        <w:ind w:left="0" w:leftChars="0" w:firstLine="0"/>
        <w:sectPr>
          <w:footerReference r:id="rId3" w:type="default"/>
          <w:pgSz w:w="11906" w:h="16838"/>
          <w:pgMar w:top="1440" w:right="1800" w:bottom="1440" w:left="1800" w:header="851" w:footer="992" w:gutter="0"/>
          <w:pgNumType w:start="1"/>
          <w:cols w:space="425" w:num="1"/>
          <w:docGrid w:type="lines" w:linePitch="312" w:charSpace="0"/>
        </w:sectPr>
      </w:pPr>
      <w:r>
        <w:fldChar w:fldCharType="begin"/>
      </w:r>
      <w:r>
        <w:instrText xml:space="preserve"> HYPERLINK \l "_Toc42693883" </w:instrText>
      </w:r>
      <w:r>
        <w:fldChar w:fldCharType="separate"/>
      </w:r>
      <w:r>
        <w:rPr>
          <w:rStyle w:val="12"/>
          <w:rFonts w:hint="eastAsia" w:ascii="仿宋_GB2312" w:hAnsi="黑体" w:eastAsia="仿宋_GB2312"/>
          <w:sz w:val="32"/>
          <w:szCs w:val="32"/>
        </w:rPr>
        <w:t>十、名词解释</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hAnsi="黑体" w:eastAsia="黑体"/>
          <w:b w:val="0"/>
          <w:color w:val="000000"/>
        </w:rPr>
      </w:pPr>
      <w:r>
        <w:rPr>
          <w:rFonts w:ascii="仿宋_GB2312" w:eastAsia="仿宋_GB2312"/>
        </w:rPr>
        <w:fldChar w:fldCharType="end"/>
      </w:r>
      <w:bookmarkStart w:id="7" w:name="_Toc42693583"/>
      <w:bookmarkStart w:id="8" w:name="_Toc42693863"/>
      <w:r>
        <w:rPr>
          <w:rFonts w:hint="eastAsia" w:ascii="黑体" w:hAnsi="黑体" w:eastAsia="黑体"/>
          <w:b w:val="0"/>
          <w:color w:val="000000"/>
        </w:rPr>
        <w:t>一、基本职能及主要工作</w:t>
      </w:r>
      <w:bookmarkEnd w:id="7"/>
      <w:bookmarkEnd w:id="8"/>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9" w:name="_Toc42693864"/>
      <w:bookmarkStart w:id="10" w:name="_Toc42693584"/>
      <w:r>
        <w:rPr>
          <w:rFonts w:hint="eastAsia" w:ascii="楷体_GB2312" w:hAnsi="仿宋" w:eastAsia="楷体_GB2312" w:cs="Times New Roman"/>
          <w:b/>
          <w:bCs/>
          <w:color w:val="000000"/>
          <w:kern w:val="2"/>
          <w:sz w:val="32"/>
          <w:szCs w:val="32"/>
          <w:lang w:eastAsia="zh-CN"/>
        </w:rPr>
        <w:t>（一）部门职能简介</w:t>
      </w:r>
      <w:bookmarkEnd w:id="9"/>
      <w:bookmarkEnd w:id="10"/>
    </w:p>
    <w:p>
      <w:pPr>
        <w:pageBreakBefore w:val="0"/>
        <w:widowControl w:val="0"/>
        <w:kinsoku/>
        <w:wordWrap/>
        <w:overflowPunct/>
        <w:topLinePunct w:val="0"/>
        <w:autoSpaceDE/>
        <w:autoSpaceDN/>
        <w:bidi w:val="0"/>
        <w:adjustRightInd/>
        <w:snapToGrid/>
        <w:spacing w:line="576" w:lineRule="exact"/>
        <w:ind w:firstLine="420" w:firstLineChars="200"/>
        <w:jc w:val="both"/>
        <w:textAlignment w:val="auto"/>
        <w:rPr>
          <w:rFonts w:ascii="仿宋_GB2312" w:hAnsi="仿宋" w:eastAsia="仿宋_GB2312" w:cs="Times New Roman"/>
          <w:color w:val="000000"/>
          <w:kern w:val="2"/>
          <w:sz w:val="32"/>
          <w:szCs w:val="32"/>
          <w:lang w:eastAsia="zh-CN"/>
        </w:rPr>
      </w:pPr>
      <w:r>
        <w:rPr>
          <w:rFonts w:hint="eastAsia"/>
          <w:lang w:eastAsia="zh-CN"/>
        </w:rPr>
        <w:t>　</w:t>
      </w: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审判法律规定由基层人民法院管辖的刑事、民事、行政等一审案件。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2.</w:t>
      </w:r>
      <w:r>
        <w:rPr>
          <w:rFonts w:hint="eastAsia" w:ascii="仿宋_GB2312" w:hAnsi="仿宋" w:eastAsia="仿宋_GB2312" w:cs="Times New Roman"/>
          <w:color w:val="000000"/>
          <w:kern w:val="2"/>
          <w:sz w:val="32"/>
          <w:szCs w:val="32"/>
          <w:lang w:eastAsia="zh-CN"/>
        </w:rPr>
        <w:t>处理简易的民事纠纷和轻微的刑事案件。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3.</w:t>
      </w:r>
      <w:r>
        <w:rPr>
          <w:rFonts w:hint="eastAsia" w:ascii="仿宋_GB2312" w:hAnsi="仿宋" w:eastAsia="仿宋_GB2312" w:cs="Times New Roman"/>
          <w:color w:val="000000"/>
          <w:kern w:val="2"/>
          <w:sz w:val="32"/>
          <w:szCs w:val="32"/>
          <w:lang w:eastAsia="zh-CN"/>
        </w:rPr>
        <w:t>指导人民调解委员会的工作。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4.</w:t>
      </w:r>
      <w:r>
        <w:rPr>
          <w:rFonts w:hint="eastAsia" w:ascii="仿宋_GB2312" w:hAnsi="仿宋" w:eastAsia="仿宋_GB2312" w:cs="Times New Roman"/>
          <w:color w:val="000000"/>
          <w:kern w:val="2"/>
          <w:sz w:val="32"/>
          <w:szCs w:val="32"/>
          <w:lang w:eastAsia="zh-CN"/>
        </w:rPr>
        <w:t>审理上级人民法院指令再审的案件，受理不服本院判决裁定的各类申诉和申诉再审等案件。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5.</w:t>
      </w:r>
      <w:r>
        <w:rPr>
          <w:rFonts w:hint="eastAsia" w:ascii="仿宋_GB2312" w:hAnsi="仿宋" w:eastAsia="仿宋_GB2312" w:cs="Times New Roman"/>
          <w:color w:val="000000"/>
          <w:kern w:val="2"/>
          <w:sz w:val="32"/>
          <w:szCs w:val="32"/>
          <w:lang w:eastAsia="zh-CN"/>
        </w:rPr>
        <w:t>对各人民法庭管辖争议的案件指定管辖。</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6.</w:t>
      </w:r>
      <w:r>
        <w:rPr>
          <w:rFonts w:hint="eastAsia" w:ascii="仿宋_GB2312" w:hAnsi="仿宋" w:eastAsia="仿宋_GB2312" w:cs="Times New Roman"/>
          <w:color w:val="000000"/>
          <w:kern w:val="2"/>
          <w:sz w:val="32"/>
          <w:szCs w:val="32"/>
          <w:lang w:eastAsia="zh-CN"/>
        </w:rPr>
        <w:t>监督和指导人民法庭的审判工作。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7.</w:t>
      </w:r>
      <w:r>
        <w:rPr>
          <w:rFonts w:hint="eastAsia" w:ascii="仿宋_GB2312" w:hAnsi="仿宋" w:eastAsia="仿宋_GB2312" w:cs="Times New Roman"/>
          <w:color w:val="000000"/>
          <w:kern w:val="2"/>
          <w:sz w:val="32"/>
          <w:szCs w:val="32"/>
          <w:lang w:eastAsia="zh-CN"/>
        </w:rPr>
        <w:t>针对案件审理中发现的问题提出司法建议。</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8.</w:t>
      </w:r>
      <w:r>
        <w:rPr>
          <w:rFonts w:hint="eastAsia" w:ascii="仿宋_GB2312" w:hAnsi="仿宋" w:eastAsia="仿宋_GB2312" w:cs="Times New Roman"/>
          <w:color w:val="000000"/>
          <w:kern w:val="2"/>
          <w:sz w:val="32"/>
          <w:szCs w:val="32"/>
          <w:lang w:eastAsia="zh-CN"/>
        </w:rPr>
        <w:t>对已生效的各类法律文书有执行内容的进行执行，办理委托、协助执行事宜。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9.</w:t>
      </w:r>
      <w:r>
        <w:rPr>
          <w:rFonts w:hint="eastAsia" w:ascii="仿宋_GB2312" w:hAnsi="仿宋" w:eastAsia="仿宋_GB2312" w:cs="Times New Roman"/>
          <w:color w:val="000000"/>
          <w:kern w:val="2"/>
          <w:sz w:val="32"/>
          <w:szCs w:val="32"/>
          <w:lang w:eastAsia="zh-CN"/>
        </w:rPr>
        <w:t>接待申诉来访，受理应由基层人民法院受理的告诉、申诉等案件。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10.</w:t>
      </w:r>
      <w:r>
        <w:rPr>
          <w:rFonts w:hint="eastAsia" w:ascii="仿宋_GB2312" w:hAnsi="仿宋" w:eastAsia="仿宋_GB2312" w:cs="Times New Roman"/>
          <w:color w:val="000000"/>
          <w:kern w:val="2"/>
          <w:sz w:val="32"/>
          <w:szCs w:val="32"/>
          <w:lang w:eastAsia="zh-CN"/>
        </w:rPr>
        <w:t>负责本院思想、政治、教育、培训工作，按照权限管理法官、执行员、书记员、司法警察以及司法行政人员；协同主管部门管理人民法院机构设置、人员编制工作。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负责本院的经费和物资装备管理。</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12.</w:t>
      </w:r>
      <w:r>
        <w:rPr>
          <w:rFonts w:hint="eastAsia" w:ascii="仿宋_GB2312" w:hAnsi="仿宋" w:eastAsia="仿宋_GB2312" w:cs="Times New Roman"/>
          <w:color w:val="000000"/>
          <w:kern w:val="2"/>
          <w:sz w:val="32"/>
          <w:szCs w:val="32"/>
          <w:lang w:eastAsia="zh-CN"/>
        </w:rPr>
        <w:t>负责本院的纪检监察工作。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13.</w:t>
      </w:r>
      <w:r>
        <w:rPr>
          <w:rFonts w:hint="eastAsia" w:ascii="仿宋_GB2312" w:hAnsi="仿宋" w:eastAsia="仿宋_GB2312" w:cs="Times New Roman"/>
          <w:color w:val="000000"/>
          <w:kern w:val="2"/>
          <w:sz w:val="32"/>
          <w:szCs w:val="32"/>
          <w:lang w:eastAsia="zh-CN"/>
        </w:rPr>
        <w:t>宣传法制、教育公民、忠于社会主义祖国，自觉遵守宪法、法律和社会公德。</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14.</w:t>
      </w:r>
      <w:r>
        <w:rPr>
          <w:rFonts w:hint="eastAsia" w:ascii="仿宋_GB2312" w:hAnsi="仿宋" w:eastAsia="仿宋_GB2312" w:cs="Times New Roman"/>
          <w:color w:val="000000"/>
          <w:kern w:val="2"/>
          <w:sz w:val="32"/>
          <w:szCs w:val="32"/>
          <w:lang w:eastAsia="zh-CN"/>
        </w:rPr>
        <w:t>承办其他应由县人民法院负责的工作。</w:t>
      </w:r>
    </w:p>
    <w:p>
      <w:pPr>
        <w:pStyle w:val="2"/>
        <w:rPr>
          <w:rFonts w:hint="eastAsia"/>
          <w:lang w:eastAsia="zh-CN"/>
        </w:rPr>
      </w:pP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11" w:name="_Toc42693865"/>
      <w:r>
        <w:rPr>
          <w:rFonts w:hint="eastAsia" w:ascii="楷体_GB2312" w:hAnsi="仿宋" w:eastAsia="楷体_GB2312" w:cs="Times New Roman"/>
          <w:b/>
          <w:bCs/>
          <w:color w:val="000000"/>
          <w:kern w:val="2"/>
          <w:sz w:val="32"/>
          <w:szCs w:val="32"/>
          <w:lang w:eastAsia="zh-CN"/>
        </w:rPr>
        <w:t>（二）2024年重点工作</w:t>
      </w:r>
      <w:bookmarkEnd w:id="11"/>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一是深入学习贯彻党的二十大精神，奋力推进新时代新征程人民法院工作高质量发展。</w:t>
      </w:r>
      <w:r>
        <w:rPr>
          <w:rFonts w:hint="default" w:ascii="仿宋_GB2312" w:hAnsi="仿宋" w:eastAsia="仿宋_GB2312" w:cs="Times New Roman"/>
          <w:color w:val="000000"/>
          <w:kern w:val="2"/>
          <w:sz w:val="32"/>
          <w:szCs w:val="32"/>
          <w:lang w:val="en-US" w:eastAsia="zh-CN"/>
        </w:rPr>
        <w:t>始终把党的政治建设摆在首位，</w:t>
      </w:r>
      <w:r>
        <w:rPr>
          <w:rFonts w:hint="eastAsia" w:ascii="仿宋_GB2312" w:hAnsi="仿宋" w:eastAsia="仿宋_GB2312" w:cs="Times New Roman"/>
          <w:color w:val="000000"/>
          <w:kern w:val="2"/>
          <w:sz w:val="32"/>
          <w:szCs w:val="32"/>
          <w:lang w:val="en-US" w:eastAsia="zh-CN"/>
        </w:rPr>
        <w:t>深入贯彻习近平法治思想，认真贯彻落实党的二十大和二十届一中全会精神，不断提升政治判断力、政治领悟力、政治执行力，坚决做到维护核心、绝对忠诚、听党指挥、勇于担当。自觉增强“四个意识”、坚定“四个自信”、做到“两个维护”，</w:t>
      </w:r>
      <w:r>
        <w:rPr>
          <w:rFonts w:hint="default" w:ascii="仿宋_GB2312" w:hAnsi="仿宋" w:eastAsia="仿宋_GB2312" w:cs="Times New Roman"/>
          <w:color w:val="000000"/>
          <w:kern w:val="2"/>
          <w:sz w:val="32"/>
          <w:szCs w:val="32"/>
          <w:lang w:eastAsia="zh-CN"/>
        </w:rPr>
        <w:t>严守政治纪律和政治规矩，严格</w:t>
      </w:r>
      <w:r>
        <w:rPr>
          <w:rFonts w:hint="eastAsia" w:ascii="仿宋_GB2312" w:hAnsi="仿宋" w:eastAsia="仿宋_GB2312" w:cs="Times New Roman"/>
          <w:color w:val="000000"/>
          <w:kern w:val="2"/>
          <w:sz w:val="32"/>
          <w:szCs w:val="32"/>
          <w:lang w:eastAsia="zh-CN"/>
        </w:rPr>
        <w:t>执行</w:t>
      </w:r>
      <w:r>
        <w:rPr>
          <w:rFonts w:hint="default" w:ascii="仿宋_GB2312" w:hAnsi="仿宋" w:eastAsia="仿宋_GB2312" w:cs="Times New Roman"/>
          <w:color w:val="000000"/>
          <w:kern w:val="2"/>
          <w:sz w:val="32"/>
          <w:szCs w:val="32"/>
          <w:lang w:eastAsia="zh-CN"/>
        </w:rPr>
        <w:t>重大事项请示报</w:t>
      </w:r>
      <w:r>
        <w:rPr>
          <w:rFonts w:hint="default" w:ascii="仿宋_GB2312" w:hAnsi="仿宋" w:eastAsia="仿宋_GB2312" w:cs="Times New Roman"/>
          <w:color w:val="000000"/>
          <w:kern w:val="2"/>
          <w:sz w:val="32"/>
          <w:szCs w:val="32"/>
          <w:lang w:val="en-US" w:eastAsia="zh-CN"/>
        </w:rPr>
        <w:t>告制度，</w:t>
      </w:r>
      <w:r>
        <w:rPr>
          <w:rFonts w:hint="eastAsia" w:ascii="仿宋_GB2312" w:hAnsi="仿宋" w:eastAsia="仿宋_GB2312" w:cs="Times New Roman"/>
          <w:color w:val="000000"/>
          <w:kern w:val="2"/>
          <w:sz w:val="32"/>
          <w:szCs w:val="32"/>
          <w:lang w:val="en-US" w:eastAsia="zh-CN"/>
        </w:rPr>
        <w:t>自觉接受人大政协监督、认真接受检察机关监督、广泛接受社会公众监督，努力在新的赶考之路上向党和人民交出更加优异的答卷。</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二是全面围绕“六个茂县”建设</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坚定不移服务保障全县经济社会高质量发展。紧扣全县中心工作，完整准确全面贯彻新发展理念，以“六个全力”构建与“六个茂县”发展战略相适应的司法服务保障体系：全力开展环境资源审判体制机制改革，积极构建多元共治的工作格局，让环资审判优势持续护航“生态茂县”建设。全力发挥刑事审判惩教职能，常态化开展扫黑除恶斗争，严厉打击电信网络诈骗犯罪和毒品犯罪，让刑事审判重拳维护“和谐茂县”建设；</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仿宋" w:eastAsia="仿宋_GB2312" w:cs="Times New Roman"/>
          <w:color w:val="000000"/>
          <w:kern w:val="2"/>
          <w:sz w:val="32"/>
          <w:szCs w:val="32"/>
          <w:lang w:val="en-US" w:eastAsia="zh-CN"/>
        </w:rPr>
        <w:t>三是立足司法本职、提升效率质量，坚持不懈提升新时代司法服务能力水平。坚持实事求是、有错必纠、教育与惩罚相结合的原则，聚焦执</w:t>
      </w:r>
      <w:r>
        <w:rPr>
          <w:rFonts w:hint="eastAsia" w:ascii="仿宋_GB2312" w:hAnsi="Calibri" w:eastAsia="仿宋_GB2312" w:cs="Times New Roman"/>
          <w:kern w:val="2"/>
          <w:sz w:val="32"/>
          <w:szCs w:val="32"/>
          <w:lang w:val="en-US" w:eastAsia="zh-CN" w:bidi="ar-SA"/>
        </w:rPr>
        <w:t>法办案主责主业，实行例会通报制度，及时分析审判动态，找准短板，制定均衡收结案计划，提高办案效率。</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2" w:name="_Toc42693866"/>
      <w:r>
        <w:rPr>
          <w:rFonts w:hint="eastAsia" w:ascii="黑体" w:hAnsi="黑体" w:eastAsia="黑体" w:cs="Times New Roman"/>
          <w:b w:val="0"/>
          <w:color w:val="000000"/>
        </w:rPr>
        <w:t>二、部门预算单位构成</w:t>
      </w:r>
      <w:bookmarkEnd w:id="12"/>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茂县人民法院属一级预算单位</w:t>
      </w:r>
      <w:r>
        <w:rPr>
          <w:rFonts w:hint="eastAsia" w:ascii="仿宋_GB2312" w:hAnsi="仿宋" w:eastAsia="仿宋_GB2312" w:cs="Times New Roman"/>
          <w:color w:val="000000"/>
          <w:kern w:val="2"/>
          <w:sz w:val="32"/>
          <w:szCs w:val="32"/>
          <w:lang w:val="en-US" w:eastAsia="zh-CN"/>
        </w:rPr>
        <w:t>,无下属二级预算单位。茂县人民法院机关总编制64名，其中：行政编制61名，工勤编制3名。在职人员总数61人，其中：行政人员在职58人，工勤在职3人。空编3名，其中：行政编制3名。茂县人民法院离退休人员25人，其中：离休1人，退休24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3" w:name="_Toc42693867"/>
      <w:r>
        <w:rPr>
          <w:rFonts w:hint="eastAsia" w:ascii="黑体" w:hAnsi="黑体" w:eastAsia="黑体" w:cs="Times New Roman"/>
          <w:b w:val="0"/>
          <w:color w:val="000000"/>
        </w:rPr>
        <w:t>三、收支预算情况说明</w:t>
      </w:r>
      <w:bookmarkEnd w:id="13"/>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sz w:val="32"/>
          <w:szCs w:val="32"/>
        </w:rPr>
      </w:pPr>
      <w:r>
        <w:rPr>
          <w:rFonts w:hint="eastAsia" w:ascii="仿宋_GB2312" w:hAnsi="仿宋" w:eastAsia="仿宋_GB2312" w:cs="Times New Roman"/>
          <w:color w:val="000000"/>
          <w:kern w:val="2"/>
          <w:sz w:val="32"/>
          <w:szCs w:val="32"/>
          <w:lang w:eastAsia="zh-CN"/>
        </w:rPr>
        <w:t>按照综合预算的原则，茂县人民法院</w:t>
      </w:r>
      <w:r>
        <w:rPr>
          <w:rFonts w:hint="eastAsia" w:ascii="仿宋_GB2312" w:hAnsi="仿宋" w:eastAsia="仿宋_GB2312" w:cs="Times New Roman"/>
          <w:color w:val="000000"/>
          <w:kern w:val="2"/>
          <w:sz w:val="32"/>
          <w:szCs w:val="32"/>
          <w:lang w:val="en-US" w:eastAsia="zh-CN"/>
        </w:rPr>
        <w:t>2024年</w:t>
      </w:r>
      <w:r>
        <w:rPr>
          <w:rFonts w:hint="eastAsia" w:ascii="仿宋_GB2312" w:hAnsi="仿宋" w:eastAsia="仿宋_GB2312" w:cs="Times New Roman"/>
          <w:color w:val="000000"/>
          <w:kern w:val="2"/>
          <w:sz w:val="32"/>
          <w:szCs w:val="32"/>
          <w:lang w:eastAsia="zh-CN"/>
        </w:rPr>
        <w:t>所有收入和支出均纳入部门预算管理。收入包括：一般公共预算拨款收入</w:t>
      </w:r>
      <w:r>
        <w:rPr>
          <w:rFonts w:hint="eastAsia" w:ascii="仿宋_GB2312" w:hAnsi="仿宋" w:eastAsia="仿宋_GB2312" w:cs="Times New Roman"/>
          <w:color w:val="000000"/>
          <w:kern w:val="2"/>
          <w:sz w:val="32"/>
          <w:szCs w:val="32"/>
          <w:lang w:val="en-US" w:eastAsia="zh-CN"/>
        </w:rPr>
        <w:t>1400.86万</w:t>
      </w:r>
      <w:r>
        <w:rPr>
          <w:rFonts w:hint="eastAsia" w:ascii="仿宋_GB2312" w:hAnsi="仿宋" w:eastAsia="仿宋_GB2312" w:cs="Times New Roman"/>
          <w:color w:val="000000"/>
          <w:kern w:val="2"/>
          <w:sz w:val="32"/>
          <w:szCs w:val="32"/>
          <w:lang w:eastAsia="zh-CN"/>
        </w:rPr>
        <w:t>元；支出包括：公共安全支出1025.14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元；社会保障和就业支出200.87</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元，卫生健康支出76.99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元，住房保障支出97.56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14" w:name="_Toc42693868"/>
      <w:r>
        <w:rPr>
          <w:rFonts w:hint="eastAsia" w:ascii="楷体_GB2312" w:hAnsi="仿宋" w:eastAsia="楷体_GB2312" w:cs="Times New Roman"/>
          <w:b/>
          <w:bCs/>
          <w:color w:val="000000"/>
          <w:kern w:val="2"/>
          <w:sz w:val="32"/>
          <w:szCs w:val="32"/>
          <w:lang w:eastAsia="zh-CN"/>
        </w:rPr>
        <w:t>（一）收入预算情况</w:t>
      </w:r>
      <w:bookmarkEnd w:id="14"/>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2024年收入预算</w:t>
      </w:r>
      <w:r>
        <w:rPr>
          <w:rFonts w:hint="eastAsia" w:ascii="仿宋_GB2312" w:hAnsi="仿宋" w:eastAsia="仿宋_GB2312" w:cs="Times New Roman"/>
          <w:color w:val="000000"/>
          <w:kern w:val="2"/>
          <w:sz w:val="32"/>
          <w:szCs w:val="32"/>
          <w:lang w:val="en-US" w:eastAsia="zh-CN"/>
        </w:rPr>
        <w:t>1400.86万</w:t>
      </w:r>
      <w:r>
        <w:rPr>
          <w:rFonts w:hint="eastAsia" w:ascii="仿宋_GB2312" w:hAnsi="仿宋" w:eastAsia="仿宋_GB2312" w:cs="Times New Roman"/>
          <w:color w:val="000000"/>
          <w:kern w:val="2"/>
          <w:sz w:val="32"/>
          <w:szCs w:val="32"/>
          <w:lang w:eastAsia="zh-CN"/>
        </w:rPr>
        <w:t>元；一般公共预算拨款收入</w:t>
      </w:r>
      <w:r>
        <w:rPr>
          <w:rFonts w:hint="eastAsia" w:ascii="仿宋_GB2312" w:hAnsi="仿宋" w:eastAsia="仿宋_GB2312" w:cs="Times New Roman"/>
          <w:color w:val="000000"/>
          <w:kern w:val="2"/>
          <w:sz w:val="32"/>
          <w:szCs w:val="32"/>
          <w:lang w:val="en-US" w:eastAsia="zh-CN"/>
        </w:rPr>
        <w:t>1400.86万</w:t>
      </w:r>
      <w:r>
        <w:rPr>
          <w:rFonts w:hint="eastAsia" w:ascii="仿宋_GB2312" w:hAnsi="仿宋" w:eastAsia="仿宋_GB2312" w:cs="Times New Roman"/>
          <w:color w:val="000000"/>
          <w:kern w:val="2"/>
          <w:sz w:val="32"/>
          <w:szCs w:val="32"/>
          <w:lang w:eastAsia="zh-CN"/>
        </w:rPr>
        <w:t>元，占</w:t>
      </w:r>
      <w:r>
        <w:rPr>
          <w:rFonts w:ascii="仿宋_GB2312" w:hAnsi="仿宋" w:eastAsia="仿宋_GB2312" w:cs="Times New Roman"/>
          <w:color w:val="000000"/>
          <w:kern w:val="2"/>
          <w:sz w:val="32"/>
          <w:szCs w:val="32"/>
          <w:lang w:eastAsia="zh-CN"/>
        </w:rPr>
        <w:t>100.00%</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15" w:name="_Toc42693869"/>
      <w:r>
        <w:rPr>
          <w:rFonts w:hint="eastAsia" w:ascii="楷体_GB2312" w:hAnsi="仿宋" w:eastAsia="楷体_GB2312" w:cs="Times New Roman"/>
          <w:b/>
          <w:bCs/>
          <w:color w:val="000000"/>
          <w:kern w:val="2"/>
          <w:sz w:val="32"/>
          <w:szCs w:val="32"/>
          <w:lang w:eastAsia="zh-CN"/>
        </w:rPr>
        <w:t>（二）支出预算情况</w:t>
      </w:r>
      <w:bookmarkEnd w:id="15"/>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楷体" w:hAnsi="楷体" w:eastAsia="楷体"/>
          <w:sz w:val="32"/>
          <w:szCs w:val="32"/>
        </w:rPr>
      </w:pPr>
      <w:r>
        <w:rPr>
          <w:rFonts w:hint="eastAsia" w:ascii="仿宋_GB2312" w:hAnsi="仿宋" w:eastAsia="仿宋_GB2312" w:cs="Times New Roman"/>
          <w:color w:val="000000"/>
          <w:kern w:val="2"/>
          <w:sz w:val="32"/>
          <w:szCs w:val="32"/>
          <w:lang w:eastAsia="zh-CN"/>
        </w:rPr>
        <w:t>2024年支出预算</w:t>
      </w:r>
      <w:r>
        <w:rPr>
          <w:rFonts w:hint="eastAsia" w:ascii="仿宋_GB2312" w:hAnsi="仿宋" w:eastAsia="仿宋_GB2312" w:cs="Times New Roman"/>
          <w:color w:val="000000"/>
          <w:kern w:val="2"/>
          <w:sz w:val="32"/>
          <w:szCs w:val="32"/>
          <w:lang w:val="en-US" w:eastAsia="zh-CN"/>
        </w:rPr>
        <w:t>1400.86万</w:t>
      </w:r>
      <w:r>
        <w:rPr>
          <w:rFonts w:hint="eastAsia" w:ascii="仿宋_GB2312" w:hAnsi="仿宋" w:eastAsia="仿宋_GB2312" w:cs="Times New Roman"/>
          <w:color w:val="000000"/>
          <w:kern w:val="2"/>
          <w:sz w:val="32"/>
          <w:szCs w:val="32"/>
          <w:lang w:eastAsia="zh-CN"/>
        </w:rPr>
        <w:t>元，其中：基本支出1372.56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r>
        <w:rPr>
          <w:rFonts w:hint="eastAsia" w:ascii="仿宋_GB2312" w:hAnsi="仿宋" w:eastAsia="仿宋_GB2312" w:cs="Times New Roman"/>
          <w:color w:val="000000"/>
          <w:kern w:val="2"/>
          <w:sz w:val="32"/>
          <w:szCs w:val="32"/>
          <w:lang w:val="en-US" w:eastAsia="zh-CN"/>
        </w:rPr>
        <w:t>占比97.98</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，项目支出</w:t>
      </w:r>
      <w:r>
        <w:rPr>
          <w:rFonts w:hint="eastAsia" w:ascii="仿宋_GB2312" w:hAnsi="仿宋" w:eastAsia="仿宋_GB2312" w:cs="Times New Roman"/>
          <w:color w:val="000000"/>
          <w:kern w:val="2"/>
          <w:sz w:val="32"/>
          <w:szCs w:val="32"/>
          <w:lang w:val="en-US" w:eastAsia="zh-CN"/>
        </w:rPr>
        <w:t>预算28万元，占比2.02%</w:t>
      </w:r>
      <w:r>
        <w:rPr>
          <w:rFonts w:hint="eastAsia" w:ascii="仿宋_GB2312" w:hAnsi="仿宋" w:eastAsia="仿宋_GB2312" w:cs="Times New Roman"/>
          <w:color w:val="000000"/>
          <w:kern w:val="2"/>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6" w:name="_Toc42693870"/>
      <w:r>
        <w:rPr>
          <w:rFonts w:hint="eastAsia" w:ascii="黑体" w:hAnsi="黑体" w:eastAsia="黑体" w:cs="Times New Roman"/>
          <w:b w:val="0"/>
          <w:color w:val="000000"/>
        </w:rPr>
        <w:t>四、财政拨款收支预算情况说明</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茂县人民法院</w:t>
      </w:r>
      <w:r>
        <w:rPr>
          <w:rFonts w:hint="eastAsia" w:ascii="仿宋_GB2312" w:hAnsi="仿宋" w:eastAsia="仿宋_GB2312" w:cs="Times New Roman"/>
          <w:color w:val="000000"/>
          <w:kern w:val="2"/>
          <w:sz w:val="32"/>
          <w:szCs w:val="32"/>
          <w:lang w:eastAsia="zh-CN"/>
        </w:rPr>
        <w:t>2024年财政拨款收支总预算</w:t>
      </w:r>
      <w:r>
        <w:rPr>
          <w:rFonts w:hint="eastAsia" w:ascii="仿宋_GB2312" w:hAnsi="仿宋" w:eastAsia="仿宋_GB2312" w:cs="Times New Roman"/>
          <w:color w:val="000000"/>
          <w:kern w:val="2"/>
          <w:sz w:val="32"/>
          <w:szCs w:val="32"/>
          <w:lang w:val="en-US" w:eastAsia="zh-CN"/>
        </w:rPr>
        <w:t>1400.86</w:t>
      </w:r>
      <w:r>
        <w:rPr>
          <w:rFonts w:hint="eastAsia" w:ascii="仿宋_GB2312" w:hAnsi="仿宋" w:eastAsia="仿宋_GB2312" w:cs="Times New Roman"/>
          <w:color w:val="000000"/>
          <w:kern w:val="2"/>
          <w:sz w:val="32"/>
          <w:szCs w:val="32"/>
          <w:lang w:eastAsia="zh-CN"/>
        </w:rPr>
        <w:t>万</w:t>
      </w:r>
      <w:r>
        <w:rPr>
          <w:rFonts w:hint="eastAsia" w:ascii="仿宋_GB2312" w:hAnsi="仿宋" w:eastAsia="仿宋_GB2312" w:cs="Times New Roman"/>
          <w:color w:val="000000"/>
          <w:kern w:val="2"/>
          <w:sz w:val="32"/>
          <w:szCs w:val="32"/>
          <w:lang w:val="en-US" w:eastAsia="zh-CN"/>
        </w:rPr>
        <w:t>元</w:t>
      </w:r>
      <w:r>
        <w:rPr>
          <w:rFonts w:hint="eastAsia" w:ascii="仿宋_GB2312" w:hAnsi="仿宋" w:eastAsia="仿宋_GB2312" w:cs="Times New Roman"/>
          <w:color w:val="000000"/>
          <w:kern w:val="2"/>
          <w:sz w:val="32"/>
          <w:szCs w:val="32"/>
          <w:lang w:eastAsia="zh-CN"/>
        </w:rPr>
        <w:t>，比202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年财政拨款收支总预算减少</w:t>
      </w:r>
      <w:r>
        <w:rPr>
          <w:rFonts w:hint="eastAsia" w:ascii="仿宋_GB2312" w:hAnsi="仿宋" w:eastAsia="仿宋_GB2312" w:cs="Times New Roman"/>
          <w:color w:val="000000"/>
          <w:kern w:val="2"/>
          <w:sz w:val="32"/>
          <w:szCs w:val="32"/>
          <w:lang w:val="en-US" w:eastAsia="zh-CN"/>
        </w:rPr>
        <w:t>115.04</w:t>
      </w:r>
      <w:r>
        <w:rPr>
          <w:rFonts w:hint="eastAsia" w:ascii="仿宋_GB2312" w:hAnsi="仿宋" w:eastAsia="仿宋_GB2312" w:cs="Times New Roman"/>
          <w:color w:val="000000"/>
          <w:kern w:val="2"/>
          <w:sz w:val="32"/>
          <w:szCs w:val="32"/>
          <w:lang w:eastAsia="zh-CN"/>
        </w:rPr>
        <w:t>万元，主要原因:人员减少</w:t>
      </w:r>
      <w:r>
        <w:rPr>
          <w:rFonts w:hint="eastAsia" w:ascii="仿宋_GB2312" w:hAnsi="仿宋" w:eastAsia="仿宋_GB2312" w:cs="Times New Roman"/>
          <w:color w:val="00000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收入包括：本年一般公共预算拨款收入</w:t>
      </w:r>
      <w:r>
        <w:rPr>
          <w:rFonts w:hint="eastAsia" w:ascii="仿宋_GB2312" w:hAnsi="仿宋" w:eastAsia="仿宋_GB2312" w:cs="Times New Roman"/>
          <w:color w:val="000000"/>
          <w:kern w:val="2"/>
          <w:sz w:val="32"/>
          <w:szCs w:val="32"/>
          <w:lang w:val="en-US" w:eastAsia="zh-CN"/>
        </w:rPr>
        <w:t>1400.86</w:t>
      </w:r>
      <w:r>
        <w:rPr>
          <w:rFonts w:hint="eastAsia" w:ascii="仿宋_GB2312" w:hAnsi="仿宋" w:eastAsia="仿宋_GB2312" w:cs="Times New Roman"/>
          <w:color w:val="000000"/>
          <w:kern w:val="2"/>
          <w:sz w:val="32"/>
          <w:szCs w:val="32"/>
          <w:lang w:eastAsia="zh-CN"/>
        </w:rPr>
        <w:t>万</w:t>
      </w:r>
      <w:r>
        <w:rPr>
          <w:rFonts w:hint="eastAsia" w:ascii="仿宋_GB2312" w:hAnsi="仿宋" w:eastAsia="仿宋_GB2312" w:cs="Times New Roman"/>
          <w:color w:val="000000"/>
          <w:kern w:val="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支出包括：公共安全支出1025.14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元；社会保障和就业支出200.87</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元，卫生健康支出76.99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元，住房保障支出97.56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7" w:name="_Toc42693871"/>
      <w:r>
        <w:rPr>
          <w:rFonts w:hint="eastAsia" w:ascii="黑体" w:hAnsi="黑体" w:eastAsia="黑体" w:cs="Times New Roman"/>
          <w:b w:val="0"/>
          <w:color w:val="000000"/>
        </w:rPr>
        <w:t>一般公共预算当年拨款情况说明</w:t>
      </w:r>
      <w:bookmarkEnd w:id="17"/>
      <w:bookmarkStart w:id="18" w:name="_Toc4269387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3" w:firstLineChars="200"/>
        <w:textAlignment w:val="auto"/>
        <w:rPr>
          <w:rFonts w:ascii="楷体_GB2312" w:hAnsi="楷体_GB2312" w:eastAsia="楷体_GB2312" w:cs="楷体_GB2312"/>
          <w:b/>
          <w:bCs/>
          <w:kern w:val="2"/>
          <w:sz w:val="32"/>
          <w:szCs w:val="32"/>
          <w:lang w:eastAsia="zh-CN"/>
        </w:rPr>
      </w:pPr>
      <w:r>
        <w:rPr>
          <w:rFonts w:hint="eastAsia" w:ascii="楷体_GB2312" w:hAnsi="仿宋" w:eastAsia="楷体_GB2312" w:cs="Times New Roman"/>
          <w:b/>
          <w:bCs/>
          <w:color w:val="000000"/>
          <w:kern w:val="2"/>
          <w:sz w:val="32"/>
          <w:szCs w:val="32"/>
          <w:lang w:eastAsia="zh-CN"/>
        </w:rPr>
        <w:t>（一）一般公共预算当年拨款规模变化情况</w:t>
      </w:r>
      <w:bookmarkEnd w:id="18"/>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茂县人民法院</w:t>
      </w:r>
      <w:r>
        <w:rPr>
          <w:rFonts w:hint="eastAsia" w:ascii="仿宋_GB2312" w:hAnsi="仿宋" w:eastAsia="仿宋_GB2312" w:cs="Times New Roman"/>
          <w:color w:val="000000"/>
          <w:kern w:val="2"/>
          <w:sz w:val="32"/>
          <w:szCs w:val="32"/>
          <w:lang w:eastAsia="zh-CN"/>
        </w:rPr>
        <w:t>2024年财政拨款收支总预算</w:t>
      </w:r>
      <w:r>
        <w:rPr>
          <w:rFonts w:hint="eastAsia" w:ascii="仿宋_GB2312" w:hAnsi="仿宋" w:eastAsia="仿宋_GB2312" w:cs="Times New Roman"/>
          <w:color w:val="000000"/>
          <w:kern w:val="2"/>
          <w:sz w:val="32"/>
          <w:szCs w:val="32"/>
          <w:lang w:val="en-US" w:eastAsia="zh-CN"/>
        </w:rPr>
        <w:t>1400.86</w:t>
      </w:r>
      <w:r>
        <w:rPr>
          <w:rFonts w:hint="eastAsia" w:ascii="仿宋_GB2312" w:hAnsi="仿宋" w:eastAsia="仿宋_GB2312" w:cs="Times New Roman"/>
          <w:color w:val="000000"/>
          <w:kern w:val="2"/>
          <w:sz w:val="32"/>
          <w:szCs w:val="32"/>
          <w:lang w:eastAsia="zh-CN"/>
        </w:rPr>
        <w:t>万</w:t>
      </w:r>
      <w:r>
        <w:rPr>
          <w:rFonts w:hint="eastAsia" w:ascii="仿宋_GB2312" w:hAnsi="仿宋" w:eastAsia="仿宋_GB2312" w:cs="Times New Roman"/>
          <w:color w:val="000000"/>
          <w:kern w:val="2"/>
          <w:sz w:val="32"/>
          <w:szCs w:val="32"/>
          <w:lang w:val="en-US" w:eastAsia="zh-CN"/>
        </w:rPr>
        <w:t>元</w:t>
      </w:r>
      <w:r>
        <w:rPr>
          <w:rFonts w:hint="eastAsia" w:ascii="仿宋_GB2312" w:hAnsi="仿宋" w:eastAsia="仿宋_GB2312" w:cs="Times New Roman"/>
          <w:color w:val="000000"/>
          <w:kern w:val="2"/>
          <w:sz w:val="32"/>
          <w:szCs w:val="32"/>
          <w:lang w:eastAsia="zh-CN"/>
        </w:rPr>
        <w:t>，比202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年财政拨款收支总预算减少</w:t>
      </w:r>
      <w:r>
        <w:rPr>
          <w:rFonts w:hint="eastAsia" w:ascii="仿宋_GB2312" w:hAnsi="仿宋" w:eastAsia="仿宋_GB2312" w:cs="Times New Roman"/>
          <w:color w:val="000000"/>
          <w:kern w:val="2"/>
          <w:sz w:val="32"/>
          <w:szCs w:val="32"/>
          <w:lang w:val="en-US" w:eastAsia="zh-CN"/>
        </w:rPr>
        <w:t>115.04</w:t>
      </w:r>
      <w:r>
        <w:rPr>
          <w:rFonts w:hint="eastAsia" w:ascii="仿宋_GB2312" w:hAnsi="仿宋" w:eastAsia="仿宋_GB2312" w:cs="Times New Roman"/>
          <w:color w:val="000000"/>
          <w:kern w:val="2"/>
          <w:sz w:val="32"/>
          <w:szCs w:val="32"/>
          <w:lang w:eastAsia="zh-CN"/>
        </w:rPr>
        <w:t>万元，主要原因:人员减少</w:t>
      </w:r>
    </w:p>
    <w:p>
      <w:pPr>
        <w:pageBreakBefore w:val="0"/>
        <w:widowControl w:val="0"/>
        <w:kinsoku/>
        <w:wordWrap/>
        <w:overflowPunct/>
        <w:topLinePunct w:val="0"/>
        <w:autoSpaceDE/>
        <w:autoSpaceDN/>
        <w:bidi w:val="0"/>
        <w:adjustRightInd/>
        <w:snapToGrid/>
        <w:spacing w:line="576" w:lineRule="exact"/>
        <w:ind w:firstLine="420" w:firstLineChars="200"/>
        <w:jc w:val="both"/>
        <w:textAlignment w:val="auto"/>
        <w:rPr>
          <w:lang w:eastAsia="zh-CN"/>
        </w:rPr>
      </w:pPr>
      <w:r>
        <w:rPr>
          <w:rFonts w:hint="eastAsia"/>
          <w:lang w:eastAsia="zh-CN"/>
        </w:rPr>
        <w:t>　</w:t>
      </w:r>
      <w:bookmarkStart w:id="19" w:name="_Toc42693873"/>
      <w:r>
        <w:rPr>
          <w:rFonts w:hint="eastAsia" w:ascii="楷体_GB2312" w:hAnsi="仿宋" w:eastAsia="楷体_GB2312" w:cs="Times New Roman"/>
          <w:b/>
          <w:bCs/>
          <w:color w:val="000000"/>
          <w:kern w:val="2"/>
          <w:sz w:val="32"/>
          <w:szCs w:val="32"/>
          <w:lang w:eastAsia="zh-CN"/>
        </w:rPr>
        <w:t>（二）一般公共预算当年拨款结构情况</w:t>
      </w:r>
      <w:bookmarkEnd w:id="19"/>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公共安全支出1025.14</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73.18</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；社会保障和就业支出200.87</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14.34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；卫生健康支出76.99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5.5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；住房保障支出97.56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6.98</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20" w:name="_Toc42693874"/>
      <w:r>
        <w:rPr>
          <w:rFonts w:hint="eastAsia" w:ascii="楷体_GB2312" w:hAnsi="仿宋" w:eastAsia="楷体_GB2312" w:cs="Times New Roman"/>
          <w:b/>
          <w:bCs/>
          <w:color w:val="000000"/>
          <w:kern w:val="2"/>
          <w:sz w:val="32"/>
          <w:szCs w:val="32"/>
          <w:lang w:eastAsia="zh-CN"/>
        </w:rPr>
        <w:t>（三）一般公共预算当年拨款具体使用情况</w:t>
      </w:r>
      <w:bookmarkEnd w:id="20"/>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ascii="仿宋_GB2312" w:hAnsi="仿宋" w:eastAsia="仿宋_GB2312" w:cs="Times New Roman"/>
          <w:color w:val="000000"/>
          <w:kern w:val="2"/>
          <w:sz w:val="32"/>
          <w:szCs w:val="32"/>
          <w:lang w:eastAsia="zh-CN"/>
        </w:rPr>
        <w:t>204</w:t>
      </w:r>
      <w:r>
        <w:rPr>
          <w:rFonts w:hint="eastAsia" w:ascii="仿宋_GB2312" w:hAnsi="仿宋" w:eastAsia="仿宋_GB2312" w:cs="Times New Roman"/>
          <w:color w:val="000000"/>
          <w:kern w:val="2"/>
          <w:sz w:val="32"/>
          <w:szCs w:val="32"/>
          <w:lang w:eastAsia="zh-CN"/>
        </w:rPr>
        <w:t>）法院（</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）行政运行（</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）2024年预算数为997.14</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单位2024年的人员经费和日常公用经费等基本支出。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2</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）机关事业单位基本养老保险缴费支出（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）2024年预算数为133.92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3</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）机关事业单位职业年金缴费支出（</w:t>
      </w:r>
      <w:r>
        <w:rPr>
          <w:rFonts w:ascii="仿宋_GB2312" w:hAnsi="仿宋" w:eastAsia="仿宋_GB2312" w:cs="Times New Roman"/>
          <w:color w:val="000000"/>
          <w:kern w:val="2"/>
          <w:sz w:val="32"/>
          <w:szCs w:val="32"/>
          <w:lang w:eastAsia="zh-CN"/>
        </w:rPr>
        <w:t>06</w:t>
      </w:r>
      <w:r>
        <w:rPr>
          <w:rFonts w:hint="eastAsia" w:ascii="仿宋_GB2312" w:hAnsi="仿宋" w:eastAsia="仿宋_GB2312" w:cs="Times New Roman"/>
          <w:color w:val="000000"/>
          <w:kern w:val="2"/>
          <w:sz w:val="32"/>
          <w:szCs w:val="32"/>
          <w:lang w:eastAsia="zh-CN"/>
        </w:rPr>
        <w:t>）2024年预算数为66.96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）行政单位医疗（</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）2024年预算数为58.6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）公务员医疗补助（</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）2024年预算数为18.39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6.住房保障支出（221）住房改革支出（02）住房公积金（01）</w:t>
      </w:r>
      <w:r>
        <w:rPr>
          <w:rFonts w:hint="eastAsia" w:ascii="仿宋_GB2312" w:hAnsi="仿宋" w:eastAsia="仿宋_GB2312" w:cs="Times New Roman"/>
          <w:color w:val="000000"/>
          <w:kern w:val="2"/>
          <w:sz w:val="32"/>
          <w:szCs w:val="32"/>
          <w:lang w:eastAsia="zh-CN"/>
        </w:rPr>
        <w:t>2024年预算数为97.56</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元，主要用于单位为职工缴纳住房公积金。</w:t>
      </w:r>
    </w:p>
    <w:p>
      <w:pPr>
        <w:pStyle w:val="2"/>
        <w:rPr>
          <w:rFonts w:hint="default" w:ascii="仿宋_GB2312" w:hAnsi="仿宋" w:eastAsia="仿宋_GB2312" w:cs="Times New Roman"/>
          <w:b w:val="0"/>
          <w:bCs/>
          <w:color w:val="000000"/>
          <w:kern w:val="2"/>
          <w:sz w:val="32"/>
          <w:szCs w:val="32"/>
          <w:lang w:val="en-US" w:eastAsia="zh-CN"/>
        </w:rPr>
      </w:pPr>
      <w:r>
        <w:rPr>
          <w:rFonts w:hint="eastAsia" w:ascii="仿宋_GB2312" w:hAnsi="仿宋" w:eastAsia="仿宋_GB2312" w:cs="Times New Roman"/>
          <w:b w:val="0"/>
          <w:bCs/>
          <w:color w:val="000000"/>
          <w:kern w:val="2"/>
          <w:sz w:val="32"/>
          <w:szCs w:val="32"/>
          <w:lang w:val="en-US" w:eastAsia="zh-CN"/>
        </w:rPr>
        <w:t>7.机关服务支出（204）行政运行（05）服务支出（03）2024年预算数为28万元，主要用于单位厨师及门卫工资保险。</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1" w:name="_Toc42693875"/>
      <w:r>
        <w:rPr>
          <w:rFonts w:hint="eastAsia" w:ascii="黑体" w:hAnsi="黑体" w:eastAsia="黑体" w:cs="Times New Roman"/>
          <w:b w:val="0"/>
          <w:color w:val="000000"/>
        </w:rPr>
        <w:t>六、一般公共预算基本支出情况说明</w:t>
      </w:r>
      <w:bookmarkEnd w:id="21"/>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kern w:val="2"/>
          <w:sz w:val="32"/>
          <w:szCs w:val="32"/>
          <w:lang w:eastAsia="zh-CN"/>
        </w:rPr>
      </w:pPr>
      <w:r>
        <w:rPr>
          <w:rFonts w:hint="eastAsia" w:cs="仿宋_GB2312"/>
          <w:kern w:val="2"/>
          <w:sz w:val="32"/>
          <w:szCs w:val="32"/>
          <w:lang w:val="en-US" w:eastAsia="zh-CN"/>
        </w:rPr>
        <w:t>茂县人民法院</w:t>
      </w:r>
      <w:r>
        <w:rPr>
          <w:rFonts w:hint="eastAsia" w:cs="仿宋_GB2312"/>
          <w:kern w:val="2"/>
          <w:sz w:val="32"/>
          <w:szCs w:val="32"/>
          <w:lang w:eastAsia="zh-CN"/>
        </w:rPr>
        <w:t>2024</w:t>
      </w:r>
      <w:r>
        <w:rPr>
          <w:rFonts w:hint="eastAsia" w:cs="仿宋_GB2312"/>
          <w:kern w:val="2"/>
          <w:sz w:val="32"/>
          <w:szCs w:val="32"/>
        </w:rPr>
        <w:t>年一般公共预算基本支出</w:t>
      </w:r>
      <w:r>
        <w:rPr>
          <w:rFonts w:hint="eastAsia" w:hAnsi="仿宋" w:cs="Times New Roman"/>
          <w:color w:val="000000"/>
          <w:kern w:val="2"/>
          <w:sz w:val="32"/>
          <w:szCs w:val="32"/>
          <w:lang w:val="en-US" w:eastAsia="zh-CN"/>
        </w:rPr>
        <w:t>1372.56</w:t>
      </w:r>
      <w:r>
        <w:rPr>
          <w:rFonts w:hint="eastAsia" w:cs="仿宋_GB2312"/>
          <w:kern w:val="2"/>
          <w:sz w:val="32"/>
          <w:szCs w:val="32"/>
        </w:rPr>
        <w:t>万元，其中：人员经费1197.38万元，主要包括：基本工资、津贴补贴、奖金、机关事业单位基本养老保险缴费</w:t>
      </w:r>
      <w:r>
        <w:rPr>
          <w:rFonts w:hint="eastAsia" w:cs="仿宋_GB2312"/>
          <w:kern w:val="2"/>
          <w:sz w:val="32"/>
          <w:szCs w:val="32"/>
          <w:lang w:eastAsia="zh-CN"/>
        </w:rPr>
        <w:t>、职业年金缴费、职工基本医疗保险缴费、公务员医疗补助缴费、其他社会保障缴费、住房公积金</w:t>
      </w:r>
      <w:bookmarkStart w:id="29" w:name="_GoBack"/>
      <w:bookmarkEnd w:id="29"/>
      <w:r>
        <w:rPr>
          <w:rFonts w:hint="eastAsia" w:cs="仿宋_GB2312"/>
          <w:kern w:val="2"/>
          <w:sz w:val="32"/>
          <w:szCs w:val="32"/>
          <w:lang w:eastAsia="zh-CN"/>
        </w:rPr>
        <w:t>、其他商品和服务支出、生活补助、奖励金。</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lang w:eastAsia="zh-CN"/>
        </w:rPr>
      </w:pPr>
      <w:r>
        <w:rPr>
          <w:rFonts w:hint="eastAsia" w:cs="仿宋_GB2312"/>
          <w:kern w:val="2"/>
          <w:sz w:val="32"/>
          <w:szCs w:val="32"/>
        </w:rPr>
        <w:t>公用经费175.18万元，主要包括：办公费</w:t>
      </w:r>
      <w:r>
        <w:rPr>
          <w:rFonts w:hint="eastAsia" w:cs="仿宋_GB2312"/>
          <w:kern w:val="2"/>
          <w:sz w:val="32"/>
          <w:szCs w:val="32"/>
          <w:lang w:eastAsia="zh-CN"/>
        </w:rPr>
        <w:t>、</w:t>
      </w:r>
      <w:r>
        <w:rPr>
          <w:rFonts w:hint="eastAsia" w:cs="仿宋_GB2312"/>
          <w:kern w:val="2"/>
          <w:sz w:val="32"/>
          <w:szCs w:val="32"/>
        </w:rPr>
        <w:t>水费、邮电费、</w:t>
      </w:r>
      <w:r>
        <w:rPr>
          <w:rFonts w:hint="eastAsia" w:cs="仿宋_GB2312"/>
          <w:kern w:val="2"/>
          <w:sz w:val="32"/>
          <w:szCs w:val="32"/>
          <w:lang w:val="en-US" w:eastAsia="zh-CN"/>
        </w:rPr>
        <w:t>取暖费、</w:t>
      </w:r>
      <w:r>
        <w:rPr>
          <w:rFonts w:hint="eastAsia" w:cs="仿宋_GB2312"/>
          <w:kern w:val="2"/>
          <w:sz w:val="32"/>
          <w:szCs w:val="32"/>
        </w:rPr>
        <w:t>差旅费、维修（护）费、培训费、公务接待费</w:t>
      </w:r>
      <w:r>
        <w:rPr>
          <w:rFonts w:hint="eastAsia" w:cs="仿宋_GB2312"/>
          <w:kern w:val="2"/>
          <w:sz w:val="32"/>
          <w:szCs w:val="32"/>
          <w:lang w:eastAsia="zh-CN"/>
        </w:rPr>
        <w:t>、福利费、公务用车运行维护费、其他商品和服务支出。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2" w:name="_Toc42693876"/>
      <w:r>
        <w:rPr>
          <w:rFonts w:hint="eastAsia" w:ascii="黑体" w:hAnsi="黑体" w:eastAsia="黑体" w:cs="Times New Roman"/>
          <w:b w:val="0"/>
          <w:color w:val="000000"/>
        </w:rPr>
        <w:t>七、“三公”经费财政拨款预算安排情况说明</w:t>
      </w:r>
      <w:bookmarkEnd w:id="22"/>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lang w:val="en-US" w:eastAsia="zh-CN"/>
        </w:rPr>
        <w:t>茂县人民法院</w:t>
      </w:r>
      <w:r>
        <w:rPr>
          <w:rFonts w:hint="eastAsia" w:cs="仿宋_GB2312"/>
          <w:kern w:val="2"/>
          <w:sz w:val="32"/>
          <w:szCs w:val="32"/>
          <w:lang w:eastAsia="zh-CN"/>
        </w:rPr>
        <w:t>2024</w:t>
      </w:r>
      <w:r>
        <w:rPr>
          <w:rFonts w:hint="eastAsia" w:cs="仿宋_GB2312"/>
          <w:kern w:val="2"/>
          <w:sz w:val="32"/>
          <w:szCs w:val="32"/>
        </w:rPr>
        <w:t>年“三公”经费财政拨款预算数29.52万元，其中：因公出国（境）经费</w:t>
      </w:r>
      <w:r>
        <w:rPr>
          <w:rFonts w:hint="eastAsia" w:cs="仿宋_GB2312"/>
          <w:kern w:val="2"/>
          <w:sz w:val="32"/>
          <w:szCs w:val="32"/>
          <w:lang w:val="en-US" w:eastAsia="zh-CN"/>
        </w:rPr>
        <w:t>0.00</w:t>
      </w:r>
      <w:r>
        <w:rPr>
          <w:rFonts w:hint="eastAsia" w:cs="仿宋_GB2312"/>
          <w:kern w:val="2"/>
          <w:sz w:val="32"/>
          <w:szCs w:val="32"/>
        </w:rPr>
        <w:t>万元，公务接待费2.52万元，公务用车购置及运行维护费27</w:t>
      </w:r>
      <w:r>
        <w:rPr>
          <w:rFonts w:hint="eastAsia" w:cs="仿宋_GB2312"/>
          <w:kern w:val="2"/>
          <w:sz w:val="32"/>
          <w:szCs w:val="32"/>
          <w:lang w:val="en-US" w:eastAsia="zh-CN"/>
        </w:rPr>
        <w:t>.00</w:t>
      </w:r>
      <w:r>
        <w:rPr>
          <w:rFonts w:hint="eastAsia" w:cs="仿宋_GB2312"/>
          <w:kern w:val="2"/>
          <w:sz w:val="32"/>
          <w:szCs w:val="32"/>
        </w:rPr>
        <w:t>万元。</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2024</w:t>
      </w:r>
      <w:r>
        <w:rPr>
          <w:rFonts w:hint="eastAsia" w:cs="仿宋_GB2312"/>
          <w:kern w:val="2"/>
          <w:sz w:val="32"/>
          <w:szCs w:val="32"/>
        </w:rPr>
        <w:t>年因公出国（境）经费</w:t>
      </w:r>
      <w:r>
        <w:rPr>
          <w:rFonts w:hint="eastAsia" w:cs="仿宋_GB2312"/>
          <w:kern w:val="2"/>
          <w:sz w:val="32"/>
          <w:szCs w:val="32"/>
          <w:lang w:val="en-US" w:eastAsia="zh-CN"/>
        </w:rPr>
        <w:t>0.00</w:t>
      </w:r>
      <w:r>
        <w:rPr>
          <w:rFonts w:hint="eastAsia" w:cs="仿宋_GB2312"/>
          <w:kern w:val="2"/>
          <w:sz w:val="32"/>
          <w:szCs w:val="32"/>
        </w:rPr>
        <w:t>万元。</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2024</w:t>
      </w:r>
      <w:r>
        <w:rPr>
          <w:rFonts w:hint="eastAsia" w:cs="仿宋_GB2312"/>
          <w:color w:val="000000"/>
          <w:kern w:val="2"/>
          <w:sz w:val="32"/>
          <w:szCs w:val="32"/>
        </w:rPr>
        <w:t>年公务接待经费2.52万元。较202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eastAsia="zh-CN"/>
        </w:rPr>
        <w:t>一致。</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rPr>
        <w:t>（三）</w:t>
      </w:r>
      <w:r>
        <w:rPr>
          <w:rFonts w:hint="eastAsia" w:cs="仿宋_GB2312"/>
          <w:color w:val="000000"/>
          <w:kern w:val="2"/>
          <w:sz w:val="32"/>
          <w:szCs w:val="32"/>
          <w:lang w:eastAsia="zh-CN"/>
        </w:rPr>
        <w:t>2024</w:t>
      </w:r>
      <w:r>
        <w:rPr>
          <w:rFonts w:hint="eastAsia" w:cs="仿宋_GB2312"/>
          <w:color w:val="000000"/>
          <w:kern w:val="2"/>
          <w:sz w:val="32"/>
          <w:szCs w:val="32"/>
        </w:rPr>
        <w:t>年公务用车购置及运行维护费27</w:t>
      </w:r>
      <w:r>
        <w:rPr>
          <w:rFonts w:hint="eastAsia" w:cs="仿宋_GB2312"/>
          <w:color w:val="000000"/>
          <w:kern w:val="2"/>
          <w:sz w:val="32"/>
          <w:szCs w:val="32"/>
          <w:lang w:val="en-US" w:eastAsia="zh-CN"/>
        </w:rPr>
        <w:t>.00</w:t>
      </w:r>
      <w:r>
        <w:rPr>
          <w:rFonts w:hint="eastAsia" w:cs="仿宋_GB2312"/>
          <w:color w:val="000000"/>
          <w:kern w:val="2"/>
          <w:sz w:val="32"/>
          <w:szCs w:val="32"/>
        </w:rPr>
        <w:t>万元。较202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eastAsia="zh-CN"/>
        </w:rPr>
        <w:t>一致</w:t>
      </w:r>
      <w:r>
        <w:rPr>
          <w:rFonts w:hint="eastAsia" w:cs="仿宋_GB2312"/>
          <w:color w:val="000000"/>
          <w:kern w:val="2"/>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3" w:name="_Toc42693877"/>
      <w:r>
        <w:rPr>
          <w:rFonts w:hint="eastAsia" w:ascii="黑体" w:hAnsi="黑体" w:eastAsia="黑体" w:cs="Times New Roman"/>
          <w:b w:val="0"/>
          <w:color w:val="000000"/>
        </w:rPr>
        <w:t>八、政府性基金预算支出情况说明</w:t>
      </w:r>
      <w:bookmarkEnd w:id="23"/>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茂县人民法院2024年无政府性基金预算拨款安排的支出。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4" w:name="_Toc42693878"/>
      <w:r>
        <w:rPr>
          <w:rFonts w:hint="eastAsia" w:ascii="黑体" w:hAnsi="黑体" w:eastAsia="黑体" w:cs="Times New Roman"/>
          <w:b w:val="0"/>
          <w:color w:val="000000"/>
        </w:rPr>
        <w:t>九、其他重要事项的情况说明</w:t>
      </w:r>
      <w:bookmarkEnd w:id="24"/>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25" w:name="_Toc42693879"/>
      <w:r>
        <w:rPr>
          <w:rFonts w:hint="eastAsia" w:ascii="楷体_GB2312" w:hAnsi="仿宋" w:eastAsia="楷体_GB2312" w:cs="Times New Roman"/>
          <w:b/>
          <w:bCs/>
          <w:color w:val="000000"/>
          <w:kern w:val="2"/>
          <w:sz w:val="32"/>
          <w:szCs w:val="32"/>
          <w:lang w:eastAsia="zh-CN"/>
        </w:rPr>
        <w:t>（一）机关运行经费</w:t>
      </w:r>
      <w:bookmarkEnd w:id="25"/>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cs="仿宋_GB2312"/>
          <w:color w:val="FF0000"/>
          <w:kern w:val="2"/>
          <w:sz w:val="32"/>
          <w:szCs w:val="32"/>
        </w:rPr>
      </w:pPr>
      <w:r>
        <w:rPr>
          <w:rFonts w:hint="eastAsia" w:ascii="仿宋_GB2312" w:hAnsi="仿宋_GB2312" w:eastAsia="仿宋_GB2312" w:cs="仿宋_GB2312"/>
          <w:color w:val="000000"/>
          <w:kern w:val="2"/>
          <w:sz w:val="32"/>
          <w:szCs w:val="32"/>
          <w:lang w:val="en-US" w:eastAsia="zh-CN" w:bidi="ar-SA"/>
        </w:rPr>
        <w:t>茂县人民法院2024年机关运行经费财政拨款预算为150.46万元，比2023年预算增加12.3万元，主要原因是人员减少。</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仿宋" w:eastAsia="楷体_GB2312" w:cs="Times New Roman"/>
          <w:b/>
          <w:bCs/>
          <w:color w:val="000000"/>
          <w:kern w:val="2"/>
          <w:sz w:val="32"/>
          <w:szCs w:val="32"/>
          <w:lang w:eastAsia="zh-CN"/>
        </w:rPr>
      </w:pPr>
      <w:bookmarkStart w:id="26" w:name="_Toc42693880"/>
      <w:r>
        <w:rPr>
          <w:rFonts w:hint="eastAsia" w:ascii="楷体_GB2312" w:hAnsi="仿宋" w:eastAsia="楷体_GB2312" w:cs="Times New Roman"/>
          <w:b/>
          <w:bCs/>
          <w:color w:val="000000"/>
          <w:kern w:val="2"/>
          <w:sz w:val="32"/>
          <w:szCs w:val="32"/>
          <w:lang w:eastAsia="zh-CN"/>
        </w:rPr>
        <w:t>（二）政府采购情况</w:t>
      </w:r>
      <w:bookmarkEnd w:id="26"/>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_GB2312" w:eastAsia="仿宋_GB2312" w:cs="仿宋_GB2312"/>
          <w:color w:val="000000"/>
          <w:kern w:val="2"/>
          <w:sz w:val="32"/>
          <w:szCs w:val="32"/>
          <w:lang w:val="en-US" w:eastAsia="zh-CN" w:bidi="ar-SA"/>
        </w:rPr>
        <w:t xml:space="preserve"> 2024年茂县人民法院未安排政府采购预算。</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27" w:name="_Toc42693881"/>
      <w:r>
        <w:rPr>
          <w:rFonts w:hint="eastAsia" w:ascii="楷体_GB2312" w:hAnsi="仿宋" w:eastAsia="楷体_GB2312" w:cs="Times New Roman"/>
          <w:b/>
          <w:bCs/>
          <w:color w:val="000000"/>
          <w:kern w:val="2"/>
          <w:sz w:val="32"/>
          <w:szCs w:val="32"/>
          <w:lang w:eastAsia="zh-CN"/>
        </w:rPr>
        <w:t>（三）国有资产占有使用情况</w:t>
      </w:r>
      <w:bookmarkEnd w:id="27"/>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3</w:t>
      </w:r>
      <w:r>
        <w:rPr>
          <w:rFonts w:hint="eastAsia" w:cs="仿宋_GB2312"/>
          <w:kern w:val="2"/>
          <w:sz w:val="32"/>
          <w:szCs w:val="32"/>
        </w:rPr>
        <w:t>年12月31日，我单位固定资产</w:t>
      </w:r>
      <w:r>
        <w:rPr>
          <w:rFonts w:hint="eastAsia" w:cs="仿宋_GB2312"/>
          <w:kern w:val="2"/>
          <w:sz w:val="32"/>
          <w:szCs w:val="32"/>
          <w:lang w:val="en-US" w:eastAsia="zh-CN"/>
        </w:rPr>
        <w:t>3860.44</w:t>
      </w:r>
      <w:r>
        <w:rPr>
          <w:rFonts w:hint="eastAsia" w:cs="仿宋_GB2312"/>
          <w:kern w:val="2"/>
          <w:sz w:val="32"/>
          <w:szCs w:val="32"/>
        </w:rPr>
        <w:t>万元。</w:t>
      </w:r>
      <w:r>
        <w:rPr>
          <w:rFonts w:hint="eastAsia" w:ascii="仿宋_GB2312" w:hAnsi="仿宋" w:eastAsia="仿宋_GB2312" w:cs="Times New Roman"/>
          <w:color w:val="000000"/>
          <w:kern w:val="2"/>
          <w:sz w:val="32"/>
          <w:szCs w:val="32"/>
          <w:lang w:eastAsia="zh-CN"/>
        </w:rPr>
        <w:t>其中：房屋8998.46平方米，价值</w:t>
      </w:r>
      <w:r>
        <w:rPr>
          <w:rFonts w:hint="eastAsia" w:hAnsi="仿宋" w:cs="Times New Roman"/>
          <w:color w:val="000000"/>
          <w:kern w:val="2"/>
          <w:sz w:val="32"/>
          <w:szCs w:val="32"/>
          <w:lang w:val="en-US" w:eastAsia="zh-CN"/>
        </w:rPr>
        <w:t>1447.59万</w:t>
      </w:r>
      <w:r>
        <w:rPr>
          <w:rFonts w:hint="eastAsia" w:ascii="仿宋_GB2312" w:hAnsi="仿宋" w:eastAsia="仿宋_GB2312" w:cs="Times New Roman"/>
          <w:color w:val="000000"/>
          <w:kern w:val="2"/>
          <w:sz w:val="32"/>
          <w:szCs w:val="32"/>
          <w:lang w:eastAsia="zh-CN"/>
        </w:rPr>
        <w:t>元；公务用车</w:t>
      </w:r>
      <w:r>
        <w:rPr>
          <w:rFonts w:ascii="仿宋_GB2312" w:hAnsi="仿宋" w:eastAsia="仿宋_GB2312" w:cs="Times New Roman"/>
          <w:color w:val="000000"/>
          <w:kern w:val="2"/>
          <w:sz w:val="32"/>
          <w:szCs w:val="32"/>
          <w:lang w:eastAsia="zh-CN"/>
        </w:rPr>
        <w:t>15</w:t>
      </w:r>
      <w:r>
        <w:rPr>
          <w:rFonts w:hint="eastAsia" w:ascii="仿宋_GB2312" w:hAnsi="仿宋" w:eastAsia="仿宋_GB2312" w:cs="Times New Roman"/>
          <w:color w:val="000000"/>
          <w:kern w:val="2"/>
          <w:sz w:val="32"/>
          <w:szCs w:val="32"/>
          <w:lang w:eastAsia="zh-CN"/>
        </w:rPr>
        <w:t>辆，价值</w:t>
      </w:r>
      <w:r>
        <w:rPr>
          <w:rFonts w:hint="eastAsia" w:hAnsi="仿宋" w:cs="Times New Roman"/>
          <w:color w:val="000000"/>
          <w:kern w:val="2"/>
          <w:sz w:val="32"/>
          <w:szCs w:val="32"/>
          <w:lang w:val="en-US" w:eastAsia="zh-CN"/>
        </w:rPr>
        <w:t>407.98万</w:t>
      </w:r>
      <w:r>
        <w:rPr>
          <w:rFonts w:hint="eastAsia" w:ascii="仿宋_GB2312" w:hAnsi="仿宋" w:eastAsia="仿宋_GB2312" w:cs="Times New Roman"/>
          <w:color w:val="000000"/>
          <w:kern w:val="2"/>
          <w:sz w:val="32"/>
          <w:szCs w:val="32"/>
          <w:lang w:eastAsia="zh-CN"/>
        </w:rPr>
        <w:t>元；其他固定资产</w:t>
      </w:r>
      <w:r>
        <w:rPr>
          <w:rFonts w:hint="eastAsia" w:hAnsi="仿宋" w:cs="Times New Roman"/>
          <w:color w:val="000000"/>
          <w:kern w:val="2"/>
          <w:sz w:val="32"/>
          <w:szCs w:val="32"/>
          <w:lang w:val="en-US" w:eastAsia="zh-CN"/>
        </w:rPr>
        <w:t>2004.87万</w:t>
      </w:r>
      <w:r>
        <w:rPr>
          <w:rFonts w:hint="eastAsia" w:ascii="仿宋_GB2312" w:hAnsi="仿宋" w:eastAsia="仿宋_GB2312" w:cs="Times New Roman"/>
          <w:color w:val="000000"/>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28" w:name="_Toc42693882"/>
      <w:r>
        <w:rPr>
          <w:rFonts w:hint="eastAsia" w:ascii="楷体_GB2312" w:hAnsi="仿宋" w:eastAsia="楷体_GB2312" w:cs="Times New Roman"/>
          <w:b/>
          <w:bCs/>
          <w:color w:val="000000"/>
          <w:kern w:val="2"/>
          <w:sz w:val="32"/>
          <w:szCs w:val="32"/>
          <w:lang w:eastAsia="zh-CN"/>
        </w:rPr>
        <w:t>（四）绩效目标设置情况</w:t>
      </w:r>
      <w:bookmarkEnd w:id="28"/>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ascii="黑体" w:hAnsi="黑体" w:eastAsia="黑体"/>
          <w:sz w:val="32"/>
          <w:szCs w:val="32"/>
        </w:rPr>
      </w:pPr>
      <w:r>
        <w:rPr>
          <w:rFonts w:hint="eastAsia" w:ascii="仿宋_GB2312" w:hAnsi="仿宋_GB2312" w:eastAsia="仿宋_GB2312" w:cs="仿宋_GB2312"/>
          <w:kern w:val="2"/>
          <w:sz w:val="32"/>
          <w:szCs w:val="32"/>
          <w:lang w:val="en-US" w:eastAsia="zh-CN" w:bidi="ar-SA"/>
        </w:rPr>
        <w:t>2024年茂县人民法院通用项目和专用项目均按要求实行绩效目标管理，涉及一般公共预算当年拨款1400.86万元。</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r>
        <w:rPr>
          <w:rFonts w:hint="eastAsia" w:ascii="黑体" w:hAnsi="黑体" w:eastAsia="黑体" w:cs="Times New Roman"/>
          <w:b w:val="0"/>
          <w:color w:val="000000"/>
        </w:rPr>
        <w:t>十、名词解释</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hAnsi="仿宋" w:eastAsia="仿宋_GB2312" w:cs="Times New Roman"/>
          <w:color w:val="000000"/>
          <w:kern w:val="2"/>
          <w:sz w:val="32"/>
          <w:szCs w:val="32"/>
          <w:lang w:eastAsia="zh-CN"/>
        </w:rPr>
        <w:t>指由财政拨款形成的部门收入。按现行管理制度，部门预算中反映的财政拨款仅包括一般公共预算拨款和政府性基金预算拨款。</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（二）其他收入：</w:t>
      </w:r>
      <w:r>
        <w:rPr>
          <w:rFonts w:hint="eastAsia" w:ascii="仿宋_GB2312" w:hAnsi="仿宋" w:eastAsia="仿宋_GB2312" w:cs="Times New Roman"/>
          <w:color w:val="000000"/>
          <w:kern w:val="2"/>
          <w:sz w:val="32"/>
          <w:szCs w:val="32"/>
          <w:lang w:eastAsia="zh-CN"/>
        </w:rPr>
        <w:t>指除上述“财政拨款收入”、“事业收入”、“事业单位经营收入”等以外的收入，主要是所属行政事业单位按规定动用的售房收入、存款利息收入等。</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（三）上年结转：</w:t>
      </w:r>
      <w:r>
        <w:rPr>
          <w:rFonts w:hint="eastAsia" w:ascii="仿宋_GB2312" w:hAnsi="仿宋" w:eastAsia="仿宋_GB2312" w:cs="Times New Roman"/>
          <w:color w:val="000000"/>
          <w:kern w:val="2"/>
          <w:sz w:val="32"/>
          <w:szCs w:val="32"/>
          <w:lang w:eastAsia="zh-CN"/>
        </w:rPr>
        <w:t>指所属行政事业单位以前年度尚未完成、结转至本年按原规定用途继续使用的资金和以前年度已完成项目剩余资金经批准用于新用途使用的资金。</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（四）基本支出：</w:t>
      </w:r>
      <w:r>
        <w:rPr>
          <w:rFonts w:hint="eastAsia" w:ascii="仿宋_GB2312" w:eastAsia="仿宋_GB2312"/>
          <w:sz w:val="32"/>
          <w:szCs w:val="32"/>
          <w:lang w:eastAsia="zh-CN"/>
        </w:rPr>
        <w:t>指为保证机构正常运转，完成日常工作任务而发生的人员支出和公用支出。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（五）项目支出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（六）“三公”经费：</w:t>
      </w:r>
      <w:r>
        <w:rPr>
          <w:rFonts w:hint="eastAsia" w:ascii="仿宋_GB2312" w:hAnsi="仿宋" w:eastAsia="仿宋_GB2312" w:cs="Times New Roman"/>
          <w:color w:val="000000"/>
          <w:kern w:val="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4F99E1-A5EF-40F8-9FE4-2D8972CABB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36958E1-3532-4DE7-BF22-F4228CDB8476}"/>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4EBA1180-85C9-493A-90CF-A51E2DF87502}"/>
  </w:font>
  <w:font w:name="方正小标宋简体">
    <w:panose1 w:val="02000000000000000000"/>
    <w:charset w:val="86"/>
    <w:family w:val="auto"/>
    <w:pitch w:val="default"/>
    <w:sig w:usb0="00000000" w:usb1="00000000" w:usb2="00000000" w:usb3="00000000" w:csb0="00000000" w:csb1="00000000"/>
    <w:embedRegular r:id="rId4" w:fontKey="{90DCB29E-D51E-4AF4-9874-BE5D071BDB7B}"/>
  </w:font>
  <w:font w:name="仿宋">
    <w:panose1 w:val="02010609060101010101"/>
    <w:charset w:val="86"/>
    <w:family w:val="auto"/>
    <w:pitch w:val="default"/>
    <w:sig w:usb0="800002BF" w:usb1="38CF7CFA" w:usb2="00000016" w:usb3="00000000" w:csb0="00040001" w:csb1="00000000"/>
    <w:embedRegular r:id="rId5" w:fontKey="{CB883B54-8A95-477A-9288-DB6DBCFD8ED2}"/>
  </w:font>
  <w:font w:name="楷体_GB2312">
    <w:altName w:val="楷体"/>
    <w:panose1 w:val="02010609030101010101"/>
    <w:charset w:val="86"/>
    <w:family w:val="modern"/>
    <w:pitch w:val="default"/>
    <w:sig w:usb0="00000000" w:usb1="00000000" w:usb2="00000010" w:usb3="00000000" w:csb0="00040000" w:csb1="00000000"/>
    <w:embedRegular r:id="rId6" w:fontKey="{5BA4776E-0250-4E7D-B0A0-45DF719372D0}"/>
  </w:font>
  <w:font w:name="楷体">
    <w:panose1 w:val="02010609060101010101"/>
    <w:charset w:val="86"/>
    <w:family w:val="modern"/>
    <w:pitch w:val="default"/>
    <w:sig w:usb0="800002BF" w:usb1="38CF7CFA" w:usb2="00000016" w:usb3="00000000" w:csb0="00040001" w:csb1="00000000"/>
    <w:embedRegular r:id="rId7" w:fontKey="{C0D72A0A-B83C-49B3-A689-856FDE703A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D1BEA"/>
    <w:multiLevelType w:val="singleLevel"/>
    <w:tmpl w:val="270D1BE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ThkNGU3NWY0NjhhNWMxM2VhNjlhNTE5ZGQxYTMifQ=="/>
  </w:docVars>
  <w:rsids>
    <w:rsidRoot w:val="7AE4629A"/>
    <w:rsid w:val="000451C2"/>
    <w:rsid w:val="0006464F"/>
    <w:rsid w:val="001634E3"/>
    <w:rsid w:val="001910FF"/>
    <w:rsid w:val="001B1BFD"/>
    <w:rsid w:val="00242435"/>
    <w:rsid w:val="0030031F"/>
    <w:rsid w:val="00332760"/>
    <w:rsid w:val="004379C5"/>
    <w:rsid w:val="00476B63"/>
    <w:rsid w:val="0054124B"/>
    <w:rsid w:val="00723B73"/>
    <w:rsid w:val="00793FEE"/>
    <w:rsid w:val="00803F7A"/>
    <w:rsid w:val="00842DA9"/>
    <w:rsid w:val="00887775"/>
    <w:rsid w:val="00923A98"/>
    <w:rsid w:val="00AB4C2F"/>
    <w:rsid w:val="00D264D1"/>
    <w:rsid w:val="00DB29FD"/>
    <w:rsid w:val="00FC59D7"/>
    <w:rsid w:val="0226251F"/>
    <w:rsid w:val="05445C31"/>
    <w:rsid w:val="07674A16"/>
    <w:rsid w:val="07F13FAE"/>
    <w:rsid w:val="0CE75FC8"/>
    <w:rsid w:val="0D1B6607"/>
    <w:rsid w:val="0D4E0255"/>
    <w:rsid w:val="0F392204"/>
    <w:rsid w:val="1094748F"/>
    <w:rsid w:val="10ED7E89"/>
    <w:rsid w:val="13197D31"/>
    <w:rsid w:val="13391339"/>
    <w:rsid w:val="133E7A12"/>
    <w:rsid w:val="164003A4"/>
    <w:rsid w:val="1644286B"/>
    <w:rsid w:val="16C5583A"/>
    <w:rsid w:val="177904B8"/>
    <w:rsid w:val="17F41268"/>
    <w:rsid w:val="18675CB6"/>
    <w:rsid w:val="1B0406D7"/>
    <w:rsid w:val="20361CB8"/>
    <w:rsid w:val="208A6882"/>
    <w:rsid w:val="20F30B32"/>
    <w:rsid w:val="23083D7D"/>
    <w:rsid w:val="235D38D7"/>
    <w:rsid w:val="24857B00"/>
    <w:rsid w:val="257C0353"/>
    <w:rsid w:val="25FA4674"/>
    <w:rsid w:val="26461461"/>
    <w:rsid w:val="276224C5"/>
    <w:rsid w:val="27A7133A"/>
    <w:rsid w:val="29566940"/>
    <w:rsid w:val="2BD41661"/>
    <w:rsid w:val="2D4C58A7"/>
    <w:rsid w:val="2F282D2E"/>
    <w:rsid w:val="32BF7DF5"/>
    <w:rsid w:val="347436ED"/>
    <w:rsid w:val="34AB220B"/>
    <w:rsid w:val="35962957"/>
    <w:rsid w:val="3921253A"/>
    <w:rsid w:val="39217FBB"/>
    <w:rsid w:val="3B0967A8"/>
    <w:rsid w:val="3B2A7F4C"/>
    <w:rsid w:val="3FFCF6BE"/>
    <w:rsid w:val="40CD3E3E"/>
    <w:rsid w:val="442E06D7"/>
    <w:rsid w:val="44CA52C6"/>
    <w:rsid w:val="45741571"/>
    <w:rsid w:val="485056D2"/>
    <w:rsid w:val="48EB0A3F"/>
    <w:rsid w:val="4A4E21EC"/>
    <w:rsid w:val="4C50546B"/>
    <w:rsid w:val="508503B9"/>
    <w:rsid w:val="518252F6"/>
    <w:rsid w:val="535B0C9D"/>
    <w:rsid w:val="57911B80"/>
    <w:rsid w:val="5A7467D8"/>
    <w:rsid w:val="5AEC4BE9"/>
    <w:rsid w:val="5DEB4CB7"/>
    <w:rsid w:val="5EDF0804"/>
    <w:rsid w:val="6069335D"/>
    <w:rsid w:val="61693C9D"/>
    <w:rsid w:val="62427592"/>
    <w:rsid w:val="64CC0F4B"/>
    <w:rsid w:val="65081B49"/>
    <w:rsid w:val="65466AE0"/>
    <w:rsid w:val="6A6E252C"/>
    <w:rsid w:val="6F8A5317"/>
    <w:rsid w:val="71681132"/>
    <w:rsid w:val="7736241E"/>
    <w:rsid w:val="79483E01"/>
    <w:rsid w:val="7AE4629A"/>
    <w:rsid w:val="7C956308"/>
    <w:rsid w:val="7DAF5619"/>
    <w:rsid w:val="7EE32C29"/>
    <w:rsid w:val="7FE96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9"/>
    <w:pPr>
      <w:keepNext/>
      <w:keepLines/>
      <w:widowControl w:val="0"/>
      <w:spacing w:before="260" w:after="260" w:line="416" w:lineRule="auto"/>
      <w:ind w:firstLine="0"/>
      <w:jc w:val="both"/>
      <w:outlineLvl w:val="1"/>
    </w:pPr>
    <w:rPr>
      <w:rFonts w:ascii="Cambria" w:hAnsi="Cambria" w:cs="Times New Roman"/>
      <w:b/>
      <w:bCs/>
      <w:kern w:val="2"/>
      <w:sz w:val="32"/>
      <w:szCs w:val="32"/>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qFormat/>
    <w:uiPriority w:val="99"/>
    <w:pPr>
      <w:ind w:left="420" w:leftChars="200"/>
    </w:pPr>
  </w:style>
  <w:style w:type="character" w:styleId="11">
    <w:name w:val="Strong"/>
    <w:basedOn w:val="10"/>
    <w:qFormat/>
    <w:uiPriority w:val="99"/>
    <w:rPr>
      <w:rFonts w:cs="Times New Roman"/>
      <w:b/>
    </w:rPr>
  </w:style>
  <w:style w:type="character" w:styleId="12">
    <w:name w:val="Hyperlink"/>
    <w:basedOn w:val="10"/>
    <w:qFormat/>
    <w:uiPriority w:val="99"/>
    <w:rPr>
      <w:rFonts w:cs="Times New Roman"/>
      <w:color w:val="323232"/>
      <w:u w:val="none"/>
    </w:rPr>
  </w:style>
  <w:style w:type="paragraph" w:styleId="13">
    <w:name w:val="List Paragraph"/>
    <w:basedOn w:val="1"/>
    <w:qFormat/>
    <w:uiPriority w:val="99"/>
    <w:pPr>
      <w:ind w:firstLine="420" w:firstLineChars="200"/>
    </w:pPr>
  </w:style>
  <w:style w:type="paragraph" w:customStyle="1" w:styleId="14">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3511</Words>
  <Characters>3934</Characters>
  <Lines>13</Lines>
  <Paragraphs>3</Paragraphs>
  <TotalTime>51</TotalTime>
  <ScaleCrop>false</ScaleCrop>
  <LinksUpToDate>false</LinksUpToDate>
  <CharactersWithSpaces>3968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中华人民共和国交通运输部</cp:lastModifiedBy>
  <cp:lastPrinted>2023-01-16T07:00:00Z</cp:lastPrinted>
  <dcterms:modified xsi:type="dcterms:W3CDTF">2024-02-02T04:23:34Z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C83A3A8037504030B651099373E2DE8D_13</vt:lpwstr>
  </property>
</Properties>
</file>