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AEFE7">
      <w:r>
        <w:rPr>
          <w:rFonts w:ascii="黑体" w:eastAsia="黑体"/>
          <w:sz w:val="32"/>
          <w:szCs w:val="32"/>
        </w:rPr>
        <w:t>附件</w:t>
      </w:r>
      <w:r>
        <w:rPr>
          <w:rFonts w:hint="eastAsia" w:ascii="黑体" w:eastAsia="黑体"/>
          <w:sz w:val="32"/>
          <w:szCs w:val="32"/>
        </w:rPr>
        <w:t>2</w:t>
      </w:r>
    </w:p>
    <w:p w14:paraId="21CE7A49"/>
    <w:p w14:paraId="185093E0"/>
    <w:p w14:paraId="124A5159">
      <w:pPr>
        <w:ind w:firstLine="1050" w:firstLineChars="500"/>
      </w:pPr>
    </w:p>
    <w:p w14:paraId="05D9A168">
      <w:pPr>
        <w:ind w:firstLine="1050" w:firstLineChars="500"/>
      </w:pPr>
    </w:p>
    <w:p w14:paraId="75EF56BD">
      <w:pPr>
        <w:ind w:firstLine="1760" w:firstLineChars="400"/>
        <w:rPr>
          <w:rFonts w:ascii="黑体" w:eastAsia="黑体"/>
          <w:sz w:val="44"/>
          <w:szCs w:val="44"/>
        </w:rPr>
      </w:pPr>
    </w:p>
    <w:p w14:paraId="787F376B">
      <w:pPr>
        <w:ind w:firstLine="1760" w:firstLineChars="400"/>
        <w:rPr>
          <w:rFonts w:ascii="黑体" w:eastAsia="黑体"/>
          <w:sz w:val="44"/>
          <w:szCs w:val="44"/>
        </w:rPr>
      </w:pPr>
    </w:p>
    <w:p w14:paraId="0FB5D876">
      <w:pPr>
        <w:jc w:val="center"/>
        <w:rPr>
          <w:rFonts w:hint="eastAsia" w:ascii="黑体" w:eastAsia="黑体"/>
          <w:sz w:val="44"/>
          <w:szCs w:val="44"/>
          <w:highlight w:val="none"/>
          <w:lang w:val="en-US" w:eastAsia="zh-CN"/>
        </w:rPr>
      </w:pPr>
      <w:r>
        <w:rPr>
          <w:rFonts w:hint="eastAsia" w:ascii="黑体" w:eastAsia="黑体"/>
          <w:sz w:val="44"/>
          <w:szCs w:val="44"/>
          <w:highlight w:val="none"/>
          <w:lang w:val="en-US" w:eastAsia="zh-CN"/>
        </w:rPr>
        <w:t>茂县人民法院</w:t>
      </w:r>
    </w:p>
    <w:p w14:paraId="4C8AC4F3">
      <w:pPr>
        <w:jc w:val="center"/>
        <w:rPr>
          <w:rFonts w:ascii="黑体" w:eastAsia="黑体"/>
          <w:sz w:val="44"/>
          <w:szCs w:val="44"/>
          <w:highlight w:val="none"/>
        </w:rPr>
      </w:pPr>
      <w:r>
        <w:rPr>
          <w:rFonts w:ascii="黑体" w:eastAsia="黑体"/>
          <w:sz w:val="44"/>
          <w:szCs w:val="44"/>
          <w:highlight w:val="none"/>
        </w:rPr>
        <w:t>2025</w:t>
      </w:r>
      <w:r>
        <w:rPr>
          <w:rFonts w:hint="eastAsia" w:ascii="黑体" w:eastAsia="黑体"/>
          <w:sz w:val="44"/>
          <w:szCs w:val="44"/>
          <w:highlight w:val="none"/>
        </w:rPr>
        <w:t>年部门预算</w:t>
      </w:r>
    </w:p>
    <w:p w14:paraId="26F26BEA">
      <w:pPr>
        <w:ind w:firstLine="1760" w:firstLineChars="400"/>
        <w:rPr>
          <w:rFonts w:ascii="黑体" w:eastAsia="黑体"/>
          <w:sz w:val="44"/>
          <w:szCs w:val="44"/>
        </w:rPr>
      </w:pPr>
    </w:p>
    <w:p w14:paraId="22E13B80">
      <w:pPr>
        <w:ind w:firstLine="1760" w:firstLineChars="400"/>
        <w:rPr>
          <w:rFonts w:ascii="黑体" w:eastAsia="黑体"/>
          <w:sz w:val="44"/>
          <w:szCs w:val="44"/>
        </w:rPr>
      </w:pPr>
    </w:p>
    <w:p w14:paraId="5C275340">
      <w:pPr>
        <w:ind w:firstLine="1760" w:firstLineChars="400"/>
        <w:rPr>
          <w:rFonts w:ascii="黑体" w:eastAsia="黑体"/>
          <w:sz w:val="44"/>
          <w:szCs w:val="44"/>
        </w:rPr>
      </w:pPr>
    </w:p>
    <w:p w14:paraId="31A50827">
      <w:pPr>
        <w:ind w:firstLine="1760" w:firstLineChars="400"/>
        <w:rPr>
          <w:rFonts w:ascii="黑体" w:eastAsia="黑体"/>
          <w:sz w:val="44"/>
          <w:szCs w:val="44"/>
        </w:rPr>
      </w:pPr>
    </w:p>
    <w:p w14:paraId="658BC257">
      <w:pPr>
        <w:ind w:firstLine="1760" w:firstLineChars="400"/>
        <w:rPr>
          <w:rFonts w:ascii="黑体" w:eastAsia="黑体"/>
          <w:sz w:val="44"/>
          <w:szCs w:val="44"/>
        </w:rPr>
      </w:pPr>
    </w:p>
    <w:p w14:paraId="69297B17">
      <w:pPr>
        <w:ind w:firstLine="1760" w:firstLineChars="400"/>
        <w:rPr>
          <w:rFonts w:ascii="黑体" w:eastAsia="黑体"/>
          <w:sz w:val="44"/>
          <w:szCs w:val="44"/>
        </w:rPr>
      </w:pPr>
    </w:p>
    <w:p w14:paraId="633B1024">
      <w:pPr>
        <w:ind w:firstLine="1760" w:firstLineChars="400"/>
        <w:rPr>
          <w:rFonts w:ascii="黑体" w:eastAsia="黑体"/>
          <w:sz w:val="44"/>
          <w:szCs w:val="44"/>
        </w:rPr>
      </w:pPr>
    </w:p>
    <w:p w14:paraId="33A215D5">
      <w:pPr>
        <w:ind w:firstLine="1760" w:firstLineChars="400"/>
        <w:rPr>
          <w:rFonts w:ascii="黑体" w:eastAsia="黑体"/>
          <w:sz w:val="44"/>
          <w:szCs w:val="44"/>
        </w:rPr>
      </w:pPr>
    </w:p>
    <w:p w14:paraId="793525E5">
      <w:pPr>
        <w:ind w:firstLine="1760" w:firstLineChars="400"/>
        <w:rPr>
          <w:rFonts w:ascii="黑体" w:eastAsia="黑体"/>
          <w:sz w:val="44"/>
          <w:szCs w:val="44"/>
        </w:rPr>
      </w:pPr>
    </w:p>
    <w:p w14:paraId="46E30DAF">
      <w:pPr>
        <w:ind w:firstLine="1760" w:firstLineChars="400"/>
        <w:rPr>
          <w:rFonts w:ascii="黑体" w:eastAsia="黑体"/>
          <w:sz w:val="44"/>
          <w:szCs w:val="44"/>
        </w:rPr>
      </w:pPr>
    </w:p>
    <w:p w14:paraId="1A4A686D">
      <w:pPr>
        <w:ind w:firstLine="2200" w:firstLineChars="500"/>
        <w:jc w:val="both"/>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5</w:t>
      </w:r>
      <w:r>
        <w:rPr>
          <w:rFonts w:hint="eastAsia" w:ascii="黑体" w:eastAsia="黑体"/>
          <w:sz w:val="44"/>
          <w:szCs w:val="44"/>
        </w:rPr>
        <w:t>年</w:t>
      </w:r>
      <w:r>
        <w:rPr>
          <w:rFonts w:hint="eastAsia" w:ascii="黑体" w:eastAsia="黑体"/>
          <w:sz w:val="44"/>
          <w:szCs w:val="44"/>
          <w:lang w:val="en-US" w:eastAsia="zh-CN"/>
        </w:rPr>
        <w:t>2</w:t>
      </w:r>
      <w:r>
        <w:rPr>
          <w:rFonts w:hint="eastAsia" w:ascii="黑体" w:eastAsia="黑体"/>
          <w:sz w:val="44"/>
          <w:szCs w:val="44"/>
        </w:rPr>
        <w:t xml:space="preserve">月 </w:t>
      </w:r>
      <w:r>
        <w:rPr>
          <w:rFonts w:hint="eastAsia" w:ascii="黑体" w:eastAsia="黑体"/>
          <w:sz w:val="44"/>
          <w:szCs w:val="44"/>
          <w:lang w:val="en-US" w:eastAsia="zh-CN"/>
        </w:rPr>
        <w:t>24</w:t>
      </w:r>
      <w:bookmarkStart w:id="0" w:name="_GoBack"/>
      <w:bookmarkEnd w:id="0"/>
      <w:r>
        <w:rPr>
          <w:rFonts w:hint="eastAsia" w:ascii="黑体" w:eastAsia="黑体"/>
          <w:sz w:val="44"/>
          <w:szCs w:val="44"/>
        </w:rPr>
        <w:t>日</w:t>
      </w:r>
    </w:p>
    <w:p w14:paraId="4F963BD0">
      <w:pPr>
        <w:ind w:firstLine="1760" w:firstLineChars="400"/>
        <w:rPr>
          <w:rFonts w:ascii="黑体" w:eastAsia="黑体"/>
          <w:sz w:val="44"/>
          <w:szCs w:val="44"/>
        </w:rPr>
      </w:pPr>
    </w:p>
    <w:p w14:paraId="1A24EC85">
      <w:pPr>
        <w:ind w:firstLine="1760" w:firstLineChars="400"/>
        <w:rPr>
          <w:rFonts w:ascii="黑体" w:eastAsia="黑体"/>
          <w:sz w:val="44"/>
          <w:szCs w:val="44"/>
        </w:rPr>
      </w:pPr>
    </w:p>
    <w:p w14:paraId="5D9029C0">
      <w:pPr>
        <w:ind w:firstLine="1760" w:firstLineChars="400"/>
        <w:rPr>
          <w:rFonts w:ascii="黑体" w:eastAsia="黑体"/>
          <w:sz w:val="44"/>
          <w:szCs w:val="44"/>
        </w:rPr>
      </w:pPr>
    </w:p>
    <w:p w14:paraId="5A8B5F71">
      <w:pPr>
        <w:pStyle w:val="2"/>
      </w:pPr>
    </w:p>
    <w:p w14:paraId="038F9E25">
      <w:pPr>
        <w:rPr>
          <w:rFonts w:ascii="黑体" w:eastAsia="黑体"/>
          <w:sz w:val="44"/>
          <w:szCs w:val="44"/>
        </w:rPr>
      </w:pPr>
    </w:p>
    <w:p w14:paraId="601D150F">
      <w:pPr>
        <w:ind w:firstLine="3120" w:firstLineChars="600"/>
        <w:rPr>
          <w:rFonts w:ascii="黑体" w:eastAsia="黑体"/>
          <w:sz w:val="52"/>
          <w:szCs w:val="52"/>
        </w:rPr>
      </w:pPr>
      <w:r>
        <w:rPr>
          <w:rFonts w:hint="eastAsia" w:ascii="黑体" w:eastAsia="黑体"/>
          <w:sz w:val="52"/>
          <w:szCs w:val="52"/>
        </w:rPr>
        <w:t>目录</w:t>
      </w:r>
    </w:p>
    <w:p w14:paraId="48CF8127">
      <w:pPr>
        <w:ind w:firstLine="3080" w:firstLineChars="700"/>
        <w:rPr>
          <w:rFonts w:ascii="黑体" w:eastAsia="黑体"/>
          <w:sz w:val="44"/>
          <w:szCs w:val="44"/>
        </w:rPr>
      </w:pPr>
    </w:p>
    <w:p w14:paraId="5D7F3BE5">
      <w:pPr>
        <w:pStyle w:val="11"/>
        <w:ind w:firstLine="0" w:firstLineChars="0"/>
        <w:rPr>
          <w:rFonts w:ascii="黑体" w:eastAsia="黑体"/>
          <w:sz w:val="32"/>
          <w:szCs w:val="32"/>
        </w:rPr>
      </w:pPr>
      <w:r>
        <w:rPr>
          <w:rFonts w:hint="eastAsia" w:ascii="黑体" w:eastAsia="黑体"/>
          <w:sz w:val="32"/>
          <w:szCs w:val="32"/>
        </w:rPr>
        <w:t>一、基本职能及主要工作</w:t>
      </w:r>
    </w:p>
    <w:p w14:paraId="4EA8399F">
      <w:pPr>
        <w:rPr>
          <w:rFonts w:ascii="楷体" w:eastAsia="楷体"/>
          <w:sz w:val="32"/>
          <w:szCs w:val="32"/>
        </w:rPr>
      </w:pPr>
      <w:r>
        <w:rPr>
          <w:rFonts w:hint="eastAsia" w:ascii="楷体" w:eastAsia="楷体"/>
          <w:sz w:val="32"/>
          <w:szCs w:val="32"/>
        </w:rPr>
        <w:t>（一）部门职能简介</w:t>
      </w:r>
    </w:p>
    <w:p w14:paraId="3A5181F8">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1DCC0F5">
      <w:pPr>
        <w:rPr>
          <w:rFonts w:ascii="黑体" w:eastAsia="黑体"/>
          <w:sz w:val="32"/>
          <w:szCs w:val="32"/>
        </w:rPr>
      </w:pPr>
      <w:r>
        <w:rPr>
          <w:rFonts w:hint="eastAsia" w:ascii="黑体" w:eastAsia="黑体"/>
          <w:sz w:val="32"/>
          <w:szCs w:val="32"/>
        </w:rPr>
        <w:t>二、部门预算单位构成</w:t>
      </w:r>
    </w:p>
    <w:p w14:paraId="4F3237C0">
      <w:pPr>
        <w:rPr>
          <w:rFonts w:ascii="黑体" w:eastAsia="黑体"/>
          <w:sz w:val="32"/>
          <w:szCs w:val="32"/>
        </w:rPr>
      </w:pPr>
      <w:r>
        <w:rPr>
          <w:rFonts w:hint="eastAsia" w:ascii="黑体" w:eastAsia="黑体"/>
          <w:sz w:val="32"/>
          <w:szCs w:val="32"/>
        </w:rPr>
        <w:t>三、收支预算情况说明</w:t>
      </w:r>
    </w:p>
    <w:p w14:paraId="6B93C843">
      <w:pPr>
        <w:rPr>
          <w:rFonts w:ascii="楷体" w:eastAsia="楷体"/>
          <w:sz w:val="32"/>
          <w:szCs w:val="32"/>
        </w:rPr>
      </w:pPr>
      <w:r>
        <w:rPr>
          <w:rFonts w:hint="eastAsia" w:ascii="楷体" w:eastAsia="楷体"/>
          <w:sz w:val="32"/>
          <w:szCs w:val="32"/>
        </w:rPr>
        <w:t>（一）收入预算情况</w:t>
      </w:r>
    </w:p>
    <w:p w14:paraId="2F3DBCA9">
      <w:pPr>
        <w:rPr>
          <w:rFonts w:ascii="楷体" w:eastAsia="楷体"/>
          <w:sz w:val="32"/>
          <w:szCs w:val="32"/>
        </w:rPr>
      </w:pPr>
      <w:r>
        <w:rPr>
          <w:rFonts w:hint="eastAsia" w:ascii="楷体" w:eastAsia="楷体"/>
          <w:sz w:val="32"/>
          <w:szCs w:val="32"/>
        </w:rPr>
        <w:t>（二）支出预算情况</w:t>
      </w:r>
    </w:p>
    <w:p w14:paraId="6B15FF68">
      <w:pPr>
        <w:rPr>
          <w:rFonts w:ascii="黑体" w:eastAsia="黑体"/>
          <w:sz w:val="32"/>
          <w:szCs w:val="32"/>
        </w:rPr>
      </w:pPr>
      <w:r>
        <w:rPr>
          <w:rFonts w:hint="eastAsia" w:ascii="黑体" w:eastAsia="黑体"/>
          <w:sz w:val="32"/>
          <w:szCs w:val="32"/>
        </w:rPr>
        <w:t>四、财政拨款收支预算情况说明</w:t>
      </w:r>
    </w:p>
    <w:p w14:paraId="50C78E89">
      <w:pPr>
        <w:rPr>
          <w:rFonts w:ascii="黑体" w:eastAsia="黑体"/>
          <w:sz w:val="32"/>
          <w:szCs w:val="32"/>
        </w:rPr>
      </w:pPr>
      <w:r>
        <w:rPr>
          <w:rFonts w:hint="eastAsia" w:ascii="黑体" w:eastAsia="黑体"/>
          <w:sz w:val="32"/>
          <w:szCs w:val="32"/>
        </w:rPr>
        <w:t>五、一般公共预算当年拨款情况说明</w:t>
      </w:r>
    </w:p>
    <w:p w14:paraId="60EB9878">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23F8D253">
      <w:pPr>
        <w:rPr>
          <w:rFonts w:ascii="黑体" w:eastAsia="黑体"/>
          <w:sz w:val="32"/>
          <w:szCs w:val="32"/>
        </w:rPr>
      </w:pPr>
    </w:p>
    <w:p w14:paraId="256D2614">
      <w:pPr>
        <w:widowControl/>
        <w:shd w:val="clear" w:color="auto" w:fill="FFFFFF"/>
        <w:spacing w:before="100" w:beforeAutospacing="1" w:after="100" w:afterAutospacing="1" w:line="290" w:lineRule="atLeast"/>
        <w:ind w:right="300"/>
        <w:jc w:val="left"/>
        <w:rPr>
          <w:rFonts w:ascii="??" w:hAnsi="??" w:cs="宋体"/>
          <w:kern w:val="0"/>
          <w:sz w:val="12"/>
          <w:szCs w:val="12"/>
          <w:highlight w:val="none"/>
        </w:rPr>
      </w:pPr>
    </w:p>
    <w:p w14:paraId="1B3694CB">
      <w:pPr>
        <w:pStyle w:val="11"/>
        <w:rPr>
          <w:rFonts w:ascii="黑体" w:eastAsia="黑体"/>
          <w:sz w:val="32"/>
          <w:szCs w:val="32"/>
          <w:highlight w:val="none"/>
        </w:rPr>
      </w:pPr>
      <w:r>
        <w:rPr>
          <w:rFonts w:hint="eastAsia" w:ascii="黑体" w:eastAsia="黑体"/>
          <w:sz w:val="32"/>
          <w:szCs w:val="32"/>
          <w:highlight w:val="none"/>
        </w:rPr>
        <w:t>一、基本职能及主要工作</w:t>
      </w:r>
    </w:p>
    <w:p w14:paraId="3019DFFD">
      <w:pPr>
        <w:ind w:firstLine="640" w:firstLineChars="200"/>
        <w:rPr>
          <w:rFonts w:ascii="楷体" w:eastAsia="楷体"/>
          <w:sz w:val="32"/>
          <w:szCs w:val="32"/>
          <w:highlight w:val="none"/>
        </w:rPr>
      </w:pPr>
      <w:r>
        <w:rPr>
          <w:rFonts w:hint="eastAsia" w:ascii="楷体" w:eastAsia="楷体"/>
          <w:sz w:val="32"/>
          <w:szCs w:val="32"/>
          <w:highlight w:val="none"/>
        </w:rPr>
        <w:t>（一）部门职能简介</w:t>
      </w:r>
    </w:p>
    <w:p w14:paraId="3D29C4FA">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1.审判法律规定由基层人民法院管辖的刑事、民事、行政等一审案件。</w:t>
      </w:r>
    </w:p>
    <w:p w14:paraId="176D9C34">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2.处理简易的民事纠纷和轻微的刑事案件。</w:t>
      </w:r>
    </w:p>
    <w:p w14:paraId="4ECDDFC7">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3.指导人民调解委员会的工作。</w:t>
      </w:r>
    </w:p>
    <w:p w14:paraId="3D09E78C">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4.审理上级人民法院指令再审的案件，受理不服本院判决裁定的各类申诉和申诉再审等案件。</w:t>
      </w:r>
    </w:p>
    <w:p w14:paraId="42A6D2AB">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5.对各人民法庭管辖争议的案件指定管辖。</w:t>
      </w:r>
    </w:p>
    <w:p w14:paraId="1B0B8603">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6.监督和指导人民法庭的审判工作。</w:t>
      </w:r>
    </w:p>
    <w:p w14:paraId="79AA0D09">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7.针对案件审理中发现的问题提出司法建议。</w:t>
      </w:r>
    </w:p>
    <w:p w14:paraId="488479EB">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8.对已生效的各类法律文书有执行内容的进行执行，办理委托、协助执行事宜。</w:t>
      </w:r>
    </w:p>
    <w:p w14:paraId="3DAF076F">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9.接待申诉来访，受理应由基层人民法院受理的告诉、申诉等案件。</w:t>
      </w:r>
    </w:p>
    <w:p w14:paraId="316A79B4">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10.负责本院思想、政治、教育、培训工作，按照权限管理法官、执行员、书记员、司法警察以及司法行政人员；协同主管部门管理人民法院机构设置、人员编制工作。</w:t>
      </w:r>
    </w:p>
    <w:p w14:paraId="719B020E">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11.负责本院的经费和物资装备管理。</w:t>
      </w:r>
    </w:p>
    <w:p w14:paraId="618E9A01">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12.负责本院的纪检监察工作。</w:t>
      </w:r>
    </w:p>
    <w:p w14:paraId="5CCB3652">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13.宣传法制、教育公民、忠于社会主义祖国，自觉遵守宪法、法律和社会公德。</w:t>
      </w:r>
    </w:p>
    <w:p w14:paraId="3537A80C">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highlight w:val="none"/>
          <w:lang w:val="en-US" w:eastAsia="zh-CN" w:bidi="ar-SA"/>
        </w:rPr>
        <w:t>14.承办其他应由县人民法院负责的工作。</w:t>
      </w:r>
    </w:p>
    <w:p w14:paraId="7211B609">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7737479A">
      <w:pPr>
        <w:ind w:firstLine="640" w:firstLineChars="200"/>
        <w:rPr>
          <w:rFonts w:hint="eastAsia" w:ascii="仿宋_GB2312" w:hAnsi="Calibri" w:eastAsia="仿宋_GB2312" w:cs="仿宋_GB2312"/>
          <w:kern w:val="2"/>
          <w:sz w:val="32"/>
          <w:szCs w:val="32"/>
          <w:highlight w:val="yellow"/>
          <w:lang w:val="en-US" w:eastAsia="zh-CN" w:bidi="ar-SA"/>
        </w:rPr>
      </w:pP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茂县</w:t>
      </w:r>
      <w:r>
        <w:rPr>
          <w:rFonts w:hint="eastAsia" w:ascii="Times New Roman" w:hAnsi="Times New Roman" w:eastAsia="仿宋_GB2312" w:cs="仿宋_GB2312"/>
          <w:sz w:val="32"/>
          <w:szCs w:val="32"/>
          <w:lang w:eastAsia="zh-CN"/>
        </w:rPr>
        <w:t>人民</w:t>
      </w:r>
      <w:r>
        <w:rPr>
          <w:rFonts w:hint="eastAsia" w:ascii="Times New Roman" w:hAnsi="Times New Roman" w:eastAsia="仿宋_GB2312" w:cs="仿宋_GB2312"/>
          <w:sz w:val="32"/>
          <w:szCs w:val="32"/>
        </w:rPr>
        <w:t>法院将坚持以习近平新时代中国特色社会主义思想为指导</w:t>
      </w:r>
      <w:r>
        <w:rPr>
          <w:rFonts w:hint="eastAsia" w:ascii="Times New Roman" w:hAnsi="Times New Roman" w:eastAsia="仿宋_GB2312" w:cs="仿宋_GB2312"/>
          <w:sz w:val="32"/>
          <w:szCs w:val="32"/>
          <w:lang w:eastAsia="zh-CN"/>
        </w:rPr>
        <w:t>，准确把握习近平法治思想内涵，牢记</w:t>
      </w:r>
      <w:r>
        <w:rPr>
          <w:rFonts w:hint="eastAsia" w:ascii="Times New Roman" w:hAnsi="Times New Roman" w:eastAsia="仿宋_GB2312" w:cs="仿宋_GB2312"/>
          <w:sz w:val="32"/>
          <w:szCs w:val="32"/>
        </w:rPr>
        <w:t>以中国式现代化推进中华民族伟大复</w:t>
      </w:r>
      <w:r>
        <w:rPr>
          <w:rFonts w:hint="eastAsia" w:ascii="Times New Roman" w:hAnsi="Times New Roman" w:eastAsia="仿宋_GB2312" w:cs="仿宋_GB2312"/>
          <w:color w:val="auto"/>
          <w:sz w:val="32"/>
          <w:szCs w:val="32"/>
        </w:rPr>
        <w:t>兴的使命任务</w:t>
      </w:r>
      <w:r>
        <w:rPr>
          <w:rFonts w:hint="eastAsia" w:ascii="Times New Roman" w:hAnsi="Times New Roman" w:eastAsia="仿宋_GB2312" w:cs="仿宋_GB2312"/>
          <w:color w:val="auto"/>
          <w:sz w:val="32"/>
          <w:szCs w:val="32"/>
          <w:lang w:eastAsia="zh-CN"/>
        </w:rPr>
        <w:t>，准确把握建设州域副中心的总体形势和目标定位，</w:t>
      </w:r>
      <w:r>
        <w:rPr>
          <w:rFonts w:hint="eastAsia" w:ascii="Times New Roman" w:hAnsi="Times New Roman" w:eastAsia="仿宋_GB2312" w:cs="仿宋_GB2312"/>
          <w:color w:val="auto"/>
          <w:sz w:val="32"/>
          <w:szCs w:val="32"/>
        </w:rPr>
        <w:t>做</w:t>
      </w:r>
      <w:r>
        <w:rPr>
          <w:rFonts w:hint="eastAsia" w:ascii="Times New Roman" w:hAnsi="Times New Roman" w:eastAsia="仿宋_GB2312" w:cs="仿宋_GB2312"/>
          <w:sz w:val="32"/>
          <w:szCs w:val="32"/>
        </w:rPr>
        <w:t>深做实为大局服务、为人民司法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w:t>
      </w:r>
      <w:r>
        <w:rPr>
          <w:rFonts w:hint="eastAsia" w:ascii="Times New Roman" w:hAnsi="Times New Roman" w:eastAsia="仿宋_GB2312" w:cs="仿宋_GB2312"/>
          <w:sz w:val="32"/>
          <w:szCs w:val="32"/>
          <w:lang w:eastAsia="zh-CN"/>
        </w:rPr>
        <w:t>中</w:t>
      </w:r>
      <w:r>
        <w:rPr>
          <w:rFonts w:hint="eastAsia" w:ascii="Times New Roman" w:hAnsi="Times New Roman" w:eastAsia="仿宋_GB2312" w:cs="仿宋_GB2312"/>
          <w:sz w:val="32"/>
          <w:szCs w:val="32"/>
        </w:rPr>
        <w:t>求进、创新突破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不断提高审判工作现代化水平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为写好民族地区高质量发展阿坝典范茂县篇章注入源源不断的法院智慧和力量</w:t>
      </w:r>
      <w:r>
        <w:rPr>
          <w:rFonts w:hint="eastAsia" w:ascii="仿宋_GB2312" w:hAnsi="Calibri" w:eastAsia="仿宋_GB2312" w:cs="仿宋_GB2312"/>
          <w:kern w:val="2"/>
          <w:sz w:val="32"/>
          <w:szCs w:val="32"/>
          <w:highlight w:val="none"/>
          <w:lang w:val="en-US" w:eastAsia="zh-CN" w:bidi="ar-SA"/>
        </w:rPr>
        <w:t>。</w:t>
      </w:r>
    </w:p>
    <w:p w14:paraId="3ED2A08E">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717A8AA5">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仿宋" w:eastAsia="仿宋_GB2312" w:cs="Times New Roman"/>
          <w:color w:val="000000"/>
          <w:kern w:val="2"/>
          <w:sz w:val="32"/>
          <w:szCs w:val="32"/>
          <w:lang w:eastAsia="zh-CN"/>
        </w:rPr>
        <w:t>茂县人民法院属一级预算单位</w:t>
      </w:r>
      <w:r>
        <w:rPr>
          <w:rFonts w:hint="eastAsia" w:ascii="仿宋_GB2312" w:hAnsi="仿宋" w:eastAsia="仿宋_GB2312" w:cs="Times New Roman"/>
          <w:color w:val="000000"/>
          <w:kern w:val="2"/>
          <w:sz w:val="32"/>
          <w:szCs w:val="32"/>
          <w:lang w:val="en-US" w:eastAsia="zh-CN"/>
        </w:rPr>
        <w:t>,无下属二级预算单位。茂县人民法院机关总编制63名，其中：政法专项编制61名，工勤编制2名。在职人员总数55人，其中：政法专项在职53人，工勤在职2人。空编8名，其中：政法专项编制8名。茂县人民法院离退休人员27人，其中：离休1人，退休26人。遗属人员14人</w:t>
      </w:r>
      <w:r>
        <w:rPr>
          <w:rFonts w:hint="eastAsia" w:ascii="仿宋_GB2312" w:hAnsi="Calibri" w:eastAsia="仿宋_GB2312" w:cs="仿宋_GB2312"/>
          <w:kern w:val="2"/>
          <w:sz w:val="32"/>
          <w:szCs w:val="32"/>
          <w:highlight w:val="none"/>
          <w:lang w:val="en-US" w:eastAsia="zh-CN" w:bidi="ar-SA"/>
        </w:rPr>
        <w:t>。</w:t>
      </w:r>
    </w:p>
    <w:p w14:paraId="73EE7F05">
      <w:pPr>
        <w:pStyle w:val="11"/>
        <w:ind w:left="720" w:firstLine="0" w:firstLineChars="0"/>
        <w:rPr>
          <w:rFonts w:ascii="黑体" w:eastAsia="黑体"/>
          <w:sz w:val="32"/>
          <w:szCs w:val="32"/>
        </w:rPr>
      </w:pPr>
      <w:r>
        <w:rPr>
          <w:rFonts w:hint="eastAsia" w:ascii="黑体" w:eastAsia="黑体"/>
          <w:sz w:val="32"/>
          <w:szCs w:val="32"/>
        </w:rPr>
        <w:t>三、收支预算情况说明</w:t>
      </w:r>
    </w:p>
    <w:p w14:paraId="5A922042">
      <w:pPr>
        <w:ind w:firstLine="640" w:firstLineChars="200"/>
        <w:rPr>
          <w:rFonts w:hint="eastAsia" w:ascii="楷体" w:eastAsia="楷体"/>
          <w:sz w:val="32"/>
          <w:szCs w:val="32"/>
        </w:rPr>
      </w:pPr>
      <w:r>
        <w:rPr>
          <w:rFonts w:hint="eastAsia" w:ascii="楷体" w:eastAsia="楷体"/>
          <w:sz w:val="32"/>
          <w:szCs w:val="32"/>
        </w:rPr>
        <w:t>（一）收入预算情况</w:t>
      </w:r>
    </w:p>
    <w:p w14:paraId="6F2B89D4">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我院2025年收入预算1477.49万元，其中：上年结转0万元；一般公共预算拨款收入1477.49万元，占100%。</w:t>
      </w:r>
    </w:p>
    <w:p w14:paraId="1DC45CC2">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22F0D843">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我院2025年支出预算1477.49万元，其中：基本支出1277.49万元，占</w:t>
      </w:r>
      <w:r>
        <w:rPr>
          <w:rFonts w:hint="eastAsia" w:ascii="仿宋_GB2312" w:eastAsia="仿宋_GB2312" w:cs="仿宋_GB2312"/>
          <w:kern w:val="2"/>
          <w:sz w:val="32"/>
          <w:szCs w:val="32"/>
          <w:lang w:val="en-US" w:eastAsia="zh-CN" w:bidi="ar-SA"/>
        </w:rPr>
        <w:t>86.47</w:t>
      </w:r>
      <w:r>
        <w:rPr>
          <w:rFonts w:hint="eastAsia" w:ascii="仿宋_GB2312" w:hAnsi="Calibri" w:eastAsia="仿宋_GB2312" w:cs="仿宋_GB2312"/>
          <w:kern w:val="2"/>
          <w:sz w:val="32"/>
          <w:szCs w:val="32"/>
          <w:lang w:val="en-US" w:eastAsia="zh-CN" w:bidi="ar-SA"/>
        </w:rPr>
        <w:t>%；项目支出200万元，占</w:t>
      </w:r>
      <w:r>
        <w:rPr>
          <w:rFonts w:hint="eastAsia" w:ascii="仿宋_GB2312" w:eastAsia="仿宋_GB2312" w:cs="仿宋_GB2312"/>
          <w:kern w:val="2"/>
          <w:sz w:val="32"/>
          <w:szCs w:val="32"/>
          <w:lang w:val="en-US" w:eastAsia="zh-CN" w:bidi="ar-SA"/>
        </w:rPr>
        <w:t>13.53</w:t>
      </w:r>
      <w:r>
        <w:rPr>
          <w:rFonts w:hint="eastAsia" w:ascii="仿宋_GB2312" w:hAnsi="Calibri" w:eastAsia="仿宋_GB2312" w:cs="仿宋_GB2312"/>
          <w:kern w:val="2"/>
          <w:sz w:val="32"/>
          <w:szCs w:val="32"/>
          <w:lang w:val="en-US" w:eastAsia="zh-CN" w:bidi="ar-SA"/>
        </w:rPr>
        <w:t>%。</w:t>
      </w:r>
    </w:p>
    <w:p w14:paraId="0F2E850B">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14:paraId="4A0E5ACB">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yellow"/>
          <w:lang w:val="en-US" w:eastAsia="zh-CN" w:bidi="ar-SA"/>
        </w:rPr>
      </w:pPr>
      <w:r>
        <w:rPr>
          <w:rFonts w:hint="eastAsia" w:ascii="仿宋_GB2312" w:hAnsi="Calibri" w:eastAsia="仿宋_GB2312" w:cs="仿宋_GB2312"/>
          <w:kern w:val="2"/>
          <w:sz w:val="32"/>
          <w:szCs w:val="32"/>
          <w:lang w:val="en-US" w:eastAsia="zh-CN" w:bidi="ar-SA"/>
        </w:rPr>
        <w:t>我院2025年财政拨款收支总预算1477.49万元,比2024年财政拨款收支总预</w:t>
      </w:r>
      <w:r>
        <w:rPr>
          <w:rFonts w:hint="eastAsia" w:ascii="仿宋_GB2312" w:hAnsi="Calibri" w:eastAsia="仿宋_GB2312" w:cs="仿宋_GB2312"/>
          <w:kern w:val="2"/>
          <w:sz w:val="32"/>
          <w:szCs w:val="32"/>
          <w:highlight w:val="none"/>
          <w:lang w:val="en-US" w:eastAsia="zh-CN" w:bidi="ar-SA"/>
        </w:rPr>
        <w:t>算增加</w:t>
      </w:r>
      <w:r>
        <w:rPr>
          <w:rFonts w:hint="eastAsia" w:ascii="仿宋_GB2312" w:eastAsia="仿宋_GB2312" w:cs="仿宋_GB2312"/>
          <w:kern w:val="2"/>
          <w:sz w:val="32"/>
          <w:szCs w:val="32"/>
          <w:highlight w:val="none"/>
          <w:lang w:val="en-US" w:eastAsia="zh-CN" w:bidi="ar-SA"/>
        </w:rPr>
        <w:t>76.63</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p>
    <w:p w14:paraId="7D4021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收入包括：本年一般公共预算拨款收入1477.49万元。</w:t>
      </w:r>
    </w:p>
    <w:p w14:paraId="4DE032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 公共安全支出1134.08</w:t>
      </w:r>
      <w:r>
        <w:rPr>
          <w:rFonts w:hint="eastAsia" w:ascii="仿宋_GB2312" w:eastAsia="仿宋_GB2312" w:cs="仿宋_GB2312"/>
          <w:kern w:val="2"/>
          <w:sz w:val="32"/>
          <w:szCs w:val="32"/>
          <w:lang w:val="en-US" w:eastAsia="zh-CN" w:bidi="ar-SA"/>
        </w:rPr>
        <w:t>万元、</w:t>
      </w:r>
      <w:r>
        <w:rPr>
          <w:rFonts w:hint="eastAsia" w:ascii="仿宋_GB2312" w:hAnsi="Calibri" w:eastAsia="仿宋_GB2312" w:cs="仿宋_GB2312"/>
          <w:kern w:val="2"/>
          <w:sz w:val="32"/>
          <w:szCs w:val="32"/>
          <w:lang w:val="en-US" w:eastAsia="zh-CN" w:bidi="ar-SA"/>
        </w:rPr>
        <w:t>社会保障和就业支出183.12万元、卫生健康支出71.38万元、住房保障支出88.92万元。</w:t>
      </w:r>
    </w:p>
    <w:p w14:paraId="1E4D926E">
      <w:pPr>
        <w:ind w:firstLine="640" w:firstLineChars="200"/>
        <w:rPr>
          <w:rFonts w:ascii="黑体" w:eastAsia="黑体"/>
          <w:sz w:val="32"/>
          <w:szCs w:val="32"/>
        </w:rPr>
      </w:pPr>
      <w:r>
        <w:rPr>
          <w:rFonts w:hint="eastAsia" w:ascii="黑体" w:eastAsia="黑体"/>
          <w:sz w:val="32"/>
          <w:szCs w:val="32"/>
        </w:rPr>
        <w:t>五、一般公共预算当年拨款情况说明</w:t>
      </w:r>
    </w:p>
    <w:p w14:paraId="072B7CC4">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948ABAA">
      <w:pPr>
        <w:pStyle w:val="12"/>
        <w:spacing w:before="0" w:line="360" w:lineRule="auto"/>
        <w:ind w:firstLine="66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2025年一般公共预算当年拨款</w:t>
      </w:r>
      <w:r>
        <w:rPr>
          <w:rFonts w:hint="eastAsia" w:ascii="仿宋_GB2312" w:hAnsi="Calibri" w:eastAsia="仿宋_GB2312" w:cs="仿宋_GB2312"/>
          <w:kern w:val="2"/>
          <w:sz w:val="32"/>
          <w:szCs w:val="32"/>
          <w:lang w:val="en-US" w:eastAsia="zh-CN" w:bidi="ar-SA"/>
        </w:rPr>
        <w:t>1477.49</w:t>
      </w:r>
      <w:r>
        <w:rPr>
          <w:rFonts w:hint="eastAsia" w:cs="仿宋_GB2312"/>
          <w:kern w:val="2"/>
          <w:sz w:val="32"/>
          <w:szCs w:val="32"/>
        </w:rPr>
        <w:t>万元，比</w:t>
      </w:r>
      <w:r>
        <w:rPr>
          <w:rFonts w:hint="eastAsia" w:cs="仿宋_GB2312"/>
          <w:kern w:val="2"/>
          <w:sz w:val="32"/>
          <w:szCs w:val="32"/>
          <w:highlight w:val="none"/>
        </w:rPr>
        <w:t>2024年预算数增加</w:t>
      </w:r>
      <w:r>
        <w:rPr>
          <w:rFonts w:hint="eastAsia" w:ascii="仿宋_GB2312" w:eastAsia="仿宋_GB2312" w:cs="仿宋_GB2312"/>
          <w:kern w:val="2"/>
          <w:sz w:val="32"/>
          <w:szCs w:val="32"/>
          <w:highlight w:val="none"/>
          <w:lang w:val="en-US" w:eastAsia="zh-CN" w:bidi="ar-SA"/>
        </w:rPr>
        <w:t>76.63</w:t>
      </w:r>
      <w:r>
        <w:rPr>
          <w:rFonts w:hint="eastAsia" w:cs="仿宋_GB2312"/>
          <w:kern w:val="2"/>
          <w:sz w:val="32"/>
          <w:szCs w:val="32"/>
          <w:highlight w:val="none"/>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r>
        <w:rPr>
          <w:rFonts w:hint="eastAsia" w:cs="仿宋_GB2312"/>
          <w:kern w:val="2"/>
          <w:sz w:val="32"/>
          <w:szCs w:val="32"/>
        </w:rPr>
        <w:t>　</w:t>
      </w:r>
    </w:p>
    <w:p w14:paraId="7636E1F5">
      <w:pPr>
        <w:pStyle w:val="12"/>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14:paraId="08308EDF">
      <w:pPr>
        <w:pStyle w:val="12"/>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公共安全支出1134.08</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，占比76.76%；</w:t>
      </w:r>
      <w:r>
        <w:rPr>
          <w:rFonts w:hint="eastAsia" w:cs="仿宋_GB2312"/>
          <w:kern w:val="2"/>
          <w:sz w:val="32"/>
          <w:szCs w:val="32"/>
        </w:rPr>
        <w:t>社会保障和就业支出</w:t>
      </w:r>
      <w:r>
        <w:rPr>
          <w:rFonts w:hint="eastAsia" w:ascii="仿宋_GB2312" w:hAnsi="Calibri" w:eastAsia="仿宋_GB2312" w:cs="仿宋_GB2312"/>
          <w:kern w:val="2"/>
          <w:sz w:val="32"/>
          <w:szCs w:val="32"/>
          <w:lang w:val="en-US" w:eastAsia="zh-CN" w:bidi="ar-SA"/>
        </w:rPr>
        <w:t>183.12</w:t>
      </w:r>
      <w:r>
        <w:rPr>
          <w:rFonts w:hint="eastAsia" w:cs="仿宋_GB2312"/>
          <w:kern w:val="2"/>
          <w:sz w:val="32"/>
          <w:szCs w:val="32"/>
        </w:rPr>
        <w:t>万元，占</w:t>
      </w:r>
      <w:r>
        <w:rPr>
          <w:rFonts w:hint="eastAsia" w:cs="仿宋_GB2312"/>
          <w:kern w:val="2"/>
          <w:sz w:val="32"/>
          <w:szCs w:val="32"/>
          <w:lang w:val="en-US" w:eastAsia="zh-CN"/>
        </w:rPr>
        <w:t>12.39</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71.38</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占4.8</w:t>
      </w:r>
      <w:r>
        <w:rPr>
          <w:rFonts w:hint="eastAsia" w:cs="仿宋_GB2312"/>
          <w:kern w:val="2"/>
          <w:sz w:val="32"/>
          <w:szCs w:val="32"/>
          <w:lang w:val="en-US" w:eastAsia="zh-CN"/>
        </w:rPr>
        <w:t>3</w:t>
      </w:r>
      <w:r>
        <w:rPr>
          <w:rFonts w:hint="eastAsia" w:cs="仿宋_GB2312"/>
          <w:kern w:val="2"/>
          <w:sz w:val="32"/>
          <w:szCs w:val="32"/>
        </w:rPr>
        <w:t>%；住房保障支出</w:t>
      </w:r>
      <w:r>
        <w:rPr>
          <w:rFonts w:hint="eastAsia" w:ascii="仿宋_GB2312" w:hAnsi="Calibri" w:eastAsia="仿宋_GB2312" w:cs="仿宋_GB2312"/>
          <w:kern w:val="2"/>
          <w:sz w:val="32"/>
          <w:szCs w:val="32"/>
          <w:lang w:val="en-US" w:eastAsia="zh-CN" w:bidi="ar-SA"/>
        </w:rPr>
        <w:t>88.92</w:t>
      </w:r>
      <w:r>
        <w:rPr>
          <w:rFonts w:hint="eastAsia" w:cs="仿宋_GB2312"/>
          <w:kern w:val="2"/>
          <w:sz w:val="32"/>
          <w:szCs w:val="32"/>
        </w:rPr>
        <w:t>万元，占6.</w:t>
      </w:r>
      <w:r>
        <w:rPr>
          <w:rFonts w:hint="eastAsia" w:cs="仿宋_GB2312"/>
          <w:kern w:val="2"/>
          <w:sz w:val="32"/>
          <w:szCs w:val="32"/>
          <w:lang w:val="en-US" w:eastAsia="zh-CN"/>
        </w:rPr>
        <w:t>02</w:t>
      </w:r>
      <w:r>
        <w:rPr>
          <w:rFonts w:hint="eastAsia" w:cs="仿宋_GB2312"/>
          <w:kern w:val="2"/>
          <w:sz w:val="32"/>
          <w:szCs w:val="32"/>
        </w:rPr>
        <w:t>%。</w:t>
      </w:r>
    </w:p>
    <w:p w14:paraId="5BF750FE">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4D0941D0">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ascii="仿宋_GB2312" w:hAnsi="仿宋" w:eastAsia="仿宋_GB2312" w:cs="Times New Roman"/>
          <w:color w:val="000000"/>
          <w:kern w:val="2"/>
          <w:sz w:val="32"/>
          <w:szCs w:val="32"/>
          <w:lang w:eastAsia="zh-CN"/>
        </w:rPr>
        <w:t>204</w:t>
      </w:r>
      <w:r>
        <w:rPr>
          <w:rFonts w:hint="eastAsia" w:ascii="仿宋_GB2312" w:hAnsi="仿宋" w:eastAsia="仿宋_GB2312" w:cs="Times New Roman"/>
          <w:color w:val="000000"/>
          <w:kern w:val="2"/>
          <w:sz w:val="32"/>
          <w:szCs w:val="32"/>
          <w:lang w:eastAsia="zh-CN"/>
        </w:rPr>
        <w:t>）法院（</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）行政运行（</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）2025年预算数为</w:t>
      </w:r>
      <w:r>
        <w:rPr>
          <w:rFonts w:hint="eastAsia" w:ascii="仿宋_GB2312" w:hAnsi="Calibri" w:eastAsia="仿宋_GB2312" w:cs="仿宋_GB2312"/>
          <w:kern w:val="2"/>
          <w:sz w:val="32"/>
          <w:szCs w:val="32"/>
          <w:lang w:val="en-US" w:eastAsia="zh-CN" w:bidi="ar-SA"/>
        </w:rPr>
        <w:t>879.95</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单位202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年的人员经费和日常公用经费等基本支出。</w:t>
      </w:r>
    </w:p>
    <w:p w14:paraId="15409C02">
      <w:pPr>
        <w:pStyle w:val="2"/>
        <w:rPr>
          <w:rFonts w:hint="eastAsia" w:ascii="仿宋_GB2312" w:hAnsi="仿宋" w:eastAsia="仿宋_GB2312" w:cs="Times New Roman"/>
          <w:b w:val="0"/>
          <w:bCs/>
          <w:color w:val="000000"/>
          <w:kern w:val="2"/>
          <w:sz w:val="32"/>
          <w:szCs w:val="32"/>
          <w:lang w:val="en-US" w:eastAsia="zh-CN" w:bidi="ar-SA"/>
        </w:rPr>
      </w:pPr>
      <w:r>
        <w:rPr>
          <w:rFonts w:hint="eastAsia" w:ascii="仿宋_GB2312" w:hAnsi="仿宋" w:eastAsia="仿宋_GB2312" w:cs="Times New Roman"/>
          <w:b w:val="0"/>
          <w:bCs/>
          <w:color w:val="000000"/>
          <w:kern w:val="2"/>
          <w:sz w:val="32"/>
          <w:szCs w:val="32"/>
          <w:lang w:val="en-US" w:eastAsia="zh-CN" w:bidi="ar-SA"/>
        </w:rPr>
        <w:t>2.公共安全支出（204）法院（05） 一般行政管理事务（02）2025年预算数为54.12万元，主要用于:单位2025年的日常公用经费等基本支出。</w:t>
      </w:r>
    </w:p>
    <w:p w14:paraId="5608DD6F">
      <w:pPr>
        <w:ind w:firstLine="640" w:firstLineChars="200"/>
        <w:rPr>
          <w:rFonts w:hint="default"/>
          <w:lang w:val="en-US" w:eastAsia="zh-CN"/>
        </w:rPr>
      </w:pPr>
      <w:r>
        <w:rPr>
          <w:rFonts w:hint="eastAsia" w:ascii="仿宋_GB2312" w:hAnsi="仿宋" w:eastAsia="仿宋_GB2312" w:cs="Times New Roman"/>
          <w:b w:val="0"/>
          <w:bCs/>
          <w:color w:val="000000"/>
          <w:kern w:val="2"/>
          <w:sz w:val="32"/>
          <w:szCs w:val="32"/>
          <w:lang w:val="en-US" w:eastAsia="zh-CN" w:bidi="ar-SA"/>
        </w:rPr>
        <w:t>3.公共安全支出（204）法院（05） “两庭”建设（06）2025年预算数为200万元，主要用于:单位2025年茂县人民法院审判庭扩建工程等项目支出。</w:t>
      </w:r>
    </w:p>
    <w:p w14:paraId="5D40CD0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）机关事业单位基本养老保险缴费支出（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w:t>
      </w:r>
      <w:r>
        <w:rPr>
          <w:rFonts w:hint="eastAsia" w:ascii="仿宋_GB2312" w:hAnsi="Calibri" w:eastAsia="仿宋_GB2312" w:cs="仿宋_GB2312"/>
          <w:kern w:val="2"/>
          <w:sz w:val="32"/>
          <w:szCs w:val="32"/>
          <w:lang w:val="en-US" w:eastAsia="zh-CN" w:bidi="ar-SA"/>
        </w:rPr>
        <w:t>122.08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14:paraId="754DA67D">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）机关事业单位职业年金缴费支出（</w:t>
      </w:r>
      <w:r>
        <w:rPr>
          <w:rFonts w:ascii="仿宋_GB2312" w:hAnsi="仿宋" w:eastAsia="仿宋_GB2312" w:cs="Times New Roman"/>
          <w:color w:val="000000"/>
          <w:kern w:val="2"/>
          <w:sz w:val="32"/>
          <w:szCs w:val="32"/>
          <w:lang w:eastAsia="zh-CN"/>
        </w:rPr>
        <w:t>06</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年预算数为61.04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14:paraId="59189FC6">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）行政单位医疗（</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年预算数为53.42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14:paraId="691E9E76">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7</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）公务员医疗补助（</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年预算数为17.96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14:paraId="24DAD3A3">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8.住房保障支出（221）住房改革支出（02）住房公积金（01）</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5</w:t>
      </w:r>
      <w:r>
        <w:rPr>
          <w:rFonts w:hint="eastAsia" w:ascii="仿宋_GB2312" w:hAnsi="仿宋" w:eastAsia="仿宋_GB2312" w:cs="Times New Roman"/>
          <w:color w:val="000000"/>
          <w:kern w:val="2"/>
          <w:sz w:val="32"/>
          <w:szCs w:val="32"/>
          <w:lang w:eastAsia="zh-CN"/>
        </w:rPr>
        <w:t>年预算数为88.92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元，主要用于单位为职工缴纳住房公积金。</w:t>
      </w:r>
    </w:p>
    <w:p w14:paraId="38AF6479">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14:paraId="62C1DE11">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我院2025年一般公共预算基本支出1277.49万元，其中：人员经费1109.34万元，主要包括：基本工资268.6</w:t>
      </w:r>
      <w:r>
        <w:rPr>
          <w:rFonts w:hint="eastAsia" w:cs="仿宋_GB2312"/>
          <w:kern w:val="2"/>
          <w:sz w:val="32"/>
          <w:szCs w:val="32"/>
          <w:lang w:val="en-US" w:eastAsia="zh-CN"/>
        </w:rPr>
        <w:t>万元</w:t>
      </w:r>
      <w:r>
        <w:rPr>
          <w:rFonts w:hint="eastAsia" w:cs="仿宋_GB2312"/>
          <w:kern w:val="2"/>
          <w:sz w:val="32"/>
          <w:szCs w:val="32"/>
        </w:rPr>
        <w:t>、津贴补贴288.86</w:t>
      </w:r>
      <w:r>
        <w:rPr>
          <w:rFonts w:hint="eastAsia" w:cs="仿宋_GB2312"/>
          <w:kern w:val="2"/>
          <w:sz w:val="32"/>
          <w:szCs w:val="32"/>
          <w:lang w:val="en-US" w:eastAsia="zh-CN"/>
        </w:rPr>
        <w:t>万元</w:t>
      </w:r>
      <w:r>
        <w:rPr>
          <w:rFonts w:hint="eastAsia" w:cs="仿宋_GB2312"/>
          <w:kern w:val="2"/>
          <w:sz w:val="32"/>
          <w:szCs w:val="32"/>
        </w:rPr>
        <w:t>、奖金22.38</w:t>
      </w:r>
      <w:r>
        <w:rPr>
          <w:rFonts w:hint="eastAsia" w:cs="仿宋_GB2312"/>
          <w:kern w:val="2"/>
          <w:sz w:val="32"/>
          <w:szCs w:val="32"/>
          <w:lang w:val="en-US" w:eastAsia="zh-CN"/>
        </w:rPr>
        <w:t>万元</w:t>
      </w:r>
      <w:r>
        <w:rPr>
          <w:rFonts w:hint="eastAsia" w:cs="仿宋_GB2312"/>
          <w:kern w:val="2"/>
          <w:sz w:val="32"/>
          <w:szCs w:val="32"/>
        </w:rPr>
        <w:t>、机关事业单位基本养老保险缴费122.08</w:t>
      </w:r>
      <w:r>
        <w:rPr>
          <w:rFonts w:hint="eastAsia" w:cs="仿宋_GB2312"/>
          <w:kern w:val="2"/>
          <w:sz w:val="32"/>
          <w:szCs w:val="32"/>
          <w:lang w:val="en-US" w:eastAsia="zh-CN"/>
        </w:rPr>
        <w:t>万元</w:t>
      </w:r>
      <w:r>
        <w:rPr>
          <w:rFonts w:hint="eastAsia" w:cs="仿宋_GB2312"/>
          <w:kern w:val="2"/>
          <w:sz w:val="32"/>
          <w:szCs w:val="32"/>
        </w:rPr>
        <w:t>、职业年金缴费61.04</w:t>
      </w:r>
      <w:r>
        <w:rPr>
          <w:rFonts w:hint="eastAsia" w:cs="仿宋_GB2312"/>
          <w:kern w:val="2"/>
          <w:sz w:val="32"/>
          <w:szCs w:val="32"/>
          <w:lang w:val="en-US" w:eastAsia="zh-CN"/>
        </w:rPr>
        <w:t>万元</w:t>
      </w:r>
      <w:r>
        <w:rPr>
          <w:rFonts w:hint="eastAsia" w:cs="仿宋_GB2312"/>
          <w:kern w:val="2"/>
          <w:sz w:val="32"/>
          <w:szCs w:val="32"/>
        </w:rPr>
        <w:t>、职工基本医疗保险缴费53.42</w:t>
      </w:r>
      <w:r>
        <w:rPr>
          <w:rFonts w:hint="eastAsia" w:cs="仿宋_GB2312"/>
          <w:kern w:val="2"/>
          <w:sz w:val="32"/>
          <w:szCs w:val="32"/>
          <w:lang w:val="en-US" w:eastAsia="zh-CN"/>
        </w:rPr>
        <w:t>万元</w:t>
      </w:r>
      <w:r>
        <w:rPr>
          <w:rFonts w:hint="eastAsia" w:cs="仿宋_GB2312"/>
          <w:kern w:val="2"/>
          <w:sz w:val="32"/>
          <w:szCs w:val="32"/>
        </w:rPr>
        <w:t>、  公务员医疗补助缴费17.96</w:t>
      </w:r>
      <w:r>
        <w:rPr>
          <w:rFonts w:hint="eastAsia" w:cs="仿宋_GB2312"/>
          <w:kern w:val="2"/>
          <w:sz w:val="32"/>
          <w:szCs w:val="32"/>
          <w:lang w:val="en-US" w:eastAsia="zh-CN"/>
        </w:rPr>
        <w:t>万元、</w:t>
      </w:r>
      <w:r>
        <w:rPr>
          <w:rFonts w:hint="eastAsia" w:cs="仿宋_GB2312"/>
          <w:kern w:val="2"/>
          <w:sz w:val="32"/>
          <w:szCs w:val="32"/>
        </w:rPr>
        <w:t>其他社会保障缴费6.1</w:t>
      </w:r>
      <w:r>
        <w:rPr>
          <w:rFonts w:hint="eastAsia" w:cs="仿宋_GB2312"/>
          <w:kern w:val="2"/>
          <w:sz w:val="32"/>
          <w:szCs w:val="32"/>
          <w:lang w:val="en-US" w:eastAsia="zh-CN"/>
        </w:rPr>
        <w:t>万元</w:t>
      </w:r>
      <w:r>
        <w:rPr>
          <w:rFonts w:hint="eastAsia" w:cs="仿宋_GB2312"/>
          <w:kern w:val="2"/>
          <w:sz w:val="32"/>
          <w:szCs w:val="32"/>
        </w:rPr>
        <w:t>、住房公积金88.92</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其他</w:t>
      </w:r>
      <w:r>
        <w:rPr>
          <w:rFonts w:hint="eastAsia" w:cs="仿宋_GB2312"/>
          <w:kern w:val="2"/>
          <w:sz w:val="32"/>
          <w:szCs w:val="32"/>
        </w:rPr>
        <w:t>工</w:t>
      </w:r>
      <w:r>
        <w:rPr>
          <w:rFonts w:hint="eastAsia" w:cs="仿宋_GB2312"/>
          <w:kern w:val="2"/>
          <w:sz w:val="32"/>
          <w:szCs w:val="32"/>
          <w:highlight w:val="none"/>
        </w:rPr>
        <w:t>资</w:t>
      </w:r>
      <w:r>
        <w:rPr>
          <w:rFonts w:hint="eastAsia" w:cs="仿宋_GB2312"/>
          <w:kern w:val="2"/>
          <w:sz w:val="32"/>
          <w:szCs w:val="32"/>
          <w:highlight w:val="none"/>
          <w:lang w:val="en-US" w:eastAsia="zh-CN"/>
        </w:rPr>
        <w:t>福利支出</w:t>
      </w:r>
      <w:r>
        <w:rPr>
          <w:rFonts w:hint="eastAsia" w:cs="仿宋_GB2312"/>
          <w:kern w:val="2"/>
          <w:sz w:val="32"/>
          <w:szCs w:val="32"/>
          <w:highlight w:val="none"/>
        </w:rPr>
        <w:t>160.89</w:t>
      </w:r>
      <w:r>
        <w:rPr>
          <w:rFonts w:hint="eastAsia" w:cs="仿宋_GB2312"/>
          <w:kern w:val="2"/>
          <w:sz w:val="32"/>
          <w:szCs w:val="32"/>
          <w:highlight w:val="none"/>
          <w:lang w:val="en-US" w:eastAsia="zh-CN"/>
        </w:rPr>
        <w:t>万元</w:t>
      </w:r>
      <w:r>
        <w:rPr>
          <w:rFonts w:hint="eastAsia" w:cs="仿宋_GB2312"/>
          <w:kern w:val="2"/>
          <w:sz w:val="32"/>
          <w:szCs w:val="32"/>
          <w:highlight w:val="none"/>
        </w:rPr>
        <w:t>、离休费</w:t>
      </w:r>
      <w:r>
        <w:rPr>
          <w:rFonts w:hint="eastAsia" w:cs="仿宋_GB2312"/>
          <w:kern w:val="2"/>
          <w:sz w:val="32"/>
          <w:szCs w:val="32"/>
          <w:highlight w:val="none"/>
          <w:lang w:val="en-US" w:eastAsia="zh-CN"/>
        </w:rPr>
        <w:t>0.97万元、生活补助</w:t>
      </w:r>
      <w:r>
        <w:rPr>
          <w:rFonts w:hint="eastAsia" w:cs="仿宋_GB2312"/>
          <w:kern w:val="2"/>
          <w:sz w:val="32"/>
          <w:szCs w:val="32"/>
          <w:highlight w:val="none"/>
        </w:rPr>
        <w:t>16.34</w:t>
      </w:r>
      <w:r>
        <w:rPr>
          <w:rFonts w:hint="eastAsia" w:cs="仿宋_GB2312"/>
          <w:kern w:val="2"/>
          <w:sz w:val="32"/>
          <w:szCs w:val="32"/>
          <w:highlight w:val="none"/>
          <w:lang w:val="en-US" w:eastAsia="zh-CN"/>
        </w:rPr>
        <w:t>万元</w:t>
      </w:r>
      <w:r>
        <w:rPr>
          <w:rFonts w:hint="eastAsia" w:cs="仿宋_GB2312"/>
          <w:kern w:val="2"/>
          <w:sz w:val="32"/>
          <w:szCs w:val="32"/>
          <w:highlight w:val="none"/>
        </w:rPr>
        <w:t>、奖励金0.09</w:t>
      </w:r>
      <w:r>
        <w:rPr>
          <w:rFonts w:hint="eastAsia" w:cs="仿宋_GB2312"/>
          <w:kern w:val="2"/>
          <w:sz w:val="32"/>
          <w:szCs w:val="32"/>
          <w:highlight w:val="none"/>
          <w:lang w:val="en-US" w:eastAsia="zh-CN"/>
        </w:rPr>
        <w:t>万元</w:t>
      </w:r>
      <w:r>
        <w:rPr>
          <w:rFonts w:hint="eastAsia" w:cs="仿宋_GB2312"/>
          <w:kern w:val="2"/>
          <w:sz w:val="32"/>
          <w:szCs w:val="32"/>
          <w:highlight w:val="none"/>
        </w:rPr>
        <w:t>、离退休人员公用经费1.69</w:t>
      </w:r>
      <w:r>
        <w:rPr>
          <w:rFonts w:hint="eastAsia" w:cs="仿宋_GB2312"/>
          <w:kern w:val="2"/>
          <w:sz w:val="32"/>
          <w:szCs w:val="32"/>
          <w:highlight w:val="none"/>
          <w:lang w:val="en-US" w:eastAsia="zh-CN"/>
        </w:rPr>
        <w:t>万元</w:t>
      </w:r>
      <w:r>
        <w:rPr>
          <w:rFonts w:hint="eastAsia" w:cs="仿宋_GB2312"/>
          <w:kern w:val="2"/>
          <w:sz w:val="32"/>
          <w:szCs w:val="32"/>
        </w:rPr>
        <w:t>。</w:t>
      </w:r>
    </w:p>
    <w:p w14:paraId="5EC8F4F0">
      <w:pPr>
        <w:pStyle w:val="12"/>
        <w:spacing w:before="0" w:line="360" w:lineRule="auto"/>
        <w:ind w:firstLine="640" w:firstLineChars="200"/>
        <w:rPr>
          <w:rFonts w:ascii="黑体" w:eastAsia="黑体"/>
          <w:sz w:val="32"/>
          <w:szCs w:val="32"/>
        </w:rPr>
      </w:pPr>
      <w:r>
        <w:rPr>
          <w:rFonts w:hint="eastAsia" w:cs="仿宋_GB2312"/>
          <w:kern w:val="2"/>
          <w:sz w:val="32"/>
          <w:szCs w:val="32"/>
        </w:rPr>
        <w:t>公用经费168.15万元，主要包括：办公费5.94</w:t>
      </w:r>
      <w:r>
        <w:rPr>
          <w:rFonts w:hint="eastAsia" w:cs="仿宋_GB2312"/>
          <w:kern w:val="2"/>
          <w:sz w:val="32"/>
          <w:szCs w:val="32"/>
          <w:lang w:val="en-US" w:eastAsia="zh-CN"/>
        </w:rPr>
        <w:t>万元</w:t>
      </w:r>
      <w:r>
        <w:rPr>
          <w:rFonts w:hint="eastAsia" w:cs="仿宋_GB2312"/>
          <w:kern w:val="2"/>
          <w:sz w:val="32"/>
          <w:szCs w:val="32"/>
        </w:rPr>
        <w:t>、水费1.78</w:t>
      </w:r>
      <w:r>
        <w:rPr>
          <w:rFonts w:hint="eastAsia" w:cs="仿宋_GB2312"/>
          <w:kern w:val="2"/>
          <w:sz w:val="32"/>
          <w:szCs w:val="32"/>
          <w:lang w:val="en-US" w:eastAsia="zh-CN"/>
        </w:rPr>
        <w:t>万元</w:t>
      </w:r>
      <w:r>
        <w:rPr>
          <w:rFonts w:hint="eastAsia" w:cs="仿宋_GB2312"/>
          <w:kern w:val="2"/>
          <w:sz w:val="32"/>
          <w:szCs w:val="32"/>
        </w:rPr>
        <w:t>、邮电费17.97</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highlight w:val="none"/>
          <w:lang w:val="en-US" w:eastAsia="zh-CN"/>
        </w:rPr>
        <w:t>取暖费</w:t>
      </w:r>
      <w:r>
        <w:rPr>
          <w:rFonts w:hint="eastAsia" w:cs="仿宋_GB2312"/>
          <w:kern w:val="2"/>
          <w:sz w:val="32"/>
          <w:szCs w:val="32"/>
          <w:highlight w:val="none"/>
        </w:rPr>
        <w:t>2.38</w:t>
      </w:r>
      <w:r>
        <w:rPr>
          <w:rFonts w:hint="eastAsia" w:cs="仿宋_GB2312"/>
          <w:kern w:val="2"/>
          <w:sz w:val="32"/>
          <w:szCs w:val="32"/>
          <w:highlight w:val="none"/>
          <w:lang w:val="en-US" w:eastAsia="zh-CN"/>
        </w:rPr>
        <w:t>万元</w:t>
      </w:r>
      <w:r>
        <w:rPr>
          <w:rFonts w:hint="eastAsia" w:cs="仿宋_GB2312"/>
          <w:kern w:val="2"/>
          <w:sz w:val="32"/>
          <w:szCs w:val="32"/>
          <w:highlight w:val="none"/>
        </w:rPr>
        <w:t>、</w:t>
      </w:r>
      <w:r>
        <w:rPr>
          <w:rFonts w:hint="eastAsia" w:cs="仿宋_GB2312"/>
          <w:kern w:val="2"/>
          <w:sz w:val="32"/>
          <w:szCs w:val="32"/>
        </w:rPr>
        <w:t>差旅费26.14</w:t>
      </w:r>
      <w:r>
        <w:rPr>
          <w:rFonts w:hint="eastAsia" w:cs="仿宋_GB2312"/>
          <w:kern w:val="2"/>
          <w:sz w:val="32"/>
          <w:szCs w:val="32"/>
          <w:lang w:val="en-US" w:eastAsia="zh-CN"/>
        </w:rPr>
        <w:t>万元</w:t>
      </w:r>
      <w:r>
        <w:rPr>
          <w:rFonts w:hint="eastAsia" w:cs="仿宋_GB2312"/>
          <w:kern w:val="2"/>
          <w:sz w:val="32"/>
          <w:szCs w:val="32"/>
        </w:rPr>
        <w:t>、维修（护）费3.37</w:t>
      </w:r>
      <w:r>
        <w:rPr>
          <w:rFonts w:hint="eastAsia" w:cs="仿宋_GB2312"/>
          <w:kern w:val="2"/>
          <w:sz w:val="32"/>
          <w:szCs w:val="32"/>
          <w:lang w:val="en-US" w:eastAsia="zh-CN"/>
        </w:rPr>
        <w:t>万元</w:t>
      </w:r>
      <w:r>
        <w:rPr>
          <w:rFonts w:hint="eastAsia" w:cs="仿宋_GB2312"/>
          <w:kern w:val="2"/>
          <w:sz w:val="32"/>
          <w:szCs w:val="32"/>
        </w:rPr>
        <w:t>、培训费9.91</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公务接待费2.29万元</w:t>
      </w:r>
      <w:r>
        <w:rPr>
          <w:rFonts w:hint="eastAsia" w:cs="仿宋_GB2312"/>
          <w:kern w:val="2"/>
          <w:sz w:val="32"/>
          <w:szCs w:val="32"/>
        </w:rPr>
        <w:t>、福利费47.92</w:t>
      </w:r>
      <w:r>
        <w:rPr>
          <w:rFonts w:hint="eastAsia" w:cs="仿宋_GB2312"/>
          <w:kern w:val="2"/>
          <w:sz w:val="32"/>
          <w:szCs w:val="32"/>
          <w:lang w:val="en-US" w:eastAsia="zh-CN"/>
        </w:rPr>
        <w:t>万元</w:t>
      </w:r>
      <w:r>
        <w:rPr>
          <w:rFonts w:hint="eastAsia" w:cs="仿宋_GB2312"/>
          <w:kern w:val="2"/>
          <w:sz w:val="32"/>
          <w:szCs w:val="32"/>
        </w:rPr>
        <w:t>、公务用车运行维护费27</w:t>
      </w:r>
      <w:r>
        <w:rPr>
          <w:rFonts w:hint="eastAsia" w:cs="仿宋_GB2312"/>
          <w:kern w:val="2"/>
          <w:sz w:val="32"/>
          <w:szCs w:val="32"/>
          <w:lang w:val="en-US" w:eastAsia="zh-CN"/>
        </w:rPr>
        <w:t>万元</w:t>
      </w:r>
      <w:r>
        <w:rPr>
          <w:rFonts w:hint="eastAsia" w:cs="仿宋_GB2312"/>
          <w:kern w:val="2"/>
          <w:sz w:val="32"/>
          <w:szCs w:val="32"/>
        </w:rPr>
        <w:t>、其他商品和服务支出23.45</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6A895CA9">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我院2025年“三公”经费财政拨款预算数29.29万元，其中：因公出国（境）经费</w:t>
      </w:r>
      <w:r>
        <w:rPr>
          <w:rFonts w:hint="eastAsia" w:cs="仿宋_GB2312"/>
          <w:kern w:val="2"/>
          <w:sz w:val="32"/>
          <w:szCs w:val="32"/>
          <w:lang w:val="en-US" w:eastAsia="zh-CN"/>
        </w:rPr>
        <w:t>0</w:t>
      </w:r>
      <w:r>
        <w:rPr>
          <w:rFonts w:hint="eastAsia" w:cs="仿宋_GB2312"/>
          <w:kern w:val="2"/>
          <w:sz w:val="32"/>
          <w:szCs w:val="32"/>
        </w:rPr>
        <w:t>万元，公务接待费2.29万元，公务用车购置及运行维护费27万元。</w:t>
      </w:r>
    </w:p>
    <w:p w14:paraId="2BB4C519">
      <w:pPr>
        <w:pStyle w:val="12"/>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6A8E2F1B">
      <w:pPr>
        <w:pStyle w:val="12"/>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highlight w:val="none"/>
        </w:rPr>
        <w:t>（二）</w:t>
      </w:r>
      <w:r>
        <w:rPr>
          <w:rFonts w:hint="eastAsia" w:cs="仿宋_GB2312"/>
          <w:color w:val="000000"/>
          <w:kern w:val="2"/>
          <w:sz w:val="32"/>
          <w:szCs w:val="32"/>
          <w:highlight w:val="none"/>
        </w:rPr>
        <w:t>2025年公务接待经费</w:t>
      </w:r>
      <w:r>
        <w:rPr>
          <w:rFonts w:hint="eastAsia" w:cs="仿宋_GB2312"/>
          <w:kern w:val="2"/>
          <w:sz w:val="32"/>
          <w:szCs w:val="32"/>
          <w:highlight w:val="none"/>
        </w:rPr>
        <w:t>2.29</w:t>
      </w:r>
      <w:r>
        <w:rPr>
          <w:rFonts w:hint="eastAsia" w:cs="仿宋_GB2312"/>
          <w:color w:val="000000"/>
          <w:kern w:val="2"/>
          <w:sz w:val="32"/>
          <w:szCs w:val="32"/>
          <w:highlight w:val="none"/>
        </w:rPr>
        <w:t>万元。较2024年预算经费</w:t>
      </w:r>
      <w:r>
        <w:rPr>
          <w:rFonts w:hint="eastAsia" w:cs="宋体"/>
          <w:sz w:val="32"/>
          <w:szCs w:val="32"/>
          <w:highlight w:val="none"/>
          <w:lang w:val="en-US" w:eastAsia="zh-CN"/>
        </w:rPr>
        <w:t>减少</w:t>
      </w:r>
      <w:r>
        <w:rPr>
          <w:rFonts w:hint="eastAsia" w:cs="仿宋_GB2312"/>
          <w:color w:val="000000"/>
          <w:kern w:val="2"/>
          <w:sz w:val="32"/>
          <w:szCs w:val="32"/>
          <w:highlight w:val="none"/>
          <w:lang w:val="en-US" w:eastAsia="zh-CN"/>
        </w:rPr>
        <w:t>0.23</w:t>
      </w:r>
      <w:r>
        <w:rPr>
          <w:rFonts w:hint="eastAsia" w:cs="仿宋_GB2312"/>
          <w:color w:val="000000"/>
          <w:kern w:val="2"/>
          <w:sz w:val="32"/>
          <w:szCs w:val="32"/>
          <w:highlight w:val="none"/>
        </w:rPr>
        <w:t>万元，</w:t>
      </w:r>
      <w:r>
        <w:rPr>
          <w:rFonts w:hint="eastAsia" w:cs="仿宋_GB2312"/>
          <w:color w:val="000000"/>
          <w:kern w:val="2"/>
          <w:sz w:val="32"/>
          <w:szCs w:val="32"/>
          <w:highlight w:val="none"/>
          <w:lang w:val="en-US" w:eastAsia="zh-CN"/>
        </w:rPr>
        <w:t>减少9.12</w:t>
      </w:r>
      <w:r>
        <w:rPr>
          <w:rFonts w:hint="eastAsia" w:cs="仿宋_GB2312"/>
          <w:color w:val="000000"/>
          <w:kern w:val="2"/>
          <w:sz w:val="32"/>
          <w:szCs w:val="32"/>
          <w:highlight w:val="none"/>
        </w:rPr>
        <w:t>%，主要原因</w:t>
      </w:r>
      <w:r>
        <w:rPr>
          <w:rFonts w:hint="eastAsia" w:cs="仿宋_GB2312"/>
          <w:color w:val="000000"/>
          <w:kern w:val="2"/>
          <w:sz w:val="32"/>
          <w:szCs w:val="32"/>
          <w:highlight w:val="none"/>
          <w:lang w:val="en-US" w:eastAsia="zh-CN"/>
        </w:rPr>
        <w:t>是减少</w:t>
      </w:r>
      <w:r>
        <w:rPr>
          <w:rFonts w:hint="eastAsia" w:cs="仿宋_GB2312"/>
          <w:color w:val="000000"/>
          <w:kern w:val="2"/>
          <w:sz w:val="32"/>
          <w:szCs w:val="32"/>
          <w:highlight w:val="none"/>
        </w:rPr>
        <w:t>公务接待安排</w:t>
      </w:r>
      <w:r>
        <w:rPr>
          <w:rFonts w:hint="eastAsia" w:cs="仿宋_GB2312"/>
          <w:color w:val="000000"/>
          <w:kern w:val="2"/>
          <w:sz w:val="32"/>
          <w:szCs w:val="32"/>
          <w:highlight w:val="none"/>
          <w:lang w:eastAsia="zh-CN"/>
        </w:rPr>
        <w:t>。</w:t>
      </w:r>
    </w:p>
    <w:p w14:paraId="23834F9B">
      <w:pPr>
        <w:pStyle w:val="12"/>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（三）2025年公务用车购置及运行维护费</w:t>
      </w:r>
      <w:r>
        <w:rPr>
          <w:rFonts w:hint="eastAsia" w:cs="仿宋_GB2312"/>
          <w:kern w:val="2"/>
          <w:sz w:val="32"/>
          <w:szCs w:val="32"/>
        </w:rPr>
        <w:t>27</w:t>
      </w:r>
      <w:r>
        <w:rPr>
          <w:rFonts w:hint="eastAsia" w:cs="仿宋_GB2312"/>
          <w:color w:val="000000"/>
          <w:kern w:val="2"/>
          <w:sz w:val="32"/>
          <w:szCs w:val="32"/>
        </w:rPr>
        <w:t>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年预算经费持平。</w:t>
      </w:r>
    </w:p>
    <w:p w14:paraId="0E5B5BB3">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ADB50FF">
      <w:pPr>
        <w:pStyle w:val="12"/>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我院</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年预算经费无变化。</w:t>
      </w:r>
    </w:p>
    <w:p w14:paraId="4AEDA7A8">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2E595D42">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color w:val="000000"/>
          <w:kern w:val="2"/>
          <w:sz w:val="32"/>
          <w:szCs w:val="32"/>
          <w:lang w:val="en-US" w:eastAsia="zh-CN" w:bidi="ar-SA"/>
        </w:rPr>
        <w:t>茂县人民法院202</w:t>
      </w:r>
      <w:r>
        <w:rPr>
          <w:rFonts w:hint="eastAsia" w:hAnsi="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en-US" w:eastAsia="zh-CN" w:bidi="ar-SA"/>
        </w:rPr>
        <w:t>年机关运行经费财政拨款预算为168.15万元，比202</w:t>
      </w:r>
      <w:r>
        <w:rPr>
          <w:rFonts w:hint="eastAsia" w:hAnsi="仿宋_GB2312" w:cs="仿宋_GB2312"/>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en-US" w:eastAsia="zh-CN" w:bidi="ar-SA"/>
        </w:rPr>
        <w:t>年预算增加</w:t>
      </w:r>
      <w:r>
        <w:rPr>
          <w:rFonts w:hint="eastAsia" w:hAnsi="仿宋_GB2312" w:cs="仿宋_GB2312"/>
          <w:color w:val="000000"/>
          <w:kern w:val="2"/>
          <w:sz w:val="32"/>
          <w:szCs w:val="32"/>
          <w:lang w:val="en-US" w:eastAsia="zh-CN" w:bidi="ar-SA"/>
        </w:rPr>
        <w:t>17.69</w:t>
      </w:r>
      <w:r>
        <w:rPr>
          <w:rFonts w:hint="eastAsia" w:ascii="仿宋_GB2312" w:hAnsi="仿宋_GB2312" w:eastAsia="仿宋_GB2312" w:cs="仿宋_GB2312"/>
          <w:color w:val="000000"/>
          <w:kern w:val="2"/>
          <w:sz w:val="32"/>
          <w:szCs w:val="32"/>
          <w:lang w:val="en-US" w:eastAsia="zh-CN" w:bidi="ar-SA"/>
        </w:rPr>
        <w:t>万元，主要原因是茂县人民法院按照文件要求开展新着装及换装工作</w:t>
      </w:r>
      <w:r>
        <w:rPr>
          <w:rFonts w:hint="eastAsia" w:hAnsi="仿宋_GB2312" w:cs="仿宋_GB2312"/>
          <w:color w:val="000000"/>
          <w:kern w:val="2"/>
          <w:sz w:val="32"/>
          <w:szCs w:val="32"/>
          <w:lang w:val="en-US" w:eastAsia="zh-CN" w:bidi="ar-SA"/>
        </w:rPr>
        <w:t>等</w:t>
      </w:r>
      <w:r>
        <w:rPr>
          <w:rFonts w:hint="eastAsia" w:cs="仿宋_GB2312"/>
          <w:color w:val="000000"/>
          <w:kern w:val="2"/>
          <w:sz w:val="32"/>
          <w:szCs w:val="32"/>
        </w:rPr>
        <w:t xml:space="preserve">。 </w:t>
      </w:r>
    </w:p>
    <w:p w14:paraId="2B9764A5">
      <w:pPr>
        <w:pStyle w:val="12"/>
        <w:spacing w:before="0" w:line="360" w:lineRule="auto"/>
        <w:ind w:firstLine="640" w:firstLineChars="200"/>
        <w:rPr>
          <w:rFonts w:hint="eastAsia"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highlight w:val="none"/>
        </w:rPr>
        <w:t>　 2025年</w:t>
      </w:r>
      <w:r>
        <w:rPr>
          <w:rFonts w:hint="eastAsia" w:cs="仿宋_GB2312"/>
          <w:kern w:val="2"/>
          <w:sz w:val="32"/>
          <w:szCs w:val="32"/>
          <w:highlight w:val="none"/>
          <w:lang w:val="en-US" w:eastAsia="zh-CN"/>
        </w:rPr>
        <w:t>我院</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14:paraId="0260D138">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F3FF0AA">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w:t>
      </w:r>
      <w:r>
        <w:rPr>
          <w:rFonts w:hint="eastAsia" w:cs="仿宋_GB2312"/>
          <w:kern w:val="2"/>
          <w:sz w:val="32"/>
          <w:szCs w:val="32"/>
          <w:highlight w:val="none"/>
          <w:lang w:eastAsia="zh-CN"/>
        </w:rPr>
        <w:t>2025</w:t>
      </w:r>
      <w:r>
        <w:rPr>
          <w:rFonts w:hint="eastAsia" w:cs="仿宋_GB2312"/>
          <w:kern w:val="2"/>
          <w:sz w:val="32"/>
          <w:szCs w:val="32"/>
          <w:highlight w:val="none"/>
        </w:rPr>
        <w:t>年12月31日，我单位固定资产</w:t>
      </w:r>
      <w:r>
        <w:rPr>
          <w:rFonts w:hint="eastAsia" w:cs="仿宋_GB2312"/>
          <w:kern w:val="2"/>
          <w:sz w:val="32"/>
          <w:szCs w:val="32"/>
          <w:highlight w:val="none"/>
          <w:lang w:val="en-US" w:eastAsia="zh-CN"/>
        </w:rPr>
        <w:t>3861.40</w:t>
      </w:r>
      <w:r>
        <w:rPr>
          <w:rFonts w:hint="eastAsia" w:cs="仿宋_GB2312"/>
          <w:kern w:val="2"/>
          <w:sz w:val="32"/>
          <w:szCs w:val="32"/>
          <w:highlight w:val="none"/>
        </w:rPr>
        <w:t>万元。</w:t>
      </w:r>
      <w:r>
        <w:rPr>
          <w:rFonts w:hint="eastAsia" w:ascii="仿宋_GB2312" w:hAnsi="仿宋" w:eastAsia="仿宋_GB2312" w:cs="Times New Roman"/>
          <w:color w:val="000000"/>
          <w:kern w:val="2"/>
          <w:sz w:val="32"/>
          <w:szCs w:val="32"/>
          <w:highlight w:val="none"/>
          <w:lang w:eastAsia="zh-CN"/>
        </w:rPr>
        <w:t>其中：房屋8998.46平方米，价值</w:t>
      </w:r>
      <w:r>
        <w:rPr>
          <w:rFonts w:hint="eastAsia" w:hAnsi="仿宋" w:cs="Times New Roman"/>
          <w:color w:val="000000"/>
          <w:kern w:val="2"/>
          <w:sz w:val="32"/>
          <w:szCs w:val="32"/>
          <w:highlight w:val="none"/>
          <w:lang w:val="en-US" w:eastAsia="zh-CN"/>
        </w:rPr>
        <w:t>1447.59万</w:t>
      </w:r>
      <w:r>
        <w:rPr>
          <w:rFonts w:hint="eastAsia" w:ascii="仿宋_GB2312" w:hAnsi="仿宋" w:eastAsia="仿宋_GB2312" w:cs="Times New Roman"/>
          <w:color w:val="000000"/>
          <w:kern w:val="2"/>
          <w:sz w:val="32"/>
          <w:szCs w:val="32"/>
          <w:highlight w:val="none"/>
          <w:lang w:eastAsia="zh-CN"/>
        </w:rPr>
        <w:t>元；公务用车</w:t>
      </w:r>
      <w:r>
        <w:rPr>
          <w:rFonts w:ascii="仿宋_GB2312" w:hAnsi="仿宋" w:eastAsia="仿宋_GB2312" w:cs="Times New Roman"/>
          <w:color w:val="000000"/>
          <w:kern w:val="2"/>
          <w:sz w:val="32"/>
          <w:szCs w:val="32"/>
          <w:highlight w:val="none"/>
          <w:lang w:eastAsia="zh-CN"/>
        </w:rPr>
        <w:t>15</w:t>
      </w:r>
      <w:r>
        <w:rPr>
          <w:rFonts w:hint="eastAsia" w:ascii="仿宋_GB2312" w:hAnsi="仿宋" w:eastAsia="仿宋_GB2312" w:cs="Times New Roman"/>
          <w:color w:val="000000"/>
          <w:kern w:val="2"/>
          <w:sz w:val="32"/>
          <w:szCs w:val="32"/>
          <w:highlight w:val="none"/>
          <w:lang w:eastAsia="zh-CN"/>
        </w:rPr>
        <w:t>辆，价值</w:t>
      </w:r>
      <w:r>
        <w:rPr>
          <w:rFonts w:hint="eastAsia" w:hAnsi="仿宋" w:cs="Times New Roman"/>
          <w:color w:val="000000"/>
          <w:kern w:val="2"/>
          <w:sz w:val="32"/>
          <w:szCs w:val="32"/>
          <w:highlight w:val="none"/>
          <w:lang w:val="en-US" w:eastAsia="zh-CN"/>
        </w:rPr>
        <w:t>408.94万</w:t>
      </w:r>
      <w:r>
        <w:rPr>
          <w:rFonts w:hint="eastAsia" w:ascii="仿宋_GB2312" w:hAnsi="仿宋" w:eastAsia="仿宋_GB2312" w:cs="Times New Roman"/>
          <w:color w:val="000000"/>
          <w:kern w:val="2"/>
          <w:sz w:val="32"/>
          <w:szCs w:val="32"/>
          <w:highlight w:val="none"/>
          <w:lang w:eastAsia="zh-CN"/>
        </w:rPr>
        <w:t>元；其他固定资产</w:t>
      </w:r>
      <w:r>
        <w:rPr>
          <w:rFonts w:hint="eastAsia" w:hAnsi="仿宋" w:cs="Times New Roman"/>
          <w:color w:val="000000"/>
          <w:kern w:val="2"/>
          <w:sz w:val="32"/>
          <w:szCs w:val="32"/>
          <w:highlight w:val="none"/>
          <w:lang w:val="en-US" w:eastAsia="zh-CN"/>
        </w:rPr>
        <w:t>2004.87万</w:t>
      </w:r>
      <w:r>
        <w:rPr>
          <w:rFonts w:hint="eastAsia" w:ascii="仿宋_GB2312" w:hAnsi="仿宋" w:eastAsia="仿宋_GB2312" w:cs="Times New Roman"/>
          <w:color w:val="000000"/>
          <w:kern w:val="2"/>
          <w:sz w:val="32"/>
          <w:szCs w:val="32"/>
          <w:highlight w:val="none"/>
          <w:lang w:eastAsia="zh-CN"/>
        </w:rPr>
        <w:t>元</w:t>
      </w:r>
      <w:r>
        <w:rPr>
          <w:rFonts w:hint="eastAsia" w:cs="仿宋_GB2312"/>
          <w:kern w:val="2"/>
          <w:sz w:val="32"/>
          <w:szCs w:val="32"/>
          <w:highlight w:val="none"/>
        </w:rPr>
        <w:t>。</w:t>
      </w:r>
    </w:p>
    <w:p w14:paraId="74FD6BEF">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val="en-US" w:eastAsia="zh-CN"/>
        </w:rPr>
        <w:t>我院</w:t>
      </w:r>
      <w:r>
        <w:rPr>
          <w:rFonts w:hint="eastAsia" w:cs="仿宋_GB2312"/>
          <w:kern w:val="2"/>
          <w:sz w:val="32"/>
          <w:szCs w:val="32"/>
        </w:rPr>
        <w:t>通用项目和专用项目均按要求实行绩效目标管理，涉及一般公共预算当年拨款418.15万元。</w:t>
      </w:r>
    </w:p>
    <w:p w14:paraId="6A0367EB">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78F2E98">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28D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4BA4FAF"/>
    <w:rsid w:val="24233357"/>
    <w:rsid w:val="40B43503"/>
    <w:rsid w:val="46EA5A39"/>
    <w:rsid w:val="483E351F"/>
    <w:rsid w:val="486E27DA"/>
    <w:rsid w:val="5F013D72"/>
    <w:rsid w:val="65F207D9"/>
    <w:rsid w:val="6F4727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2992</Words>
  <Characters>3491</Characters>
  <Lines>124</Lines>
  <Paragraphs>51</Paragraphs>
  <TotalTime>0</TotalTime>
  <ScaleCrop>false</ScaleCrop>
  <LinksUpToDate>false</LinksUpToDate>
  <CharactersWithSpaces>3528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安好！</cp:lastModifiedBy>
  <cp:lastPrinted>2018-01-30T09:39:00Z</cp:lastPrinted>
  <dcterms:modified xsi:type="dcterms:W3CDTF">2025-02-24T02:11:52Z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eyJoZGlkIjoiM2FiOTI1ZDhlMTcwNDE4MDg1OWE5Mzc3MmMxNTc4ZjAiLCJ1c2VySWQiOiI0MjU0NzI2MTgifQ==</vt:lpwstr>
  </property>
  <property fmtid="{D5CDD505-2E9C-101B-9397-08002B2CF9AE}" pid="4" name="ICV">
    <vt:lpwstr>FFB15942F4B54CD38FE827F0202F0AF1_13</vt:lpwstr>
  </property>
</Properties>
</file>