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5CAA3F">
      <w:pPr>
        <w:rPr>
          <w:rFonts w:ascii="黑体" w:eastAsia="黑体"/>
          <w:sz w:val="32"/>
          <w:szCs w:val="32"/>
        </w:rPr>
      </w:pPr>
      <w:r>
        <w:rPr>
          <w:rFonts w:ascii="黑体" w:eastAsia="黑体"/>
          <w:sz w:val="32"/>
          <w:szCs w:val="32"/>
        </w:rPr>
        <w:t>附件</w:t>
      </w:r>
      <w:r>
        <w:rPr>
          <w:rFonts w:hint="eastAsia" w:ascii="黑体" w:eastAsia="黑体"/>
          <w:sz w:val="32"/>
          <w:szCs w:val="32"/>
        </w:rPr>
        <w:t>2</w:t>
      </w:r>
    </w:p>
    <w:p w14:paraId="6FC6BF91"/>
    <w:p w14:paraId="7FA05F22"/>
    <w:p w14:paraId="1153EB0F"/>
    <w:p w14:paraId="26DA23AF">
      <w:pPr>
        <w:ind w:firstLine="1050" w:firstLineChars="500"/>
      </w:pPr>
    </w:p>
    <w:p w14:paraId="0159BD1B">
      <w:pPr>
        <w:ind w:firstLine="1050" w:firstLineChars="500"/>
      </w:pPr>
    </w:p>
    <w:p w14:paraId="153FC547">
      <w:pPr>
        <w:ind w:firstLine="1760" w:firstLineChars="400"/>
        <w:rPr>
          <w:rFonts w:ascii="黑体" w:eastAsia="黑体"/>
          <w:sz w:val="44"/>
          <w:szCs w:val="44"/>
        </w:rPr>
      </w:pPr>
    </w:p>
    <w:p w14:paraId="5778485D">
      <w:pPr>
        <w:ind w:firstLine="1760" w:firstLineChars="400"/>
        <w:rPr>
          <w:rFonts w:ascii="黑体" w:eastAsia="黑体"/>
          <w:sz w:val="44"/>
          <w:szCs w:val="44"/>
        </w:rPr>
      </w:pPr>
    </w:p>
    <w:p w14:paraId="2CBD21C0">
      <w:pPr>
        <w:jc w:val="center"/>
        <w:rPr>
          <w:rFonts w:hint="eastAsia" w:ascii="黑体" w:hAnsi="黑体" w:eastAsia="黑体"/>
          <w:sz w:val="52"/>
          <w:szCs w:val="52"/>
          <w:lang w:val="en-US" w:eastAsia="zh-CN"/>
        </w:rPr>
      </w:pPr>
      <w:r>
        <w:rPr>
          <w:rFonts w:hint="eastAsia" w:ascii="黑体" w:hAnsi="黑体" w:eastAsia="黑体"/>
          <w:sz w:val="52"/>
          <w:szCs w:val="52"/>
          <w:lang w:val="en-US" w:eastAsia="zh-CN"/>
        </w:rPr>
        <w:t>松潘县人民法院</w:t>
      </w:r>
    </w:p>
    <w:p w14:paraId="2EB4A3C8">
      <w:pPr>
        <w:jc w:val="center"/>
        <w:rPr>
          <w:rFonts w:hint="eastAsia" w:ascii="黑体" w:hAnsi="黑体" w:eastAsia="黑体"/>
          <w:sz w:val="52"/>
          <w:szCs w:val="52"/>
          <w:lang w:val="en-US" w:eastAsia="zh-CN"/>
        </w:rPr>
      </w:pPr>
      <w:r>
        <w:rPr>
          <w:rFonts w:hint="eastAsia" w:ascii="黑体" w:hAnsi="黑体" w:eastAsia="黑体"/>
          <w:sz w:val="52"/>
          <w:szCs w:val="52"/>
          <w:lang w:val="en-US" w:eastAsia="zh-CN"/>
        </w:rPr>
        <w:t>2025年部门预算</w:t>
      </w:r>
    </w:p>
    <w:p w14:paraId="2F387896">
      <w:pPr>
        <w:ind w:firstLine="1760" w:firstLineChars="400"/>
        <w:rPr>
          <w:rFonts w:ascii="黑体" w:eastAsia="黑体"/>
          <w:sz w:val="44"/>
          <w:szCs w:val="44"/>
        </w:rPr>
      </w:pPr>
    </w:p>
    <w:p w14:paraId="3FAFDC3E">
      <w:pPr>
        <w:ind w:firstLine="1760" w:firstLineChars="400"/>
        <w:rPr>
          <w:rFonts w:ascii="黑体" w:eastAsia="黑体"/>
          <w:sz w:val="44"/>
          <w:szCs w:val="44"/>
        </w:rPr>
      </w:pPr>
    </w:p>
    <w:p w14:paraId="5C21D3A8">
      <w:pPr>
        <w:ind w:firstLine="1760" w:firstLineChars="400"/>
        <w:rPr>
          <w:rFonts w:ascii="黑体" w:eastAsia="黑体"/>
          <w:sz w:val="44"/>
          <w:szCs w:val="44"/>
        </w:rPr>
      </w:pPr>
    </w:p>
    <w:p w14:paraId="1A8A7899">
      <w:pPr>
        <w:ind w:firstLine="1760" w:firstLineChars="400"/>
        <w:rPr>
          <w:rFonts w:ascii="黑体" w:eastAsia="黑体"/>
          <w:sz w:val="44"/>
          <w:szCs w:val="44"/>
        </w:rPr>
      </w:pPr>
    </w:p>
    <w:p w14:paraId="63F44F6D">
      <w:pPr>
        <w:ind w:firstLine="1760" w:firstLineChars="400"/>
        <w:rPr>
          <w:rFonts w:ascii="黑体" w:eastAsia="黑体"/>
          <w:sz w:val="44"/>
          <w:szCs w:val="44"/>
        </w:rPr>
      </w:pPr>
    </w:p>
    <w:p w14:paraId="3B2852CA">
      <w:pPr>
        <w:ind w:firstLine="1760" w:firstLineChars="400"/>
        <w:rPr>
          <w:rFonts w:ascii="黑体" w:eastAsia="黑体"/>
          <w:sz w:val="44"/>
          <w:szCs w:val="44"/>
        </w:rPr>
      </w:pPr>
    </w:p>
    <w:p w14:paraId="6765C939">
      <w:pPr>
        <w:ind w:firstLine="1760" w:firstLineChars="400"/>
        <w:rPr>
          <w:rFonts w:ascii="黑体" w:eastAsia="黑体"/>
          <w:sz w:val="44"/>
          <w:szCs w:val="44"/>
        </w:rPr>
      </w:pPr>
    </w:p>
    <w:p w14:paraId="3EFB45CD">
      <w:pPr>
        <w:ind w:firstLine="1760" w:firstLineChars="400"/>
        <w:rPr>
          <w:rFonts w:ascii="黑体" w:eastAsia="黑体"/>
          <w:sz w:val="44"/>
          <w:szCs w:val="44"/>
        </w:rPr>
      </w:pPr>
    </w:p>
    <w:p w14:paraId="2BC78386">
      <w:pPr>
        <w:ind w:firstLine="1760" w:firstLineChars="400"/>
        <w:rPr>
          <w:rFonts w:ascii="黑体" w:eastAsia="黑体"/>
          <w:sz w:val="44"/>
          <w:szCs w:val="44"/>
        </w:rPr>
      </w:pPr>
    </w:p>
    <w:p w14:paraId="10F92F6A">
      <w:pPr>
        <w:ind w:firstLine="1760" w:firstLineChars="400"/>
        <w:rPr>
          <w:rFonts w:ascii="黑体" w:eastAsia="黑体"/>
          <w:sz w:val="44"/>
          <w:szCs w:val="44"/>
        </w:rPr>
      </w:pPr>
    </w:p>
    <w:p w14:paraId="2DAE5711">
      <w:pPr>
        <w:ind w:firstLine="1760" w:firstLineChars="400"/>
        <w:rPr>
          <w:rFonts w:ascii="黑体" w:eastAsia="黑体"/>
          <w:sz w:val="44"/>
          <w:szCs w:val="44"/>
        </w:rPr>
      </w:pPr>
    </w:p>
    <w:p w14:paraId="62676106">
      <w:pPr>
        <w:ind w:firstLine="1760" w:firstLineChars="400"/>
        <w:rPr>
          <w:rFonts w:ascii="黑体" w:eastAsia="黑体"/>
          <w:sz w:val="44"/>
          <w:szCs w:val="44"/>
        </w:rPr>
      </w:pPr>
    </w:p>
    <w:p w14:paraId="3E4BD3E2">
      <w:pPr>
        <w:ind w:firstLine="1760" w:firstLineChars="400"/>
        <w:rPr>
          <w:rFonts w:ascii="黑体" w:eastAsia="黑体"/>
          <w:sz w:val="44"/>
          <w:szCs w:val="44"/>
        </w:rPr>
      </w:pPr>
    </w:p>
    <w:p w14:paraId="7AAE4317">
      <w:pPr>
        <w:ind w:firstLine="1760" w:firstLineChars="400"/>
        <w:rPr>
          <w:rFonts w:ascii="黑体" w:eastAsia="黑体"/>
          <w:sz w:val="44"/>
          <w:szCs w:val="44"/>
        </w:rPr>
      </w:pPr>
    </w:p>
    <w:p w14:paraId="5CA253CA">
      <w:pPr>
        <w:rPr>
          <w:rFonts w:ascii="黑体" w:eastAsia="黑体"/>
          <w:sz w:val="44"/>
          <w:szCs w:val="44"/>
        </w:rPr>
      </w:pPr>
    </w:p>
    <w:p w14:paraId="097165C2">
      <w:pPr>
        <w:ind w:firstLine="3120" w:firstLineChars="600"/>
        <w:rPr>
          <w:rFonts w:ascii="黑体" w:eastAsia="黑体"/>
          <w:sz w:val="52"/>
          <w:szCs w:val="52"/>
        </w:rPr>
      </w:pPr>
      <w:r>
        <w:rPr>
          <w:rFonts w:hint="eastAsia" w:ascii="黑体" w:eastAsia="黑体"/>
          <w:sz w:val="52"/>
          <w:szCs w:val="52"/>
        </w:rPr>
        <w:t>目录</w:t>
      </w:r>
    </w:p>
    <w:p w14:paraId="301C213A">
      <w:pPr>
        <w:ind w:firstLine="3080" w:firstLineChars="700"/>
        <w:rPr>
          <w:rFonts w:ascii="黑体" w:eastAsia="黑体"/>
          <w:sz w:val="44"/>
          <w:szCs w:val="44"/>
        </w:rPr>
      </w:pPr>
    </w:p>
    <w:p w14:paraId="18EA6F5C">
      <w:pPr>
        <w:pStyle w:val="10"/>
        <w:ind w:firstLine="0" w:firstLineChars="0"/>
        <w:rPr>
          <w:rFonts w:ascii="黑体" w:eastAsia="黑体"/>
          <w:sz w:val="32"/>
          <w:szCs w:val="32"/>
        </w:rPr>
      </w:pPr>
      <w:r>
        <w:rPr>
          <w:rFonts w:hint="eastAsia" w:ascii="黑体" w:eastAsia="黑体"/>
          <w:sz w:val="32"/>
          <w:szCs w:val="32"/>
        </w:rPr>
        <w:t>一、基本职能及主要工作</w:t>
      </w:r>
    </w:p>
    <w:p w14:paraId="07B32122">
      <w:pPr>
        <w:rPr>
          <w:rFonts w:ascii="楷体" w:eastAsia="楷体"/>
          <w:sz w:val="32"/>
          <w:szCs w:val="32"/>
        </w:rPr>
      </w:pPr>
      <w:r>
        <w:rPr>
          <w:rFonts w:hint="eastAsia" w:ascii="楷体" w:eastAsia="楷体"/>
          <w:sz w:val="32"/>
          <w:szCs w:val="32"/>
        </w:rPr>
        <w:t>（一）部门职能简介</w:t>
      </w:r>
    </w:p>
    <w:p w14:paraId="61B9BAA6">
      <w:pPr>
        <w:rPr>
          <w:rFonts w:ascii="楷体" w:eastAsia="楷体"/>
          <w:sz w:val="32"/>
          <w:szCs w:val="32"/>
        </w:rPr>
      </w:pPr>
      <w:r>
        <w:rPr>
          <w:rFonts w:hint="eastAsia" w:ascii="楷体" w:eastAsia="楷体"/>
          <w:sz w:val="32"/>
          <w:szCs w:val="32"/>
        </w:rPr>
        <w:t>（二）</w:t>
      </w:r>
      <w:r>
        <w:rPr>
          <w:rFonts w:ascii="楷体" w:eastAsia="楷体"/>
          <w:sz w:val="32"/>
          <w:szCs w:val="32"/>
        </w:rPr>
        <w:t>2025</w:t>
      </w:r>
      <w:r>
        <w:rPr>
          <w:rFonts w:hint="eastAsia" w:ascii="楷体" w:eastAsia="楷体"/>
          <w:sz w:val="32"/>
          <w:szCs w:val="32"/>
        </w:rPr>
        <w:t>年重点工作</w:t>
      </w:r>
    </w:p>
    <w:p w14:paraId="1A909731">
      <w:pPr>
        <w:rPr>
          <w:rFonts w:ascii="黑体" w:eastAsia="黑体"/>
          <w:sz w:val="32"/>
          <w:szCs w:val="32"/>
        </w:rPr>
      </w:pPr>
      <w:r>
        <w:rPr>
          <w:rFonts w:hint="eastAsia" w:ascii="黑体" w:eastAsia="黑体"/>
          <w:sz w:val="32"/>
          <w:szCs w:val="32"/>
        </w:rPr>
        <w:t>二、部门预算单位构成</w:t>
      </w:r>
    </w:p>
    <w:p w14:paraId="27119447">
      <w:pPr>
        <w:rPr>
          <w:rFonts w:ascii="黑体" w:eastAsia="黑体"/>
          <w:sz w:val="32"/>
          <w:szCs w:val="32"/>
        </w:rPr>
      </w:pPr>
      <w:r>
        <w:rPr>
          <w:rFonts w:hint="eastAsia" w:ascii="黑体" w:eastAsia="黑体"/>
          <w:sz w:val="32"/>
          <w:szCs w:val="32"/>
        </w:rPr>
        <w:t>三、收支预算情况说明</w:t>
      </w:r>
    </w:p>
    <w:p w14:paraId="758574C2">
      <w:pPr>
        <w:rPr>
          <w:rFonts w:ascii="楷体" w:eastAsia="楷体"/>
          <w:sz w:val="32"/>
          <w:szCs w:val="32"/>
        </w:rPr>
      </w:pPr>
      <w:r>
        <w:rPr>
          <w:rFonts w:hint="eastAsia" w:ascii="楷体" w:eastAsia="楷体"/>
          <w:sz w:val="32"/>
          <w:szCs w:val="32"/>
        </w:rPr>
        <w:t>（一）收入预算情况</w:t>
      </w:r>
    </w:p>
    <w:p w14:paraId="0A3A3F34">
      <w:pPr>
        <w:rPr>
          <w:rFonts w:ascii="楷体" w:eastAsia="楷体"/>
          <w:sz w:val="32"/>
          <w:szCs w:val="32"/>
        </w:rPr>
      </w:pPr>
      <w:r>
        <w:rPr>
          <w:rFonts w:hint="eastAsia" w:ascii="楷体" w:eastAsia="楷体"/>
          <w:sz w:val="32"/>
          <w:szCs w:val="32"/>
        </w:rPr>
        <w:t>（二）支出预算情况</w:t>
      </w:r>
    </w:p>
    <w:p w14:paraId="20B1BE91">
      <w:pPr>
        <w:rPr>
          <w:rFonts w:ascii="黑体" w:eastAsia="黑体"/>
          <w:sz w:val="32"/>
          <w:szCs w:val="32"/>
        </w:rPr>
      </w:pPr>
      <w:r>
        <w:rPr>
          <w:rFonts w:hint="eastAsia" w:ascii="黑体" w:eastAsia="黑体"/>
          <w:sz w:val="32"/>
          <w:szCs w:val="32"/>
        </w:rPr>
        <w:t>四、财政拨款收支预算情况说明</w:t>
      </w:r>
    </w:p>
    <w:p w14:paraId="13057A8E">
      <w:pPr>
        <w:rPr>
          <w:rFonts w:ascii="黑体" w:eastAsia="黑体"/>
          <w:sz w:val="32"/>
          <w:szCs w:val="32"/>
        </w:rPr>
      </w:pPr>
      <w:r>
        <w:rPr>
          <w:rFonts w:hint="eastAsia" w:ascii="黑体" w:eastAsia="黑体"/>
          <w:sz w:val="32"/>
          <w:szCs w:val="32"/>
        </w:rPr>
        <w:t>五、一般公共预算当年拨款情况说明</w:t>
      </w:r>
    </w:p>
    <w:p w14:paraId="701AE2ED">
      <w:pPr>
        <w:rPr>
          <w:rFonts w:ascii="黑体" w:eastAsia="黑体"/>
          <w:sz w:val="32"/>
          <w:szCs w:val="32"/>
        </w:rPr>
      </w:pPr>
      <w:r>
        <w:rPr>
          <w:rFonts w:hint="eastAsia" w:ascii="楷体" w:eastAsia="楷体"/>
          <w:sz w:val="32"/>
          <w:szCs w:val="32"/>
        </w:rPr>
        <w:t>（一）一般公共预算当年拨款规模变化情况</w:t>
      </w:r>
      <w:r>
        <w:rPr>
          <w:rFonts w:ascii="楷体" w:eastAsia="楷体"/>
          <w:sz w:val="32"/>
          <w:szCs w:val="32"/>
        </w:rPr>
        <w:br w:type="textWrapping"/>
      </w:r>
      <w:r>
        <w:rPr>
          <w:rFonts w:hint="eastAsia" w:ascii="楷体" w:eastAsia="楷体"/>
          <w:sz w:val="32"/>
          <w:szCs w:val="32"/>
        </w:rPr>
        <w:t>（二）一般公共预算当年拨款结构情况</w:t>
      </w:r>
      <w:r>
        <w:rPr>
          <w:rFonts w:ascii="楷体" w:eastAsia="楷体"/>
          <w:sz w:val="32"/>
          <w:szCs w:val="32"/>
        </w:rPr>
        <w:br w:type="textWrapping"/>
      </w:r>
      <w:r>
        <w:rPr>
          <w:rFonts w:hint="eastAsia" w:ascii="楷体" w:eastAsia="楷体"/>
          <w:sz w:val="32"/>
          <w:szCs w:val="32"/>
        </w:rPr>
        <w:t>（三）一般公共预算当年拨款具体使用情况</w:t>
      </w:r>
      <w:r>
        <w:rPr>
          <w:rFonts w:ascii="??" w:hAnsi="??" w:cs="宋体"/>
          <w:kern w:val="0"/>
          <w:sz w:val="16"/>
          <w:szCs w:val="16"/>
        </w:rPr>
        <w:br w:type="textWrapping"/>
      </w:r>
      <w:r>
        <w:rPr>
          <w:rFonts w:hint="eastAsia" w:ascii="黑体" w:eastAsia="黑体"/>
          <w:sz w:val="32"/>
          <w:szCs w:val="32"/>
        </w:rPr>
        <w:t>六、一般公共预算基本支出情况说明</w:t>
      </w:r>
      <w:r>
        <w:rPr>
          <w:rFonts w:ascii="黑体" w:eastAsia="黑体"/>
          <w:sz w:val="32"/>
          <w:szCs w:val="32"/>
        </w:rPr>
        <w:br w:type="textWrapping"/>
      </w:r>
      <w:r>
        <w:rPr>
          <w:rFonts w:hint="eastAsia" w:ascii="黑体" w:eastAsia="黑体"/>
          <w:sz w:val="32"/>
          <w:szCs w:val="32"/>
        </w:rPr>
        <w:t>七、“三公”经费财政拨款预算安排情况说明</w:t>
      </w:r>
      <w:r>
        <w:rPr>
          <w:rFonts w:ascii="黑体" w:eastAsia="黑体"/>
          <w:sz w:val="32"/>
          <w:szCs w:val="32"/>
        </w:rPr>
        <w:br w:type="textWrapping"/>
      </w:r>
      <w:r>
        <w:rPr>
          <w:rFonts w:hint="eastAsia" w:ascii="黑体" w:eastAsia="黑体"/>
          <w:sz w:val="32"/>
          <w:szCs w:val="32"/>
        </w:rPr>
        <w:t>八、政府性基金预算支出情况说明</w:t>
      </w:r>
      <w:r>
        <w:rPr>
          <w:rFonts w:ascii="黑体" w:eastAsia="黑体"/>
          <w:sz w:val="32"/>
          <w:szCs w:val="32"/>
        </w:rPr>
        <w:br w:type="textWrapping"/>
      </w:r>
      <w:r>
        <w:rPr>
          <w:rFonts w:hint="eastAsia" w:ascii="黑体" w:eastAsia="黑体"/>
          <w:sz w:val="32"/>
          <w:szCs w:val="32"/>
        </w:rPr>
        <w:t>九、其他重要事项的情况说明</w:t>
      </w:r>
      <w:r>
        <w:rPr>
          <w:rFonts w:ascii="黑体" w:eastAsia="黑体"/>
          <w:sz w:val="32"/>
          <w:szCs w:val="32"/>
        </w:rPr>
        <w:br w:type="textWrapping"/>
      </w:r>
      <w:r>
        <w:rPr>
          <w:rFonts w:hint="eastAsia" w:ascii="黑体" w:eastAsia="黑体"/>
          <w:sz w:val="32"/>
          <w:szCs w:val="32"/>
        </w:rPr>
        <w:t>十、名称解释</w:t>
      </w:r>
    </w:p>
    <w:p w14:paraId="31DF2315">
      <w:pPr>
        <w:rPr>
          <w:rFonts w:ascii="黑体" w:eastAsia="黑体"/>
          <w:sz w:val="32"/>
          <w:szCs w:val="32"/>
        </w:rPr>
      </w:pPr>
    </w:p>
    <w:p w14:paraId="250D65A8">
      <w:pPr>
        <w:widowControl/>
        <w:shd w:val="clear" w:color="auto" w:fill="FFFFFF"/>
        <w:spacing w:before="100" w:beforeAutospacing="1" w:after="100" w:afterAutospacing="1" w:line="290" w:lineRule="atLeast"/>
        <w:ind w:right="300"/>
        <w:jc w:val="left"/>
        <w:rPr>
          <w:rFonts w:ascii="??" w:hAnsi="??" w:cs="宋体"/>
          <w:kern w:val="0"/>
          <w:sz w:val="12"/>
          <w:szCs w:val="12"/>
        </w:rPr>
      </w:pPr>
    </w:p>
    <w:p w14:paraId="273CE4DF">
      <w:pPr>
        <w:pStyle w:val="10"/>
        <w:rPr>
          <w:rFonts w:ascii="黑体" w:eastAsia="黑体"/>
          <w:sz w:val="32"/>
          <w:szCs w:val="32"/>
        </w:rPr>
      </w:pPr>
      <w:r>
        <w:rPr>
          <w:rFonts w:hint="eastAsia" w:ascii="黑体" w:eastAsia="黑体"/>
          <w:sz w:val="32"/>
          <w:szCs w:val="32"/>
        </w:rPr>
        <w:t>一、基本职能及主要工作</w:t>
      </w:r>
    </w:p>
    <w:p w14:paraId="6F29D362">
      <w:pPr>
        <w:ind w:firstLine="640" w:firstLineChars="200"/>
        <w:rPr>
          <w:rFonts w:ascii="楷体" w:eastAsia="楷体"/>
          <w:sz w:val="32"/>
          <w:szCs w:val="32"/>
        </w:rPr>
      </w:pPr>
      <w:r>
        <w:rPr>
          <w:rFonts w:hint="eastAsia" w:ascii="楷体" w:eastAsia="楷体"/>
          <w:sz w:val="32"/>
          <w:szCs w:val="32"/>
        </w:rPr>
        <w:t>（一）部门职能简介</w:t>
      </w:r>
    </w:p>
    <w:p w14:paraId="47AD8D35">
      <w:pPr>
        <w:widowControl/>
        <w:snapToGrid w:val="0"/>
        <w:spacing w:line="540" w:lineRule="exact"/>
        <w:ind w:firstLine="640" w:firstLineChars="200"/>
        <w:rPr>
          <w:rFonts w:hint="eastAsia" w:ascii="仿宋_GB2312" w:hAnsi="仿宋" w:eastAsia="仿宋_GB2312" w:cs="仿宋"/>
          <w:sz w:val="32"/>
          <w:szCs w:val="32"/>
        </w:rPr>
      </w:pPr>
      <w:r>
        <w:rPr>
          <w:rFonts w:hint="eastAsia" w:ascii="仿宋_GB2312" w:eastAsia="仿宋_GB2312" w:cs="仿宋_GB2312"/>
          <w:color w:val="000000"/>
          <w:sz w:val="32"/>
          <w:szCs w:val="32"/>
        </w:rPr>
        <w:t>1</w:t>
      </w:r>
      <w:r>
        <w:rPr>
          <w:rFonts w:hint="eastAsia" w:ascii="仿宋_GB2312" w:eastAsia="仿宋_GB2312" w:cs="仿宋_GB2312"/>
          <w:color w:val="000000"/>
          <w:sz w:val="32"/>
          <w:szCs w:val="32"/>
          <w:lang w:val="en-US" w:eastAsia="zh-CN"/>
        </w:rPr>
        <w:t>.</w:t>
      </w:r>
      <w:r>
        <w:rPr>
          <w:rFonts w:hint="eastAsia" w:ascii="仿宋_GB2312" w:hAnsi="仿宋" w:eastAsia="仿宋_GB2312" w:cs="仿宋"/>
          <w:sz w:val="32"/>
          <w:szCs w:val="32"/>
        </w:rPr>
        <w:t>依法审理法律规定由基层人民法院管辖、中级人民法院指定管辖或者认为应当由本法院审理的刑事、民事、行政等一审案件。</w:t>
      </w:r>
    </w:p>
    <w:p w14:paraId="12DAF4DD">
      <w:pPr>
        <w:widowControl/>
        <w:snapToGrid w:val="0"/>
        <w:spacing w:line="54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2</w:t>
      </w:r>
      <w:r>
        <w:rPr>
          <w:rFonts w:hint="eastAsia" w:ascii="仿宋_GB2312" w:hAnsi="仿宋" w:eastAsia="仿宋_GB2312" w:cs="仿宋"/>
          <w:sz w:val="32"/>
          <w:szCs w:val="32"/>
          <w:lang w:val="en-US" w:eastAsia="zh-CN"/>
        </w:rPr>
        <w:t>.</w:t>
      </w:r>
      <w:r>
        <w:rPr>
          <w:rFonts w:hint="eastAsia" w:ascii="仿宋_GB2312" w:hAnsi="仿宋" w:eastAsia="仿宋_GB2312" w:cs="仿宋"/>
          <w:sz w:val="32"/>
          <w:szCs w:val="32"/>
        </w:rPr>
        <w:t>依法审理中级人民法院指定再审的案件和人民检察院按照审判监督程序提起的抗诉案件。受理当事人不服本院发生法律效力的判决、裁定并提起申诉的刑事、行政诉讼案件。</w:t>
      </w:r>
    </w:p>
    <w:p w14:paraId="093C7C25">
      <w:pPr>
        <w:widowControl/>
        <w:snapToGrid w:val="0"/>
        <w:spacing w:line="54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3</w:t>
      </w:r>
      <w:r>
        <w:rPr>
          <w:rFonts w:hint="eastAsia" w:ascii="仿宋_GB2312" w:hAnsi="仿宋" w:eastAsia="仿宋_GB2312" w:cs="仿宋"/>
          <w:sz w:val="32"/>
          <w:szCs w:val="32"/>
          <w:lang w:val="en-US" w:eastAsia="zh-CN"/>
        </w:rPr>
        <w:t>.</w:t>
      </w:r>
      <w:r>
        <w:rPr>
          <w:rFonts w:hint="eastAsia" w:ascii="仿宋_GB2312" w:hAnsi="仿宋" w:eastAsia="仿宋_GB2312" w:cs="仿宋"/>
          <w:sz w:val="32"/>
          <w:szCs w:val="32"/>
        </w:rPr>
        <w:t>依法行使执行权和司法决定权。</w:t>
      </w:r>
    </w:p>
    <w:p w14:paraId="6B58755C">
      <w:pPr>
        <w:widowControl/>
        <w:snapToGrid w:val="0"/>
        <w:spacing w:line="54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4</w:t>
      </w:r>
      <w:r>
        <w:rPr>
          <w:rFonts w:hint="eastAsia" w:ascii="仿宋_GB2312" w:hAnsi="仿宋" w:eastAsia="仿宋_GB2312" w:cs="仿宋"/>
          <w:sz w:val="32"/>
          <w:szCs w:val="32"/>
          <w:lang w:val="en-US" w:eastAsia="zh-CN"/>
        </w:rPr>
        <w:t>.</w:t>
      </w:r>
      <w:r>
        <w:rPr>
          <w:rFonts w:hint="eastAsia" w:ascii="仿宋_GB2312" w:hAnsi="仿宋" w:eastAsia="仿宋_GB2312" w:cs="仿宋"/>
          <w:sz w:val="32"/>
          <w:szCs w:val="32"/>
        </w:rPr>
        <w:t>对法律规定、规章等草案提出意见，对案件审理中发现的问题提出司法建议。</w:t>
      </w:r>
    </w:p>
    <w:p w14:paraId="3CFD4106">
      <w:pPr>
        <w:widowControl/>
        <w:snapToGrid w:val="0"/>
        <w:spacing w:line="54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5</w:t>
      </w:r>
      <w:r>
        <w:rPr>
          <w:rFonts w:hint="eastAsia" w:ascii="仿宋_GB2312" w:hAnsi="仿宋" w:eastAsia="仿宋_GB2312" w:cs="仿宋"/>
          <w:sz w:val="32"/>
          <w:szCs w:val="32"/>
          <w:lang w:val="en-US" w:eastAsia="zh-CN"/>
        </w:rPr>
        <w:t>.</w:t>
      </w:r>
      <w:r>
        <w:rPr>
          <w:rFonts w:hint="eastAsia" w:ascii="仿宋_GB2312" w:hAnsi="仿宋" w:eastAsia="仿宋_GB2312" w:cs="仿宋"/>
          <w:sz w:val="32"/>
          <w:szCs w:val="32"/>
        </w:rPr>
        <w:t>指导基层法庭工作。</w:t>
      </w:r>
    </w:p>
    <w:p w14:paraId="08CEF6D7">
      <w:pPr>
        <w:widowControl/>
        <w:snapToGrid w:val="0"/>
        <w:spacing w:line="54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6</w:t>
      </w:r>
      <w:r>
        <w:rPr>
          <w:rFonts w:hint="eastAsia" w:ascii="仿宋_GB2312" w:hAnsi="仿宋" w:eastAsia="仿宋_GB2312" w:cs="仿宋"/>
          <w:sz w:val="32"/>
          <w:szCs w:val="32"/>
          <w:lang w:val="en-US" w:eastAsia="zh-CN"/>
        </w:rPr>
        <w:t>.</w:t>
      </w:r>
      <w:r>
        <w:rPr>
          <w:rFonts w:hint="eastAsia" w:ascii="仿宋_GB2312" w:hAnsi="仿宋" w:eastAsia="仿宋_GB2312" w:cs="仿宋"/>
          <w:sz w:val="32"/>
          <w:szCs w:val="32"/>
        </w:rPr>
        <w:t>负责全院的思想政治、教育培训工作和干部管理工作。</w:t>
      </w:r>
    </w:p>
    <w:p w14:paraId="3C3BAB75">
      <w:pPr>
        <w:widowControl/>
        <w:snapToGrid w:val="0"/>
        <w:spacing w:line="54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7</w:t>
      </w:r>
      <w:r>
        <w:rPr>
          <w:rFonts w:hint="eastAsia" w:ascii="仿宋_GB2312" w:hAnsi="仿宋" w:eastAsia="仿宋_GB2312" w:cs="仿宋"/>
          <w:sz w:val="32"/>
          <w:szCs w:val="32"/>
          <w:lang w:val="en-US" w:eastAsia="zh-CN"/>
        </w:rPr>
        <w:t>.</w:t>
      </w:r>
      <w:r>
        <w:rPr>
          <w:rFonts w:hint="eastAsia" w:ascii="仿宋_GB2312" w:hAnsi="仿宋" w:eastAsia="仿宋_GB2312" w:cs="仿宋"/>
          <w:sz w:val="32"/>
          <w:szCs w:val="32"/>
        </w:rPr>
        <w:t>负责全院财务、专项投资的计划管理及分配。</w:t>
      </w:r>
    </w:p>
    <w:p w14:paraId="3401EF7C">
      <w:pPr>
        <w:widowControl/>
        <w:snapToGrid w:val="0"/>
        <w:spacing w:line="54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8</w:t>
      </w:r>
      <w:r>
        <w:rPr>
          <w:rFonts w:hint="eastAsia" w:ascii="仿宋_GB2312" w:hAnsi="仿宋" w:eastAsia="仿宋_GB2312" w:cs="仿宋"/>
          <w:sz w:val="32"/>
          <w:szCs w:val="32"/>
          <w:lang w:val="en-US" w:eastAsia="zh-CN"/>
        </w:rPr>
        <w:t>.</w:t>
      </w:r>
      <w:r>
        <w:rPr>
          <w:rFonts w:hint="eastAsia" w:ascii="仿宋_GB2312" w:hAnsi="仿宋" w:eastAsia="仿宋_GB2312" w:cs="仿宋"/>
          <w:sz w:val="32"/>
          <w:szCs w:val="32"/>
        </w:rPr>
        <w:t>负责全院的监察工作。</w:t>
      </w:r>
    </w:p>
    <w:p w14:paraId="35F2E994">
      <w:pPr>
        <w:widowControl/>
        <w:snapToGrid w:val="0"/>
        <w:spacing w:line="54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9</w:t>
      </w:r>
      <w:r>
        <w:rPr>
          <w:rFonts w:hint="eastAsia" w:ascii="仿宋_GB2312" w:hAnsi="仿宋" w:eastAsia="仿宋_GB2312" w:cs="仿宋"/>
          <w:sz w:val="32"/>
          <w:szCs w:val="32"/>
          <w:lang w:val="en-US" w:eastAsia="zh-CN"/>
        </w:rPr>
        <w:t>.</w:t>
      </w:r>
      <w:r>
        <w:rPr>
          <w:rFonts w:hint="eastAsia" w:ascii="仿宋_GB2312" w:hAnsi="仿宋" w:eastAsia="仿宋_GB2312" w:cs="仿宋"/>
          <w:sz w:val="32"/>
          <w:szCs w:val="32"/>
        </w:rPr>
        <w:t>管理人民法院司法警察工作。</w:t>
      </w:r>
    </w:p>
    <w:p w14:paraId="4BFD86E1">
      <w:pPr>
        <w:widowControl/>
        <w:snapToGrid w:val="0"/>
        <w:spacing w:line="54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10</w:t>
      </w:r>
      <w:r>
        <w:rPr>
          <w:rFonts w:hint="eastAsia" w:ascii="仿宋_GB2312" w:hAnsi="仿宋" w:eastAsia="仿宋_GB2312" w:cs="仿宋"/>
          <w:sz w:val="32"/>
          <w:szCs w:val="32"/>
          <w:lang w:val="en-US" w:eastAsia="zh-CN"/>
        </w:rPr>
        <w:t>.</w:t>
      </w:r>
      <w:r>
        <w:rPr>
          <w:rFonts w:hint="eastAsia" w:ascii="仿宋_GB2312" w:hAnsi="仿宋" w:eastAsia="仿宋_GB2312" w:cs="仿宋"/>
          <w:sz w:val="32"/>
          <w:szCs w:val="32"/>
        </w:rPr>
        <w:t>做好本院行政、后勤事业管理和服务工作。</w:t>
      </w:r>
    </w:p>
    <w:p w14:paraId="5C544EDF">
      <w:pPr>
        <w:widowControl/>
        <w:snapToGrid w:val="0"/>
        <w:spacing w:line="54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11</w:t>
      </w:r>
      <w:r>
        <w:rPr>
          <w:rFonts w:hint="eastAsia" w:ascii="仿宋_GB2312" w:hAnsi="仿宋" w:eastAsia="仿宋_GB2312" w:cs="仿宋"/>
          <w:sz w:val="32"/>
          <w:szCs w:val="32"/>
          <w:lang w:val="en-US" w:eastAsia="zh-CN"/>
        </w:rPr>
        <w:t>.</w:t>
      </w:r>
      <w:r>
        <w:rPr>
          <w:rFonts w:hint="eastAsia" w:ascii="仿宋_GB2312" w:hAnsi="仿宋" w:eastAsia="仿宋_GB2312" w:cs="仿宋"/>
          <w:sz w:val="32"/>
          <w:szCs w:val="32"/>
        </w:rPr>
        <w:t>宣传法制，教育公民忠于社会主义祖国，自觉遵守宪法、法律和社会公德。</w:t>
      </w:r>
    </w:p>
    <w:p w14:paraId="3C3597CA">
      <w:pPr>
        <w:widowControl/>
        <w:snapToGrid w:val="0"/>
        <w:spacing w:line="54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12</w:t>
      </w:r>
      <w:r>
        <w:rPr>
          <w:rFonts w:hint="eastAsia" w:ascii="仿宋_GB2312" w:hAnsi="仿宋" w:eastAsia="仿宋_GB2312" w:cs="仿宋"/>
          <w:sz w:val="32"/>
          <w:szCs w:val="32"/>
          <w:lang w:val="en-US" w:eastAsia="zh-CN"/>
        </w:rPr>
        <w:t>.</w:t>
      </w:r>
      <w:r>
        <w:rPr>
          <w:rFonts w:hint="eastAsia" w:ascii="仿宋_GB2312" w:hAnsi="仿宋" w:eastAsia="仿宋_GB2312" w:cs="仿宋"/>
          <w:sz w:val="32"/>
          <w:szCs w:val="32"/>
        </w:rPr>
        <w:t>积极参与社会治安综合治理。</w:t>
      </w:r>
    </w:p>
    <w:p w14:paraId="1EED1685">
      <w:pPr>
        <w:widowControl/>
        <w:snapToGrid w:val="0"/>
        <w:spacing w:line="540" w:lineRule="exact"/>
        <w:ind w:firstLine="640" w:firstLineChars="200"/>
        <w:jc w:val="left"/>
        <w:rPr>
          <w:rFonts w:ascii="仿宋_GB2312" w:hAnsi="仿宋" w:eastAsia="仿宋_GB2312" w:cs="仿宋"/>
          <w:kern w:val="0"/>
          <w:sz w:val="32"/>
          <w:szCs w:val="32"/>
        </w:rPr>
      </w:pPr>
      <w:r>
        <w:rPr>
          <w:rFonts w:hint="eastAsia" w:ascii="仿宋_GB2312" w:hAnsi="仿宋" w:eastAsia="仿宋_GB2312" w:cs="仿宋"/>
          <w:sz w:val="32"/>
          <w:szCs w:val="32"/>
        </w:rPr>
        <w:t>13</w:t>
      </w:r>
      <w:r>
        <w:rPr>
          <w:rFonts w:hint="eastAsia" w:ascii="仿宋_GB2312" w:hAnsi="仿宋" w:eastAsia="仿宋_GB2312" w:cs="仿宋"/>
          <w:sz w:val="32"/>
          <w:szCs w:val="32"/>
          <w:lang w:val="en-US" w:eastAsia="zh-CN"/>
        </w:rPr>
        <w:t>.</w:t>
      </w:r>
      <w:r>
        <w:rPr>
          <w:rFonts w:hint="eastAsia" w:ascii="仿宋_GB2312" w:hAnsi="仿宋" w:eastAsia="仿宋_GB2312" w:cs="仿宋"/>
          <w:sz w:val="32"/>
          <w:szCs w:val="32"/>
        </w:rPr>
        <w:t>承办其它应由基层人民法院负责的工作。</w:t>
      </w:r>
    </w:p>
    <w:p w14:paraId="039ADF5B">
      <w:pPr>
        <w:ind w:firstLine="640" w:firstLineChars="200"/>
        <w:rPr>
          <w:rFonts w:ascii="楷体" w:eastAsia="楷体"/>
          <w:sz w:val="32"/>
          <w:szCs w:val="32"/>
        </w:rPr>
      </w:pPr>
      <w:r>
        <w:rPr>
          <w:rFonts w:hint="eastAsia" w:ascii="楷体" w:eastAsia="楷体"/>
          <w:sz w:val="32"/>
          <w:szCs w:val="32"/>
        </w:rPr>
        <w:t>（二）</w:t>
      </w:r>
      <w:r>
        <w:rPr>
          <w:rFonts w:ascii="楷体" w:eastAsia="楷体"/>
          <w:sz w:val="32"/>
          <w:szCs w:val="32"/>
        </w:rPr>
        <w:t>2025</w:t>
      </w:r>
      <w:r>
        <w:rPr>
          <w:rFonts w:hint="eastAsia" w:ascii="楷体" w:eastAsia="楷体"/>
          <w:sz w:val="32"/>
          <w:szCs w:val="32"/>
        </w:rPr>
        <w:t>年重点工作</w:t>
      </w:r>
    </w:p>
    <w:p w14:paraId="77E1B260">
      <w:pPr>
        <w:widowControl/>
        <w:snapToGrid w:val="0"/>
        <w:spacing w:line="540" w:lineRule="exact"/>
        <w:ind w:firstLine="640" w:firstLineChars="200"/>
        <w:jc w:val="left"/>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1.筑牢政治忠诚根基，彰显更高站位担当。</w:t>
      </w:r>
    </w:p>
    <w:p w14:paraId="52445C55">
      <w:pPr>
        <w:widowControl/>
        <w:snapToGrid w:val="0"/>
        <w:spacing w:line="540" w:lineRule="exact"/>
        <w:ind w:firstLine="640" w:firstLineChars="200"/>
        <w:jc w:val="left"/>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2.精准服务发展大局，展现更强履职效能。</w:t>
      </w:r>
    </w:p>
    <w:p w14:paraId="4E8F8F3D">
      <w:pPr>
        <w:widowControl/>
        <w:snapToGrid w:val="0"/>
        <w:spacing w:line="540" w:lineRule="exact"/>
        <w:ind w:firstLine="640" w:firstLineChars="200"/>
        <w:jc w:val="left"/>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3.厚植司法为民情怀，绘就温暖民生画卷。</w:t>
      </w:r>
    </w:p>
    <w:p w14:paraId="07B70248">
      <w:pPr>
        <w:widowControl/>
        <w:snapToGrid w:val="0"/>
        <w:spacing w:line="540" w:lineRule="exact"/>
        <w:ind w:firstLine="640" w:firstLineChars="200"/>
        <w:jc w:val="left"/>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4.深化司法体制改革，激发创新发展活力。</w:t>
      </w:r>
    </w:p>
    <w:p w14:paraId="5503E5A9">
      <w:pPr>
        <w:widowControl/>
        <w:snapToGrid w:val="0"/>
        <w:spacing w:line="540" w:lineRule="exact"/>
        <w:ind w:firstLine="640" w:firstLineChars="200"/>
        <w:jc w:val="left"/>
        <w:rPr>
          <w:rFonts w:hint="default"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5.锻造过硬法院铁军，树立良好司法形象。</w:t>
      </w:r>
    </w:p>
    <w:p w14:paraId="145CDC94">
      <w:pPr>
        <w:pStyle w:val="10"/>
        <w:numPr>
          <w:ilvl w:val="0"/>
          <w:numId w:val="1"/>
        </w:numPr>
        <w:ind w:firstLineChars="0"/>
        <w:rPr>
          <w:rFonts w:ascii="黑体" w:eastAsia="黑体"/>
          <w:sz w:val="32"/>
          <w:szCs w:val="32"/>
        </w:rPr>
      </w:pPr>
      <w:r>
        <w:rPr>
          <w:rFonts w:hint="eastAsia" w:ascii="黑体" w:eastAsia="黑体"/>
          <w:sz w:val="32"/>
          <w:szCs w:val="32"/>
        </w:rPr>
        <w:t>部门预算单位构成</w:t>
      </w:r>
    </w:p>
    <w:p w14:paraId="7997B316">
      <w:pPr>
        <w:widowControl/>
        <w:snapToGrid w:val="0"/>
        <w:spacing w:line="54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1</w:t>
      </w:r>
      <w:r>
        <w:rPr>
          <w:rFonts w:hint="eastAsia" w:ascii="仿宋_GB2312" w:hAnsi="仿宋" w:eastAsia="仿宋_GB2312" w:cs="仿宋"/>
          <w:sz w:val="32"/>
          <w:szCs w:val="32"/>
          <w:lang w:val="en-US" w:eastAsia="zh-CN"/>
        </w:rPr>
        <w:t>.</w:t>
      </w:r>
      <w:r>
        <w:rPr>
          <w:rFonts w:hint="eastAsia" w:ascii="仿宋_GB2312" w:hAnsi="仿宋" w:eastAsia="仿宋_GB2312" w:cs="仿宋"/>
          <w:sz w:val="32"/>
          <w:szCs w:val="32"/>
        </w:rPr>
        <w:t>政治部（督察室）：负责本院干警的思想政治教育及培训、表彰、奖励和宣传工作；协助主管部门管理本院的机构编制、组织人事工作；办理《法官法》规定有关工作，承办法官考评委员会决定的有关事项；负责机关岗位目标管理；承办司法警察警衔呈报工作；负责院老干部管理服务工作及其人事管理。</w:t>
      </w:r>
    </w:p>
    <w:p w14:paraId="43C7CCA2">
      <w:pPr>
        <w:widowControl/>
        <w:snapToGrid w:val="0"/>
        <w:spacing w:line="54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2</w:t>
      </w:r>
      <w:r>
        <w:rPr>
          <w:rFonts w:hint="eastAsia" w:ascii="仿宋_GB2312" w:hAnsi="仿宋" w:eastAsia="仿宋_GB2312" w:cs="仿宋"/>
          <w:sz w:val="32"/>
          <w:szCs w:val="32"/>
          <w:lang w:val="en-US" w:eastAsia="zh-CN"/>
        </w:rPr>
        <w:t>.</w:t>
      </w:r>
      <w:r>
        <w:rPr>
          <w:rFonts w:hint="eastAsia" w:ascii="仿宋_GB2312" w:hAnsi="仿宋" w:eastAsia="仿宋_GB2312" w:cs="仿宋"/>
          <w:sz w:val="32"/>
          <w:szCs w:val="32"/>
        </w:rPr>
        <w:t>综合办公室：法院新闻宣传、舆论引导工作的组织协调工作；信息简报编辑工作；法院工作总结、工作意见、工作报告、领导讲话及工作汇报材料等综合文稿的起草工作；法院网站、微博、微信等自媒体的管理运营工作；摄影摄像及信息资料的管理工作；司法技术工作（鉴定、评估、等相关工作）；依法治县工作（含普法工作）。</w:t>
      </w:r>
    </w:p>
    <w:p w14:paraId="4CEBD7F0">
      <w:pPr>
        <w:widowControl/>
        <w:snapToGrid w:val="0"/>
        <w:spacing w:line="54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3</w:t>
      </w:r>
      <w:r>
        <w:rPr>
          <w:rFonts w:hint="eastAsia" w:ascii="仿宋_GB2312" w:hAnsi="仿宋" w:eastAsia="仿宋_GB2312" w:cs="仿宋"/>
          <w:sz w:val="32"/>
          <w:szCs w:val="32"/>
          <w:lang w:val="en-US" w:eastAsia="zh-CN"/>
        </w:rPr>
        <w:t>.</w:t>
      </w:r>
      <w:r>
        <w:rPr>
          <w:rFonts w:hint="eastAsia" w:ascii="仿宋_GB2312" w:hAnsi="仿宋" w:eastAsia="仿宋_GB2312" w:cs="仿宋"/>
          <w:sz w:val="32"/>
          <w:szCs w:val="32"/>
        </w:rPr>
        <w:t>审判管理办公室（研究室）：上网裁判文书的审核工作；裁判文书的集中上网工作；裁判文书上网工作的管理、指导、监督。法院调研工作的组织协调工作；调研文章、典型案列的编辑工作；执行法律政策情况调查研究及适用法律政策的请示工作；学术论文征集工作；审判委员会日常事务工作。</w:t>
      </w:r>
    </w:p>
    <w:p w14:paraId="47A06E3D">
      <w:pPr>
        <w:widowControl/>
        <w:snapToGrid w:val="0"/>
        <w:spacing w:line="54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4</w:t>
      </w:r>
      <w:r>
        <w:rPr>
          <w:rFonts w:hint="eastAsia" w:ascii="仿宋_GB2312" w:hAnsi="仿宋" w:eastAsia="仿宋_GB2312" w:cs="仿宋"/>
          <w:sz w:val="32"/>
          <w:szCs w:val="32"/>
          <w:lang w:val="en-US" w:eastAsia="zh-CN"/>
        </w:rPr>
        <w:t>.</w:t>
      </w:r>
      <w:r>
        <w:rPr>
          <w:rFonts w:hint="eastAsia" w:ascii="仿宋_GB2312" w:hAnsi="仿宋" w:eastAsia="仿宋_GB2312" w:cs="仿宋"/>
          <w:sz w:val="32"/>
          <w:szCs w:val="32"/>
        </w:rPr>
        <w:t>刑事审判庭：审理第一审普通刑事案件和上级人民法院指定管辖的刑事案件；严格执行程序法和实体法，确保实体公正、程序公正、操作规范；推进刑事审判工作的规范化建设；做好诉讼指导工作，为当事人依法、充分、有效行使诉讼权利提供服务；加强对刑事法律、法规和司法解释的学习，坚持集体研讨案件和重大疑难案件请示汇报制度，不断提高刑事审判队伍的司法能力；加强新形势下刑事审判工作的调查研究，不断总结新经验，发现新情况，解决新问题，提出新举措，推动刑事审判工作的顺利开展；坚持以审判为中心，积极参与社会治安综合治理，扩大办案效果，力求实现办案法律效果和社会效果的有机统一；做好刑事案件统计和统计数据的报送、利用工作。</w:t>
      </w:r>
    </w:p>
    <w:p w14:paraId="4FDFC445">
      <w:pPr>
        <w:widowControl/>
        <w:snapToGrid w:val="0"/>
        <w:spacing w:line="54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5</w:t>
      </w:r>
      <w:r>
        <w:rPr>
          <w:rFonts w:hint="eastAsia" w:ascii="仿宋_GB2312" w:hAnsi="仿宋" w:eastAsia="仿宋_GB2312" w:cs="仿宋"/>
          <w:sz w:val="32"/>
          <w:szCs w:val="32"/>
          <w:lang w:val="en-US" w:eastAsia="zh-CN"/>
        </w:rPr>
        <w:t>.</w:t>
      </w:r>
      <w:r>
        <w:rPr>
          <w:rFonts w:hint="eastAsia" w:ascii="仿宋_GB2312" w:hAnsi="仿宋" w:eastAsia="仿宋_GB2312" w:cs="仿宋"/>
          <w:sz w:val="32"/>
          <w:szCs w:val="32"/>
        </w:rPr>
        <w:t>民事审判庭：审理本院管辖的第一审民商事案件。包括婚姻、家庭、继承类纠纷，人身、财产损害赔偿纠纷，民间借贷纠纷，个人合伙纠纷，劳动、劳务争议纠纷，农村土地承包纠纷，矿产资源纠纷，不当得利、无因管理及埋藏物、遗失物、漂流物、拾得物权属纠纷，建设用地使用权、宅基使用权、地役权纠纷，相邻权纠纷，建筑物区分所有权及物业纠纷，土地、房屋买卖（转让）、租赁等房地产纠纷，建设工程合同纠纷，合同、借款、存单、证券、期货、保险、票据类纠纷，公司法以及其他企业法调整的民商事法律关系产生的纠纷及相应的侵权纠纷，企业皮产案件，知识产权案件，民商事仲裁的司法审查，涉三资企业的民商事纠纷案件、房地产及建设合同纠纷案件，其他应由民事审判庭审理的案件。</w:t>
      </w:r>
    </w:p>
    <w:p w14:paraId="706DF42B">
      <w:pPr>
        <w:widowControl/>
        <w:snapToGrid w:val="0"/>
        <w:spacing w:line="54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6</w:t>
      </w:r>
      <w:r>
        <w:rPr>
          <w:rFonts w:hint="eastAsia" w:ascii="仿宋_GB2312" w:hAnsi="仿宋" w:eastAsia="仿宋_GB2312" w:cs="仿宋"/>
          <w:sz w:val="32"/>
          <w:szCs w:val="32"/>
          <w:lang w:val="en-US" w:eastAsia="zh-CN"/>
        </w:rPr>
        <w:t>.</w:t>
      </w:r>
      <w:r>
        <w:rPr>
          <w:rFonts w:hint="eastAsia" w:ascii="仿宋_GB2312" w:hAnsi="仿宋" w:eastAsia="仿宋_GB2312" w:cs="仿宋"/>
          <w:sz w:val="32"/>
          <w:szCs w:val="32"/>
        </w:rPr>
        <w:t>行政审判庭：审理第一审行政案件、行政赔偿案件和上级法院指令管辖的行政案件；依法执行行政机关作出的申请人民法院强制执行的行政处罚决定、行政处理决定；对本院受理的行政案件进行审查；严格执行程序法、实体法及上级法院、本院的相关规定；加强对行政法律法规、司法解释及执行法律法规的学习，坚持集体研讨案件和重大疑难案件汇报制度，不断提高本部门民事审判队伍的司法能力；做好本庭所承办行政案件、非诉执行案件统计和统计数据的报送、利用工作；</w:t>
      </w:r>
    </w:p>
    <w:p w14:paraId="4E96C057">
      <w:pPr>
        <w:widowControl/>
        <w:snapToGrid w:val="0"/>
        <w:spacing w:line="54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7</w:t>
      </w:r>
      <w:r>
        <w:rPr>
          <w:rFonts w:hint="eastAsia" w:ascii="仿宋_GB2312" w:hAnsi="仿宋" w:eastAsia="仿宋_GB2312" w:cs="仿宋"/>
          <w:sz w:val="32"/>
          <w:szCs w:val="32"/>
          <w:lang w:val="en-US" w:eastAsia="zh-CN"/>
        </w:rPr>
        <w:t>.</w:t>
      </w:r>
      <w:r>
        <w:rPr>
          <w:rFonts w:hint="eastAsia" w:ascii="仿宋_GB2312" w:hAnsi="仿宋" w:eastAsia="仿宋_GB2312" w:cs="仿宋"/>
          <w:sz w:val="32"/>
          <w:szCs w:val="32"/>
        </w:rPr>
        <w:t>执行局：执行本院第一审发生法律效力的判决、裁定以及调解协议中有关财产的决定；执行法律规定的由本院执行的其他法律文书；办理委托移送执行和协助执行事宜。</w:t>
      </w:r>
    </w:p>
    <w:p w14:paraId="4CBC5522">
      <w:pPr>
        <w:widowControl/>
        <w:snapToGrid w:val="0"/>
        <w:spacing w:line="54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8</w:t>
      </w:r>
      <w:r>
        <w:rPr>
          <w:rFonts w:hint="eastAsia" w:ascii="仿宋_GB2312" w:hAnsi="仿宋" w:eastAsia="仿宋_GB2312" w:cs="仿宋"/>
          <w:sz w:val="32"/>
          <w:szCs w:val="32"/>
          <w:lang w:val="en-US" w:eastAsia="zh-CN"/>
        </w:rPr>
        <w:t>.</w:t>
      </w:r>
      <w:r>
        <w:rPr>
          <w:rFonts w:hint="eastAsia" w:ascii="仿宋_GB2312" w:hAnsi="仿宋" w:eastAsia="仿宋_GB2312" w:cs="仿宋"/>
          <w:sz w:val="32"/>
          <w:szCs w:val="32"/>
        </w:rPr>
        <w:t>立案庭：依法做好本院刑事、民事、行政、国家赔偿、执行和申诉、申请再审等案件的审查、立案、登记、送达、网上公告送达、排期、移送工作；接待、处理各类来信、来访，做好申诉人、上访人的思想疏导和息诉、服判工作，参与社会治安综合治理，扩大办案的社会效果；监督、指导基层法院的立案和信访工作；按规定办理诉讼费、执行费用的收、交、减、缓、免等相关手续，并进行登记报批；充分发挥立案庭的窗口示范作用。</w:t>
      </w:r>
    </w:p>
    <w:p w14:paraId="186B2C3C">
      <w:pPr>
        <w:widowControl/>
        <w:snapToGrid w:val="0"/>
        <w:spacing w:line="54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9</w:t>
      </w:r>
      <w:r>
        <w:rPr>
          <w:rFonts w:hint="eastAsia" w:ascii="仿宋_GB2312" w:hAnsi="仿宋" w:eastAsia="仿宋_GB2312" w:cs="仿宋"/>
          <w:sz w:val="32"/>
          <w:szCs w:val="32"/>
          <w:lang w:val="en-US" w:eastAsia="zh-CN"/>
        </w:rPr>
        <w:t>.</w:t>
      </w:r>
      <w:r>
        <w:rPr>
          <w:rFonts w:hint="eastAsia" w:ascii="仿宋_GB2312" w:hAnsi="仿宋" w:eastAsia="仿宋_GB2312" w:cs="仿宋"/>
          <w:sz w:val="32"/>
          <w:szCs w:val="32"/>
        </w:rPr>
        <w:t>司法警察大队：组织落实司法警察队伍建设的规划和措施；制定所辖院司法警察管理的规章制度并组织实施；检查、监督司法警察执行法律、法规的情况；组织司法警察的教育培训；管理或协同管理警司以下司法警察的警衔；管理司法警察的警用装备；协调跨区域的重大警务活动；组织司法警察完成检察长交办的其它任务。</w:t>
      </w:r>
    </w:p>
    <w:p w14:paraId="6B0C8A80">
      <w:pPr>
        <w:widowControl/>
        <w:snapToGrid w:val="0"/>
        <w:spacing w:line="540" w:lineRule="exact"/>
        <w:ind w:firstLine="640" w:firstLineChars="200"/>
        <w:rPr>
          <w:rFonts w:ascii="仿宋_GB2312" w:hAnsi="仿宋_GB2312" w:eastAsia="仿宋_GB2312" w:cs="仿宋_GB2312"/>
          <w:sz w:val="32"/>
          <w:szCs w:val="32"/>
        </w:rPr>
      </w:pPr>
      <w:r>
        <w:rPr>
          <w:rFonts w:hint="eastAsia" w:ascii="仿宋_GB2312" w:hAnsi="仿宋" w:eastAsia="仿宋_GB2312" w:cs="仿宋"/>
          <w:sz w:val="32"/>
          <w:szCs w:val="32"/>
        </w:rPr>
        <w:t>10</w:t>
      </w:r>
      <w:r>
        <w:rPr>
          <w:rFonts w:hint="eastAsia" w:ascii="仿宋_GB2312" w:hAnsi="仿宋" w:eastAsia="仿宋_GB2312" w:cs="仿宋"/>
          <w:sz w:val="32"/>
          <w:szCs w:val="32"/>
          <w:lang w:val="en-US" w:eastAsia="zh-CN"/>
        </w:rPr>
        <w:t>.</w:t>
      </w:r>
      <w:r>
        <w:rPr>
          <w:rFonts w:hint="eastAsia" w:ascii="仿宋_GB2312" w:hAnsi="仿宋" w:eastAsia="仿宋_GB2312" w:cs="仿宋"/>
          <w:sz w:val="32"/>
          <w:szCs w:val="32"/>
        </w:rPr>
        <w:t>基层人民法庭：审理管辖内的各类一审民事案件及法治宣传工作。</w:t>
      </w:r>
    </w:p>
    <w:p w14:paraId="00F20CEF">
      <w:pPr>
        <w:pStyle w:val="10"/>
        <w:ind w:left="720" w:firstLine="0" w:firstLineChars="0"/>
        <w:rPr>
          <w:rFonts w:ascii="黑体" w:eastAsia="黑体"/>
          <w:sz w:val="32"/>
          <w:szCs w:val="32"/>
        </w:rPr>
      </w:pPr>
      <w:r>
        <w:rPr>
          <w:rFonts w:hint="eastAsia" w:ascii="黑体" w:eastAsia="黑体"/>
          <w:sz w:val="32"/>
          <w:szCs w:val="32"/>
        </w:rPr>
        <w:t>三、收支预算情况说明</w:t>
      </w:r>
    </w:p>
    <w:p w14:paraId="701CEDC5">
      <w:pPr>
        <w:ind w:firstLine="640" w:firstLineChars="200"/>
        <w:rPr>
          <w:rFonts w:hint="eastAsia" w:ascii="楷体" w:eastAsia="楷体"/>
          <w:sz w:val="32"/>
          <w:szCs w:val="32"/>
        </w:rPr>
      </w:pPr>
      <w:r>
        <w:rPr>
          <w:rFonts w:hint="eastAsia" w:ascii="楷体" w:eastAsia="楷体"/>
          <w:sz w:val="32"/>
          <w:szCs w:val="32"/>
        </w:rPr>
        <w:t>（一）收入预算情况</w:t>
      </w:r>
    </w:p>
    <w:p w14:paraId="741F8643">
      <w:pPr>
        <w:widowControl/>
        <w:snapToGrid w:val="0"/>
        <w:spacing w:line="540" w:lineRule="exact"/>
        <w:ind w:firstLine="640" w:firstLineChars="200"/>
      </w:pPr>
      <w:r>
        <w:rPr>
          <w:rFonts w:hint="eastAsia" w:ascii="仿宋_GB2312" w:hAnsi="仿宋" w:eastAsia="仿宋_GB2312" w:cs="仿宋"/>
          <w:sz w:val="32"/>
          <w:szCs w:val="32"/>
        </w:rPr>
        <w:t>202</w:t>
      </w:r>
      <w:r>
        <w:rPr>
          <w:rFonts w:hint="eastAsia" w:ascii="仿宋_GB2312" w:hAnsi="仿宋" w:eastAsia="仿宋_GB2312" w:cs="仿宋"/>
          <w:sz w:val="32"/>
          <w:szCs w:val="32"/>
          <w:lang w:val="en-US" w:eastAsia="zh-CN"/>
        </w:rPr>
        <w:t>5</w:t>
      </w:r>
      <w:r>
        <w:rPr>
          <w:rFonts w:hint="eastAsia" w:ascii="仿宋_GB2312" w:hAnsi="仿宋" w:eastAsia="仿宋_GB2312" w:cs="仿宋"/>
          <w:sz w:val="32"/>
          <w:szCs w:val="32"/>
        </w:rPr>
        <w:t>年收入</w:t>
      </w:r>
      <w:r>
        <w:rPr>
          <w:rFonts w:hint="eastAsia" w:ascii="仿宋_GB2312" w:hAnsi="仿宋" w:eastAsia="仿宋_GB2312" w:cs="仿宋"/>
          <w:sz w:val="32"/>
          <w:szCs w:val="32"/>
          <w:lang w:val="en-US" w:eastAsia="zh-CN"/>
        </w:rPr>
        <w:t>预算</w:t>
      </w:r>
      <w:r>
        <w:rPr>
          <w:rFonts w:hint="eastAsia" w:ascii="仿宋_GB2312" w:hAnsi="仿宋" w:eastAsia="仿宋_GB2312" w:cs="仿宋"/>
          <w:sz w:val="32"/>
          <w:szCs w:val="32"/>
        </w:rPr>
        <w:t>总数</w:t>
      </w:r>
      <w:r>
        <w:rPr>
          <w:rFonts w:hint="eastAsia" w:ascii="仿宋_GB2312" w:hAnsi="仿宋" w:eastAsia="仿宋_GB2312" w:cs="仿宋"/>
          <w:sz w:val="32"/>
          <w:szCs w:val="32"/>
          <w:lang w:val="en-US" w:eastAsia="zh-CN"/>
        </w:rPr>
        <w:t>1268.81</w:t>
      </w:r>
      <w:r>
        <w:rPr>
          <w:rFonts w:hint="eastAsia" w:ascii="仿宋_GB2312" w:hAnsi="仿宋" w:eastAsia="仿宋_GB2312" w:cs="仿宋"/>
          <w:sz w:val="32"/>
          <w:szCs w:val="32"/>
        </w:rPr>
        <w:t>万元，无基金预算</w:t>
      </w:r>
      <w:r>
        <w:rPr>
          <w:rFonts w:hint="eastAsia" w:ascii="仿宋_GB2312" w:hAnsi="仿宋" w:eastAsia="仿宋_GB2312" w:cs="仿宋"/>
          <w:sz w:val="32"/>
          <w:szCs w:val="32"/>
          <w:lang w:val="en-US" w:eastAsia="zh-CN"/>
        </w:rPr>
        <w:t>收入</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较202</w:t>
      </w:r>
      <w:r>
        <w:rPr>
          <w:rFonts w:hint="eastAsia" w:ascii="仿宋_GB2312" w:hAnsi="仿宋" w:eastAsia="仿宋_GB2312" w:cs="仿宋"/>
          <w:sz w:val="32"/>
          <w:szCs w:val="32"/>
          <w:lang w:val="en-US" w:eastAsia="zh-CN"/>
        </w:rPr>
        <w:t>4</w:t>
      </w:r>
      <w:r>
        <w:rPr>
          <w:rFonts w:hint="eastAsia" w:ascii="仿宋_GB2312" w:hAnsi="仿宋" w:eastAsia="仿宋_GB2312" w:cs="仿宋"/>
          <w:sz w:val="32"/>
          <w:szCs w:val="32"/>
        </w:rPr>
        <w:t>年收入</w:t>
      </w:r>
      <w:r>
        <w:rPr>
          <w:rFonts w:hint="eastAsia" w:ascii="仿宋_GB2312" w:hAnsi="仿宋" w:eastAsia="仿宋_GB2312" w:cs="仿宋"/>
          <w:sz w:val="32"/>
          <w:szCs w:val="32"/>
          <w:lang w:val="en-US" w:eastAsia="zh-CN"/>
        </w:rPr>
        <w:t>预算</w:t>
      </w:r>
      <w:r>
        <w:rPr>
          <w:rFonts w:hint="eastAsia" w:ascii="仿宋_GB2312" w:hAnsi="仿宋" w:eastAsia="仿宋_GB2312" w:cs="仿宋"/>
          <w:sz w:val="32"/>
          <w:szCs w:val="32"/>
        </w:rPr>
        <w:t>总数</w:t>
      </w:r>
      <w:r>
        <w:rPr>
          <w:rFonts w:hint="eastAsia" w:ascii="仿宋_GB2312" w:hAnsi="仿宋" w:eastAsia="仿宋_GB2312" w:cs="仿宋"/>
          <w:sz w:val="32"/>
          <w:szCs w:val="32"/>
          <w:lang w:val="en-US" w:eastAsia="zh-CN"/>
        </w:rPr>
        <w:t>1162.11万</w:t>
      </w:r>
      <w:r>
        <w:rPr>
          <w:rFonts w:hint="eastAsia" w:ascii="仿宋_GB2312" w:hAnsi="仿宋" w:eastAsia="仿宋_GB2312" w:cs="仿宋"/>
          <w:sz w:val="32"/>
          <w:szCs w:val="32"/>
        </w:rPr>
        <w:t>元</w:t>
      </w:r>
      <w:r>
        <w:rPr>
          <w:rFonts w:hint="eastAsia" w:ascii="仿宋_GB2312" w:hAnsi="仿宋" w:eastAsia="仿宋_GB2312" w:cs="仿宋"/>
          <w:sz w:val="32"/>
          <w:szCs w:val="32"/>
          <w:lang w:val="en-US" w:eastAsia="zh-CN"/>
        </w:rPr>
        <w:t>增加106.7万元，增幅9.18</w:t>
      </w:r>
      <w:r>
        <w:rPr>
          <w:rFonts w:hint="eastAsia" w:ascii="仿宋_GB2312" w:hAnsi="仿宋" w:eastAsia="仿宋_GB2312" w:cs="仿宋"/>
          <w:sz w:val="32"/>
          <w:szCs w:val="32"/>
        </w:rPr>
        <w:t>%</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lang w:val="en-US" w:eastAsia="zh-CN"/>
        </w:rPr>
        <w:t>主要原因</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lang w:val="en-US" w:eastAsia="zh-CN"/>
        </w:rPr>
        <w:t>2024年新招录公务员8名，2025年人员经费、劳务派遣经费收入预算较2024年增加，故2025年收入预算总数较2024年增加。</w:t>
      </w:r>
    </w:p>
    <w:p w14:paraId="09A0A6D4">
      <w:pPr>
        <w:numPr>
          <w:ilvl w:val="0"/>
          <w:numId w:val="2"/>
        </w:numPr>
        <w:ind w:left="640" w:leftChars="0" w:firstLine="0" w:firstLineChars="0"/>
        <w:jc w:val="left"/>
        <w:rPr>
          <w:rFonts w:hint="eastAsia" w:ascii="楷体" w:eastAsia="楷体" w:cs="仿宋_GB2312"/>
          <w:sz w:val="32"/>
          <w:szCs w:val="32"/>
        </w:rPr>
      </w:pPr>
      <w:r>
        <w:rPr>
          <w:rFonts w:hint="eastAsia" w:ascii="楷体" w:eastAsia="楷体" w:cs="仿宋_GB2312"/>
          <w:sz w:val="32"/>
          <w:szCs w:val="32"/>
        </w:rPr>
        <w:t>支出预算情况</w:t>
      </w:r>
    </w:p>
    <w:p w14:paraId="39B8FE5B">
      <w:pPr>
        <w:widowControl/>
        <w:snapToGrid w:val="0"/>
        <w:spacing w:line="540" w:lineRule="exact"/>
        <w:ind w:firstLine="640" w:firstLineChars="200"/>
      </w:pPr>
      <w:r>
        <w:rPr>
          <w:rFonts w:hint="eastAsia" w:ascii="仿宋_GB2312" w:hAnsi="仿宋" w:eastAsia="仿宋_GB2312" w:cs="仿宋"/>
          <w:sz w:val="32"/>
          <w:szCs w:val="32"/>
        </w:rPr>
        <w:t>202</w:t>
      </w:r>
      <w:r>
        <w:rPr>
          <w:rFonts w:hint="eastAsia" w:ascii="仿宋_GB2312" w:hAnsi="仿宋" w:eastAsia="仿宋_GB2312" w:cs="仿宋"/>
          <w:sz w:val="32"/>
          <w:szCs w:val="32"/>
          <w:lang w:val="en-US" w:eastAsia="zh-CN"/>
        </w:rPr>
        <w:t>5</w:t>
      </w:r>
      <w:r>
        <w:rPr>
          <w:rFonts w:hint="eastAsia" w:ascii="仿宋_GB2312" w:hAnsi="仿宋" w:eastAsia="仿宋_GB2312" w:cs="仿宋"/>
          <w:sz w:val="32"/>
          <w:szCs w:val="32"/>
        </w:rPr>
        <w:t>年支出预算总数</w:t>
      </w:r>
      <w:r>
        <w:rPr>
          <w:rFonts w:hint="eastAsia" w:ascii="仿宋_GB2312" w:hAnsi="仿宋" w:eastAsia="仿宋_GB2312" w:cs="仿宋"/>
          <w:sz w:val="32"/>
          <w:szCs w:val="32"/>
          <w:lang w:val="en-US" w:eastAsia="zh-CN"/>
        </w:rPr>
        <w:t>1268.81</w:t>
      </w:r>
      <w:r>
        <w:rPr>
          <w:rFonts w:hint="eastAsia" w:ascii="仿宋_GB2312" w:hAnsi="仿宋" w:eastAsia="仿宋_GB2312" w:cs="仿宋"/>
          <w:sz w:val="32"/>
          <w:szCs w:val="32"/>
        </w:rPr>
        <w:t>万元，</w:t>
      </w:r>
      <w:r>
        <w:rPr>
          <w:rFonts w:hint="eastAsia" w:ascii="仿宋_GB2312" w:hAnsi="仿宋" w:eastAsia="仿宋_GB2312" w:cs="仿宋"/>
          <w:sz w:val="32"/>
          <w:szCs w:val="32"/>
          <w:lang w:val="en-US" w:eastAsia="zh-CN"/>
        </w:rPr>
        <w:t>无</w:t>
      </w:r>
      <w:r>
        <w:rPr>
          <w:rFonts w:hint="eastAsia" w:ascii="仿宋_GB2312" w:hAnsi="仿宋" w:eastAsia="仿宋_GB2312" w:cs="仿宋"/>
          <w:sz w:val="32"/>
          <w:szCs w:val="32"/>
        </w:rPr>
        <w:t>基金预算支出，较202</w:t>
      </w:r>
      <w:r>
        <w:rPr>
          <w:rFonts w:hint="eastAsia" w:ascii="仿宋_GB2312" w:hAnsi="仿宋" w:eastAsia="仿宋_GB2312" w:cs="仿宋"/>
          <w:sz w:val="32"/>
          <w:szCs w:val="32"/>
          <w:lang w:val="en-US" w:eastAsia="zh-CN"/>
        </w:rPr>
        <w:t>4</w:t>
      </w:r>
      <w:r>
        <w:rPr>
          <w:rFonts w:hint="eastAsia" w:ascii="仿宋_GB2312" w:hAnsi="仿宋" w:eastAsia="仿宋_GB2312" w:cs="仿宋"/>
          <w:sz w:val="32"/>
          <w:szCs w:val="32"/>
        </w:rPr>
        <w:t>年支出预算总数</w:t>
      </w:r>
      <w:r>
        <w:rPr>
          <w:rFonts w:hint="eastAsia" w:ascii="仿宋_GB2312" w:hAnsi="仿宋" w:eastAsia="仿宋_GB2312" w:cs="仿宋"/>
          <w:sz w:val="32"/>
          <w:szCs w:val="32"/>
          <w:lang w:val="en-US" w:eastAsia="zh-CN"/>
        </w:rPr>
        <w:t>1162.11万</w:t>
      </w:r>
      <w:r>
        <w:rPr>
          <w:rFonts w:hint="eastAsia" w:ascii="仿宋_GB2312" w:hAnsi="仿宋" w:eastAsia="仿宋_GB2312" w:cs="仿宋"/>
          <w:sz w:val="32"/>
          <w:szCs w:val="32"/>
        </w:rPr>
        <w:t>元</w:t>
      </w:r>
      <w:r>
        <w:rPr>
          <w:rFonts w:hint="eastAsia" w:ascii="仿宋_GB2312" w:hAnsi="仿宋" w:eastAsia="仿宋_GB2312" w:cs="仿宋"/>
          <w:sz w:val="32"/>
          <w:szCs w:val="32"/>
          <w:lang w:val="en-US" w:eastAsia="zh-CN"/>
        </w:rPr>
        <w:t>增加106.7万元，增幅9.18</w:t>
      </w:r>
      <w:r>
        <w:rPr>
          <w:rFonts w:hint="eastAsia" w:ascii="仿宋_GB2312" w:hAnsi="仿宋" w:eastAsia="仿宋_GB2312" w:cs="仿宋"/>
          <w:sz w:val="32"/>
          <w:szCs w:val="32"/>
        </w:rPr>
        <w:t>%</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lang w:val="en-US" w:eastAsia="zh-CN"/>
        </w:rPr>
        <w:t>主要原因</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lang w:val="en-US" w:eastAsia="zh-CN"/>
        </w:rPr>
        <w:t>2024年新招录公务员8名，2025年人员经费、劳务派遣经费支出预算较2024年增加，故2025年支出预算总数较2024年增加。</w:t>
      </w:r>
    </w:p>
    <w:p w14:paraId="7DEC15F2">
      <w:pPr>
        <w:ind w:firstLine="640" w:firstLineChars="200"/>
        <w:rPr>
          <w:rFonts w:ascii="仿宋_GB2312" w:eastAsia="仿宋_GB2312"/>
          <w:sz w:val="32"/>
          <w:szCs w:val="32"/>
        </w:rPr>
      </w:pPr>
      <w:r>
        <w:rPr>
          <w:rFonts w:hint="eastAsia" w:ascii="黑体" w:eastAsia="黑体"/>
          <w:sz w:val="32"/>
          <w:szCs w:val="32"/>
        </w:rPr>
        <w:t>四、财政拨款收支预算情况说明</w:t>
      </w:r>
    </w:p>
    <w:p w14:paraId="73A184CE">
      <w:pPr>
        <w:ind w:left="638" w:leftChars="304"/>
        <w:rPr>
          <w:rFonts w:hint="default" w:ascii="仿宋_GB2312" w:hAnsi="黑体" w:eastAsia="仿宋_GB2312"/>
          <w:sz w:val="32"/>
          <w:szCs w:val="32"/>
          <w:lang w:val="en-US" w:eastAsia="zh-CN"/>
        </w:rPr>
      </w:pPr>
      <w:r>
        <w:rPr>
          <w:rFonts w:hint="eastAsia" w:ascii="仿宋_GB2312" w:hAnsi="仿宋_GB2312" w:eastAsia="仿宋_GB2312" w:cs="仿宋_GB2312"/>
          <w:sz w:val="32"/>
          <w:szCs w:val="32"/>
          <w:lang w:val="en-US" w:eastAsia="zh-CN"/>
        </w:rPr>
        <w:t>松潘县人民法院</w:t>
      </w:r>
      <w:r>
        <w:rPr>
          <w:rFonts w:hint="eastAsia" w:ascii="仿宋_GB2312" w:hAnsi="黑体" w:eastAsia="仿宋_GB2312"/>
          <w:sz w:val="32"/>
          <w:szCs w:val="32"/>
        </w:rPr>
        <w:t>202</w:t>
      </w:r>
      <w:r>
        <w:rPr>
          <w:rFonts w:hint="eastAsia" w:ascii="仿宋_GB2312" w:hAnsi="黑体" w:eastAsia="仿宋_GB2312"/>
          <w:sz w:val="32"/>
          <w:szCs w:val="32"/>
          <w:lang w:val="en-US" w:eastAsia="zh-CN"/>
        </w:rPr>
        <w:t>5</w:t>
      </w:r>
      <w:r>
        <w:rPr>
          <w:rFonts w:hint="eastAsia" w:ascii="仿宋_GB2312" w:hAnsi="黑体" w:eastAsia="仿宋_GB2312"/>
          <w:sz w:val="32"/>
          <w:szCs w:val="32"/>
        </w:rPr>
        <w:t>年财政拨款收支总预算</w:t>
      </w:r>
      <w:r>
        <w:rPr>
          <w:rFonts w:hint="eastAsia" w:ascii="仿宋_GB2312" w:hAnsi="仿宋" w:eastAsia="仿宋_GB2312" w:cs="仿宋"/>
          <w:sz w:val="32"/>
          <w:szCs w:val="32"/>
          <w:lang w:val="en-US" w:eastAsia="zh-CN"/>
        </w:rPr>
        <w:t>1268.81</w:t>
      </w:r>
    </w:p>
    <w:p w14:paraId="1959FEBD">
      <w:pPr>
        <w:widowControl/>
        <w:snapToGrid w:val="0"/>
        <w:spacing w:line="540" w:lineRule="exact"/>
        <w:rPr>
          <w:rFonts w:ascii="仿宋_GB2312" w:hAnsi="黑体" w:eastAsia="仿宋_GB2312"/>
          <w:sz w:val="32"/>
          <w:szCs w:val="32"/>
        </w:rPr>
      </w:pPr>
      <w:r>
        <w:rPr>
          <w:rFonts w:hint="eastAsia" w:ascii="仿宋_GB2312" w:hAnsi="黑体" w:eastAsia="仿宋_GB2312"/>
          <w:sz w:val="32"/>
          <w:szCs w:val="32"/>
        </w:rPr>
        <w:t>万元,比202</w:t>
      </w:r>
      <w:r>
        <w:rPr>
          <w:rFonts w:hint="eastAsia" w:ascii="仿宋_GB2312" w:hAnsi="黑体" w:eastAsia="仿宋_GB2312"/>
          <w:sz w:val="32"/>
          <w:szCs w:val="32"/>
          <w:lang w:val="en-US" w:eastAsia="zh-CN"/>
        </w:rPr>
        <w:t>4</w:t>
      </w:r>
      <w:r>
        <w:rPr>
          <w:rFonts w:hint="eastAsia" w:ascii="仿宋_GB2312" w:hAnsi="黑体" w:eastAsia="仿宋_GB2312"/>
          <w:sz w:val="32"/>
          <w:szCs w:val="32"/>
        </w:rPr>
        <w:t>年财政拨款收支总预算</w:t>
      </w:r>
      <w:r>
        <w:rPr>
          <w:rFonts w:hint="eastAsia" w:ascii="仿宋_GB2312" w:hAnsi="仿宋" w:eastAsia="仿宋_GB2312" w:cs="仿宋"/>
          <w:sz w:val="32"/>
          <w:szCs w:val="32"/>
          <w:lang w:val="en-US" w:eastAsia="zh-CN"/>
        </w:rPr>
        <w:t>增加106.7</w:t>
      </w:r>
      <w:r>
        <w:rPr>
          <w:rFonts w:hint="eastAsia" w:ascii="仿宋_GB2312" w:hAnsi="黑体" w:eastAsia="仿宋_GB2312"/>
          <w:sz w:val="32"/>
          <w:szCs w:val="32"/>
        </w:rPr>
        <w:t>万元，主要原因:</w:t>
      </w:r>
      <w:r>
        <w:rPr>
          <w:rFonts w:hint="eastAsia" w:ascii="仿宋_GB2312" w:hAnsi="仿宋" w:eastAsia="仿宋_GB2312" w:cs="仿宋"/>
          <w:sz w:val="32"/>
          <w:szCs w:val="32"/>
          <w:lang w:val="en-US" w:eastAsia="zh-CN"/>
        </w:rPr>
        <w:t>2024年新招录公务员8名，2025年人员经费、劳务派遣经费</w:t>
      </w:r>
      <w:r>
        <w:rPr>
          <w:rFonts w:hint="eastAsia" w:ascii="仿宋_GB2312" w:hAnsi="黑体" w:eastAsia="仿宋_GB2312"/>
          <w:sz w:val="32"/>
          <w:szCs w:val="32"/>
        </w:rPr>
        <w:t>财政拨款收支</w:t>
      </w:r>
      <w:r>
        <w:rPr>
          <w:rFonts w:hint="eastAsia" w:ascii="仿宋_GB2312" w:hAnsi="黑体" w:eastAsia="仿宋_GB2312"/>
          <w:sz w:val="32"/>
          <w:szCs w:val="32"/>
          <w:lang w:val="en-US" w:eastAsia="zh-CN"/>
        </w:rPr>
        <w:t>预算</w:t>
      </w:r>
      <w:r>
        <w:rPr>
          <w:rFonts w:hint="eastAsia" w:ascii="仿宋_GB2312" w:hAnsi="仿宋" w:eastAsia="仿宋_GB2312" w:cs="仿宋"/>
          <w:sz w:val="32"/>
          <w:szCs w:val="32"/>
          <w:lang w:val="en-US" w:eastAsia="zh-CN"/>
        </w:rPr>
        <w:t>较2024年增加，故2025年</w:t>
      </w:r>
      <w:r>
        <w:rPr>
          <w:rFonts w:hint="eastAsia" w:ascii="仿宋_GB2312" w:hAnsi="黑体" w:eastAsia="仿宋_GB2312"/>
          <w:sz w:val="32"/>
          <w:szCs w:val="32"/>
        </w:rPr>
        <w:t>财政拨款</w:t>
      </w:r>
      <w:r>
        <w:rPr>
          <w:rFonts w:hint="eastAsia" w:ascii="仿宋_GB2312" w:hAnsi="仿宋" w:eastAsia="仿宋_GB2312" w:cs="仿宋"/>
          <w:sz w:val="32"/>
          <w:szCs w:val="32"/>
          <w:lang w:val="en-US" w:eastAsia="zh-CN"/>
        </w:rPr>
        <w:t>收支总预算较2024年增加。</w:t>
      </w:r>
    </w:p>
    <w:p w14:paraId="22A7D6B3">
      <w:pPr>
        <w:keepNext w:val="0"/>
        <w:keepLines w:val="0"/>
        <w:pageBreakBefore w:val="0"/>
        <w:shd w:val="clear" w:color="auto" w:fill="FFFFFF"/>
        <w:kinsoku/>
        <w:wordWrap/>
        <w:overflowPunct/>
        <w:topLinePunct w:val="0"/>
        <w:autoSpaceDE/>
        <w:autoSpaceDN/>
        <w:bidi w:val="0"/>
        <w:adjustRightInd/>
        <w:spacing w:after="0"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收入包括：</w:t>
      </w:r>
      <w:r>
        <w:rPr>
          <w:rFonts w:hint="eastAsia" w:ascii="仿宋_GB2312" w:hAnsi="仿宋" w:eastAsia="仿宋_GB2312" w:cs="仿宋"/>
          <w:color w:val="000000"/>
          <w:sz w:val="32"/>
          <w:szCs w:val="32"/>
        </w:rPr>
        <w:t>基本支出，是用于保障行政机构的正常运转的日常支出，包括基本工资、津贴补贴等人员经费以及办公费、印刷费、水电费等日常公用经费。20</w:t>
      </w:r>
      <w:r>
        <w:rPr>
          <w:rFonts w:ascii="仿宋_GB2312" w:hAnsi="仿宋" w:eastAsia="仿宋_GB2312" w:cs="仿宋"/>
          <w:color w:val="000000"/>
          <w:sz w:val="32"/>
          <w:szCs w:val="32"/>
        </w:rPr>
        <w:t>2</w:t>
      </w:r>
      <w:r>
        <w:rPr>
          <w:rFonts w:hint="eastAsia" w:ascii="仿宋_GB2312" w:hAnsi="仿宋" w:eastAsia="仿宋_GB2312" w:cs="仿宋"/>
          <w:color w:val="000000"/>
          <w:sz w:val="32"/>
          <w:szCs w:val="32"/>
          <w:lang w:val="en-US" w:eastAsia="zh-CN"/>
        </w:rPr>
        <w:t>5</w:t>
      </w:r>
      <w:r>
        <w:rPr>
          <w:rFonts w:hint="eastAsia" w:ascii="仿宋_GB2312" w:hAnsi="仿宋" w:eastAsia="仿宋_GB2312" w:cs="仿宋"/>
          <w:color w:val="000000"/>
          <w:sz w:val="32"/>
          <w:szCs w:val="32"/>
        </w:rPr>
        <w:t>年部门预算基本支出预算总数</w:t>
      </w:r>
      <w:r>
        <w:rPr>
          <w:rFonts w:hint="eastAsia" w:ascii="仿宋_GB2312" w:hAnsi="仿宋" w:eastAsia="仿宋_GB2312" w:cs="仿宋"/>
          <w:sz w:val="32"/>
          <w:szCs w:val="32"/>
          <w:lang w:val="en-US" w:eastAsia="zh-CN"/>
        </w:rPr>
        <w:t>1236.19</w:t>
      </w:r>
      <w:r>
        <w:rPr>
          <w:rFonts w:hint="eastAsia" w:ascii="仿宋_GB2312" w:hAnsi="仿宋" w:eastAsia="仿宋_GB2312" w:cs="仿宋"/>
          <w:color w:val="000000"/>
          <w:sz w:val="32"/>
          <w:szCs w:val="32"/>
        </w:rPr>
        <w:t>万元，其中：人员支出</w:t>
      </w:r>
      <w:r>
        <w:rPr>
          <w:rFonts w:hint="eastAsia" w:ascii="仿宋_GB2312" w:hAnsi="仿宋" w:eastAsia="仿宋_GB2312" w:cs="仿宋"/>
          <w:color w:val="000000"/>
          <w:sz w:val="32"/>
          <w:szCs w:val="32"/>
          <w:lang w:val="en-US" w:eastAsia="zh-CN"/>
        </w:rPr>
        <w:t>1065.37</w:t>
      </w:r>
      <w:r>
        <w:rPr>
          <w:rFonts w:hint="eastAsia" w:ascii="仿宋_GB2312" w:hAnsi="仿宋" w:eastAsia="仿宋_GB2312" w:cs="仿宋"/>
          <w:color w:val="000000"/>
          <w:sz w:val="32"/>
          <w:szCs w:val="32"/>
        </w:rPr>
        <w:t>万元，公用支出</w:t>
      </w:r>
      <w:r>
        <w:rPr>
          <w:rFonts w:hint="eastAsia" w:ascii="仿宋_GB2312" w:hAnsi="仿宋" w:eastAsia="仿宋_GB2312" w:cs="仿宋"/>
          <w:color w:val="000000"/>
          <w:sz w:val="32"/>
          <w:szCs w:val="32"/>
          <w:lang w:val="en-US" w:eastAsia="zh-CN"/>
        </w:rPr>
        <w:t>170.82</w:t>
      </w:r>
      <w:r>
        <w:rPr>
          <w:rFonts w:hint="eastAsia" w:ascii="仿宋_GB2312" w:hAnsi="仿宋" w:eastAsia="仿宋_GB2312" w:cs="仿宋"/>
          <w:color w:val="000000"/>
          <w:sz w:val="32"/>
          <w:szCs w:val="32"/>
        </w:rPr>
        <w:t>万元。项目支出，是用于保障</w:t>
      </w:r>
      <w:r>
        <w:rPr>
          <w:rFonts w:hint="eastAsia" w:ascii="仿宋_GB2312" w:hAnsi="仿宋" w:eastAsia="仿宋_GB2312" w:cs="仿宋"/>
          <w:color w:val="000000"/>
          <w:sz w:val="32"/>
          <w:szCs w:val="32"/>
          <w:lang w:val="en-US" w:eastAsia="zh-CN"/>
        </w:rPr>
        <w:t>法警加班补助</w:t>
      </w:r>
      <w:r>
        <w:rPr>
          <w:rFonts w:hint="eastAsia" w:ascii="仿宋_GB2312" w:hAnsi="仿宋" w:eastAsia="仿宋_GB2312" w:cs="仿宋"/>
          <w:color w:val="000000"/>
          <w:sz w:val="32"/>
          <w:szCs w:val="32"/>
        </w:rPr>
        <w:t>专项经费。202</w:t>
      </w:r>
      <w:r>
        <w:rPr>
          <w:rFonts w:hint="eastAsia" w:ascii="仿宋_GB2312" w:hAnsi="仿宋" w:eastAsia="仿宋_GB2312" w:cs="仿宋"/>
          <w:color w:val="000000"/>
          <w:sz w:val="32"/>
          <w:szCs w:val="32"/>
          <w:lang w:val="en-US" w:eastAsia="zh-CN"/>
        </w:rPr>
        <w:t>5</w:t>
      </w:r>
      <w:r>
        <w:rPr>
          <w:rFonts w:hint="eastAsia" w:ascii="仿宋_GB2312" w:hAnsi="仿宋" w:eastAsia="仿宋_GB2312" w:cs="仿宋"/>
          <w:color w:val="000000"/>
          <w:sz w:val="32"/>
          <w:szCs w:val="32"/>
        </w:rPr>
        <w:t>年部门预算项目支出预算总数</w:t>
      </w:r>
      <w:r>
        <w:rPr>
          <w:rFonts w:hint="eastAsia" w:ascii="仿宋_GB2312" w:hAnsi="仿宋" w:eastAsia="仿宋_GB2312" w:cs="仿宋"/>
          <w:color w:val="000000"/>
          <w:sz w:val="32"/>
          <w:szCs w:val="32"/>
          <w:lang w:val="en-US" w:eastAsia="zh-CN"/>
        </w:rPr>
        <w:t>32.62</w:t>
      </w:r>
      <w:r>
        <w:rPr>
          <w:rFonts w:hint="eastAsia" w:ascii="仿宋_GB2312" w:hAnsi="仿宋" w:eastAsia="仿宋_GB2312" w:cs="仿宋"/>
          <w:color w:val="000000"/>
          <w:sz w:val="32"/>
          <w:szCs w:val="32"/>
        </w:rPr>
        <w:t>万元。</w:t>
      </w:r>
    </w:p>
    <w:p w14:paraId="6007331F">
      <w:pPr>
        <w:keepNext w:val="0"/>
        <w:keepLines w:val="0"/>
        <w:pageBreakBefore w:val="0"/>
        <w:shd w:val="clear" w:color="auto" w:fill="FFFFFF"/>
        <w:kinsoku/>
        <w:wordWrap/>
        <w:overflowPunct/>
        <w:topLinePunct w:val="0"/>
        <w:autoSpaceDE/>
        <w:autoSpaceDN/>
        <w:bidi w:val="0"/>
        <w:adjustRightInd/>
        <w:spacing w:after="0" w:line="560" w:lineRule="exact"/>
        <w:ind w:firstLine="640" w:firstLineChars="200"/>
        <w:textAlignment w:val="auto"/>
        <w:rPr>
          <w:rFonts w:ascii="仿宋_GB2312" w:eastAsia="仿宋_GB2312"/>
          <w:sz w:val="32"/>
          <w:szCs w:val="32"/>
        </w:rPr>
      </w:pPr>
      <w:r>
        <w:rPr>
          <w:rFonts w:hint="eastAsia" w:ascii="仿宋_GB2312" w:hAnsi="仿宋_GB2312" w:eastAsia="仿宋_GB2312" w:cs="仿宋_GB2312"/>
          <w:sz w:val="32"/>
          <w:szCs w:val="32"/>
        </w:rPr>
        <w:t>支出包括：</w:t>
      </w:r>
      <w:r>
        <w:rPr>
          <w:rFonts w:hint="eastAsia" w:ascii="仿宋_GB2312" w:hAnsi="仿宋" w:eastAsia="仿宋_GB2312" w:cs="仿宋"/>
          <w:color w:val="000000"/>
          <w:sz w:val="32"/>
          <w:szCs w:val="32"/>
        </w:rPr>
        <w:t>基本支出，是用于保障行政机构的正常运转的日常支出，包括基本工资、津贴补贴等人员经费以及办公费、印刷费、水电费等日常公用经费。20</w:t>
      </w:r>
      <w:r>
        <w:rPr>
          <w:rFonts w:ascii="仿宋_GB2312" w:hAnsi="仿宋" w:eastAsia="仿宋_GB2312" w:cs="仿宋"/>
          <w:color w:val="000000"/>
          <w:sz w:val="32"/>
          <w:szCs w:val="32"/>
        </w:rPr>
        <w:t>2</w:t>
      </w:r>
      <w:r>
        <w:rPr>
          <w:rFonts w:hint="eastAsia" w:ascii="仿宋_GB2312" w:hAnsi="仿宋" w:eastAsia="仿宋_GB2312" w:cs="仿宋"/>
          <w:color w:val="000000"/>
          <w:sz w:val="32"/>
          <w:szCs w:val="32"/>
          <w:lang w:val="en-US" w:eastAsia="zh-CN"/>
        </w:rPr>
        <w:t>5</w:t>
      </w:r>
      <w:r>
        <w:rPr>
          <w:rFonts w:hint="eastAsia" w:ascii="仿宋_GB2312" w:hAnsi="仿宋" w:eastAsia="仿宋_GB2312" w:cs="仿宋"/>
          <w:color w:val="000000"/>
          <w:sz w:val="32"/>
          <w:szCs w:val="32"/>
        </w:rPr>
        <w:t>年部门预算基本支出预算总数</w:t>
      </w:r>
      <w:r>
        <w:rPr>
          <w:rFonts w:hint="eastAsia" w:ascii="仿宋_GB2312" w:hAnsi="仿宋" w:eastAsia="仿宋_GB2312" w:cs="仿宋"/>
          <w:color w:val="000000"/>
          <w:sz w:val="32"/>
          <w:szCs w:val="32"/>
          <w:lang w:val="en-US" w:eastAsia="zh-CN"/>
        </w:rPr>
        <w:t>1268.81</w:t>
      </w:r>
      <w:r>
        <w:rPr>
          <w:rFonts w:hint="eastAsia" w:ascii="仿宋_GB2312" w:hAnsi="仿宋" w:eastAsia="仿宋_GB2312" w:cs="仿宋"/>
          <w:color w:val="000000"/>
          <w:sz w:val="32"/>
          <w:szCs w:val="32"/>
        </w:rPr>
        <w:t>万元，其中：人员支出</w:t>
      </w:r>
      <w:r>
        <w:rPr>
          <w:rFonts w:hint="eastAsia" w:ascii="仿宋_GB2312" w:hAnsi="仿宋" w:eastAsia="仿宋_GB2312" w:cs="仿宋"/>
          <w:color w:val="000000"/>
          <w:sz w:val="32"/>
          <w:szCs w:val="32"/>
          <w:lang w:val="en-US" w:eastAsia="zh-CN"/>
        </w:rPr>
        <w:t>1065.37</w:t>
      </w:r>
      <w:r>
        <w:rPr>
          <w:rFonts w:hint="eastAsia" w:ascii="仿宋_GB2312" w:hAnsi="仿宋" w:eastAsia="仿宋_GB2312" w:cs="仿宋"/>
          <w:color w:val="000000"/>
          <w:sz w:val="32"/>
          <w:szCs w:val="32"/>
        </w:rPr>
        <w:t>万元，公用支出</w:t>
      </w:r>
      <w:r>
        <w:rPr>
          <w:rFonts w:hint="eastAsia" w:ascii="仿宋_GB2312" w:hAnsi="仿宋" w:eastAsia="仿宋_GB2312" w:cs="仿宋"/>
          <w:color w:val="000000"/>
          <w:sz w:val="32"/>
          <w:szCs w:val="32"/>
          <w:lang w:val="en-US" w:eastAsia="zh-CN"/>
        </w:rPr>
        <w:t>170.82</w:t>
      </w:r>
      <w:r>
        <w:rPr>
          <w:rFonts w:hint="eastAsia" w:ascii="仿宋_GB2312" w:hAnsi="仿宋" w:eastAsia="仿宋_GB2312" w:cs="仿宋"/>
          <w:color w:val="000000"/>
          <w:sz w:val="32"/>
          <w:szCs w:val="32"/>
        </w:rPr>
        <w:t>万元。项目支出，是用于保障</w:t>
      </w:r>
      <w:r>
        <w:rPr>
          <w:rFonts w:hint="eastAsia" w:ascii="仿宋_GB2312" w:hAnsi="仿宋" w:eastAsia="仿宋_GB2312" w:cs="仿宋"/>
          <w:color w:val="000000"/>
          <w:sz w:val="32"/>
          <w:szCs w:val="32"/>
          <w:lang w:val="en-US" w:eastAsia="zh-CN"/>
        </w:rPr>
        <w:t>法警加班补助</w:t>
      </w:r>
      <w:r>
        <w:rPr>
          <w:rFonts w:hint="eastAsia" w:ascii="仿宋_GB2312" w:hAnsi="仿宋" w:eastAsia="仿宋_GB2312" w:cs="仿宋"/>
          <w:color w:val="000000"/>
          <w:sz w:val="32"/>
          <w:szCs w:val="32"/>
        </w:rPr>
        <w:t>专项经费。202</w:t>
      </w:r>
      <w:r>
        <w:rPr>
          <w:rFonts w:hint="eastAsia" w:ascii="仿宋_GB2312" w:hAnsi="仿宋" w:eastAsia="仿宋_GB2312" w:cs="仿宋"/>
          <w:color w:val="000000"/>
          <w:sz w:val="32"/>
          <w:szCs w:val="32"/>
          <w:lang w:val="en-US" w:eastAsia="zh-CN"/>
        </w:rPr>
        <w:t>5</w:t>
      </w:r>
      <w:r>
        <w:rPr>
          <w:rFonts w:hint="eastAsia" w:ascii="仿宋_GB2312" w:hAnsi="仿宋" w:eastAsia="仿宋_GB2312" w:cs="仿宋"/>
          <w:color w:val="000000"/>
          <w:sz w:val="32"/>
          <w:szCs w:val="32"/>
        </w:rPr>
        <w:t>年部门预算项目支出预算总数</w:t>
      </w:r>
      <w:r>
        <w:rPr>
          <w:rFonts w:hint="eastAsia" w:ascii="仿宋_GB2312" w:hAnsi="仿宋" w:eastAsia="仿宋_GB2312" w:cs="仿宋"/>
          <w:color w:val="000000"/>
          <w:sz w:val="32"/>
          <w:szCs w:val="32"/>
          <w:lang w:val="en-US" w:eastAsia="zh-CN"/>
        </w:rPr>
        <w:t>32.62</w:t>
      </w:r>
      <w:r>
        <w:rPr>
          <w:rFonts w:hint="eastAsia" w:ascii="仿宋_GB2312" w:hAnsi="仿宋" w:eastAsia="仿宋_GB2312" w:cs="仿宋"/>
          <w:color w:val="000000"/>
          <w:sz w:val="32"/>
          <w:szCs w:val="32"/>
        </w:rPr>
        <w:t>万元。</w:t>
      </w:r>
    </w:p>
    <w:p w14:paraId="7A058DA6">
      <w:pPr>
        <w:ind w:firstLine="640" w:firstLineChars="200"/>
        <w:rPr>
          <w:rFonts w:ascii="黑体" w:eastAsia="黑体"/>
          <w:sz w:val="32"/>
          <w:szCs w:val="32"/>
        </w:rPr>
      </w:pPr>
      <w:r>
        <w:rPr>
          <w:rFonts w:hint="eastAsia" w:ascii="黑体" w:eastAsia="黑体"/>
          <w:sz w:val="32"/>
          <w:szCs w:val="32"/>
        </w:rPr>
        <w:t>五、一般公共预算当年拨款情况说明</w:t>
      </w:r>
    </w:p>
    <w:p w14:paraId="009D18D1">
      <w:pPr>
        <w:pStyle w:val="11"/>
        <w:spacing w:before="0" w:line="360" w:lineRule="auto"/>
        <w:ind w:firstLine="660"/>
        <w:rPr>
          <w:rFonts w:ascii="楷体" w:eastAsia="楷体" w:cs="仿宋_GB2312"/>
          <w:kern w:val="2"/>
          <w:sz w:val="32"/>
          <w:szCs w:val="32"/>
        </w:rPr>
      </w:pPr>
      <w:r>
        <w:rPr>
          <w:rFonts w:hint="eastAsia" w:ascii="楷体" w:eastAsia="楷体" w:cs="仿宋_GB2312"/>
          <w:kern w:val="2"/>
          <w:sz w:val="32"/>
          <w:szCs w:val="32"/>
        </w:rPr>
        <w:t>（一）一般公共预算当年拨款规模变化情况</w:t>
      </w:r>
    </w:p>
    <w:p w14:paraId="4CBE0B25">
      <w:pPr>
        <w:keepNext w:val="0"/>
        <w:keepLines w:val="0"/>
        <w:pageBreakBefore w:val="0"/>
        <w:shd w:val="clear" w:color="auto" w:fill="FFFFFF"/>
        <w:kinsoku/>
        <w:wordWrap/>
        <w:overflowPunct/>
        <w:topLinePunct w:val="0"/>
        <w:autoSpaceDE/>
        <w:autoSpaceDN/>
        <w:bidi w:val="0"/>
        <w:adjustRightInd/>
        <w:spacing w:after="0" w:line="560" w:lineRule="exact"/>
        <w:ind w:firstLine="640" w:firstLineChars="200"/>
        <w:textAlignment w:val="auto"/>
        <w:rPr>
          <w:rFonts w:hint="default" w:ascii="仿宋_GB2312" w:hAnsi="仿宋" w:eastAsia="仿宋_GB2312" w:cs="仿宋"/>
          <w:color w:val="000000"/>
          <w:sz w:val="32"/>
          <w:szCs w:val="32"/>
          <w:lang w:val="en-US" w:eastAsia="zh-CN"/>
        </w:rPr>
      </w:pPr>
      <w:r>
        <w:rPr>
          <w:rFonts w:hint="eastAsia" w:ascii="仿宋_GB2312" w:hAnsi="仿宋" w:eastAsia="仿宋_GB2312" w:cs="仿宋"/>
          <w:color w:val="000000"/>
          <w:sz w:val="32"/>
          <w:szCs w:val="32"/>
          <w:lang w:val="en-US" w:eastAsia="zh-CN"/>
        </w:rPr>
        <w:t>松潘县人民法院</w:t>
      </w:r>
      <w:r>
        <w:rPr>
          <w:rFonts w:hint="eastAsia" w:ascii="仿宋_GB2312" w:hAnsi="仿宋" w:eastAsia="仿宋_GB2312" w:cs="仿宋"/>
          <w:color w:val="000000"/>
          <w:sz w:val="32"/>
          <w:szCs w:val="32"/>
        </w:rPr>
        <w:t>202</w:t>
      </w:r>
      <w:r>
        <w:rPr>
          <w:rFonts w:hint="eastAsia" w:ascii="仿宋_GB2312" w:hAnsi="仿宋" w:eastAsia="仿宋_GB2312" w:cs="仿宋"/>
          <w:color w:val="000000"/>
          <w:sz w:val="32"/>
          <w:szCs w:val="32"/>
          <w:lang w:val="en-US" w:eastAsia="zh-CN"/>
        </w:rPr>
        <w:t>5</w:t>
      </w:r>
      <w:r>
        <w:rPr>
          <w:rFonts w:hint="eastAsia" w:ascii="仿宋_GB2312" w:hAnsi="仿宋" w:eastAsia="仿宋_GB2312" w:cs="仿宋"/>
          <w:color w:val="000000"/>
          <w:sz w:val="32"/>
          <w:szCs w:val="32"/>
        </w:rPr>
        <w:t>年一般公共预算当年拨款</w:t>
      </w:r>
      <w:r>
        <w:rPr>
          <w:rFonts w:hint="eastAsia" w:ascii="仿宋_GB2312" w:hAnsi="仿宋" w:eastAsia="仿宋_GB2312" w:cs="仿宋"/>
          <w:color w:val="000000"/>
          <w:sz w:val="32"/>
          <w:szCs w:val="32"/>
          <w:lang w:val="en-US" w:eastAsia="zh-CN"/>
        </w:rPr>
        <w:t>1268.81</w:t>
      </w:r>
    </w:p>
    <w:p w14:paraId="16179AD1">
      <w:pPr>
        <w:widowControl/>
        <w:snapToGrid w:val="0"/>
        <w:spacing w:line="540" w:lineRule="exact"/>
        <w:rPr>
          <w:rFonts w:cs="仿宋_GB2312"/>
          <w:kern w:val="2"/>
          <w:sz w:val="32"/>
          <w:szCs w:val="32"/>
        </w:rPr>
      </w:pPr>
      <w:r>
        <w:rPr>
          <w:rFonts w:hint="eastAsia" w:ascii="仿宋_GB2312" w:hAnsi="仿宋" w:eastAsia="仿宋_GB2312" w:cs="仿宋"/>
          <w:color w:val="000000"/>
          <w:sz w:val="32"/>
          <w:szCs w:val="32"/>
        </w:rPr>
        <w:t>万元，比</w:t>
      </w:r>
      <w:r>
        <w:rPr>
          <w:rFonts w:hint="eastAsia" w:ascii="仿宋_GB2312" w:hAnsi="仿宋" w:eastAsia="仿宋_GB2312" w:cs="仿宋"/>
          <w:color w:val="000000"/>
          <w:sz w:val="32"/>
          <w:szCs w:val="32"/>
          <w:lang w:val="en-US" w:eastAsia="zh-CN"/>
        </w:rPr>
        <w:t>2024</w:t>
      </w:r>
      <w:r>
        <w:rPr>
          <w:rFonts w:hint="eastAsia" w:ascii="仿宋_GB2312" w:hAnsi="仿宋" w:eastAsia="仿宋_GB2312" w:cs="仿宋"/>
          <w:color w:val="000000"/>
          <w:sz w:val="32"/>
          <w:szCs w:val="32"/>
        </w:rPr>
        <w:t>年一般公共预算</w:t>
      </w:r>
      <w:r>
        <w:rPr>
          <w:rFonts w:hint="eastAsia" w:ascii="仿宋_GB2312" w:hAnsi="仿宋" w:eastAsia="仿宋_GB2312" w:cs="仿宋"/>
          <w:sz w:val="32"/>
          <w:szCs w:val="32"/>
          <w:lang w:val="en-US" w:eastAsia="zh-CN"/>
        </w:rPr>
        <w:t>增加106.7</w:t>
      </w:r>
      <w:r>
        <w:rPr>
          <w:rFonts w:hint="eastAsia" w:ascii="仿宋_GB2312" w:hAnsi="仿宋" w:eastAsia="仿宋_GB2312" w:cs="仿宋"/>
          <w:color w:val="000000"/>
          <w:sz w:val="32"/>
          <w:szCs w:val="32"/>
          <w:lang w:val="en-US" w:eastAsia="zh-CN"/>
        </w:rPr>
        <w:t>万元，主要原因</w:t>
      </w:r>
      <w:r>
        <w:rPr>
          <w:rFonts w:hint="eastAsia" w:ascii="仿宋_GB2312" w:hAnsi="仿宋" w:eastAsia="仿宋_GB2312" w:cs="仿宋"/>
          <w:color w:val="000000"/>
          <w:sz w:val="32"/>
          <w:szCs w:val="32"/>
          <w:lang w:eastAsia="zh-CN"/>
        </w:rPr>
        <w:t>：</w:t>
      </w:r>
      <w:r>
        <w:rPr>
          <w:rFonts w:hint="eastAsia" w:ascii="仿宋_GB2312" w:hAnsi="仿宋" w:eastAsia="仿宋_GB2312" w:cs="仿宋"/>
          <w:sz w:val="32"/>
          <w:szCs w:val="32"/>
          <w:lang w:val="en-US" w:eastAsia="zh-CN"/>
        </w:rPr>
        <w:t>2024年新招录公务员8名，2025年人员经费、劳务派遣经费</w:t>
      </w:r>
      <w:r>
        <w:rPr>
          <w:rFonts w:hint="eastAsia" w:ascii="仿宋_GB2312" w:hAnsi="仿宋" w:eastAsia="仿宋_GB2312" w:cs="仿宋"/>
          <w:color w:val="000000"/>
          <w:sz w:val="32"/>
          <w:szCs w:val="32"/>
        </w:rPr>
        <w:t>一般公共预算</w:t>
      </w:r>
      <w:r>
        <w:rPr>
          <w:rFonts w:hint="eastAsia" w:ascii="仿宋_GB2312" w:hAnsi="仿宋" w:eastAsia="仿宋_GB2312" w:cs="仿宋"/>
          <w:color w:val="000000"/>
          <w:sz w:val="32"/>
          <w:szCs w:val="32"/>
          <w:lang w:val="en-US" w:eastAsia="zh-CN"/>
        </w:rPr>
        <w:t>拨款</w:t>
      </w:r>
      <w:r>
        <w:rPr>
          <w:rFonts w:hint="eastAsia" w:ascii="仿宋_GB2312" w:hAnsi="仿宋" w:eastAsia="仿宋_GB2312" w:cs="仿宋"/>
          <w:sz w:val="32"/>
          <w:szCs w:val="32"/>
          <w:lang w:val="en-US" w:eastAsia="zh-CN"/>
        </w:rPr>
        <w:t>较2024年增加，故2025年</w:t>
      </w:r>
      <w:r>
        <w:rPr>
          <w:rFonts w:hint="eastAsia" w:ascii="仿宋_GB2312" w:hAnsi="仿宋" w:eastAsia="仿宋_GB2312" w:cs="仿宋"/>
          <w:color w:val="000000"/>
          <w:sz w:val="32"/>
          <w:szCs w:val="32"/>
        </w:rPr>
        <w:t>一般公共预算当年拨款</w:t>
      </w:r>
      <w:r>
        <w:rPr>
          <w:rFonts w:hint="eastAsia" w:ascii="仿宋_GB2312" w:hAnsi="仿宋" w:eastAsia="仿宋_GB2312" w:cs="仿宋"/>
          <w:sz w:val="32"/>
          <w:szCs w:val="32"/>
          <w:lang w:val="en-US" w:eastAsia="zh-CN"/>
        </w:rPr>
        <w:t>较2024年增加。</w:t>
      </w:r>
    </w:p>
    <w:p w14:paraId="5AB2C763">
      <w:pPr>
        <w:keepNext w:val="0"/>
        <w:keepLines w:val="0"/>
        <w:pageBreakBefore w:val="0"/>
        <w:numPr>
          <w:ilvl w:val="0"/>
          <w:numId w:val="2"/>
        </w:numPr>
        <w:shd w:val="clear" w:color="auto" w:fill="FFFFFF"/>
        <w:kinsoku/>
        <w:wordWrap/>
        <w:overflowPunct/>
        <w:topLinePunct w:val="0"/>
        <w:autoSpaceDE/>
        <w:autoSpaceDN/>
        <w:bidi w:val="0"/>
        <w:adjustRightInd/>
        <w:spacing w:after="0" w:line="560" w:lineRule="exact"/>
        <w:ind w:left="640" w:leftChars="0" w:firstLine="0" w:firstLineChars="0"/>
        <w:textAlignment w:val="auto"/>
        <w:rPr>
          <w:rFonts w:cs="仿宋_GB2312"/>
          <w:kern w:val="2"/>
          <w:sz w:val="32"/>
          <w:szCs w:val="32"/>
        </w:rPr>
      </w:pPr>
      <w:r>
        <w:rPr>
          <w:rFonts w:hint="eastAsia" w:ascii="楷体" w:eastAsia="楷体" w:cs="宋体"/>
          <w:sz w:val="32"/>
          <w:szCs w:val="32"/>
        </w:rPr>
        <w:t>一般公共预算当年拨款结构情况</w:t>
      </w:r>
    </w:p>
    <w:p w14:paraId="3C9BC0E1">
      <w:pPr>
        <w:keepNext w:val="0"/>
        <w:keepLines w:val="0"/>
        <w:pageBreakBefore w:val="0"/>
        <w:numPr>
          <w:numId w:val="0"/>
        </w:numPr>
        <w:shd w:val="clear" w:color="auto" w:fill="FFFFFF"/>
        <w:kinsoku/>
        <w:wordWrap/>
        <w:overflowPunct/>
        <w:topLinePunct w:val="0"/>
        <w:autoSpaceDE/>
        <w:autoSpaceDN/>
        <w:bidi w:val="0"/>
        <w:adjustRightInd/>
        <w:spacing w:after="0" w:line="560" w:lineRule="exact"/>
        <w:ind w:firstLine="640" w:firstLineChars="200"/>
        <w:textAlignment w:val="auto"/>
        <w:rPr>
          <w:rFonts w:cs="仿宋_GB2312"/>
          <w:kern w:val="2"/>
          <w:sz w:val="32"/>
          <w:szCs w:val="32"/>
        </w:rPr>
      </w:pPr>
      <w:r>
        <w:rPr>
          <w:rFonts w:hint="eastAsia" w:ascii="仿宋_GB2312" w:hAnsi="仿宋" w:eastAsia="仿宋_GB2312" w:cs="仿宋"/>
          <w:color w:val="000000"/>
          <w:sz w:val="32"/>
          <w:szCs w:val="32"/>
          <w:lang w:val="en-US" w:eastAsia="zh-CN"/>
        </w:rPr>
        <w:t>公共安全</w:t>
      </w:r>
      <w:r>
        <w:rPr>
          <w:rFonts w:hint="eastAsia" w:ascii="仿宋_GB2312" w:hAnsi="仿宋" w:eastAsia="仿宋_GB2312" w:cs="仿宋"/>
          <w:color w:val="000000"/>
          <w:sz w:val="32"/>
          <w:szCs w:val="32"/>
        </w:rPr>
        <w:t>支出</w:t>
      </w:r>
      <w:r>
        <w:rPr>
          <w:rFonts w:hint="eastAsia" w:ascii="仿宋_GB2312" w:hAnsi="仿宋" w:eastAsia="仿宋_GB2312" w:cs="仿宋"/>
          <w:color w:val="000000"/>
          <w:sz w:val="32"/>
          <w:szCs w:val="32"/>
          <w:lang w:val="en-US" w:eastAsia="zh-CN"/>
        </w:rPr>
        <w:t>919.61</w:t>
      </w:r>
      <w:r>
        <w:rPr>
          <w:rFonts w:hint="eastAsia" w:ascii="仿宋_GB2312" w:hAnsi="仿宋" w:eastAsia="仿宋_GB2312" w:cs="仿宋"/>
          <w:color w:val="000000"/>
          <w:sz w:val="32"/>
          <w:szCs w:val="32"/>
        </w:rPr>
        <w:t>万元，占</w:t>
      </w:r>
      <w:r>
        <w:rPr>
          <w:rFonts w:hint="eastAsia" w:ascii="仿宋_GB2312" w:hAnsi="仿宋" w:eastAsia="仿宋_GB2312" w:cs="仿宋"/>
          <w:color w:val="000000"/>
          <w:sz w:val="32"/>
          <w:szCs w:val="32"/>
          <w:lang w:val="en-US" w:eastAsia="zh-CN"/>
        </w:rPr>
        <w:t>72.48</w:t>
      </w:r>
      <w:r>
        <w:rPr>
          <w:rFonts w:hint="eastAsia" w:ascii="仿宋_GB2312" w:hAnsi="仿宋" w:eastAsia="仿宋_GB2312" w:cs="仿宋"/>
          <w:color w:val="000000"/>
          <w:sz w:val="32"/>
          <w:szCs w:val="32"/>
        </w:rPr>
        <w:t>%；社会保障和就业</w:t>
      </w:r>
      <w:r>
        <w:rPr>
          <w:rFonts w:hint="eastAsia" w:ascii="仿宋_GB2312" w:hAnsi="仿宋" w:eastAsia="仿宋_GB2312" w:cs="仿宋"/>
          <w:color w:val="000000"/>
          <w:sz w:val="32"/>
          <w:szCs w:val="32"/>
          <w:lang w:val="en-US" w:eastAsia="zh-CN"/>
        </w:rPr>
        <w:t>支出185.86万元，</w:t>
      </w:r>
      <w:r>
        <w:rPr>
          <w:rFonts w:hint="eastAsia" w:ascii="仿宋_GB2312" w:hAnsi="仿宋" w:eastAsia="仿宋_GB2312" w:cs="仿宋"/>
          <w:color w:val="000000"/>
          <w:sz w:val="32"/>
          <w:szCs w:val="32"/>
        </w:rPr>
        <w:t>占</w:t>
      </w:r>
      <w:r>
        <w:rPr>
          <w:rFonts w:hint="eastAsia" w:ascii="仿宋_GB2312" w:hAnsi="仿宋" w:eastAsia="仿宋_GB2312" w:cs="仿宋"/>
          <w:color w:val="000000"/>
          <w:sz w:val="32"/>
          <w:szCs w:val="32"/>
          <w:lang w:val="en-US" w:eastAsia="zh-CN"/>
        </w:rPr>
        <w:t>14.65</w:t>
      </w:r>
      <w:r>
        <w:rPr>
          <w:rFonts w:hint="eastAsia" w:ascii="仿宋_GB2312" w:hAnsi="仿宋" w:eastAsia="仿宋_GB2312" w:cs="仿宋"/>
          <w:color w:val="000000"/>
          <w:sz w:val="32"/>
          <w:szCs w:val="32"/>
        </w:rPr>
        <w:t>%；</w:t>
      </w:r>
      <w:r>
        <w:rPr>
          <w:rFonts w:hint="eastAsia" w:ascii="仿宋_GB2312" w:hAnsi="仿宋" w:eastAsia="仿宋_GB2312" w:cs="仿宋"/>
          <w:color w:val="000000"/>
          <w:sz w:val="32"/>
          <w:szCs w:val="32"/>
          <w:lang w:val="en-US" w:eastAsia="zh-CN"/>
        </w:rPr>
        <w:t>卫生健康支出72.82万元，占5.74</w:t>
      </w:r>
      <w:r>
        <w:rPr>
          <w:rFonts w:hint="eastAsia" w:ascii="仿宋_GB2312" w:hAnsi="仿宋" w:eastAsia="仿宋_GB2312" w:cs="仿宋"/>
          <w:color w:val="000000"/>
          <w:sz w:val="32"/>
          <w:szCs w:val="32"/>
        </w:rPr>
        <w:t>%；住房保障支出</w:t>
      </w:r>
      <w:r>
        <w:rPr>
          <w:rFonts w:hint="eastAsia" w:ascii="仿宋_GB2312" w:hAnsi="仿宋" w:eastAsia="仿宋_GB2312" w:cs="仿宋"/>
          <w:color w:val="000000"/>
          <w:sz w:val="32"/>
          <w:szCs w:val="32"/>
          <w:lang w:val="en-US" w:eastAsia="zh-CN"/>
        </w:rPr>
        <w:t>90.51</w:t>
      </w:r>
      <w:r>
        <w:rPr>
          <w:rFonts w:hint="eastAsia" w:ascii="仿宋_GB2312" w:hAnsi="仿宋" w:eastAsia="仿宋_GB2312" w:cs="仿宋"/>
          <w:color w:val="000000"/>
          <w:sz w:val="32"/>
          <w:szCs w:val="32"/>
        </w:rPr>
        <w:t>万元，占</w:t>
      </w:r>
      <w:r>
        <w:rPr>
          <w:rFonts w:hint="eastAsia" w:ascii="仿宋_GB2312" w:hAnsi="仿宋" w:eastAsia="仿宋_GB2312" w:cs="仿宋"/>
          <w:color w:val="000000"/>
          <w:sz w:val="32"/>
          <w:szCs w:val="32"/>
          <w:lang w:val="en-US" w:eastAsia="zh-CN"/>
        </w:rPr>
        <w:t>7.13</w:t>
      </w:r>
      <w:r>
        <w:rPr>
          <w:rFonts w:hint="eastAsia" w:ascii="仿宋_GB2312" w:hAnsi="仿宋" w:eastAsia="仿宋_GB2312" w:cs="仿宋"/>
          <w:color w:val="000000"/>
          <w:sz w:val="32"/>
          <w:szCs w:val="32"/>
        </w:rPr>
        <w:t>%</w:t>
      </w:r>
      <w:r>
        <w:rPr>
          <w:rFonts w:hint="eastAsia" w:ascii="仿宋_GB2312" w:hAnsi="仿宋" w:eastAsia="仿宋_GB2312" w:cs="仿宋"/>
          <w:color w:val="000000"/>
          <w:sz w:val="32"/>
          <w:szCs w:val="32"/>
          <w:lang w:eastAsia="zh-CN"/>
        </w:rPr>
        <w:t>。</w:t>
      </w:r>
    </w:p>
    <w:p w14:paraId="5D2460F1">
      <w:pPr>
        <w:pStyle w:val="11"/>
        <w:spacing w:before="0" w:line="360" w:lineRule="auto"/>
        <w:ind w:firstLine="660"/>
        <w:rPr>
          <w:rFonts w:ascii="楷体" w:eastAsia="楷体" w:cs="仿宋_GB2312"/>
          <w:kern w:val="2"/>
          <w:sz w:val="32"/>
          <w:szCs w:val="32"/>
        </w:rPr>
      </w:pPr>
      <w:r>
        <w:rPr>
          <w:rFonts w:hint="eastAsia" w:ascii="楷体" w:eastAsia="楷体" w:cs="仿宋_GB2312"/>
          <w:kern w:val="2"/>
          <w:sz w:val="32"/>
          <w:szCs w:val="32"/>
        </w:rPr>
        <w:t>（三）一般公共预算当年拨款具体使用情况</w:t>
      </w:r>
    </w:p>
    <w:p w14:paraId="1634C712">
      <w:pPr>
        <w:pStyle w:val="11"/>
        <w:spacing w:before="0" w:line="360" w:lineRule="auto"/>
        <w:ind w:firstLine="640" w:firstLineChars="200"/>
        <w:jc w:val="left"/>
        <w:rPr>
          <w:rFonts w:hint="eastAsia" w:hAnsi="ˎ̥" w:cs="宋体"/>
          <w:sz w:val="32"/>
          <w:szCs w:val="32"/>
        </w:rPr>
      </w:pPr>
      <w:r>
        <w:rPr>
          <w:rFonts w:hint="eastAsia" w:hAnsi="ˎ̥" w:cs="宋体"/>
          <w:sz w:val="32"/>
          <w:szCs w:val="32"/>
        </w:rPr>
        <w:t>1.工资福利性支出：</w:t>
      </w:r>
      <w:r>
        <w:rPr>
          <w:rFonts w:hint="eastAsia" w:hAnsi="ˎ̥" w:cs="宋体"/>
          <w:sz w:val="32"/>
          <w:szCs w:val="32"/>
          <w:lang w:val="en-US" w:eastAsia="zh-CN"/>
        </w:rPr>
        <w:t>1058.33</w:t>
      </w:r>
      <w:r>
        <w:rPr>
          <w:rFonts w:hint="eastAsia" w:hAnsi="ˎ̥" w:cs="宋体"/>
          <w:sz w:val="32"/>
          <w:szCs w:val="32"/>
        </w:rPr>
        <w:t>万元。 </w:t>
      </w:r>
    </w:p>
    <w:p w14:paraId="2538606E">
      <w:pPr>
        <w:pStyle w:val="11"/>
        <w:spacing w:before="0" w:line="360" w:lineRule="auto"/>
        <w:jc w:val="left"/>
        <w:rPr>
          <w:rFonts w:hint="eastAsia" w:hAnsi="ˎ̥" w:cs="宋体"/>
          <w:sz w:val="32"/>
          <w:szCs w:val="32"/>
        </w:rPr>
      </w:pPr>
      <w:r>
        <w:rPr>
          <w:rFonts w:hint="eastAsia" w:hAnsi="ˎ̥" w:cs="宋体"/>
          <w:sz w:val="32"/>
          <w:szCs w:val="32"/>
        </w:rPr>
        <w:t xml:space="preserve">    2.商品和服务支出：</w:t>
      </w:r>
      <w:r>
        <w:rPr>
          <w:rFonts w:hint="eastAsia" w:hAnsi="ˎ̥" w:cs="宋体"/>
          <w:sz w:val="32"/>
          <w:szCs w:val="32"/>
          <w:lang w:val="en-US" w:eastAsia="zh-CN"/>
        </w:rPr>
        <w:t>170.82</w:t>
      </w:r>
      <w:r>
        <w:rPr>
          <w:rFonts w:hint="eastAsia" w:hAnsi="ˎ̥" w:cs="宋体"/>
          <w:sz w:val="32"/>
          <w:szCs w:val="32"/>
        </w:rPr>
        <w:t>万元。  </w:t>
      </w:r>
    </w:p>
    <w:p w14:paraId="6CF98C8D">
      <w:pPr>
        <w:pStyle w:val="11"/>
        <w:spacing w:before="0" w:line="360" w:lineRule="auto"/>
        <w:ind w:firstLine="640" w:firstLineChars="200"/>
        <w:jc w:val="left"/>
        <w:rPr>
          <w:rFonts w:hint="eastAsia" w:hAnsi="ˎ̥" w:cs="宋体"/>
          <w:sz w:val="32"/>
          <w:szCs w:val="32"/>
        </w:rPr>
      </w:pPr>
      <w:r>
        <w:rPr>
          <w:rFonts w:hint="eastAsia" w:hAnsi="ˎ̥" w:cs="宋体"/>
          <w:sz w:val="32"/>
          <w:szCs w:val="32"/>
        </w:rPr>
        <w:t>3.对个人和家庭的补助支出</w:t>
      </w:r>
      <w:r>
        <w:rPr>
          <w:rFonts w:hint="eastAsia" w:hAnsi="ˎ̥" w:cs="宋体"/>
          <w:sz w:val="32"/>
          <w:szCs w:val="32"/>
          <w:lang w:val="en-US" w:eastAsia="zh-CN"/>
        </w:rPr>
        <w:t>:7.04</w:t>
      </w:r>
      <w:r>
        <w:rPr>
          <w:rFonts w:hint="eastAsia" w:hAnsi="ˎ̥" w:cs="宋体"/>
          <w:sz w:val="32"/>
          <w:szCs w:val="32"/>
        </w:rPr>
        <w:t>万元。</w:t>
      </w:r>
    </w:p>
    <w:p w14:paraId="44B784EA">
      <w:pPr>
        <w:pStyle w:val="11"/>
        <w:spacing w:before="0" w:line="360" w:lineRule="auto"/>
        <w:ind w:firstLine="640" w:firstLineChars="200"/>
        <w:jc w:val="left"/>
        <w:rPr>
          <w:rFonts w:hint="eastAsia" w:hAnsi="ˎ̥" w:cs="宋体"/>
          <w:sz w:val="32"/>
          <w:szCs w:val="32"/>
        </w:rPr>
      </w:pPr>
      <w:r>
        <w:rPr>
          <w:rFonts w:hint="eastAsia" w:hAnsi="ˎ̥" w:cs="宋体"/>
          <w:sz w:val="32"/>
          <w:szCs w:val="32"/>
        </w:rPr>
        <w:t>4.项目支出：</w:t>
      </w:r>
      <w:r>
        <w:rPr>
          <w:rFonts w:hint="eastAsia" w:hAnsi="ˎ̥" w:cs="宋体"/>
          <w:sz w:val="32"/>
          <w:szCs w:val="32"/>
          <w:lang w:val="en-US" w:eastAsia="zh-CN"/>
        </w:rPr>
        <w:t>32.62</w:t>
      </w:r>
      <w:r>
        <w:rPr>
          <w:rFonts w:hint="eastAsia" w:hAnsi="ˎ̥" w:cs="宋体"/>
          <w:sz w:val="32"/>
          <w:szCs w:val="32"/>
        </w:rPr>
        <w:t>万元</w:t>
      </w:r>
    </w:p>
    <w:p w14:paraId="1ED68E93">
      <w:pPr>
        <w:pStyle w:val="11"/>
        <w:spacing w:before="0" w:line="360" w:lineRule="auto"/>
        <w:ind w:firstLine="660"/>
        <w:rPr>
          <w:rFonts w:ascii="黑体" w:eastAsia="黑体"/>
          <w:sz w:val="32"/>
          <w:szCs w:val="32"/>
        </w:rPr>
      </w:pPr>
      <w:r>
        <w:rPr>
          <w:rFonts w:hint="eastAsia" w:ascii="黑体" w:eastAsia="黑体"/>
          <w:sz w:val="32"/>
          <w:szCs w:val="32"/>
        </w:rPr>
        <w:t>六、一般公共预算基本支出情况说明</w:t>
      </w:r>
    </w:p>
    <w:p w14:paraId="44EF7DF4">
      <w:pPr>
        <w:pStyle w:val="11"/>
        <w:spacing w:before="0" w:line="360" w:lineRule="auto"/>
        <w:ind w:firstLine="640" w:firstLineChars="200"/>
        <w:rPr>
          <w:rFonts w:cs="仿宋_GB2312"/>
          <w:kern w:val="2"/>
          <w:sz w:val="32"/>
          <w:szCs w:val="32"/>
        </w:rPr>
      </w:pPr>
      <w:r>
        <w:rPr>
          <w:rFonts w:hint="eastAsia" w:cs="仿宋_GB2312"/>
          <w:kern w:val="2"/>
          <w:sz w:val="32"/>
          <w:szCs w:val="32"/>
          <w:lang w:val="en-US" w:eastAsia="zh-CN"/>
        </w:rPr>
        <w:t>松潘县人民法院</w:t>
      </w:r>
      <w:r>
        <w:rPr>
          <w:rFonts w:hint="eastAsia" w:cs="仿宋_GB2312"/>
          <w:kern w:val="2"/>
          <w:sz w:val="32"/>
          <w:szCs w:val="32"/>
        </w:rPr>
        <w:t>202</w:t>
      </w:r>
      <w:r>
        <w:rPr>
          <w:rFonts w:hint="eastAsia" w:cs="仿宋_GB2312"/>
          <w:kern w:val="2"/>
          <w:sz w:val="32"/>
          <w:szCs w:val="32"/>
          <w:lang w:val="en-US" w:eastAsia="zh-CN"/>
        </w:rPr>
        <w:t>5</w:t>
      </w:r>
      <w:r>
        <w:rPr>
          <w:rFonts w:hint="eastAsia" w:cs="仿宋_GB2312"/>
          <w:kern w:val="2"/>
          <w:sz w:val="32"/>
          <w:szCs w:val="32"/>
        </w:rPr>
        <w:t>年一般公共预算基本支出</w:t>
      </w:r>
      <w:r>
        <w:rPr>
          <w:rFonts w:hint="eastAsia" w:cs="仿宋_GB2312"/>
          <w:kern w:val="2"/>
          <w:sz w:val="32"/>
          <w:szCs w:val="32"/>
          <w:lang w:val="en-US" w:eastAsia="zh-CN"/>
        </w:rPr>
        <w:t>1236.19</w:t>
      </w:r>
      <w:r>
        <w:rPr>
          <w:rFonts w:hint="eastAsia" w:cs="仿宋_GB2312"/>
          <w:kern w:val="2"/>
          <w:sz w:val="32"/>
          <w:szCs w:val="32"/>
        </w:rPr>
        <w:t>万元，其中：人员经费</w:t>
      </w:r>
      <w:r>
        <w:rPr>
          <w:rFonts w:hint="eastAsia" w:ascii="仿宋_GB2312" w:hAnsi="仿宋" w:eastAsia="仿宋_GB2312" w:cs="仿宋"/>
          <w:color w:val="000000"/>
          <w:sz w:val="32"/>
          <w:szCs w:val="32"/>
          <w:lang w:val="en-US" w:eastAsia="zh-CN"/>
        </w:rPr>
        <w:t>1065.37</w:t>
      </w:r>
      <w:r>
        <w:rPr>
          <w:rFonts w:hint="eastAsia" w:cs="仿宋_GB2312"/>
          <w:kern w:val="2"/>
          <w:sz w:val="32"/>
          <w:szCs w:val="32"/>
        </w:rPr>
        <w:t>万元，主要包括：基本工资、津贴补贴、奖金、其他社会保障缴费、绩效工资、机关事业单位基本养老保险缴费、职业年金缴费、其他工资福利支出、离休费、奖励金、住房公积金、其他对个人和家庭的补助支出。</w:t>
      </w:r>
    </w:p>
    <w:p w14:paraId="179EFADC">
      <w:pPr>
        <w:pStyle w:val="11"/>
        <w:spacing w:before="0" w:line="360" w:lineRule="auto"/>
        <w:ind w:firstLine="640" w:firstLineChars="200"/>
        <w:rPr>
          <w:rFonts w:hint="eastAsia" w:eastAsia="仿宋_GB2312" w:cs="仿宋_GB2312"/>
          <w:kern w:val="2"/>
          <w:sz w:val="32"/>
          <w:szCs w:val="32"/>
          <w:lang w:eastAsia="zh-CN"/>
        </w:rPr>
      </w:pPr>
      <w:r>
        <w:rPr>
          <w:rFonts w:hint="eastAsia" w:cs="仿宋_GB2312"/>
          <w:kern w:val="2"/>
          <w:sz w:val="32"/>
          <w:szCs w:val="32"/>
        </w:rPr>
        <w:t>公用经费</w:t>
      </w:r>
      <w:r>
        <w:rPr>
          <w:rFonts w:hint="eastAsia" w:hAnsi="ˎ̥" w:cs="宋体"/>
          <w:sz w:val="32"/>
          <w:szCs w:val="32"/>
          <w:lang w:val="en-US" w:eastAsia="zh-CN"/>
        </w:rPr>
        <w:t>170.82</w:t>
      </w:r>
      <w:r>
        <w:rPr>
          <w:rFonts w:hint="eastAsia" w:cs="仿宋_GB2312"/>
          <w:kern w:val="2"/>
          <w:sz w:val="32"/>
          <w:szCs w:val="32"/>
        </w:rPr>
        <w:t>万元，主要包括：办公费、印刷费、手续费、水费、电费、邮电费、差旅费、维修（护）费、租赁费、会议费、培训费、劳务费、工会经费、福利费、其他交通工具运行维护费、其他商品和服务支出。</w:t>
      </w:r>
    </w:p>
    <w:p w14:paraId="4127D03A">
      <w:pPr>
        <w:pStyle w:val="11"/>
        <w:spacing w:before="0" w:line="360" w:lineRule="auto"/>
        <w:ind w:firstLine="640" w:firstLineChars="200"/>
        <w:rPr>
          <w:rFonts w:ascii="黑体" w:eastAsia="黑体"/>
          <w:sz w:val="32"/>
          <w:szCs w:val="32"/>
        </w:rPr>
      </w:pPr>
      <w:r>
        <w:rPr>
          <w:rFonts w:hint="eastAsia" w:ascii="黑体" w:eastAsia="黑体"/>
          <w:sz w:val="32"/>
          <w:szCs w:val="32"/>
        </w:rPr>
        <w:t>七、“三公”经费财政拨款预算安排情况说明</w:t>
      </w:r>
    </w:p>
    <w:p w14:paraId="21EBF46E">
      <w:pPr>
        <w:pStyle w:val="11"/>
        <w:spacing w:before="0" w:line="360" w:lineRule="auto"/>
        <w:ind w:firstLine="640" w:firstLineChars="200"/>
        <w:rPr>
          <w:rFonts w:cs="仿宋_GB2312"/>
          <w:kern w:val="2"/>
          <w:sz w:val="32"/>
          <w:szCs w:val="32"/>
        </w:rPr>
      </w:pPr>
      <w:r>
        <w:rPr>
          <w:rFonts w:hint="eastAsia" w:cs="仿宋_GB2312"/>
          <w:kern w:val="2"/>
          <w:sz w:val="32"/>
          <w:szCs w:val="32"/>
          <w:lang w:val="en-US" w:eastAsia="zh-CN"/>
        </w:rPr>
        <w:t>松潘县人民法院</w:t>
      </w:r>
      <w:r>
        <w:rPr>
          <w:rFonts w:hint="eastAsia" w:cs="仿宋_GB2312"/>
          <w:kern w:val="2"/>
          <w:sz w:val="32"/>
          <w:szCs w:val="32"/>
        </w:rPr>
        <w:t>202</w:t>
      </w:r>
      <w:r>
        <w:rPr>
          <w:rFonts w:hint="eastAsia" w:cs="仿宋_GB2312"/>
          <w:kern w:val="2"/>
          <w:sz w:val="32"/>
          <w:szCs w:val="32"/>
          <w:lang w:val="en-US" w:eastAsia="zh-CN"/>
        </w:rPr>
        <w:t>5</w:t>
      </w:r>
      <w:r>
        <w:rPr>
          <w:rFonts w:hint="eastAsia" w:cs="仿宋_GB2312"/>
          <w:kern w:val="2"/>
          <w:sz w:val="32"/>
          <w:szCs w:val="32"/>
        </w:rPr>
        <w:t>年“三公”经费财政拨款预算数</w:t>
      </w:r>
      <w:r>
        <w:rPr>
          <w:rFonts w:hint="eastAsia" w:cs="仿宋_GB2312"/>
          <w:kern w:val="2"/>
          <w:sz w:val="32"/>
          <w:szCs w:val="32"/>
          <w:lang w:val="en-US" w:eastAsia="zh-CN"/>
        </w:rPr>
        <w:t>29.27</w:t>
      </w:r>
      <w:r>
        <w:rPr>
          <w:rFonts w:hint="eastAsia" w:cs="仿宋_GB2312"/>
          <w:kern w:val="2"/>
          <w:sz w:val="32"/>
          <w:szCs w:val="32"/>
        </w:rPr>
        <w:t>万元，其中：因公出国（境）经费</w:t>
      </w:r>
      <w:r>
        <w:rPr>
          <w:rFonts w:hint="eastAsia" w:cs="仿宋_GB2312"/>
          <w:kern w:val="2"/>
          <w:sz w:val="32"/>
          <w:szCs w:val="32"/>
          <w:lang w:val="en-US" w:eastAsia="zh-CN"/>
        </w:rPr>
        <w:t>0</w:t>
      </w:r>
      <w:r>
        <w:rPr>
          <w:rFonts w:hint="eastAsia" w:cs="仿宋_GB2312"/>
          <w:kern w:val="2"/>
          <w:sz w:val="32"/>
          <w:szCs w:val="32"/>
        </w:rPr>
        <w:t>万元，公务接待费</w:t>
      </w:r>
      <w:r>
        <w:rPr>
          <w:rFonts w:hint="eastAsia" w:cs="仿宋_GB2312"/>
          <w:kern w:val="2"/>
          <w:sz w:val="32"/>
          <w:szCs w:val="32"/>
          <w:lang w:val="en-US" w:eastAsia="zh-CN"/>
        </w:rPr>
        <w:t>2.27</w:t>
      </w:r>
      <w:r>
        <w:rPr>
          <w:rFonts w:hint="eastAsia" w:cs="仿宋_GB2312"/>
          <w:kern w:val="2"/>
          <w:sz w:val="32"/>
          <w:szCs w:val="32"/>
        </w:rPr>
        <w:t>万元，公务用车购置及运行维护费</w:t>
      </w:r>
      <w:r>
        <w:rPr>
          <w:rFonts w:hint="eastAsia" w:cs="仿宋_GB2312"/>
          <w:kern w:val="2"/>
          <w:sz w:val="32"/>
          <w:szCs w:val="32"/>
          <w:lang w:val="en-US" w:eastAsia="zh-CN"/>
        </w:rPr>
        <w:t>27</w:t>
      </w:r>
      <w:r>
        <w:rPr>
          <w:rFonts w:hint="eastAsia" w:cs="仿宋_GB2312"/>
          <w:kern w:val="2"/>
          <w:sz w:val="32"/>
          <w:szCs w:val="32"/>
        </w:rPr>
        <w:t>万元。</w:t>
      </w:r>
    </w:p>
    <w:p w14:paraId="677A9AF0">
      <w:pPr>
        <w:pStyle w:val="11"/>
        <w:spacing w:before="0" w:line="360" w:lineRule="auto"/>
        <w:ind w:firstLine="640" w:firstLineChars="200"/>
        <w:rPr>
          <w:rFonts w:cs="仿宋_GB2312"/>
          <w:kern w:val="2"/>
          <w:sz w:val="32"/>
          <w:szCs w:val="32"/>
        </w:rPr>
      </w:pPr>
      <w:r>
        <w:rPr>
          <w:rFonts w:hint="eastAsia" w:cs="仿宋_GB2312"/>
          <w:kern w:val="2"/>
          <w:sz w:val="32"/>
          <w:szCs w:val="32"/>
        </w:rPr>
        <w:t>（一）202</w:t>
      </w:r>
      <w:r>
        <w:rPr>
          <w:rFonts w:hint="eastAsia" w:cs="仿宋_GB2312"/>
          <w:kern w:val="2"/>
          <w:sz w:val="32"/>
          <w:szCs w:val="32"/>
          <w:lang w:val="en-US" w:eastAsia="zh-CN"/>
        </w:rPr>
        <w:t>5</w:t>
      </w:r>
      <w:r>
        <w:rPr>
          <w:rFonts w:hint="eastAsia" w:cs="仿宋_GB2312"/>
          <w:kern w:val="2"/>
          <w:sz w:val="32"/>
          <w:szCs w:val="32"/>
        </w:rPr>
        <w:t>年因公出国（境）经费</w:t>
      </w:r>
      <w:r>
        <w:rPr>
          <w:rFonts w:hint="eastAsia" w:cs="仿宋_GB2312"/>
          <w:kern w:val="2"/>
          <w:sz w:val="32"/>
          <w:szCs w:val="32"/>
          <w:lang w:val="en-US" w:eastAsia="zh-CN"/>
        </w:rPr>
        <w:t>0</w:t>
      </w:r>
      <w:r>
        <w:rPr>
          <w:rFonts w:hint="eastAsia" w:cs="仿宋_GB2312"/>
          <w:kern w:val="2"/>
          <w:sz w:val="32"/>
          <w:szCs w:val="32"/>
        </w:rPr>
        <w:t>万元。</w:t>
      </w:r>
    </w:p>
    <w:p w14:paraId="03852202">
      <w:pPr>
        <w:pStyle w:val="11"/>
        <w:spacing w:before="0" w:line="360" w:lineRule="auto"/>
        <w:ind w:firstLine="640" w:firstLineChars="200"/>
        <w:rPr>
          <w:rFonts w:hint="eastAsia" w:ascii="仿宋_GB2312" w:hAnsi="仿宋" w:eastAsia="仿宋_GB2312"/>
          <w:sz w:val="32"/>
          <w:szCs w:val="32"/>
        </w:rPr>
      </w:pPr>
      <w:r>
        <w:rPr>
          <w:rFonts w:hint="eastAsia" w:cs="仿宋_GB2312"/>
          <w:kern w:val="2"/>
          <w:sz w:val="32"/>
          <w:szCs w:val="32"/>
        </w:rPr>
        <w:t>（二）</w:t>
      </w:r>
      <w:r>
        <w:rPr>
          <w:rFonts w:hint="eastAsia" w:cs="仿宋_GB2312"/>
          <w:color w:val="000000"/>
          <w:kern w:val="2"/>
          <w:sz w:val="32"/>
          <w:szCs w:val="32"/>
        </w:rPr>
        <w:t>202</w:t>
      </w:r>
      <w:r>
        <w:rPr>
          <w:rFonts w:hint="eastAsia" w:cs="仿宋_GB2312"/>
          <w:color w:val="000000"/>
          <w:kern w:val="2"/>
          <w:sz w:val="32"/>
          <w:szCs w:val="32"/>
          <w:lang w:val="en-US" w:eastAsia="zh-CN"/>
        </w:rPr>
        <w:t>5</w:t>
      </w:r>
      <w:r>
        <w:rPr>
          <w:rFonts w:hint="eastAsia" w:cs="仿宋_GB2312"/>
          <w:color w:val="000000"/>
          <w:kern w:val="2"/>
          <w:sz w:val="32"/>
          <w:szCs w:val="32"/>
        </w:rPr>
        <w:t>年公务接待经费</w:t>
      </w:r>
      <w:r>
        <w:rPr>
          <w:rFonts w:hint="eastAsia" w:cs="仿宋_GB2312"/>
          <w:color w:val="000000"/>
          <w:kern w:val="2"/>
          <w:sz w:val="32"/>
          <w:szCs w:val="32"/>
          <w:lang w:val="en-US" w:eastAsia="zh-CN"/>
        </w:rPr>
        <w:t>2.27</w:t>
      </w:r>
      <w:r>
        <w:rPr>
          <w:rFonts w:hint="eastAsia" w:cs="仿宋_GB2312"/>
          <w:color w:val="000000"/>
          <w:kern w:val="2"/>
          <w:sz w:val="32"/>
          <w:szCs w:val="32"/>
        </w:rPr>
        <w:t>万元。较202</w:t>
      </w:r>
      <w:r>
        <w:rPr>
          <w:rFonts w:hint="eastAsia" w:cs="仿宋_GB2312"/>
          <w:color w:val="000000"/>
          <w:kern w:val="2"/>
          <w:sz w:val="32"/>
          <w:szCs w:val="32"/>
          <w:lang w:val="en-US" w:eastAsia="zh-CN"/>
        </w:rPr>
        <w:t>4</w:t>
      </w:r>
      <w:r>
        <w:rPr>
          <w:rFonts w:hint="eastAsia" w:cs="仿宋_GB2312"/>
          <w:color w:val="000000"/>
          <w:kern w:val="2"/>
          <w:sz w:val="32"/>
          <w:szCs w:val="32"/>
        </w:rPr>
        <w:t>年预算经费</w:t>
      </w:r>
      <w:r>
        <w:rPr>
          <w:rFonts w:hint="eastAsia" w:cs="仿宋_GB2312"/>
          <w:color w:val="000000"/>
          <w:kern w:val="2"/>
          <w:sz w:val="32"/>
          <w:szCs w:val="32"/>
          <w:lang w:val="en-US" w:eastAsia="zh-CN"/>
        </w:rPr>
        <w:t>2.08万元</w:t>
      </w:r>
      <w:r>
        <w:rPr>
          <w:rFonts w:hint="eastAsia" w:hAnsi="ˎ̥" w:cs="宋体"/>
          <w:sz w:val="32"/>
          <w:szCs w:val="32"/>
          <w:lang w:val="en-US" w:eastAsia="zh-CN"/>
        </w:rPr>
        <w:t>增加0.19</w:t>
      </w:r>
      <w:r>
        <w:rPr>
          <w:rFonts w:hint="eastAsia" w:cs="仿宋_GB2312"/>
          <w:color w:val="000000"/>
          <w:kern w:val="2"/>
          <w:sz w:val="32"/>
          <w:szCs w:val="32"/>
        </w:rPr>
        <w:t>万元，</w:t>
      </w:r>
      <w:r>
        <w:rPr>
          <w:rFonts w:hint="eastAsia" w:hAnsi="ˎ̥" w:cs="宋体"/>
          <w:sz w:val="32"/>
          <w:szCs w:val="32"/>
          <w:lang w:val="en-US" w:eastAsia="zh-CN"/>
        </w:rPr>
        <w:t>增幅</w:t>
      </w:r>
      <w:r>
        <w:rPr>
          <w:rFonts w:hint="eastAsia" w:cs="仿宋_GB2312"/>
          <w:color w:val="000000"/>
          <w:kern w:val="2"/>
          <w:sz w:val="32"/>
          <w:szCs w:val="32"/>
          <w:lang w:val="en-US" w:eastAsia="zh-CN"/>
        </w:rPr>
        <w:t>9.13</w:t>
      </w:r>
      <w:r>
        <w:rPr>
          <w:rFonts w:hint="eastAsia" w:cs="仿宋_GB2312"/>
          <w:color w:val="000000"/>
          <w:kern w:val="2"/>
          <w:sz w:val="32"/>
          <w:szCs w:val="32"/>
        </w:rPr>
        <w:t>%，主要原因</w:t>
      </w:r>
      <w:r>
        <w:rPr>
          <w:rFonts w:hint="eastAsia" w:cs="仿宋_GB2312"/>
          <w:color w:val="000000"/>
          <w:kern w:val="2"/>
          <w:sz w:val="32"/>
          <w:szCs w:val="32"/>
          <w:lang w:val="en-US" w:eastAsia="zh-CN"/>
        </w:rPr>
        <w:t>人员增加，公用经费增加，公务接待费财政拨款预算数相应增加</w:t>
      </w:r>
      <w:r>
        <w:rPr>
          <w:rFonts w:hint="eastAsia" w:ascii="仿宋_GB2312" w:hAnsi="仿宋" w:eastAsia="仿宋_GB2312"/>
          <w:sz w:val="32"/>
          <w:szCs w:val="32"/>
        </w:rPr>
        <w:t>。</w:t>
      </w:r>
    </w:p>
    <w:p w14:paraId="4674A36A">
      <w:pPr>
        <w:pStyle w:val="11"/>
        <w:spacing w:before="0" w:line="360" w:lineRule="auto"/>
        <w:ind w:firstLine="640" w:firstLineChars="200"/>
        <w:rPr>
          <w:rFonts w:cs="仿宋_GB2312"/>
          <w:color w:val="000000"/>
          <w:kern w:val="2"/>
          <w:sz w:val="32"/>
          <w:szCs w:val="32"/>
        </w:rPr>
      </w:pPr>
      <w:r>
        <w:rPr>
          <w:rFonts w:hint="eastAsia" w:cs="仿宋_GB2312"/>
          <w:color w:val="000000"/>
          <w:kern w:val="2"/>
          <w:sz w:val="32"/>
          <w:szCs w:val="32"/>
        </w:rPr>
        <w:t>（三）202</w:t>
      </w:r>
      <w:r>
        <w:rPr>
          <w:rFonts w:hint="eastAsia" w:cs="仿宋_GB2312"/>
          <w:color w:val="000000"/>
          <w:kern w:val="2"/>
          <w:sz w:val="32"/>
          <w:szCs w:val="32"/>
          <w:lang w:val="en-US" w:eastAsia="zh-CN"/>
        </w:rPr>
        <w:t>5</w:t>
      </w:r>
      <w:r>
        <w:rPr>
          <w:rFonts w:hint="eastAsia" w:cs="仿宋_GB2312"/>
          <w:color w:val="000000"/>
          <w:kern w:val="2"/>
          <w:sz w:val="32"/>
          <w:szCs w:val="32"/>
        </w:rPr>
        <w:t>年公务用车购置及运行维护费</w:t>
      </w:r>
      <w:r>
        <w:rPr>
          <w:rFonts w:hint="eastAsia" w:cs="仿宋_GB2312"/>
          <w:color w:val="000000"/>
          <w:kern w:val="2"/>
          <w:sz w:val="32"/>
          <w:szCs w:val="32"/>
          <w:lang w:val="en-US" w:eastAsia="zh-CN"/>
        </w:rPr>
        <w:t>27</w:t>
      </w:r>
      <w:r>
        <w:rPr>
          <w:rFonts w:hint="eastAsia" w:cs="仿宋_GB2312"/>
          <w:color w:val="000000"/>
          <w:kern w:val="2"/>
          <w:sz w:val="32"/>
          <w:szCs w:val="32"/>
        </w:rPr>
        <w:t>万元。较202</w:t>
      </w:r>
      <w:r>
        <w:rPr>
          <w:rFonts w:hint="eastAsia" w:cs="仿宋_GB2312"/>
          <w:color w:val="000000"/>
          <w:kern w:val="2"/>
          <w:sz w:val="32"/>
          <w:szCs w:val="32"/>
          <w:lang w:val="en-US" w:eastAsia="zh-CN"/>
        </w:rPr>
        <w:t>4</w:t>
      </w:r>
      <w:r>
        <w:rPr>
          <w:rFonts w:hint="eastAsia" w:cs="仿宋_GB2312"/>
          <w:color w:val="000000"/>
          <w:kern w:val="2"/>
          <w:sz w:val="32"/>
          <w:szCs w:val="32"/>
        </w:rPr>
        <w:t>年预算经费</w:t>
      </w:r>
      <w:r>
        <w:rPr>
          <w:rFonts w:hint="eastAsia" w:cs="仿宋_GB2312"/>
          <w:color w:val="000000"/>
          <w:kern w:val="2"/>
          <w:sz w:val="32"/>
          <w:szCs w:val="32"/>
          <w:lang w:val="en-US" w:eastAsia="zh-CN"/>
        </w:rPr>
        <w:t>27万元</w:t>
      </w:r>
      <w:r>
        <w:rPr>
          <w:rFonts w:hint="eastAsia" w:hAnsi="ˎ̥" w:cs="宋体"/>
          <w:sz w:val="32"/>
          <w:szCs w:val="32"/>
          <w:lang w:val="en-US" w:eastAsia="zh-CN"/>
        </w:rPr>
        <w:t>无变化</w:t>
      </w:r>
      <w:r>
        <w:rPr>
          <w:rFonts w:hint="eastAsia" w:cs="仿宋_GB2312"/>
          <w:color w:val="000000"/>
          <w:kern w:val="2"/>
          <w:sz w:val="32"/>
          <w:szCs w:val="32"/>
        </w:rPr>
        <w:t>，</w:t>
      </w:r>
      <w:r>
        <w:rPr>
          <w:rFonts w:hint="eastAsia" w:cs="仿宋_GB2312"/>
          <w:color w:val="000000"/>
          <w:kern w:val="2"/>
          <w:sz w:val="32"/>
          <w:szCs w:val="32"/>
          <w:lang w:val="en-US" w:eastAsia="zh-CN"/>
        </w:rPr>
        <w:t>上下年持平。</w:t>
      </w:r>
    </w:p>
    <w:p w14:paraId="6908AEAA">
      <w:pPr>
        <w:pStyle w:val="11"/>
        <w:spacing w:before="0" w:line="360" w:lineRule="auto"/>
        <w:ind w:firstLine="640" w:firstLineChars="200"/>
        <w:rPr>
          <w:rFonts w:ascii="黑体" w:eastAsia="黑体"/>
          <w:sz w:val="32"/>
          <w:szCs w:val="32"/>
        </w:rPr>
      </w:pPr>
      <w:r>
        <w:rPr>
          <w:rFonts w:hint="eastAsia" w:ascii="黑体" w:eastAsia="黑体"/>
          <w:sz w:val="32"/>
          <w:szCs w:val="32"/>
        </w:rPr>
        <w:t>八、政府性基金</w:t>
      </w:r>
      <w:r>
        <w:rPr>
          <w:rFonts w:hint="eastAsia" w:ascii="黑体" w:eastAsia="黑体" w:cs="仿宋_GB2312"/>
          <w:kern w:val="2"/>
          <w:sz w:val="32"/>
          <w:szCs w:val="32"/>
        </w:rPr>
        <w:t>预算</w:t>
      </w:r>
      <w:r>
        <w:rPr>
          <w:rFonts w:hint="eastAsia" w:ascii="黑体" w:eastAsia="黑体"/>
          <w:sz w:val="32"/>
          <w:szCs w:val="32"/>
        </w:rPr>
        <w:t>支出情况说明</w:t>
      </w:r>
    </w:p>
    <w:p w14:paraId="0361EAF6">
      <w:pPr>
        <w:pStyle w:val="11"/>
        <w:spacing w:before="0" w:line="360" w:lineRule="auto"/>
        <w:ind w:firstLine="640" w:firstLineChars="200"/>
        <w:rPr>
          <w:rFonts w:cs="仿宋_GB2312"/>
          <w:kern w:val="2"/>
          <w:sz w:val="32"/>
          <w:szCs w:val="32"/>
        </w:rPr>
      </w:pPr>
      <w:r>
        <w:rPr>
          <w:rFonts w:hint="eastAsia" w:cs="仿宋_GB2312"/>
          <w:kern w:val="2"/>
          <w:sz w:val="32"/>
          <w:szCs w:val="32"/>
          <w:lang w:val="en-US" w:eastAsia="zh-CN"/>
        </w:rPr>
        <w:t>松潘县人民法院</w:t>
      </w:r>
      <w:r>
        <w:rPr>
          <w:rFonts w:hint="eastAsia" w:cs="仿宋_GB2312"/>
          <w:kern w:val="2"/>
          <w:sz w:val="32"/>
          <w:szCs w:val="32"/>
        </w:rPr>
        <w:t>202</w:t>
      </w:r>
      <w:r>
        <w:rPr>
          <w:rFonts w:hint="eastAsia" w:cs="仿宋_GB2312"/>
          <w:kern w:val="2"/>
          <w:sz w:val="32"/>
          <w:szCs w:val="32"/>
          <w:lang w:val="en-US" w:eastAsia="zh-CN"/>
        </w:rPr>
        <w:t>5</w:t>
      </w:r>
      <w:r>
        <w:rPr>
          <w:rFonts w:hint="eastAsia" w:cs="仿宋_GB2312"/>
          <w:kern w:val="2"/>
          <w:sz w:val="32"/>
          <w:szCs w:val="32"/>
        </w:rPr>
        <w:t>年政府性基金预算拨款安排的支出</w:t>
      </w:r>
      <w:r>
        <w:rPr>
          <w:rFonts w:hint="eastAsia" w:cs="仿宋_GB2312"/>
          <w:kern w:val="2"/>
          <w:sz w:val="32"/>
          <w:szCs w:val="32"/>
          <w:lang w:val="en-US" w:eastAsia="zh-CN"/>
        </w:rPr>
        <w:t>0</w:t>
      </w:r>
      <w:r>
        <w:rPr>
          <w:rFonts w:hint="eastAsia" w:cs="仿宋_GB2312"/>
          <w:kern w:val="2"/>
          <w:sz w:val="32"/>
          <w:szCs w:val="32"/>
        </w:rPr>
        <w:t>万元。较202</w:t>
      </w:r>
      <w:r>
        <w:rPr>
          <w:rFonts w:hint="eastAsia" w:cs="仿宋_GB2312"/>
          <w:kern w:val="2"/>
          <w:sz w:val="32"/>
          <w:szCs w:val="32"/>
          <w:lang w:val="en-US" w:eastAsia="zh-CN"/>
        </w:rPr>
        <w:t>4</w:t>
      </w:r>
      <w:r>
        <w:rPr>
          <w:rFonts w:hint="eastAsia" w:cs="仿宋_GB2312"/>
          <w:kern w:val="2"/>
          <w:sz w:val="32"/>
          <w:szCs w:val="32"/>
        </w:rPr>
        <w:t>年预算经费</w:t>
      </w:r>
      <w:r>
        <w:rPr>
          <w:rFonts w:hint="eastAsia" w:cs="仿宋_GB2312"/>
          <w:kern w:val="2"/>
          <w:sz w:val="32"/>
          <w:szCs w:val="32"/>
          <w:lang w:val="en-US" w:eastAsia="zh-CN"/>
        </w:rPr>
        <w:t>0万元持平</w:t>
      </w:r>
      <w:r>
        <w:rPr>
          <w:rFonts w:hint="eastAsia" w:cs="仿宋_GB2312"/>
          <w:kern w:val="2"/>
          <w:sz w:val="32"/>
          <w:szCs w:val="32"/>
        </w:rPr>
        <w:t>。</w:t>
      </w:r>
    </w:p>
    <w:p w14:paraId="144E4F65">
      <w:pPr>
        <w:pStyle w:val="11"/>
        <w:spacing w:before="0" w:line="360" w:lineRule="auto"/>
        <w:ind w:firstLine="640" w:firstLineChars="200"/>
        <w:rPr>
          <w:rFonts w:ascii="黑体" w:eastAsia="黑体"/>
          <w:sz w:val="32"/>
          <w:szCs w:val="32"/>
        </w:rPr>
      </w:pPr>
      <w:r>
        <w:rPr>
          <w:rFonts w:hint="eastAsia" w:ascii="黑体" w:eastAsia="黑体"/>
          <w:sz w:val="32"/>
          <w:szCs w:val="32"/>
        </w:rPr>
        <w:t>九、其他重要事项的情况说明</w:t>
      </w:r>
    </w:p>
    <w:p w14:paraId="35A9D792">
      <w:pPr>
        <w:pStyle w:val="11"/>
        <w:spacing w:before="0" w:line="360" w:lineRule="auto"/>
        <w:ind w:firstLine="640" w:firstLineChars="200"/>
        <w:rPr>
          <w:rFonts w:hint="eastAsia" w:cs="仿宋_GB2312"/>
          <w:color w:val="000000"/>
          <w:kern w:val="2"/>
          <w:sz w:val="32"/>
          <w:szCs w:val="32"/>
        </w:rPr>
      </w:pPr>
      <w:r>
        <w:rPr>
          <w:rFonts w:hint="eastAsia" w:ascii="楷体" w:eastAsia="楷体" w:cs="仿宋_GB2312"/>
          <w:kern w:val="2"/>
          <w:sz w:val="32"/>
          <w:szCs w:val="32"/>
        </w:rPr>
        <w:t>（一）机关运行经费</w:t>
      </w:r>
      <w:r>
        <w:rPr>
          <w:rFonts w:hint="eastAsia" w:cs="仿宋_GB2312"/>
          <w:kern w:val="2"/>
          <w:sz w:val="32"/>
          <w:szCs w:val="32"/>
        </w:rPr>
        <w:br w:type="textWrapping"/>
      </w:r>
      <w:r>
        <w:rPr>
          <w:rFonts w:hint="eastAsia" w:cs="仿宋_GB2312"/>
          <w:kern w:val="2"/>
          <w:sz w:val="32"/>
          <w:szCs w:val="32"/>
        </w:rPr>
        <w:t xml:space="preserve">　  </w:t>
      </w:r>
      <w:r>
        <w:rPr>
          <w:rFonts w:hint="eastAsia" w:cs="仿宋_GB2312"/>
          <w:kern w:val="2"/>
          <w:sz w:val="32"/>
          <w:szCs w:val="32"/>
          <w:lang w:val="en-US" w:eastAsia="zh-CN"/>
        </w:rPr>
        <w:t>松潘县人民法院</w:t>
      </w:r>
      <w:r>
        <w:rPr>
          <w:rFonts w:hint="eastAsia" w:cs="仿宋_GB2312"/>
          <w:kern w:val="2"/>
          <w:sz w:val="32"/>
          <w:szCs w:val="32"/>
        </w:rPr>
        <w:t>202</w:t>
      </w:r>
      <w:r>
        <w:rPr>
          <w:rFonts w:hint="eastAsia" w:cs="仿宋_GB2312"/>
          <w:kern w:val="2"/>
          <w:sz w:val="32"/>
          <w:szCs w:val="32"/>
          <w:lang w:val="en-US" w:eastAsia="zh-CN"/>
        </w:rPr>
        <w:t>5</w:t>
      </w:r>
      <w:r>
        <w:rPr>
          <w:rFonts w:hint="eastAsia" w:cs="仿宋_GB2312"/>
          <w:kern w:val="2"/>
          <w:sz w:val="32"/>
          <w:szCs w:val="32"/>
        </w:rPr>
        <w:t>年机关运行经费财政拨款预算为</w:t>
      </w:r>
      <w:r>
        <w:rPr>
          <w:rFonts w:hint="eastAsia" w:hAnsi="ˎ̥" w:cs="宋体"/>
          <w:sz w:val="32"/>
          <w:szCs w:val="32"/>
          <w:lang w:val="en-US" w:eastAsia="zh-CN"/>
        </w:rPr>
        <w:t>170.82</w:t>
      </w:r>
      <w:r>
        <w:rPr>
          <w:rFonts w:hint="eastAsia" w:cs="仿宋_GB2312"/>
          <w:kern w:val="2"/>
          <w:sz w:val="32"/>
          <w:szCs w:val="32"/>
        </w:rPr>
        <w:t>万元，比202</w:t>
      </w:r>
      <w:r>
        <w:rPr>
          <w:rFonts w:hint="eastAsia" w:cs="仿宋_GB2312"/>
          <w:kern w:val="2"/>
          <w:sz w:val="32"/>
          <w:szCs w:val="32"/>
          <w:lang w:val="en-US" w:eastAsia="zh-CN"/>
        </w:rPr>
        <w:t>4</w:t>
      </w:r>
      <w:r>
        <w:rPr>
          <w:rFonts w:hint="eastAsia" w:cs="仿宋_GB2312"/>
          <w:kern w:val="2"/>
          <w:sz w:val="32"/>
          <w:szCs w:val="32"/>
        </w:rPr>
        <w:t>年预算</w:t>
      </w:r>
      <w:r>
        <w:rPr>
          <w:rFonts w:hint="eastAsia" w:cs="仿宋_GB2312"/>
          <w:kern w:val="2"/>
          <w:sz w:val="32"/>
          <w:szCs w:val="32"/>
          <w:lang w:val="en-US" w:eastAsia="zh-CN"/>
        </w:rPr>
        <w:t>153.73万元</w:t>
      </w:r>
      <w:r>
        <w:rPr>
          <w:rFonts w:hint="eastAsia" w:hAnsi="ˎ̥" w:cs="宋体"/>
          <w:sz w:val="32"/>
          <w:szCs w:val="32"/>
          <w:lang w:val="en-US" w:eastAsia="zh-CN"/>
        </w:rPr>
        <w:t>增加17.09</w:t>
      </w:r>
      <w:r>
        <w:rPr>
          <w:rFonts w:hint="eastAsia" w:cs="仿宋_GB2312"/>
          <w:color w:val="000000"/>
          <w:kern w:val="2"/>
          <w:sz w:val="32"/>
          <w:szCs w:val="32"/>
        </w:rPr>
        <w:t>万元，</w:t>
      </w:r>
      <w:r>
        <w:rPr>
          <w:rFonts w:hint="eastAsia" w:cs="仿宋_GB2312"/>
          <w:color w:val="000000"/>
          <w:kern w:val="2"/>
          <w:sz w:val="32"/>
          <w:szCs w:val="32"/>
          <w:lang w:val="en-US" w:eastAsia="zh-CN"/>
        </w:rPr>
        <w:t>增加11.12</w:t>
      </w:r>
      <w:r>
        <w:rPr>
          <w:rFonts w:hint="eastAsia" w:cs="仿宋_GB2312"/>
          <w:color w:val="000000"/>
          <w:kern w:val="2"/>
          <w:sz w:val="32"/>
          <w:szCs w:val="32"/>
        </w:rPr>
        <w:t>%。</w:t>
      </w:r>
    </w:p>
    <w:p w14:paraId="54C4BE93">
      <w:pPr>
        <w:pStyle w:val="11"/>
        <w:spacing w:before="0" w:line="360" w:lineRule="auto"/>
        <w:ind w:firstLine="640" w:firstLineChars="200"/>
        <w:rPr>
          <w:rFonts w:hint="eastAsia" w:cs="仿宋_GB2312"/>
          <w:color w:val="000000"/>
          <w:kern w:val="2"/>
          <w:sz w:val="32"/>
          <w:szCs w:val="32"/>
          <w:lang w:eastAsia="zh-CN"/>
        </w:rPr>
      </w:pPr>
      <w:r>
        <w:rPr>
          <w:rFonts w:hint="eastAsia" w:ascii="楷体" w:eastAsia="楷体" w:cs="仿宋_GB2312"/>
          <w:kern w:val="2"/>
          <w:sz w:val="32"/>
          <w:szCs w:val="32"/>
        </w:rPr>
        <w:t>（二）政府采购情况</w:t>
      </w:r>
      <w:r>
        <w:rPr>
          <w:rFonts w:hint="eastAsia" w:cs="仿宋_GB2312"/>
          <w:kern w:val="2"/>
          <w:sz w:val="32"/>
          <w:szCs w:val="32"/>
        </w:rPr>
        <w:br w:type="textWrapping"/>
      </w:r>
      <w:r>
        <w:rPr>
          <w:rFonts w:hint="eastAsia" w:cs="仿宋_GB2312"/>
          <w:kern w:val="2"/>
          <w:sz w:val="32"/>
          <w:szCs w:val="32"/>
        </w:rPr>
        <w:t>　</w:t>
      </w:r>
      <w:r>
        <w:rPr>
          <w:rFonts w:hint="eastAsia" w:cs="仿宋_GB2312"/>
          <w:color w:val="000000"/>
          <w:kern w:val="2"/>
          <w:sz w:val="32"/>
          <w:szCs w:val="32"/>
        </w:rPr>
        <w:t>　 202</w:t>
      </w:r>
      <w:r>
        <w:rPr>
          <w:rFonts w:hint="eastAsia" w:cs="仿宋_GB2312"/>
          <w:color w:val="000000"/>
          <w:kern w:val="2"/>
          <w:sz w:val="32"/>
          <w:szCs w:val="32"/>
          <w:lang w:val="en-US" w:eastAsia="zh-CN"/>
        </w:rPr>
        <w:t>5</w:t>
      </w:r>
      <w:r>
        <w:rPr>
          <w:rFonts w:hint="eastAsia" w:cs="仿宋_GB2312"/>
          <w:color w:val="000000"/>
          <w:kern w:val="2"/>
          <w:sz w:val="32"/>
          <w:szCs w:val="32"/>
        </w:rPr>
        <w:t>年</w:t>
      </w:r>
      <w:r>
        <w:rPr>
          <w:rFonts w:hint="eastAsia" w:cs="仿宋_GB2312"/>
          <w:kern w:val="2"/>
          <w:sz w:val="32"/>
          <w:szCs w:val="32"/>
          <w:lang w:val="en-US" w:eastAsia="zh-CN"/>
        </w:rPr>
        <w:t>松潘县人民法院</w:t>
      </w:r>
      <w:r>
        <w:rPr>
          <w:rFonts w:hint="eastAsia" w:cs="仿宋_GB2312"/>
          <w:color w:val="000000"/>
          <w:kern w:val="2"/>
          <w:sz w:val="32"/>
          <w:szCs w:val="32"/>
        </w:rPr>
        <w:t>安排政府采购预算</w:t>
      </w:r>
      <w:r>
        <w:rPr>
          <w:rFonts w:hint="eastAsia" w:cs="仿宋_GB2312"/>
          <w:color w:val="000000"/>
          <w:kern w:val="2"/>
          <w:sz w:val="32"/>
          <w:szCs w:val="32"/>
          <w:lang w:val="en-US" w:eastAsia="zh-CN"/>
        </w:rPr>
        <w:t>0</w:t>
      </w:r>
      <w:r>
        <w:rPr>
          <w:rFonts w:hint="eastAsia" w:cs="仿宋_GB2312"/>
          <w:color w:val="000000"/>
          <w:kern w:val="2"/>
          <w:sz w:val="32"/>
          <w:szCs w:val="32"/>
        </w:rPr>
        <w:t>万元</w:t>
      </w:r>
      <w:r>
        <w:rPr>
          <w:rFonts w:hint="eastAsia" w:cs="仿宋_GB2312"/>
          <w:color w:val="000000"/>
          <w:kern w:val="2"/>
          <w:sz w:val="32"/>
          <w:szCs w:val="32"/>
          <w:lang w:eastAsia="zh-CN"/>
        </w:rPr>
        <w:t>。</w:t>
      </w:r>
    </w:p>
    <w:p w14:paraId="6DAB9066">
      <w:pPr>
        <w:pStyle w:val="11"/>
        <w:spacing w:before="0" w:line="360" w:lineRule="auto"/>
        <w:ind w:firstLine="640" w:firstLineChars="200"/>
        <w:rPr>
          <w:rFonts w:ascii="楷体" w:eastAsia="楷体" w:cs="仿宋_GB2312"/>
          <w:kern w:val="2"/>
          <w:sz w:val="32"/>
          <w:szCs w:val="32"/>
        </w:rPr>
      </w:pPr>
      <w:r>
        <w:rPr>
          <w:rFonts w:hint="eastAsia" w:ascii="楷体" w:eastAsia="楷体" w:cs="仿宋_GB2312"/>
          <w:kern w:val="2"/>
          <w:sz w:val="32"/>
          <w:szCs w:val="32"/>
        </w:rPr>
        <w:t>（三）国有资产占有使用情况</w:t>
      </w:r>
    </w:p>
    <w:p w14:paraId="22FDA7F5">
      <w:pPr>
        <w:pStyle w:val="11"/>
        <w:spacing w:before="0" w:line="360" w:lineRule="auto"/>
        <w:ind w:firstLine="640" w:firstLineChars="200"/>
        <w:rPr>
          <w:rFonts w:cs="仿宋_GB2312"/>
          <w:kern w:val="2"/>
          <w:sz w:val="32"/>
          <w:szCs w:val="32"/>
        </w:rPr>
      </w:pPr>
      <w:r>
        <w:rPr>
          <w:rFonts w:hint="eastAsia" w:cs="仿宋_GB2312"/>
          <w:kern w:val="2"/>
          <w:sz w:val="32"/>
          <w:szCs w:val="32"/>
        </w:rPr>
        <w:t>截至202</w:t>
      </w:r>
      <w:r>
        <w:rPr>
          <w:rFonts w:hint="eastAsia" w:cs="仿宋_GB2312"/>
          <w:kern w:val="2"/>
          <w:sz w:val="32"/>
          <w:szCs w:val="32"/>
          <w:lang w:val="en-US" w:eastAsia="zh-CN"/>
        </w:rPr>
        <w:t>4</w:t>
      </w:r>
      <w:r>
        <w:rPr>
          <w:rFonts w:hint="eastAsia" w:cs="仿宋_GB2312"/>
          <w:kern w:val="2"/>
          <w:sz w:val="32"/>
          <w:szCs w:val="32"/>
        </w:rPr>
        <w:t>年12月31日，我单位固定资产</w:t>
      </w:r>
      <w:r>
        <w:rPr>
          <w:rFonts w:hint="eastAsia" w:ascii="仿宋_GB2312" w:hAnsi="仿宋" w:eastAsia="仿宋_GB2312"/>
          <w:sz w:val="32"/>
          <w:szCs w:val="32"/>
          <w:lang w:val="en-US" w:eastAsia="zh-CN"/>
        </w:rPr>
        <w:t>4790.74</w:t>
      </w:r>
      <w:r>
        <w:rPr>
          <w:rFonts w:hint="eastAsia" w:cs="仿宋_GB2312"/>
          <w:kern w:val="2"/>
          <w:sz w:val="32"/>
          <w:szCs w:val="32"/>
        </w:rPr>
        <w:t>万元。</w:t>
      </w:r>
    </w:p>
    <w:p w14:paraId="1EC53CA1">
      <w:pPr>
        <w:pStyle w:val="11"/>
        <w:numPr>
          <w:ilvl w:val="0"/>
          <w:numId w:val="2"/>
        </w:numPr>
        <w:spacing w:before="0" w:line="360" w:lineRule="auto"/>
        <w:ind w:left="640" w:leftChars="0" w:firstLine="0" w:firstLineChars="0"/>
        <w:rPr>
          <w:rFonts w:ascii="黑体" w:eastAsia="黑体"/>
          <w:sz w:val="32"/>
          <w:szCs w:val="32"/>
        </w:rPr>
      </w:pPr>
      <w:r>
        <w:rPr>
          <w:rFonts w:hint="eastAsia" w:ascii="楷体" w:eastAsia="楷体" w:cs="仿宋_GB2312"/>
          <w:kern w:val="2"/>
          <w:sz w:val="32"/>
          <w:szCs w:val="32"/>
        </w:rPr>
        <w:t>绩效目标设置情况</w:t>
      </w:r>
    </w:p>
    <w:p w14:paraId="0E7DFD83">
      <w:pPr>
        <w:pStyle w:val="11"/>
        <w:spacing w:before="0" w:line="360" w:lineRule="auto"/>
        <w:ind w:firstLine="640" w:firstLineChars="200"/>
        <w:rPr>
          <w:rFonts w:hint="eastAsia" w:cs="仿宋_GB2312"/>
          <w:kern w:val="2"/>
          <w:sz w:val="32"/>
          <w:szCs w:val="32"/>
        </w:rPr>
      </w:pPr>
      <w:r>
        <w:rPr>
          <w:rFonts w:hint="eastAsia" w:cs="仿宋_GB2312"/>
          <w:kern w:val="2"/>
          <w:sz w:val="32"/>
          <w:szCs w:val="32"/>
        </w:rPr>
        <w:t>202</w:t>
      </w:r>
      <w:r>
        <w:rPr>
          <w:rFonts w:hint="eastAsia" w:cs="仿宋_GB2312"/>
          <w:kern w:val="2"/>
          <w:sz w:val="32"/>
          <w:szCs w:val="32"/>
          <w:lang w:val="en-US" w:eastAsia="zh-CN"/>
        </w:rPr>
        <w:t>5</w:t>
      </w:r>
      <w:r>
        <w:rPr>
          <w:rFonts w:hint="eastAsia" w:cs="仿宋_GB2312"/>
          <w:kern w:val="2"/>
          <w:sz w:val="32"/>
          <w:szCs w:val="32"/>
        </w:rPr>
        <w:t>年</w:t>
      </w:r>
      <w:r>
        <w:rPr>
          <w:rFonts w:hint="eastAsia" w:cs="仿宋_GB2312"/>
          <w:kern w:val="2"/>
          <w:sz w:val="32"/>
          <w:szCs w:val="32"/>
          <w:lang w:val="en-US" w:eastAsia="zh-CN"/>
        </w:rPr>
        <w:t>松潘县人民法院</w:t>
      </w:r>
      <w:r>
        <w:rPr>
          <w:rFonts w:hint="eastAsia" w:cs="仿宋_GB2312"/>
          <w:kern w:val="2"/>
          <w:sz w:val="32"/>
          <w:szCs w:val="32"/>
        </w:rPr>
        <w:t>通用项目和专用项目均按要求实行绩效目标管理，涉及一般公共预算当年拨款</w:t>
      </w:r>
      <w:r>
        <w:rPr>
          <w:rFonts w:hint="eastAsia" w:cs="仿宋_GB2312"/>
          <w:kern w:val="2"/>
          <w:sz w:val="32"/>
          <w:szCs w:val="32"/>
          <w:lang w:val="en-US" w:eastAsia="zh-CN"/>
        </w:rPr>
        <w:t>1268.81</w:t>
      </w:r>
      <w:r>
        <w:rPr>
          <w:rFonts w:hint="eastAsia" w:cs="仿宋_GB2312"/>
          <w:kern w:val="2"/>
          <w:sz w:val="32"/>
          <w:szCs w:val="32"/>
        </w:rPr>
        <w:t>万元。</w:t>
      </w:r>
    </w:p>
    <w:p w14:paraId="04071A79">
      <w:pPr>
        <w:pStyle w:val="11"/>
        <w:spacing w:before="0" w:line="360" w:lineRule="auto"/>
        <w:ind w:firstLine="640" w:firstLineChars="200"/>
        <w:rPr>
          <w:rFonts w:cs="仿宋_GB2312"/>
          <w:kern w:val="2"/>
          <w:sz w:val="32"/>
          <w:szCs w:val="32"/>
        </w:rPr>
      </w:pPr>
      <w:bookmarkStart w:id="0" w:name="_GoBack"/>
      <w:bookmarkEnd w:id="0"/>
      <w:r>
        <w:rPr>
          <w:rFonts w:hint="eastAsia" w:ascii="黑体" w:eastAsia="黑体"/>
          <w:sz w:val="32"/>
          <w:szCs w:val="32"/>
        </w:rPr>
        <w:t xml:space="preserve">十、名称解释 </w:t>
      </w:r>
      <w:r>
        <w:rPr>
          <w:rFonts w:hint="eastAsia" w:cs="仿宋_GB2312"/>
          <w:sz w:val="32"/>
          <w:szCs w:val="32"/>
        </w:rPr>
        <w:br w:type="textWrapping"/>
      </w:r>
      <w:r>
        <w:rPr>
          <w:rFonts w:hint="eastAsia" w:ascii="??" w:hAnsi="??" w:eastAsia="宋体" w:cs="宋体"/>
          <w:sz w:val="16"/>
        </w:rPr>
        <w:t xml:space="preserve">　　   </w:t>
      </w:r>
      <w:r>
        <w:rPr>
          <w:rFonts w:hint="eastAsia" w:ascii="楷体" w:eastAsia="楷体" w:cs="仿宋_GB2312"/>
          <w:kern w:val="2"/>
          <w:sz w:val="32"/>
          <w:szCs w:val="32"/>
        </w:rPr>
        <w:t>（一）财政拨款收入</w:t>
      </w:r>
      <w:r>
        <w:rPr>
          <w:rFonts w:hint="eastAsia" w:cs="仿宋_GB2312"/>
          <w:kern w:val="2"/>
          <w:sz w:val="32"/>
          <w:szCs w:val="32"/>
        </w:rPr>
        <w:t>：指由财政拨款形成的部门收入。按现行管理制度，部门预算中反映的财政拨款仅包括一般公共预算拨款和政府性基金预算拨款。</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（二）事业收入</w:t>
      </w:r>
      <w:r>
        <w:rPr>
          <w:rFonts w:hint="eastAsia" w:cs="仿宋_GB2312"/>
          <w:kern w:val="2"/>
          <w:sz w:val="32"/>
          <w:szCs w:val="32"/>
        </w:rPr>
        <w:t>：指所属事业单位开展专业业务活动及辅助活动所取得的收入。</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（三）事业单位经营收入</w:t>
      </w:r>
      <w:r>
        <w:rPr>
          <w:rFonts w:hint="eastAsia" w:cs="仿宋_GB2312"/>
          <w:kern w:val="2"/>
          <w:sz w:val="32"/>
          <w:szCs w:val="32"/>
        </w:rPr>
        <w:t>：指所属事业单位在专业业务活动及其辅助活动之外开展非独立核算经营活动取得的收入。</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　（四）其他收入</w:t>
      </w:r>
      <w:r>
        <w:rPr>
          <w:rFonts w:hint="eastAsia" w:cs="仿宋_GB2312"/>
          <w:kern w:val="2"/>
          <w:sz w:val="32"/>
          <w:szCs w:val="32"/>
        </w:rPr>
        <w:t>：指除上述</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等以外的收入，主要是所属行政事业单位按规定动用的售房收入、存款利息收入等。</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　（五）用事业基金弥补收支差额</w:t>
      </w:r>
      <w:r>
        <w:rPr>
          <w:rFonts w:hint="eastAsia" w:cs="仿宋_GB2312"/>
          <w:kern w:val="2"/>
          <w:sz w:val="32"/>
          <w:szCs w:val="32"/>
        </w:rPr>
        <w:t>：指所属事业单位在预计用当年的</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其他收入</w:t>
      </w:r>
      <w:r>
        <w:rPr>
          <w:rFonts w:cs="仿宋_GB2312"/>
          <w:kern w:val="2"/>
          <w:sz w:val="32"/>
          <w:szCs w:val="32"/>
        </w:rPr>
        <w:t>”</w:t>
      </w:r>
      <w:r>
        <w:rPr>
          <w:rFonts w:hint="eastAsia" w:cs="仿宋_GB2312"/>
          <w:kern w:val="2"/>
          <w:sz w:val="32"/>
          <w:szCs w:val="32"/>
        </w:rPr>
        <w:t>不足以安排当年支出的情况下，使用以前年度积累的事业基金弥补本年度收支缺口的资金。</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　（六）上年结转</w:t>
      </w:r>
      <w:r>
        <w:rPr>
          <w:rFonts w:hint="eastAsia" w:cs="仿宋_GB2312"/>
          <w:kern w:val="2"/>
          <w:sz w:val="32"/>
          <w:szCs w:val="32"/>
        </w:rPr>
        <w:t>：指所属行政事业单位以前年度尚未完成、结转至本年按原规定用途继续使用的资金和以前年度已完成项目剩余资金经批准用于新用途使用的资金。</w:t>
      </w:r>
    </w:p>
    <w:p w14:paraId="58406E87">
      <w:pPr>
        <w:rPr>
          <w:rFonts w:ascii="仿宋_GB2312" w:eastAsia="仿宋_GB2312" w:cs="仿宋_GB2312"/>
          <w:sz w:val="32"/>
          <w:szCs w:val="32"/>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A9859E">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79B2FCE"/>
    <w:multiLevelType w:val="singleLevel"/>
    <w:tmpl w:val="C79B2FCE"/>
    <w:lvl w:ilvl="0" w:tentative="0">
      <w:start w:val="2"/>
      <w:numFmt w:val="chineseCounting"/>
      <w:suff w:val="nothing"/>
      <w:lvlText w:val="（%1）"/>
      <w:lvlJc w:val="left"/>
      <w:pPr>
        <w:ind w:left="640" w:leftChars="0" w:firstLine="0" w:firstLineChars="0"/>
      </w:pPr>
      <w:rPr>
        <w:rFonts w:hint="eastAsia"/>
      </w:rPr>
    </w:lvl>
  </w:abstractNum>
  <w:abstractNum w:abstractNumId="1">
    <w:nsid w:val="47D03D20"/>
    <w:multiLevelType w:val="multilevel"/>
    <w:tmpl w:val="47D03D20"/>
    <w:lvl w:ilvl="0" w:tentative="0">
      <w:start w:val="2"/>
      <w:numFmt w:val="japaneseCounting"/>
      <w:lvlText w:val="%1、"/>
      <w:lvlJc w:val="left"/>
      <w:pPr>
        <w:tabs>
          <w:tab w:val="left" w:pos="0"/>
        </w:tabs>
        <w:ind w:left="1360" w:hanging="720"/>
      </w:pPr>
      <w:rPr>
        <w:rFonts w:hint="default"/>
      </w:rPr>
    </w:lvl>
    <w:lvl w:ilvl="1" w:tentative="0">
      <w:start w:val="1"/>
      <w:numFmt w:val="lowerLetter"/>
      <w:lvlText w:val="%2)"/>
      <w:lvlJc w:val="left"/>
      <w:pPr>
        <w:tabs>
          <w:tab w:val="left" w:pos="0"/>
        </w:tabs>
        <w:ind w:left="1480" w:hanging="420"/>
      </w:pPr>
    </w:lvl>
    <w:lvl w:ilvl="2" w:tentative="0">
      <w:start w:val="1"/>
      <w:numFmt w:val="lowerRoman"/>
      <w:lvlText w:val="%3."/>
      <w:lvlJc w:val="right"/>
      <w:pPr>
        <w:tabs>
          <w:tab w:val="left" w:pos="0"/>
        </w:tabs>
        <w:ind w:left="1900" w:hanging="420"/>
      </w:pPr>
    </w:lvl>
    <w:lvl w:ilvl="3" w:tentative="0">
      <w:start w:val="1"/>
      <w:numFmt w:val="decimal"/>
      <w:lvlText w:val="%4."/>
      <w:lvlJc w:val="left"/>
      <w:pPr>
        <w:tabs>
          <w:tab w:val="left" w:pos="0"/>
        </w:tabs>
        <w:ind w:left="2320" w:hanging="420"/>
      </w:pPr>
    </w:lvl>
    <w:lvl w:ilvl="4" w:tentative="0">
      <w:start w:val="1"/>
      <w:numFmt w:val="lowerLetter"/>
      <w:lvlText w:val="%5)"/>
      <w:lvlJc w:val="left"/>
      <w:pPr>
        <w:tabs>
          <w:tab w:val="left" w:pos="0"/>
        </w:tabs>
        <w:ind w:left="2740" w:hanging="420"/>
      </w:pPr>
    </w:lvl>
    <w:lvl w:ilvl="5" w:tentative="0">
      <w:start w:val="1"/>
      <w:numFmt w:val="lowerRoman"/>
      <w:lvlText w:val="%6."/>
      <w:lvlJc w:val="right"/>
      <w:pPr>
        <w:tabs>
          <w:tab w:val="left" w:pos="0"/>
        </w:tabs>
        <w:ind w:left="3160" w:hanging="420"/>
      </w:pPr>
    </w:lvl>
    <w:lvl w:ilvl="6" w:tentative="0">
      <w:start w:val="1"/>
      <w:numFmt w:val="decimal"/>
      <w:lvlText w:val="%7."/>
      <w:lvlJc w:val="left"/>
      <w:pPr>
        <w:tabs>
          <w:tab w:val="left" w:pos="0"/>
        </w:tabs>
        <w:ind w:left="3580" w:hanging="420"/>
      </w:pPr>
    </w:lvl>
    <w:lvl w:ilvl="7" w:tentative="0">
      <w:start w:val="1"/>
      <w:numFmt w:val="lowerLetter"/>
      <w:lvlText w:val="%8)"/>
      <w:lvlJc w:val="left"/>
      <w:pPr>
        <w:tabs>
          <w:tab w:val="left" w:pos="0"/>
        </w:tabs>
        <w:ind w:left="4000" w:hanging="420"/>
      </w:pPr>
    </w:lvl>
    <w:lvl w:ilvl="8" w:tentative="0">
      <w:start w:val="1"/>
      <w:numFmt w:val="lowerRoman"/>
      <w:lvlText w:val="%9."/>
      <w:lvlJc w:val="right"/>
      <w:pPr>
        <w:tabs>
          <w:tab w:val="left" w:pos="0"/>
        </w:tabs>
        <w:ind w:left="442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4"/>
  </w:compat>
  <w:rsids>
    <w:rsidRoot w:val="00000000"/>
    <w:rsid w:val="02D118BE"/>
    <w:rsid w:val="088300F6"/>
    <w:rsid w:val="1C1F5BD9"/>
    <w:rsid w:val="207F4F4B"/>
    <w:rsid w:val="2A541DC5"/>
    <w:rsid w:val="47024B89"/>
    <w:rsid w:val="540B32CF"/>
    <w:rsid w:val="57462870"/>
    <w:rsid w:val="6B424D7D"/>
    <w:rsid w:val="74021CD4"/>
    <w:rsid w:val="7EDF424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unhideWhenUsed="0" w:uiPriority="0" w:semiHidden="0" w:name="heading 2"/>
    <w:lsdException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iPriority="99"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keepNext/>
      <w:keepLines/>
      <w:widowControl w:val="0"/>
      <w:spacing w:before="340" w:after="330" w:line="578" w:lineRule="auto"/>
      <w:outlineLvl w:val="0"/>
    </w:pPr>
    <w:rPr>
      <w:b/>
      <w:bCs/>
      <w:kern w:val="44"/>
      <w:sz w:val="44"/>
    </w:rPr>
  </w:style>
  <w:style w:type="paragraph" w:styleId="4">
    <w:name w:val="heading 2"/>
    <w:basedOn w:val="1"/>
    <w:next w:val="1"/>
    <w:uiPriority w:val="0"/>
    <w:pPr>
      <w:keepNext/>
      <w:keepLines/>
      <w:widowControl w:val="0"/>
      <w:spacing w:before="260" w:after="260" w:line="415" w:lineRule="auto"/>
      <w:outlineLvl w:val="1"/>
    </w:pPr>
    <w:rPr>
      <w:rFonts w:ascii="Arial" w:hAnsi="Arial" w:eastAsia="黑体"/>
      <w:b/>
      <w:sz w:val="32"/>
    </w:rPr>
  </w:style>
  <w:style w:type="paragraph" w:styleId="5">
    <w:name w:val="heading 3"/>
    <w:basedOn w:val="1"/>
    <w:next w:val="1"/>
    <w:uiPriority w:val="0"/>
    <w:pPr>
      <w:keepNext/>
      <w:keepLines/>
      <w:widowControl w:val="0"/>
      <w:spacing w:before="260" w:after="260" w:line="415" w:lineRule="auto"/>
      <w:outlineLvl w:val="2"/>
    </w:pPr>
    <w:rPr>
      <w:b/>
      <w:sz w:val="32"/>
    </w:rPr>
  </w:style>
  <w:style w:type="character" w:default="1" w:styleId="9">
    <w:name w:val="Default Paragraph Font"/>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Salutation"/>
    <w:basedOn w:val="1"/>
    <w:next w:val="1"/>
    <w:unhideWhenUsed/>
    <w:qFormat/>
    <w:uiPriority w:val="99"/>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10">
    <w:name w:val="List Paragraph"/>
    <w:basedOn w:val="1"/>
    <w:qFormat/>
    <w:uiPriority w:val="0"/>
    <w:pPr>
      <w:ind w:firstLine="200" w:firstLineChars="200"/>
    </w:pPr>
  </w:style>
  <w:style w:type="paragraph" w:customStyle="1" w:styleId="11">
    <w:name w:val="正文文本1"/>
    <w:basedOn w:val="1"/>
    <w:qFormat/>
    <w:uiPriority w:val="0"/>
    <w:pPr>
      <w:spacing w:before="93"/>
    </w:pPr>
    <w:rPr>
      <w:rFonts w:ascii="仿宋_GB2312" w:eastAsia="仿宋_GB2312"/>
      <w:kern w:val="0"/>
      <w:sz w:val="3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Pages>11</Pages>
  <Words>4363</Words>
  <Characters>4741</Characters>
  <Lines>124</Lines>
  <Paragraphs>51</Paragraphs>
  <TotalTime>5</TotalTime>
  <ScaleCrop>false</ScaleCrop>
  <LinksUpToDate>false</LinksUpToDate>
  <CharactersWithSpaces>4772</CharactersWithSpaces>
  <Application>WPS Office_12.1.0.19770_F1E327BC-269C-435d-A152-05C5408002CA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2022-12-30T09:44:00Z</dcterms:created>
  <dc:creator>疯丫头。。</dc:creator>
  <cp:lastModifiedBy>紫藤雪柳</cp:lastModifiedBy>
  <cp:lastPrinted>2018-01-30T09:39:00Z</cp:lastPrinted>
  <dcterms:modified xsi:type="dcterms:W3CDTF">2025-02-20T06:55:31Z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eyJoZGlkIjoiZjMzZmJiNjM0ZDFjMTc3MzJhNjQxY2M1ODg1OTExOTciLCJ1c2VySWQiOiI5MjY1MDgwMDEifQ==</vt:lpwstr>
  </property>
  <property fmtid="{D5CDD505-2E9C-101B-9397-08002B2CF9AE}" pid="4" name="ICV">
    <vt:lpwstr>7AB31C164E594354B91E5536D981AABB_12</vt:lpwstr>
  </property>
</Properties>
</file>